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CBB89B">
      <w:pPr>
        <w:pStyle w:val="5"/>
        <w:keepNext/>
        <w:keepLines/>
        <w:pageBreakBefore w:val="0"/>
        <w:widowControl w:val="0"/>
        <w:kinsoku/>
        <w:wordWrap/>
        <w:overflowPunct/>
        <w:topLinePunct w:val="0"/>
        <w:autoSpaceDE/>
        <w:autoSpaceDN/>
        <w:bidi w:val="0"/>
        <w:adjustRightInd/>
        <w:snapToGrid/>
        <w:spacing w:before="0" w:beforeLines="0" w:after="0" w:afterLines="0"/>
        <w:ind w:firstLine="0" w:firstLineChars="0"/>
        <w:jc w:val="center"/>
        <w:textAlignment w:val="auto"/>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嵊州市交投港务有限公司25吨门座起重机拆卸项目（第二次）</w:t>
      </w:r>
    </w:p>
    <w:p w14:paraId="3649296F">
      <w:pPr>
        <w:pStyle w:val="5"/>
        <w:keepNext/>
        <w:keepLines/>
        <w:pageBreakBefore w:val="0"/>
        <w:widowControl w:val="0"/>
        <w:kinsoku/>
        <w:wordWrap/>
        <w:overflowPunct/>
        <w:topLinePunct w:val="0"/>
        <w:autoSpaceDE/>
        <w:autoSpaceDN/>
        <w:bidi w:val="0"/>
        <w:adjustRightInd/>
        <w:snapToGrid/>
        <w:spacing w:before="0" w:beforeLines="0" w:after="0" w:afterLines="0"/>
        <w:ind w:firstLine="0" w:firstLineChars="0"/>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（编号：</w:t>
      </w:r>
      <w:r>
        <w:rPr>
          <w:rFonts w:hint="eastAsia" w:ascii="仿宋" w:hAnsi="仿宋" w:eastAsia="仿宋" w:cs="仿宋"/>
          <w:color w:val="auto"/>
          <w:sz w:val="44"/>
          <w:szCs w:val="44"/>
          <w:highlight w:val="none"/>
          <w:lang w:eastAsia="zh-CN"/>
        </w:rPr>
        <w:t>SXWH2025-4-3（2）</w:t>
      </w:r>
      <w:r>
        <w:rPr>
          <w:rFonts w:hint="eastAsia" w:ascii="仿宋" w:hAnsi="仿宋" w:eastAsia="仿宋" w:cs="仿宋"/>
          <w:color w:val="auto"/>
          <w:sz w:val="44"/>
          <w:szCs w:val="44"/>
          <w:highlight w:val="none"/>
        </w:rPr>
        <w:t>）</w:t>
      </w:r>
    </w:p>
    <w:p w14:paraId="58F466D6">
      <w:pPr>
        <w:spacing w:line="500" w:lineRule="exact"/>
        <w:jc w:val="center"/>
        <w:rPr>
          <w:rFonts w:hint="eastAsia" w:ascii="仿宋" w:hAnsi="仿宋" w:eastAsia="仿宋" w:cs="仿宋"/>
          <w:b/>
          <w:color w:val="auto"/>
          <w:w w:val="150"/>
          <w:sz w:val="44"/>
          <w:highlight w:val="none"/>
        </w:rPr>
      </w:pPr>
    </w:p>
    <w:p w14:paraId="47387E72">
      <w:pPr>
        <w:pStyle w:val="33"/>
        <w:rPr>
          <w:rFonts w:hint="eastAsia" w:ascii="仿宋" w:hAnsi="仿宋" w:eastAsia="仿宋" w:cs="仿宋"/>
          <w:color w:val="auto"/>
          <w:highlight w:val="none"/>
        </w:rPr>
      </w:pPr>
    </w:p>
    <w:p w14:paraId="7EC21E63">
      <w:pPr>
        <w:snapToGrid w:val="0"/>
        <w:spacing w:line="800" w:lineRule="exact"/>
        <w:jc w:val="both"/>
        <w:rPr>
          <w:rFonts w:hint="eastAsia" w:ascii="仿宋" w:hAnsi="仿宋" w:eastAsia="仿宋" w:cs="仿宋"/>
          <w:b/>
          <w:color w:val="auto"/>
          <w:sz w:val="52"/>
          <w:szCs w:val="52"/>
          <w:highlight w:val="none"/>
        </w:rPr>
      </w:pPr>
    </w:p>
    <w:p w14:paraId="1E7CCDC0">
      <w:pPr>
        <w:snapToGrid w:val="0"/>
        <w:spacing w:line="800" w:lineRule="exact"/>
        <w:jc w:val="both"/>
        <w:rPr>
          <w:rFonts w:hint="eastAsia" w:ascii="仿宋" w:hAnsi="仿宋" w:eastAsia="仿宋" w:cs="仿宋"/>
          <w:b/>
          <w:color w:val="auto"/>
          <w:sz w:val="52"/>
          <w:szCs w:val="52"/>
          <w:highlight w:val="none"/>
        </w:rPr>
      </w:pPr>
    </w:p>
    <w:p w14:paraId="2537F801">
      <w:pPr>
        <w:snapToGrid w:val="0"/>
        <w:spacing w:line="800" w:lineRule="exact"/>
        <w:jc w:val="center"/>
        <w:rPr>
          <w:rFonts w:hint="eastAsia" w:ascii="仿宋" w:hAnsi="仿宋" w:eastAsia="仿宋" w:cs="仿宋"/>
          <w:b/>
          <w:color w:val="auto"/>
          <w:sz w:val="52"/>
          <w:szCs w:val="52"/>
          <w:highlight w:val="none"/>
        </w:rPr>
      </w:pPr>
    </w:p>
    <w:p w14:paraId="7410246F">
      <w:pPr>
        <w:snapToGrid w:val="0"/>
        <w:spacing w:line="800" w:lineRule="exact"/>
        <w:jc w:val="center"/>
        <w:rPr>
          <w:rFonts w:hint="eastAsia" w:ascii="仿宋" w:hAnsi="仿宋" w:eastAsia="仿宋" w:cs="仿宋"/>
          <w:b/>
          <w:color w:val="auto"/>
          <w:sz w:val="52"/>
          <w:szCs w:val="52"/>
          <w:highlight w:val="none"/>
        </w:rPr>
      </w:pPr>
    </w:p>
    <w:p w14:paraId="180A80A0">
      <w:pPr>
        <w:snapToGrid w:val="0"/>
        <w:spacing w:line="800" w:lineRule="exact"/>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公开招标采购文件</w:t>
      </w:r>
    </w:p>
    <w:p w14:paraId="146E42C9">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val="en-US" w:eastAsia="zh-CN"/>
        </w:rPr>
        <w:t>国企采购</w:t>
      </w:r>
      <w:r>
        <w:rPr>
          <w:rFonts w:hint="eastAsia" w:ascii="仿宋" w:hAnsi="仿宋" w:eastAsia="仿宋" w:cs="仿宋"/>
          <w:b/>
          <w:color w:val="auto"/>
          <w:sz w:val="44"/>
          <w:szCs w:val="44"/>
          <w:highlight w:val="none"/>
        </w:rPr>
        <w:t>）</w:t>
      </w:r>
    </w:p>
    <w:p w14:paraId="79381878">
      <w:pPr>
        <w:pStyle w:val="33"/>
        <w:rPr>
          <w:rFonts w:hint="eastAsia" w:ascii="仿宋" w:hAnsi="仿宋" w:eastAsia="仿宋" w:cs="仿宋"/>
          <w:color w:val="auto"/>
          <w:highlight w:val="none"/>
        </w:rPr>
      </w:pPr>
    </w:p>
    <w:p w14:paraId="667724B4">
      <w:pPr>
        <w:rPr>
          <w:rFonts w:hint="eastAsia" w:ascii="仿宋" w:hAnsi="仿宋" w:eastAsia="仿宋" w:cs="仿宋"/>
          <w:color w:val="auto"/>
          <w:sz w:val="44"/>
          <w:highlight w:val="none"/>
        </w:rPr>
      </w:pPr>
    </w:p>
    <w:p w14:paraId="50B46F64">
      <w:pPr>
        <w:spacing w:line="580" w:lineRule="exact"/>
        <w:jc w:val="center"/>
        <w:rPr>
          <w:rFonts w:hint="eastAsia" w:ascii="仿宋" w:hAnsi="仿宋" w:eastAsia="仿宋" w:cs="仿宋"/>
          <w:bCs/>
          <w:color w:val="auto"/>
          <w:sz w:val="36"/>
          <w:highlight w:val="none"/>
        </w:rPr>
      </w:pPr>
    </w:p>
    <w:p w14:paraId="604A45E1">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b/>
          <w:bCs w:val="0"/>
          <w:color w:val="auto"/>
          <w:sz w:val="36"/>
          <w:highlight w:val="none"/>
        </w:rPr>
      </w:pPr>
    </w:p>
    <w:p w14:paraId="162423A6">
      <w:pPr>
        <w:keepNext w:val="0"/>
        <w:keepLines w:val="0"/>
        <w:pageBreakBefore w:val="0"/>
        <w:widowControl w:val="0"/>
        <w:kinsoku/>
        <w:wordWrap/>
        <w:overflowPunct/>
        <w:topLinePunct w:val="0"/>
        <w:autoSpaceDE/>
        <w:autoSpaceDN/>
        <w:bidi w:val="0"/>
        <w:adjustRightInd/>
        <w:snapToGrid/>
        <w:spacing w:line="660" w:lineRule="exact"/>
        <w:ind w:firstLine="1084" w:firstLineChars="300"/>
        <w:textAlignment w:val="auto"/>
        <w:rPr>
          <w:rFonts w:hint="eastAsia" w:ascii="仿宋" w:hAnsi="仿宋" w:eastAsia="仿宋" w:cs="仿宋"/>
          <w:b/>
          <w:bCs w:val="0"/>
          <w:color w:val="auto"/>
          <w:sz w:val="36"/>
          <w:highlight w:val="none"/>
        </w:rPr>
      </w:pPr>
    </w:p>
    <w:p w14:paraId="24C674B2">
      <w:pPr>
        <w:keepNext w:val="0"/>
        <w:keepLines w:val="0"/>
        <w:pageBreakBefore w:val="0"/>
        <w:widowControl w:val="0"/>
        <w:kinsoku/>
        <w:wordWrap/>
        <w:overflowPunct/>
        <w:topLinePunct w:val="0"/>
        <w:autoSpaceDE/>
        <w:autoSpaceDN/>
        <w:bidi w:val="0"/>
        <w:adjustRightInd/>
        <w:snapToGrid/>
        <w:spacing w:line="780" w:lineRule="exact"/>
        <w:ind w:firstLine="1205" w:firstLineChars="300"/>
        <w:textAlignment w:val="auto"/>
        <w:rPr>
          <w:rFonts w:hint="eastAsia" w:ascii="仿宋" w:hAnsi="仿宋" w:eastAsia="仿宋" w:cs="仿宋"/>
          <w:b/>
          <w:bCs w:val="0"/>
          <w:color w:val="auto"/>
          <w:sz w:val="40"/>
          <w:szCs w:val="21"/>
          <w:highlight w:val="none"/>
          <w:lang w:eastAsia="zh-CN"/>
        </w:rPr>
      </w:pPr>
      <w:r>
        <w:rPr>
          <w:rFonts w:hint="eastAsia" w:ascii="仿宋" w:hAnsi="仿宋" w:eastAsia="仿宋" w:cs="仿宋"/>
          <w:b/>
          <w:bCs w:val="0"/>
          <w:color w:val="auto"/>
          <w:sz w:val="40"/>
          <w:szCs w:val="21"/>
          <w:highlight w:val="none"/>
        </w:rPr>
        <w:t>采购单位：</w:t>
      </w:r>
      <w:r>
        <w:rPr>
          <w:rFonts w:hint="eastAsia" w:ascii="仿宋" w:hAnsi="仿宋" w:eastAsia="仿宋" w:cs="仿宋"/>
          <w:b/>
          <w:bCs w:val="0"/>
          <w:color w:val="auto"/>
          <w:sz w:val="40"/>
          <w:szCs w:val="21"/>
          <w:highlight w:val="none"/>
          <w:lang w:eastAsia="zh-CN"/>
        </w:rPr>
        <w:t>嵊州市交投港务有限公司</w:t>
      </w:r>
    </w:p>
    <w:p w14:paraId="049A7A2D">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 w:hAnsi="仿宋" w:eastAsia="仿宋" w:cs="仿宋"/>
          <w:b/>
          <w:bCs w:val="0"/>
          <w:color w:val="auto"/>
          <w:sz w:val="36"/>
          <w:highlight w:val="none"/>
          <w:lang w:eastAsia="zh-CN"/>
        </w:rPr>
      </w:pPr>
      <w:r>
        <w:rPr>
          <w:rFonts w:hint="eastAsia" w:ascii="仿宋" w:hAnsi="仿宋" w:eastAsia="仿宋" w:cs="仿宋"/>
          <w:b/>
          <w:bCs w:val="0"/>
          <w:color w:val="auto"/>
          <w:sz w:val="40"/>
          <w:szCs w:val="21"/>
          <w:highlight w:val="none"/>
          <w:lang w:val="en-US" w:eastAsia="zh-CN"/>
        </w:rPr>
        <w:t xml:space="preserve"> </w:t>
      </w:r>
      <w:r>
        <w:rPr>
          <w:rFonts w:hint="eastAsia" w:ascii="仿宋" w:hAnsi="仿宋" w:eastAsia="仿宋" w:cs="仿宋"/>
          <w:b/>
          <w:bCs w:val="0"/>
          <w:color w:val="auto"/>
          <w:sz w:val="40"/>
          <w:szCs w:val="21"/>
          <w:highlight w:val="none"/>
        </w:rPr>
        <w:t>采购代理机构：</w:t>
      </w:r>
      <w:r>
        <w:rPr>
          <w:rFonts w:hint="eastAsia" w:ascii="仿宋" w:hAnsi="仿宋" w:eastAsia="仿宋" w:cs="仿宋"/>
          <w:b/>
          <w:bCs w:val="0"/>
          <w:color w:val="auto"/>
          <w:sz w:val="40"/>
          <w:szCs w:val="21"/>
          <w:highlight w:val="none"/>
          <w:lang w:eastAsia="zh-CN"/>
        </w:rPr>
        <w:t>绍兴市文汇项目管理有限公司</w:t>
      </w:r>
    </w:p>
    <w:p w14:paraId="72952CB1">
      <w:pPr>
        <w:pStyle w:val="47"/>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宋体" w:hAnsi="宋体" w:eastAsia="宋体" w:cs="宋体"/>
          <w:color w:val="auto"/>
          <w:highlight w:val="none"/>
        </w:rPr>
      </w:pPr>
      <w:bookmarkStart w:id="0" w:name="用户单位名称"/>
      <w:bookmarkEnd w:id="0"/>
      <w:bookmarkStart w:id="1" w:name="_Toc105829294"/>
      <w:bookmarkStart w:id="2" w:name="_Toc180555915"/>
      <w:r>
        <w:rPr>
          <w:rFonts w:hint="eastAsia" w:ascii="仿宋" w:hAnsi="仿宋" w:eastAsia="仿宋" w:cs="仿宋"/>
          <w:b/>
          <w:bCs w:val="0"/>
          <w:color w:val="auto"/>
          <w:sz w:val="36"/>
          <w:szCs w:val="36"/>
          <w:highlight w:val="none"/>
          <w:lang w:eastAsia="zh-CN"/>
        </w:rPr>
        <w:t>日期：</w:t>
      </w:r>
      <w:r>
        <w:rPr>
          <w:rFonts w:hint="eastAsia" w:ascii="仿宋" w:hAnsi="仿宋" w:eastAsia="仿宋" w:cs="仿宋"/>
          <w:b/>
          <w:bCs w:val="0"/>
          <w:color w:val="auto"/>
          <w:sz w:val="36"/>
          <w:szCs w:val="36"/>
          <w:highlight w:val="none"/>
        </w:rPr>
        <w:t>202</w:t>
      </w:r>
      <w:r>
        <w:rPr>
          <w:rFonts w:hint="eastAsia" w:ascii="仿宋" w:hAnsi="仿宋" w:eastAsia="仿宋" w:cs="仿宋"/>
          <w:b/>
          <w:bCs w:val="0"/>
          <w:color w:val="auto"/>
          <w:sz w:val="36"/>
          <w:szCs w:val="36"/>
          <w:highlight w:val="none"/>
          <w:lang w:val="en-US" w:eastAsia="zh-CN"/>
        </w:rPr>
        <w:t>5</w:t>
      </w:r>
      <w:r>
        <w:rPr>
          <w:rFonts w:hint="eastAsia" w:ascii="仿宋" w:hAnsi="仿宋" w:eastAsia="仿宋" w:cs="仿宋"/>
          <w:b/>
          <w:bCs w:val="0"/>
          <w:color w:val="auto"/>
          <w:sz w:val="36"/>
          <w:szCs w:val="36"/>
          <w:highlight w:val="none"/>
        </w:rPr>
        <w:t>年</w:t>
      </w:r>
      <w:r>
        <w:rPr>
          <w:rFonts w:hint="eastAsia" w:ascii="仿宋" w:hAnsi="仿宋" w:eastAsia="仿宋" w:cs="仿宋"/>
          <w:b/>
          <w:bCs w:val="0"/>
          <w:color w:val="auto"/>
          <w:sz w:val="36"/>
          <w:szCs w:val="36"/>
          <w:highlight w:val="none"/>
          <w:lang w:val="en-US" w:eastAsia="zh-CN"/>
        </w:rPr>
        <w:t>7</w:t>
      </w:r>
      <w:r>
        <w:rPr>
          <w:rFonts w:hint="eastAsia" w:ascii="仿宋" w:hAnsi="仿宋" w:eastAsia="仿宋" w:cs="仿宋"/>
          <w:b/>
          <w:bCs w:val="0"/>
          <w:color w:val="auto"/>
          <w:sz w:val="36"/>
          <w:szCs w:val="36"/>
          <w:highlight w:val="none"/>
        </w:rPr>
        <w:t>月</w:t>
      </w:r>
      <w:r>
        <w:rPr>
          <w:rFonts w:hint="eastAsia" w:ascii="宋体" w:hAnsi="宋体" w:eastAsia="宋体" w:cs="宋体"/>
          <w:b/>
          <w:bCs w:val="0"/>
          <w:color w:val="auto"/>
          <w:highlight w:val="none"/>
        </w:rPr>
        <w:br w:type="page"/>
      </w:r>
      <w:bookmarkStart w:id="3" w:name="_Toc226337756"/>
      <w:bookmarkStart w:id="4" w:name="_Toc248065034"/>
      <w:bookmarkStart w:id="5" w:name="_Toc304551308"/>
      <w:bookmarkStart w:id="6" w:name="_Toc340321907"/>
      <w:bookmarkStart w:id="7" w:name="_Toc10071"/>
      <w:bookmarkStart w:id="8" w:name="_Toc340322162"/>
      <w:bookmarkStart w:id="9" w:name="_Toc339302123"/>
    </w:p>
    <w:p w14:paraId="1133DDCB">
      <w:pPr>
        <w:rPr>
          <w:rFonts w:hint="eastAsia" w:ascii="宋体" w:hAnsi="宋体"/>
          <w:color w:val="auto"/>
          <w:highlight w:val="none"/>
        </w:rPr>
      </w:pPr>
    </w:p>
    <w:p w14:paraId="0C16BF15">
      <w:pPr>
        <w:pStyle w:val="47"/>
        <w:widowControl w:val="0"/>
        <w:spacing w:line="58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14:paraId="62D460E4">
      <w:pPr>
        <w:rPr>
          <w:rFonts w:hint="eastAsia" w:ascii="仿宋" w:hAnsi="仿宋" w:eastAsia="仿宋" w:cs="仿宋"/>
          <w:color w:val="auto"/>
          <w:highlight w:val="none"/>
        </w:rPr>
      </w:pPr>
    </w:p>
    <w:p w14:paraId="5C644447">
      <w:pPr>
        <w:rPr>
          <w:rFonts w:hint="eastAsia" w:ascii="仿宋" w:hAnsi="仿宋" w:eastAsia="仿宋" w:cs="仿宋"/>
          <w:color w:val="auto"/>
          <w:highlight w:val="none"/>
        </w:rPr>
      </w:pPr>
    </w:p>
    <w:p w14:paraId="11EF7173">
      <w:pPr>
        <w:pStyle w:val="55"/>
        <w:tabs>
          <w:tab w:val="right" w:leader="dot" w:pos="9110"/>
        </w:tabs>
        <w:spacing w:line="700" w:lineRule="exact"/>
        <w:rPr>
          <w:rFonts w:hint="eastAsia" w:ascii="仿宋" w:hAnsi="仿宋" w:eastAsia="仿宋" w:cs="仿宋"/>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"1-2" \h \z \u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"_Toc54978887"</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color w:val="auto"/>
          <w:sz w:val="30"/>
          <w:szCs w:val="30"/>
          <w:highlight w:val="none"/>
        </w:rPr>
        <w:t xml:space="preserve">第一部分  </w:t>
      </w:r>
      <w:r>
        <w:rPr>
          <w:rStyle w:val="88"/>
          <w:rFonts w:hint="eastAsia" w:ascii="仿宋" w:hAnsi="仿宋" w:eastAsia="仿宋" w:cs="仿宋"/>
          <w:color w:val="auto"/>
          <w:sz w:val="30"/>
          <w:szCs w:val="30"/>
          <w:highlight w:val="none"/>
          <w:lang w:eastAsia="zh-CN"/>
        </w:rPr>
        <w:t>招标</w:t>
      </w:r>
      <w:r>
        <w:rPr>
          <w:rStyle w:val="88"/>
          <w:rFonts w:hint="eastAsia" w:ascii="仿宋" w:hAnsi="仿宋" w:eastAsia="仿宋" w:cs="仿宋"/>
          <w:color w:val="auto"/>
          <w:sz w:val="30"/>
          <w:szCs w:val="30"/>
          <w:highlight w:val="none"/>
        </w:rPr>
        <w:t>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_Toc54978887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24867BD">
      <w:pPr>
        <w:pStyle w:val="55"/>
        <w:tabs>
          <w:tab w:val="right" w:leader="dot" w:pos="9110"/>
        </w:tabs>
        <w:spacing w:line="700" w:lineRule="exact"/>
        <w:rPr>
          <w:rFonts w:hint="eastAsia" w:ascii="仿宋" w:hAnsi="仿宋" w:eastAsia="仿宋" w:cs="仿宋"/>
          <w:caps w:val="0"/>
          <w:color w:val="auto"/>
          <w:sz w:val="30"/>
          <w:szCs w:val="30"/>
          <w:highlight w:val="none"/>
        </w:rPr>
      </w:pP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"_Toc54978888"</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color w:val="auto"/>
          <w:sz w:val="30"/>
          <w:szCs w:val="30"/>
          <w:highlight w:val="none"/>
        </w:rPr>
        <w:t>第二部分  投标须知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fldChar w:fldCharType="end"/>
      </w:r>
    </w:p>
    <w:p w14:paraId="7A0D6594">
      <w:pPr>
        <w:pStyle w:val="55"/>
        <w:tabs>
          <w:tab w:val="right" w:leader="dot" w:pos="9110"/>
        </w:tabs>
        <w:spacing w:line="700" w:lineRule="exact"/>
        <w:rPr>
          <w:rFonts w:hint="eastAsia" w:ascii="仿宋" w:hAnsi="仿宋" w:eastAsia="仿宋" w:cs="仿宋"/>
          <w:caps w:val="0"/>
          <w:color w:val="auto"/>
          <w:sz w:val="30"/>
          <w:szCs w:val="30"/>
          <w:highlight w:val="none"/>
        </w:rPr>
      </w:pP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"_Toc54978898"</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color w:val="auto"/>
          <w:sz w:val="30"/>
          <w:szCs w:val="30"/>
          <w:highlight w:val="none"/>
        </w:rPr>
        <w:t>第三部分  项目招标范围及</w:t>
      </w:r>
      <w:r>
        <w:rPr>
          <w:rStyle w:val="88"/>
          <w:rFonts w:hint="eastAsia" w:ascii="仿宋" w:hAnsi="仿宋" w:eastAsia="仿宋" w:cs="仿宋"/>
          <w:color w:val="auto"/>
          <w:sz w:val="30"/>
          <w:szCs w:val="30"/>
          <w:highlight w:val="none"/>
          <w:lang w:eastAsia="zh-CN"/>
        </w:rPr>
        <w:t>技术</w:t>
      </w:r>
      <w:r>
        <w:rPr>
          <w:rStyle w:val="88"/>
          <w:rFonts w:hint="eastAsia" w:ascii="仿宋" w:hAnsi="仿宋" w:eastAsia="仿宋" w:cs="仿宋"/>
          <w:color w:val="auto"/>
          <w:sz w:val="30"/>
          <w:szCs w:val="30"/>
          <w:highlight w:val="none"/>
        </w:rPr>
        <w:t>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_Toc54978898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BC4D482">
      <w:pPr>
        <w:pStyle w:val="55"/>
        <w:tabs>
          <w:tab w:val="right" w:leader="dot" w:pos="9110"/>
        </w:tabs>
        <w:spacing w:line="700" w:lineRule="exact"/>
        <w:rPr>
          <w:rFonts w:hint="eastAsia" w:ascii="仿宋" w:hAnsi="仿宋" w:eastAsia="仿宋" w:cs="仿宋"/>
          <w:caps w:val="0"/>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"_Toc54978899"</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color w:val="auto"/>
          <w:sz w:val="30"/>
          <w:szCs w:val="30"/>
          <w:highlight w:val="none"/>
        </w:rPr>
        <w:t>第四部分  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4</w:t>
      </w:r>
    </w:p>
    <w:p w14:paraId="00C66F17">
      <w:pPr>
        <w:pStyle w:val="55"/>
        <w:tabs>
          <w:tab w:val="right" w:leader="dot" w:pos="9110"/>
        </w:tabs>
        <w:spacing w:line="700" w:lineRule="exact"/>
        <w:rPr>
          <w:rFonts w:hint="eastAsia" w:ascii="仿宋" w:hAnsi="仿宋" w:eastAsia="仿宋" w:cs="仿宋"/>
          <w:caps w:val="0"/>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"_Toc54978900"</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bCs/>
          <w:color w:val="auto"/>
          <w:sz w:val="30"/>
          <w:szCs w:val="30"/>
          <w:highlight w:val="none"/>
        </w:rPr>
        <w:t>第五部分  拟签订合同范本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8</w:t>
      </w:r>
    </w:p>
    <w:p w14:paraId="0C015244">
      <w:pPr>
        <w:pStyle w:val="55"/>
        <w:tabs>
          <w:tab w:val="right" w:leader="dot" w:pos="9110"/>
        </w:tabs>
        <w:spacing w:line="700" w:lineRule="exact"/>
        <w:rPr>
          <w:rFonts w:hint="eastAsia" w:ascii="仿宋" w:hAnsi="仿宋" w:eastAsia="仿宋" w:cs="仿宋"/>
          <w:caps w:val="0"/>
          <w:color w:val="auto"/>
          <w:sz w:val="28"/>
          <w:szCs w:val="28"/>
          <w:highlight w:val="none"/>
          <w:lang w:val="en-US" w:eastAsia="zh-CN"/>
        </w:rPr>
      </w:pPr>
      <w:r>
        <w:rPr>
          <w:rFonts w:hint="eastAsia" w:ascii="仿宋" w:hAnsi="仿宋" w:eastAsia="仿宋" w:cs="仿宋"/>
          <w:color w:val="auto"/>
          <w:sz w:val="30"/>
          <w:szCs w:val="30"/>
          <w:highlight w:val="none"/>
        </w:rPr>
        <w:fldChar w:fldCharType="begin"/>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instrText xml:space="preserve">HYPERLINK \l "_Toc54978901"</w:instrText>
      </w:r>
      <w:r>
        <w:rPr>
          <w:rStyle w:val="88"/>
          <w:rFonts w:hint="eastAsia" w:ascii="仿宋" w:hAnsi="仿宋" w:eastAsia="仿宋" w:cs="仿宋"/>
          <w:color w:val="auto"/>
          <w:sz w:val="30"/>
          <w:szCs w:val="30"/>
          <w:highlight w:val="none"/>
        </w:rPr>
        <w:instrText xml:space="preserve"> </w:instrText>
      </w:r>
      <w:r>
        <w:rPr>
          <w:rFonts w:hint="eastAsia" w:ascii="仿宋" w:hAnsi="仿宋" w:eastAsia="仿宋" w:cs="仿宋"/>
          <w:color w:val="auto"/>
          <w:sz w:val="30"/>
          <w:szCs w:val="30"/>
          <w:highlight w:val="none"/>
        </w:rPr>
        <w:fldChar w:fldCharType="separate"/>
      </w:r>
      <w:r>
        <w:rPr>
          <w:rStyle w:val="88"/>
          <w:rFonts w:hint="eastAsia" w:ascii="仿宋" w:hAnsi="仿宋" w:eastAsia="仿宋" w:cs="仿宋"/>
          <w:color w:val="auto"/>
          <w:sz w:val="30"/>
          <w:szCs w:val="30"/>
          <w:highlight w:val="none"/>
        </w:rPr>
        <w:t>第六部分  投标文件</w:t>
      </w:r>
      <w:r>
        <w:rPr>
          <w:rStyle w:val="88"/>
          <w:rFonts w:hint="eastAsia" w:ascii="仿宋" w:hAnsi="仿宋" w:eastAsia="仿宋" w:cs="仿宋"/>
          <w:color w:val="auto"/>
          <w:sz w:val="30"/>
          <w:szCs w:val="30"/>
          <w:highlight w:val="none"/>
          <w:lang w:val="en-US" w:eastAsia="zh-CN"/>
        </w:rPr>
        <w:t>及其附件</w:t>
      </w:r>
      <w:r>
        <w:rPr>
          <w:rStyle w:val="88"/>
          <w:rFonts w:hint="eastAsia" w:ascii="仿宋" w:hAnsi="仿宋" w:eastAsia="仿宋" w:cs="仿宋"/>
          <w:color w:val="auto"/>
          <w:sz w:val="30"/>
          <w:szCs w:val="30"/>
          <w:highlight w:val="none"/>
        </w:rPr>
        <w:t>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szCs w:val="28"/>
          <w:highlight w:val="none"/>
          <w:lang w:val="en-US" w:eastAsia="zh-CN"/>
        </w:rPr>
        <w:t>3</w:t>
      </w:r>
    </w:p>
    <w:p w14:paraId="365A3E2E">
      <w:pPr>
        <w:pStyle w:val="3"/>
        <w:spacing w:line="700" w:lineRule="exact"/>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fldChar w:fldCharType="end"/>
      </w:r>
      <w:bookmarkStart w:id="10" w:name="_Toc54978887"/>
      <w:r>
        <w:rPr>
          <w:rFonts w:hint="eastAsia" w:ascii="仿宋" w:hAnsi="仿宋" w:eastAsia="仿宋" w:cs="仿宋"/>
          <w:b/>
          <w:bCs/>
          <w:color w:val="auto"/>
          <w:sz w:val="32"/>
          <w:szCs w:val="32"/>
          <w:highlight w:val="none"/>
        </w:rPr>
        <w:t>第一部分</w:t>
      </w:r>
      <w:bookmarkEnd w:id="1"/>
      <w:bookmarkEnd w:id="2"/>
      <w:bookmarkEnd w:id="3"/>
      <w:bookmarkEnd w:id="4"/>
      <w:bookmarkEnd w:id="5"/>
      <w:r>
        <w:rPr>
          <w:rFonts w:hint="eastAsia" w:ascii="仿宋" w:hAnsi="仿宋" w:eastAsia="仿宋" w:cs="仿宋"/>
          <w:b/>
          <w:bCs/>
          <w:color w:val="auto"/>
          <w:sz w:val="32"/>
          <w:szCs w:val="32"/>
          <w:highlight w:val="none"/>
        </w:rPr>
        <w:t xml:space="preserve">  </w:t>
      </w:r>
      <w:bookmarkEnd w:id="6"/>
      <w:bookmarkEnd w:id="7"/>
      <w:bookmarkEnd w:id="8"/>
      <w:bookmarkEnd w:id="9"/>
      <w:r>
        <w:rPr>
          <w:rFonts w:hint="eastAsia" w:ascii="仿宋" w:hAnsi="仿宋" w:eastAsia="仿宋" w:cs="仿宋"/>
          <w:b/>
          <w:bCs/>
          <w:color w:val="auto"/>
          <w:sz w:val="32"/>
          <w:szCs w:val="32"/>
          <w:highlight w:val="none"/>
          <w:lang w:eastAsia="zh-CN"/>
        </w:rPr>
        <w:t>招标</w:t>
      </w:r>
      <w:r>
        <w:rPr>
          <w:rFonts w:hint="eastAsia" w:ascii="仿宋" w:hAnsi="仿宋" w:eastAsia="仿宋" w:cs="仿宋"/>
          <w:b/>
          <w:bCs/>
          <w:color w:val="auto"/>
          <w:sz w:val="32"/>
          <w:szCs w:val="32"/>
          <w:highlight w:val="none"/>
        </w:rPr>
        <w:t>公告</w:t>
      </w:r>
      <w:bookmarkEnd w:id="10"/>
    </w:p>
    <w:p w14:paraId="04F3783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bookmarkStart w:id="11" w:name="_Toc304551309"/>
      <w:bookmarkStart w:id="12" w:name="_Toc339302124"/>
      <w:bookmarkStart w:id="13" w:name="_Toc54978888"/>
      <w:bookmarkStart w:id="14" w:name="_Toc248065035"/>
      <w:bookmarkStart w:id="15" w:name="_Toc340321908"/>
      <w:bookmarkStart w:id="16" w:name="_Toc5837"/>
      <w:bookmarkStart w:id="17" w:name="_Toc226337757"/>
      <w:bookmarkStart w:id="18" w:name="_Toc180555916"/>
      <w:bookmarkStart w:id="19" w:name="_Toc340322163"/>
      <w:r>
        <w:rPr>
          <w:rFonts w:hint="eastAsia" w:ascii="仿宋" w:hAnsi="仿宋" w:eastAsia="仿宋" w:cs="仿宋"/>
          <w:color w:val="auto"/>
          <w:sz w:val="24"/>
          <w:szCs w:val="24"/>
          <w:highlight w:val="none"/>
        </w:rPr>
        <w:t>项目概况</w:t>
      </w:r>
      <w:r>
        <w:rPr>
          <w:rFonts w:hint="eastAsia" w:ascii="仿宋" w:hAnsi="仿宋" w:eastAsia="仿宋" w:cs="仿宋"/>
          <w:color w:val="auto"/>
          <w:sz w:val="24"/>
          <w:szCs w:val="24"/>
          <w:highlight w:val="none"/>
          <w:lang w:val="en-US" w:eastAsia="zh-CN"/>
        </w:rPr>
        <w:t>:</w:t>
      </w:r>
    </w:p>
    <w:p w14:paraId="7B1C539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嵊州市交投港务有限公司25吨门座起重机拆卸项目（第二次）</w:t>
      </w:r>
      <w:r>
        <w:rPr>
          <w:rFonts w:hint="eastAsia" w:ascii="仿宋" w:hAnsi="仿宋" w:eastAsia="仿宋" w:cs="仿宋"/>
          <w:color w:val="auto"/>
          <w:sz w:val="24"/>
          <w:szCs w:val="24"/>
          <w:highlight w:val="none"/>
          <w:u w:val="single"/>
        </w:rPr>
        <w:t>的潜在供应商应在</w:t>
      </w:r>
      <w:r>
        <w:rPr>
          <w:rFonts w:hint="eastAsia" w:ascii="仿宋" w:hAnsi="仿宋" w:eastAsia="仿宋" w:cs="仿宋"/>
          <w:color w:val="auto"/>
          <w:sz w:val="24"/>
          <w:szCs w:val="24"/>
          <w:highlight w:val="none"/>
          <w:u w:val="single"/>
          <w:lang w:eastAsia="zh-CN"/>
        </w:rPr>
        <w:t>乐采云平台（https://www.lecaiyun.com/）</w:t>
      </w:r>
      <w:r>
        <w:rPr>
          <w:rFonts w:hint="eastAsia" w:ascii="仿宋" w:hAnsi="仿宋" w:eastAsia="仿宋" w:cs="仿宋"/>
          <w:color w:val="auto"/>
          <w:sz w:val="24"/>
          <w:szCs w:val="24"/>
          <w:highlight w:val="none"/>
          <w:u w:val="single"/>
        </w:rPr>
        <w:t>获取采购文件，并于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下</w:t>
      </w:r>
      <w:r>
        <w:rPr>
          <w:rFonts w:hint="eastAsia" w:ascii="仿宋" w:hAnsi="仿宋" w:eastAsia="仿宋" w:cs="仿宋"/>
          <w:color w:val="auto"/>
          <w:sz w:val="24"/>
          <w:szCs w:val="24"/>
          <w:highlight w:val="none"/>
          <w:u w:val="single"/>
          <w:lang w:eastAsia="zh-CN"/>
        </w:rPr>
        <w:t>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分（北京时间）前提交</w:t>
      </w:r>
      <w:r>
        <w:rPr>
          <w:rFonts w:hint="eastAsia" w:ascii="仿宋" w:hAnsi="仿宋" w:eastAsia="仿宋" w:cs="仿宋"/>
          <w:color w:val="auto"/>
          <w:sz w:val="24"/>
          <w:szCs w:val="24"/>
          <w:highlight w:val="none"/>
          <w:u w:val="single"/>
          <w:lang w:eastAsia="zh-CN"/>
        </w:rPr>
        <w:t>投标</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none"/>
        </w:rPr>
        <w:t>。</w:t>
      </w:r>
    </w:p>
    <w:p w14:paraId="6F77D1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6"/>
          <w:sz w:val="24"/>
          <w:szCs w:val="24"/>
          <w:highlight w:val="none"/>
        </w:rPr>
      </w:pPr>
      <w:bookmarkStart w:id="20" w:name="_Toc35393790"/>
      <w:bookmarkStart w:id="21" w:name="_Toc28359002"/>
      <w:bookmarkStart w:id="22" w:name="_Toc35393621"/>
      <w:bookmarkStart w:id="23" w:name="_Toc28359079"/>
      <w:bookmarkStart w:id="24" w:name="_Hlk24379207"/>
      <w:r>
        <w:rPr>
          <w:rFonts w:hint="eastAsia" w:ascii="仿宋" w:hAnsi="仿宋" w:eastAsia="仿宋" w:cs="仿宋"/>
          <w:b/>
          <w:bCs/>
          <w:color w:val="auto"/>
          <w:spacing w:val="6"/>
          <w:sz w:val="24"/>
          <w:szCs w:val="24"/>
          <w:highlight w:val="none"/>
        </w:rPr>
        <w:t>一、项目基本情况</w:t>
      </w:r>
      <w:bookmarkEnd w:id="20"/>
      <w:bookmarkEnd w:id="21"/>
      <w:bookmarkEnd w:id="22"/>
      <w:bookmarkEnd w:id="23"/>
    </w:p>
    <w:p w14:paraId="150E313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SXWH2025-4-3（2）</w:t>
      </w:r>
    </w:p>
    <w:p w14:paraId="0702C50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bookmarkEnd w:id="24"/>
      <w:r>
        <w:rPr>
          <w:rFonts w:hint="eastAsia" w:ascii="仿宋" w:hAnsi="仿宋" w:eastAsia="仿宋" w:cs="仿宋"/>
          <w:color w:val="auto"/>
          <w:sz w:val="24"/>
          <w:szCs w:val="24"/>
          <w:highlight w:val="none"/>
          <w:lang w:eastAsia="zh-CN"/>
        </w:rPr>
        <w:t>嵊州市交投港务有限公司25吨门座起重机拆卸项目（第二次）</w:t>
      </w:r>
    </w:p>
    <w:p w14:paraId="0070D255">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3.预算金额：</w:t>
      </w:r>
      <w:r>
        <w:rPr>
          <w:rFonts w:hint="eastAsia" w:ascii="仿宋" w:hAnsi="仿宋" w:eastAsia="仿宋" w:cs="仿宋"/>
          <w:color w:val="auto"/>
          <w:sz w:val="24"/>
          <w:szCs w:val="24"/>
          <w:highlight w:val="none"/>
          <w:lang w:val="en-US" w:eastAsia="zh-CN"/>
        </w:rPr>
        <w:t>500000元</w:t>
      </w:r>
    </w:p>
    <w:p w14:paraId="0EA83051">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.最高限价：</w:t>
      </w:r>
      <w:r>
        <w:rPr>
          <w:rFonts w:hint="eastAsia" w:ascii="仿宋" w:hAnsi="仿宋" w:eastAsia="仿宋" w:cs="仿宋"/>
          <w:color w:val="auto"/>
          <w:sz w:val="24"/>
          <w:szCs w:val="24"/>
          <w:highlight w:val="none"/>
          <w:lang w:val="en-US" w:eastAsia="zh-CN"/>
        </w:rPr>
        <w:t>500000元</w:t>
      </w:r>
    </w:p>
    <w:p w14:paraId="59DB23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采购需求：详见招标文件第三部分</w:t>
      </w:r>
    </w:p>
    <w:tbl>
      <w:tblPr>
        <w:tblStyle w:val="8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630"/>
        <w:gridCol w:w="1425"/>
        <w:gridCol w:w="1980"/>
        <w:gridCol w:w="1496"/>
      </w:tblGrid>
      <w:tr w14:paraId="7FC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6" w:type="dxa"/>
            <w:vAlign w:val="center"/>
          </w:tcPr>
          <w:p w14:paraId="0099B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序号</w:t>
            </w:r>
          </w:p>
        </w:tc>
        <w:tc>
          <w:tcPr>
            <w:tcW w:w="3630" w:type="dxa"/>
            <w:vAlign w:val="center"/>
          </w:tcPr>
          <w:p w14:paraId="1555C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采购项目</w:t>
            </w:r>
          </w:p>
        </w:tc>
        <w:tc>
          <w:tcPr>
            <w:tcW w:w="1425" w:type="dxa"/>
            <w:vAlign w:val="center"/>
          </w:tcPr>
          <w:p w14:paraId="11185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1980" w:type="dxa"/>
            <w:vAlign w:val="center"/>
          </w:tcPr>
          <w:p w14:paraId="52EDF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预算金额</w:t>
            </w:r>
          </w:p>
        </w:tc>
        <w:tc>
          <w:tcPr>
            <w:tcW w:w="1496" w:type="dxa"/>
            <w:vAlign w:val="center"/>
          </w:tcPr>
          <w:p w14:paraId="3F9A8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70F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66" w:type="dxa"/>
            <w:vAlign w:val="center"/>
          </w:tcPr>
          <w:p w14:paraId="12D6D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1</w:t>
            </w:r>
          </w:p>
        </w:tc>
        <w:tc>
          <w:tcPr>
            <w:tcW w:w="3630" w:type="dxa"/>
            <w:vAlign w:val="center"/>
          </w:tcPr>
          <w:p w14:paraId="356DD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eastAsia="zh-CN"/>
              </w:rPr>
              <w:t>嵊州市交投港务有限公司25吨门座起重机拆卸项目（第二次）</w:t>
            </w:r>
          </w:p>
        </w:tc>
        <w:tc>
          <w:tcPr>
            <w:tcW w:w="1425" w:type="dxa"/>
            <w:vAlign w:val="center"/>
          </w:tcPr>
          <w:p w14:paraId="29339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980" w:type="dxa"/>
            <w:vAlign w:val="center"/>
          </w:tcPr>
          <w:p w14:paraId="414E0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500000元</w:t>
            </w:r>
          </w:p>
        </w:tc>
        <w:tc>
          <w:tcPr>
            <w:tcW w:w="1496" w:type="dxa"/>
            <w:vAlign w:val="center"/>
          </w:tcPr>
          <w:p w14:paraId="28276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p>
        </w:tc>
      </w:tr>
    </w:tbl>
    <w:p w14:paraId="5F6C3A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bookmarkStart w:id="25" w:name="_Toc28359080"/>
      <w:bookmarkStart w:id="26" w:name="_Toc28359003"/>
      <w:bookmarkStart w:id="27" w:name="_Toc35393791"/>
      <w:bookmarkStart w:id="28" w:name="_Toc35393622"/>
      <w:r>
        <w:rPr>
          <w:rFonts w:hint="eastAsia" w:ascii="仿宋" w:hAnsi="仿宋" w:eastAsia="仿宋" w:cs="仿宋"/>
          <w:color w:val="auto"/>
          <w:sz w:val="24"/>
          <w:szCs w:val="24"/>
          <w:highlight w:val="none"/>
          <w:lang w:val="en-US" w:eastAsia="zh-CN"/>
        </w:rPr>
        <w:t>　　6.合同履约期限：详见招标文件。</w:t>
      </w:r>
    </w:p>
    <w:p w14:paraId="2974E1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w:t>
      </w:r>
      <w:r>
        <w:rPr>
          <w:rFonts w:hint="eastAsia" w:ascii="仿宋" w:hAnsi="仿宋" w:eastAsia="仿宋" w:cs="仿宋"/>
          <w:color w:val="auto"/>
          <w:spacing w:val="6"/>
          <w:sz w:val="24"/>
          <w:szCs w:val="24"/>
          <w:highlight w:val="none"/>
        </w:rPr>
        <w:t>本项目</w:t>
      </w:r>
      <w:r>
        <w:rPr>
          <w:rFonts w:hint="eastAsia" w:ascii="仿宋" w:hAnsi="仿宋" w:eastAsia="仿宋" w:cs="仿宋"/>
          <w:color w:val="auto"/>
          <w:spacing w:val="6"/>
          <w:sz w:val="24"/>
          <w:szCs w:val="24"/>
          <w:highlight w:val="none"/>
          <w:lang w:eastAsia="zh-CN"/>
        </w:rPr>
        <w:t>不</w:t>
      </w:r>
      <w:r>
        <w:rPr>
          <w:rFonts w:hint="eastAsia" w:ascii="仿宋" w:hAnsi="仿宋" w:eastAsia="仿宋" w:cs="仿宋"/>
          <w:color w:val="auto"/>
          <w:spacing w:val="6"/>
          <w:sz w:val="24"/>
          <w:szCs w:val="24"/>
          <w:highlight w:val="none"/>
        </w:rPr>
        <w:t>接受联合体</w:t>
      </w:r>
      <w:r>
        <w:rPr>
          <w:rFonts w:hint="eastAsia" w:ascii="仿宋" w:hAnsi="仿宋" w:eastAsia="仿宋" w:cs="仿宋"/>
          <w:color w:val="auto"/>
          <w:spacing w:val="6"/>
          <w:sz w:val="24"/>
          <w:szCs w:val="24"/>
          <w:highlight w:val="none"/>
          <w:lang w:eastAsia="zh-CN"/>
        </w:rPr>
        <w:t>投标</w:t>
      </w:r>
      <w:r>
        <w:rPr>
          <w:rFonts w:hint="eastAsia" w:ascii="仿宋" w:hAnsi="仿宋" w:eastAsia="仿宋" w:cs="仿宋"/>
          <w:color w:val="auto"/>
          <w:spacing w:val="6"/>
          <w:sz w:val="24"/>
          <w:szCs w:val="24"/>
          <w:highlight w:val="none"/>
        </w:rPr>
        <w:t>。</w:t>
      </w:r>
    </w:p>
    <w:p w14:paraId="0DD0C4BC">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二、申请人的资格要求：</w:t>
      </w:r>
      <w:bookmarkEnd w:id="25"/>
      <w:bookmarkEnd w:id="26"/>
      <w:bookmarkEnd w:id="27"/>
      <w:bookmarkEnd w:id="28"/>
    </w:p>
    <w:p w14:paraId="5DAAC468">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29" w:name="_Toc35393623"/>
      <w:bookmarkStart w:id="30" w:name="_Toc28359004"/>
      <w:bookmarkStart w:id="31" w:name="_Toc35393792"/>
      <w:bookmarkStart w:id="32" w:name="_Toc28359081"/>
      <w:r>
        <w:rPr>
          <w:rFonts w:hint="eastAsia" w:ascii="仿宋" w:hAnsi="仿宋" w:eastAsia="仿宋" w:cs="仿宋"/>
          <w:color w:val="auto"/>
          <w:sz w:val="24"/>
          <w:szCs w:val="24"/>
          <w:highlight w:val="none"/>
        </w:rPr>
        <w:t>1.具</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rPr>
        <w:t>独立承担民事责任的能力；</w:t>
      </w:r>
    </w:p>
    <w:p w14:paraId="722819B2">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业信誉；</w:t>
      </w:r>
    </w:p>
    <w:p w14:paraId="52C9B7A9">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具有履行合同所必需的设备和专业技术，售后保障等能力；</w:t>
      </w:r>
    </w:p>
    <w:p w14:paraId="439E8ED9">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法缴纳税收和社会保障</w:t>
      </w:r>
      <w:r>
        <w:rPr>
          <w:rFonts w:hint="eastAsia" w:ascii="仿宋" w:hAnsi="仿宋" w:eastAsia="仿宋" w:cs="仿宋"/>
          <w:color w:val="auto"/>
          <w:sz w:val="24"/>
          <w:szCs w:val="24"/>
          <w:highlight w:val="none"/>
          <w:lang w:eastAsia="zh-CN"/>
        </w:rPr>
        <w:t>资</w:t>
      </w:r>
      <w:r>
        <w:rPr>
          <w:rFonts w:hint="eastAsia" w:ascii="仿宋" w:hAnsi="仿宋" w:eastAsia="仿宋" w:cs="仿宋"/>
          <w:color w:val="auto"/>
          <w:sz w:val="24"/>
          <w:szCs w:val="24"/>
          <w:highlight w:val="none"/>
        </w:rPr>
        <w:t>金的</w:t>
      </w:r>
      <w:r>
        <w:rPr>
          <w:rFonts w:hint="eastAsia" w:ascii="仿宋" w:hAnsi="仿宋" w:eastAsia="仿宋" w:cs="仿宋"/>
          <w:color w:val="auto"/>
          <w:sz w:val="24"/>
          <w:szCs w:val="24"/>
          <w:highlight w:val="none"/>
          <w:lang w:eastAsia="zh-CN"/>
        </w:rPr>
        <w:t>良</w:t>
      </w:r>
      <w:r>
        <w:rPr>
          <w:rFonts w:hint="eastAsia" w:ascii="仿宋" w:hAnsi="仿宋" w:eastAsia="仿宋" w:cs="仿宋"/>
          <w:color w:val="auto"/>
          <w:sz w:val="24"/>
          <w:szCs w:val="24"/>
          <w:highlight w:val="none"/>
        </w:rPr>
        <w:t>好记录；</w:t>
      </w:r>
    </w:p>
    <w:p w14:paraId="062C0456">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活动前三年内，没有重大</w:t>
      </w:r>
      <w:r>
        <w:rPr>
          <w:rFonts w:hint="eastAsia" w:ascii="仿宋" w:hAnsi="仿宋" w:eastAsia="仿宋" w:cs="仿宋"/>
          <w:color w:val="auto"/>
          <w:sz w:val="24"/>
          <w:szCs w:val="24"/>
          <w:highlight w:val="none"/>
          <w:lang w:eastAsia="zh-CN"/>
        </w:rPr>
        <w:t>违</w:t>
      </w:r>
      <w:r>
        <w:rPr>
          <w:rFonts w:hint="eastAsia" w:ascii="仿宋" w:hAnsi="仿宋" w:eastAsia="仿宋" w:cs="仿宋"/>
          <w:color w:val="auto"/>
          <w:sz w:val="24"/>
          <w:szCs w:val="24"/>
          <w:highlight w:val="none"/>
        </w:rPr>
        <w:t>法记录，严重</w:t>
      </w:r>
      <w:r>
        <w:rPr>
          <w:rFonts w:hint="eastAsia" w:ascii="仿宋" w:hAnsi="仿宋" w:eastAsia="仿宋" w:cs="仿宋"/>
          <w:color w:val="auto"/>
          <w:sz w:val="24"/>
          <w:szCs w:val="24"/>
          <w:highlight w:val="none"/>
          <w:lang w:eastAsia="zh-CN"/>
        </w:rPr>
        <w:t>失信</w:t>
      </w:r>
      <w:r>
        <w:rPr>
          <w:rFonts w:hint="eastAsia" w:ascii="仿宋" w:hAnsi="仿宋" w:eastAsia="仿宋" w:cs="仿宋"/>
          <w:color w:val="auto"/>
          <w:sz w:val="24"/>
          <w:szCs w:val="24"/>
          <w:highlight w:val="none"/>
        </w:rPr>
        <w:t>行为和行贿记录；</w:t>
      </w:r>
    </w:p>
    <w:p w14:paraId="19D70DB5">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p>
    <w:p w14:paraId="34118817">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29FB5A1">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09B4CFC4">
      <w:pPr>
        <w:keepNext w:val="0"/>
        <w:keepLines w:val="0"/>
        <w:pageBreakBefore w:val="0"/>
        <w:kinsoku/>
        <w:wordWrap/>
        <w:overflowPunct/>
        <w:topLinePunct w:val="0"/>
        <w:bidi w:val="0"/>
        <w:snapToGrid w:val="0"/>
        <w:spacing w:line="360" w:lineRule="auto"/>
        <w:ind w:firstLine="50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6"/>
          <w:sz w:val="24"/>
          <w:szCs w:val="24"/>
          <w:highlight w:val="none"/>
          <w:lang w:val="en-US" w:eastAsia="zh-CN"/>
        </w:rPr>
        <w:t>9</w:t>
      </w:r>
      <w:r>
        <w:rPr>
          <w:rFonts w:hint="eastAsia" w:ascii="仿宋" w:hAnsi="仿宋" w:eastAsia="仿宋" w:cs="仿宋"/>
          <w:b/>
          <w:bCs/>
          <w:color w:val="auto"/>
          <w:spacing w:val="6"/>
          <w:sz w:val="24"/>
          <w:szCs w:val="24"/>
          <w:highlight w:val="none"/>
        </w:rPr>
        <w:t>.特定资格要求</w:t>
      </w:r>
      <w:r>
        <w:rPr>
          <w:rFonts w:hint="eastAsia" w:ascii="仿宋" w:hAnsi="仿宋" w:eastAsia="仿宋" w:cs="仿宋"/>
          <w:b/>
          <w:bCs/>
          <w:color w:val="auto"/>
          <w:spacing w:val="6"/>
          <w:sz w:val="24"/>
          <w:szCs w:val="24"/>
          <w:highlight w:val="none"/>
          <w:lang w:val="en-US" w:eastAsia="zh-CN"/>
        </w:rPr>
        <w:t>：投标人具有市场监督部门颁发的特种设备生产许可证，许可内容为起重机械制造（含安装、修理、改造）B级及以上资质。</w:t>
      </w:r>
    </w:p>
    <w:p w14:paraId="0D46C28E">
      <w:pPr>
        <w:pStyle w:val="32"/>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三、获取</w:t>
      </w:r>
      <w:bookmarkEnd w:id="29"/>
      <w:bookmarkEnd w:id="30"/>
      <w:bookmarkEnd w:id="31"/>
      <w:bookmarkEnd w:id="32"/>
      <w:r>
        <w:rPr>
          <w:rFonts w:hint="eastAsia" w:ascii="仿宋" w:hAnsi="仿宋" w:eastAsia="仿宋" w:cs="仿宋"/>
          <w:b/>
          <w:bCs/>
          <w:color w:val="auto"/>
          <w:spacing w:val="6"/>
          <w:sz w:val="24"/>
          <w:szCs w:val="24"/>
          <w:highlight w:val="none"/>
          <w:lang w:eastAsia="zh-CN"/>
        </w:rPr>
        <w:t>招标</w:t>
      </w:r>
      <w:r>
        <w:rPr>
          <w:rFonts w:hint="eastAsia" w:ascii="仿宋" w:hAnsi="仿宋" w:eastAsia="仿宋" w:cs="仿宋"/>
          <w:b/>
          <w:bCs/>
          <w:color w:val="auto"/>
          <w:spacing w:val="6"/>
          <w:sz w:val="24"/>
          <w:szCs w:val="24"/>
          <w:highlight w:val="none"/>
        </w:rPr>
        <w:t>文件</w:t>
      </w:r>
      <w:bookmarkStart w:id="33" w:name="_Toc28359082"/>
      <w:bookmarkStart w:id="34" w:name="_Toc28359005"/>
      <w:bookmarkStart w:id="35" w:name="_Toc35393793"/>
      <w:bookmarkStart w:id="36" w:name="_Toc35393624"/>
    </w:p>
    <w:p w14:paraId="36C8703B">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1.时间：</w:t>
      </w:r>
      <w:r>
        <w:rPr>
          <w:rFonts w:hint="eastAsia" w:ascii="仿宋" w:hAnsi="仿宋" w:eastAsia="仿宋" w:cs="仿宋"/>
          <w:b w:val="0"/>
          <w:bCs w:val="0"/>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7</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日至</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7</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23</w:t>
      </w:r>
      <w:r>
        <w:rPr>
          <w:rFonts w:hint="eastAsia" w:ascii="仿宋" w:hAnsi="仿宋" w:eastAsia="仿宋" w:cs="仿宋"/>
          <w:color w:val="auto"/>
          <w:spacing w:val="6"/>
          <w:sz w:val="24"/>
          <w:szCs w:val="24"/>
          <w:highlight w:val="none"/>
        </w:rPr>
        <w:t>日，每天上午00:00至12:00 ，下午12:00至23:59（北京时间，线上获取法定节假日均可，线下获取文件法定节假日除外）</w:t>
      </w:r>
    </w:p>
    <w:p w14:paraId="641A9FD5">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b/>
          <w:bCs/>
          <w:color w:val="auto"/>
          <w:spacing w:val="6"/>
          <w:sz w:val="24"/>
          <w:szCs w:val="24"/>
          <w:highlight w:val="none"/>
        </w:rPr>
        <w:t>地点（网址）：</w:t>
      </w:r>
      <w:r>
        <w:rPr>
          <w:rFonts w:hint="eastAsia" w:ascii="仿宋" w:hAnsi="仿宋" w:eastAsia="仿宋" w:cs="仿宋"/>
          <w:color w:val="auto"/>
          <w:spacing w:val="6"/>
          <w:sz w:val="24"/>
          <w:szCs w:val="24"/>
          <w:highlight w:val="none"/>
        </w:rPr>
        <w:t xml:space="preserve">乐采云平台（https://www.lecaiyun.com/） </w:t>
      </w:r>
    </w:p>
    <w:p w14:paraId="3F7C4A03">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3.</w:t>
      </w:r>
      <w:r>
        <w:rPr>
          <w:rFonts w:hint="eastAsia" w:ascii="仿宋" w:hAnsi="仿宋" w:eastAsia="仿宋" w:cs="仿宋"/>
          <w:b/>
          <w:bCs/>
          <w:color w:val="auto"/>
          <w:spacing w:val="6"/>
          <w:sz w:val="24"/>
          <w:szCs w:val="24"/>
          <w:highlight w:val="none"/>
        </w:rPr>
        <w:t>方式：</w:t>
      </w:r>
      <w:r>
        <w:rPr>
          <w:rFonts w:hint="eastAsia" w:ascii="仿宋" w:hAnsi="仿宋" w:eastAsia="仿宋" w:cs="仿宋"/>
          <w:color w:val="auto"/>
          <w:spacing w:val="6"/>
          <w:sz w:val="24"/>
          <w:szCs w:val="24"/>
          <w:highlight w:val="none"/>
        </w:rPr>
        <w:t xml:space="preserve">供应商登录乐采云平台https://www.lecaiyun.com/在线申请获取采购文件（进入“项目采购”应用，在获取采购文件菜单中选择项目，申请获取采购文件）。 </w:t>
      </w:r>
    </w:p>
    <w:p w14:paraId="3CAA4606">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4.</w:t>
      </w:r>
      <w:r>
        <w:rPr>
          <w:rFonts w:hint="eastAsia" w:ascii="仿宋" w:hAnsi="仿宋" w:eastAsia="仿宋" w:cs="仿宋"/>
          <w:b/>
          <w:bCs/>
          <w:color w:val="auto"/>
          <w:spacing w:val="6"/>
          <w:sz w:val="24"/>
          <w:szCs w:val="24"/>
          <w:highlight w:val="none"/>
        </w:rPr>
        <w:t>售价（元）：</w:t>
      </w:r>
      <w:r>
        <w:rPr>
          <w:rFonts w:hint="eastAsia" w:ascii="仿宋" w:hAnsi="仿宋" w:eastAsia="仿宋" w:cs="仿宋"/>
          <w:color w:val="auto"/>
          <w:spacing w:val="6"/>
          <w:sz w:val="24"/>
          <w:szCs w:val="24"/>
          <w:highlight w:val="none"/>
        </w:rPr>
        <w:t>0 。</w:t>
      </w:r>
    </w:p>
    <w:p w14:paraId="6158DF0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四、提交投标文件</w:t>
      </w:r>
      <w:bookmarkEnd w:id="33"/>
      <w:bookmarkEnd w:id="34"/>
      <w:r>
        <w:rPr>
          <w:rFonts w:hint="eastAsia" w:ascii="仿宋" w:hAnsi="仿宋" w:eastAsia="仿宋" w:cs="仿宋"/>
          <w:b/>
          <w:bCs/>
          <w:color w:val="auto"/>
          <w:spacing w:val="6"/>
          <w:sz w:val="24"/>
          <w:szCs w:val="24"/>
          <w:highlight w:val="none"/>
        </w:rPr>
        <w:t>截止时间、开标时间和地点</w:t>
      </w:r>
      <w:bookmarkEnd w:id="35"/>
      <w:bookmarkEnd w:id="36"/>
    </w:p>
    <w:p w14:paraId="538E4264">
      <w:pPr>
        <w:keepNext w:val="0"/>
        <w:keepLines w:val="0"/>
        <w:pageBreakBefore w:val="0"/>
        <w:widowControl w:val="0"/>
        <w:kinsoku/>
        <w:wordWrap/>
        <w:overflowPunct/>
        <w:topLinePunct w:val="0"/>
        <w:bidi w:val="0"/>
        <w:snapToGrid/>
        <w:spacing w:line="360" w:lineRule="auto"/>
        <w:ind w:firstLine="506" w:firstLineChars="200"/>
        <w:textAlignment w:val="auto"/>
        <w:rPr>
          <w:rFonts w:hint="eastAsia" w:ascii="仿宋" w:hAnsi="仿宋" w:eastAsia="仿宋" w:cs="仿宋"/>
          <w:color w:val="auto"/>
          <w:spacing w:val="6"/>
          <w:sz w:val="24"/>
          <w:szCs w:val="24"/>
          <w:highlight w:val="none"/>
        </w:rPr>
      </w:pPr>
      <w:bookmarkStart w:id="37" w:name="_Toc35393794"/>
      <w:bookmarkStart w:id="38" w:name="_Toc28359084"/>
      <w:bookmarkStart w:id="39" w:name="_Toc35393625"/>
      <w:bookmarkStart w:id="40" w:name="_Toc28359007"/>
      <w:r>
        <w:rPr>
          <w:rFonts w:hint="eastAsia" w:ascii="仿宋" w:hAnsi="仿宋" w:eastAsia="仿宋" w:cs="仿宋"/>
          <w:b/>
          <w:bCs/>
          <w:color w:val="auto"/>
          <w:spacing w:val="6"/>
          <w:sz w:val="24"/>
          <w:szCs w:val="24"/>
          <w:highlight w:val="none"/>
        </w:rPr>
        <w:t>1.提交投标文件截止时间：</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7</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23</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6"/>
          <w:sz w:val="24"/>
          <w:szCs w:val="24"/>
          <w:highlight w:val="none"/>
          <w:lang w:val="en-US" w:eastAsia="zh-CN"/>
        </w:rPr>
        <w:t>下</w:t>
      </w:r>
      <w:r>
        <w:rPr>
          <w:rFonts w:hint="eastAsia" w:ascii="仿宋" w:hAnsi="仿宋" w:eastAsia="仿宋" w:cs="仿宋"/>
          <w:color w:val="auto"/>
          <w:spacing w:val="6"/>
          <w:sz w:val="24"/>
          <w:szCs w:val="24"/>
          <w:highlight w:val="none"/>
          <w:lang w:eastAsia="zh-CN"/>
        </w:rPr>
        <w:t>午</w:t>
      </w:r>
      <w:r>
        <w:rPr>
          <w:rFonts w:hint="eastAsia" w:ascii="仿宋" w:hAnsi="仿宋" w:eastAsia="仿宋" w:cs="仿宋"/>
          <w:color w:val="auto"/>
          <w:spacing w:val="6"/>
          <w:sz w:val="24"/>
          <w:szCs w:val="24"/>
          <w:highlight w:val="none"/>
          <w:lang w:val="en-US" w:eastAsia="zh-CN"/>
        </w:rPr>
        <w:t>14:30</w:t>
      </w:r>
      <w:r>
        <w:rPr>
          <w:rFonts w:hint="eastAsia" w:ascii="仿宋" w:hAnsi="仿宋" w:eastAsia="仿宋" w:cs="仿宋"/>
          <w:color w:val="auto"/>
          <w:spacing w:val="6"/>
          <w:sz w:val="24"/>
          <w:szCs w:val="24"/>
          <w:highlight w:val="none"/>
        </w:rPr>
        <w:t>（北京时间）。</w:t>
      </w:r>
    </w:p>
    <w:p w14:paraId="3FB93D8A">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2.投标地点（网址）：</w:t>
      </w:r>
      <w:r>
        <w:rPr>
          <w:rFonts w:hint="eastAsia" w:ascii="仿宋" w:hAnsi="仿宋" w:eastAsia="仿宋" w:cs="仿宋"/>
          <w:color w:val="auto"/>
          <w:spacing w:val="6"/>
          <w:sz w:val="24"/>
          <w:szCs w:val="24"/>
          <w:highlight w:val="none"/>
          <w:lang w:eastAsia="zh-CN"/>
        </w:rPr>
        <w:t>乐采云平台（https://www.lecaiyun.com/）</w:t>
      </w:r>
      <w:r>
        <w:rPr>
          <w:rFonts w:hint="eastAsia" w:ascii="仿宋" w:hAnsi="仿宋" w:eastAsia="仿宋" w:cs="仿宋"/>
          <w:color w:val="auto"/>
          <w:spacing w:val="6"/>
          <w:sz w:val="24"/>
          <w:szCs w:val="24"/>
          <w:highlight w:val="none"/>
        </w:rPr>
        <w:t>。</w:t>
      </w:r>
    </w:p>
    <w:p w14:paraId="4D3B2473">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rPr>
        <w:t>3.</w:t>
      </w:r>
      <w:r>
        <w:rPr>
          <w:rFonts w:hint="eastAsia" w:ascii="仿宋" w:hAnsi="仿宋" w:eastAsia="仿宋" w:cs="仿宋"/>
          <w:b/>
          <w:bCs/>
          <w:color w:val="auto"/>
          <w:spacing w:val="6"/>
          <w:sz w:val="24"/>
          <w:szCs w:val="24"/>
          <w:highlight w:val="none"/>
          <w:lang w:val="en-US" w:eastAsia="zh-CN"/>
        </w:rPr>
        <w:t>开标时间：</w:t>
      </w:r>
      <w:r>
        <w:rPr>
          <w:rFonts w:hint="eastAsia" w:ascii="仿宋" w:hAnsi="仿宋" w:eastAsia="仿宋" w:cs="仿宋"/>
          <w:color w:val="auto"/>
          <w:spacing w:val="6"/>
          <w:sz w:val="24"/>
          <w:szCs w:val="24"/>
          <w:highlight w:val="none"/>
          <w:lang w:val="en-US" w:eastAsia="zh-CN"/>
        </w:rPr>
        <w:t>2025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7</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23</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6"/>
          <w:sz w:val="24"/>
          <w:szCs w:val="24"/>
          <w:highlight w:val="none"/>
          <w:lang w:val="en-US" w:eastAsia="zh-CN"/>
        </w:rPr>
        <w:t>下</w:t>
      </w:r>
      <w:r>
        <w:rPr>
          <w:rFonts w:hint="eastAsia" w:ascii="仿宋" w:hAnsi="仿宋" w:eastAsia="仿宋" w:cs="仿宋"/>
          <w:color w:val="auto"/>
          <w:spacing w:val="6"/>
          <w:sz w:val="24"/>
          <w:szCs w:val="24"/>
          <w:highlight w:val="none"/>
          <w:lang w:eastAsia="zh-CN"/>
        </w:rPr>
        <w:t>午</w:t>
      </w:r>
      <w:r>
        <w:rPr>
          <w:rFonts w:hint="eastAsia" w:ascii="仿宋" w:hAnsi="仿宋" w:eastAsia="仿宋" w:cs="仿宋"/>
          <w:color w:val="auto"/>
          <w:spacing w:val="6"/>
          <w:sz w:val="24"/>
          <w:szCs w:val="24"/>
          <w:highlight w:val="none"/>
          <w:lang w:val="en-US" w:eastAsia="zh-CN"/>
        </w:rPr>
        <w:t>14：30分</w:t>
      </w:r>
      <w:r>
        <w:rPr>
          <w:rFonts w:hint="eastAsia" w:ascii="仿宋" w:hAnsi="仿宋" w:eastAsia="仿宋" w:cs="仿宋"/>
          <w:color w:val="auto"/>
          <w:spacing w:val="6"/>
          <w:sz w:val="24"/>
          <w:szCs w:val="24"/>
          <w:highlight w:val="none"/>
        </w:rPr>
        <w:t>整</w:t>
      </w:r>
      <w:r>
        <w:rPr>
          <w:rFonts w:hint="eastAsia" w:ascii="仿宋" w:hAnsi="仿宋" w:eastAsia="仿宋" w:cs="仿宋"/>
          <w:color w:val="auto"/>
          <w:spacing w:val="6"/>
          <w:sz w:val="24"/>
          <w:szCs w:val="24"/>
          <w:highlight w:val="none"/>
          <w:lang w:eastAsia="zh-CN"/>
        </w:rPr>
        <w:t>。</w:t>
      </w:r>
    </w:p>
    <w:p w14:paraId="73B06F30">
      <w:pPr>
        <w:keepNext w:val="0"/>
        <w:keepLines w:val="0"/>
        <w:pageBreakBefore w:val="0"/>
        <w:kinsoku/>
        <w:wordWrap/>
        <w:overflowPunct/>
        <w:topLinePunct w:val="0"/>
        <w:bidi w:val="0"/>
        <w:spacing w:line="360" w:lineRule="auto"/>
        <w:ind w:firstLine="50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rPr>
        <w:t>4.开标地点（网址）</w:t>
      </w:r>
      <w:r>
        <w:rPr>
          <w:rFonts w:hint="eastAsia" w:ascii="仿宋" w:hAnsi="仿宋" w:eastAsia="仿宋" w:cs="仿宋"/>
          <w:b/>
          <w:bCs/>
          <w:color w:val="auto"/>
          <w:spacing w:val="6"/>
          <w:sz w:val="24"/>
          <w:szCs w:val="24"/>
          <w:highlight w:val="none"/>
          <w:lang w:eastAsia="zh-CN"/>
        </w:rPr>
        <w:t>：</w:t>
      </w:r>
      <w:r>
        <w:rPr>
          <w:rFonts w:hint="eastAsia" w:ascii="仿宋" w:hAnsi="仿宋" w:eastAsia="仿宋" w:cs="仿宋"/>
          <w:color w:val="auto"/>
          <w:spacing w:val="6"/>
          <w:sz w:val="24"/>
          <w:szCs w:val="24"/>
          <w:highlight w:val="none"/>
          <w:lang w:eastAsia="zh-CN"/>
        </w:rPr>
        <w:t>乐采云平台（https://www.lecaiyun.com/）</w:t>
      </w:r>
      <w:r>
        <w:rPr>
          <w:rFonts w:hint="eastAsia" w:ascii="仿宋" w:hAnsi="仿宋" w:eastAsia="仿宋" w:cs="仿宋"/>
          <w:color w:val="auto"/>
          <w:spacing w:val="6"/>
          <w:sz w:val="24"/>
          <w:szCs w:val="24"/>
          <w:highlight w:val="none"/>
        </w:rPr>
        <w:t>。</w:t>
      </w:r>
    </w:p>
    <w:p w14:paraId="01564660">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五、公告期限</w:t>
      </w:r>
      <w:bookmarkEnd w:id="37"/>
      <w:bookmarkEnd w:id="38"/>
      <w:bookmarkEnd w:id="39"/>
      <w:bookmarkEnd w:id="40"/>
    </w:p>
    <w:p w14:paraId="4DF38D7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1D34C397">
      <w:pPr>
        <w:pStyle w:val="75"/>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textAlignment w:val="auto"/>
        <w:rPr>
          <w:rFonts w:hint="eastAsia" w:ascii="仿宋" w:hAnsi="仿宋" w:eastAsia="仿宋" w:cs="仿宋"/>
          <w:i w:val="0"/>
          <w:caps w:val="0"/>
          <w:color w:val="auto"/>
          <w:spacing w:val="0"/>
          <w:sz w:val="24"/>
          <w:szCs w:val="24"/>
          <w:highlight w:val="none"/>
        </w:rPr>
      </w:pPr>
      <w:bookmarkStart w:id="41" w:name="_Toc35393626"/>
      <w:bookmarkStart w:id="42" w:name="_Toc35393795"/>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Style w:val="83"/>
          <w:rFonts w:hint="eastAsia" w:ascii="仿宋" w:hAnsi="仿宋" w:eastAsia="仿宋" w:cs="仿宋"/>
          <w:i w:val="0"/>
          <w:caps w:val="0"/>
          <w:color w:val="auto"/>
          <w:spacing w:val="0"/>
          <w:sz w:val="24"/>
          <w:szCs w:val="24"/>
          <w:highlight w:val="none"/>
        </w:rPr>
        <w:t>投标保证金</w:t>
      </w:r>
    </w:p>
    <w:p w14:paraId="1F789A5A">
      <w:pPr>
        <w:pageBreakBefore w:val="0"/>
        <w:kinsoku/>
        <w:wordWrap/>
        <w:overflowPunct/>
        <w:topLinePunct w:val="0"/>
        <w:autoSpaceDE/>
        <w:autoSpaceDN/>
        <w:bidi w:val="0"/>
        <w:adjustRightInd/>
        <w:snapToGrid/>
        <w:spacing w:line="360" w:lineRule="auto"/>
        <w:ind w:left="0" w:leftChars="0" w:right="0" w:firstLine="540"/>
        <w:jc w:val="both"/>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投标保证金额：</w:t>
      </w:r>
      <w:r>
        <w:rPr>
          <w:rFonts w:hint="eastAsia" w:ascii="仿宋" w:hAnsi="仿宋" w:eastAsia="仿宋" w:cs="仿宋"/>
          <w:b w:val="0"/>
          <w:color w:val="auto"/>
          <w:w w:val="100"/>
          <w:sz w:val="24"/>
          <w:szCs w:val="24"/>
          <w:highlight w:val="none"/>
          <w:lang w:val="en-US" w:eastAsia="zh-CN"/>
        </w:rPr>
        <w:t>10000</w:t>
      </w:r>
      <w:r>
        <w:rPr>
          <w:rFonts w:hint="eastAsia" w:ascii="仿宋" w:hAnsi="仿宋" w:eastAsia="仿宋" w:cs="仿宋"/>
          <w:b w:val="0"/>
          <w:color w:val="auto"/>
          <w:w w:val="100"/>
          <w:sz w:val="24"/>
          <w:szCs w:val="24"/>
          <w:highlight w:val="none"/>
          <w:lang w:eastAsia="zh-CN"/>
        </w:rPr>
        <w:t>元（大写：</w:t>
      </w:r>
      <w:r>
        <w:rPr>
          <w:rFonts w:hint="eastAsia" w:ascii="仿宋" w:hAnsi="仿宋" w:eastAsia="仿宋" w:cs="仿宋"/>
          <w:b w:val="0"/>
          <w:color w:val="auto"/>
          <w:w w:val="100"/>
          <w:sz w:val="24"/>
          <w:szCs w:val="24"/>
          <w:highlight w:val="none"/>
          <w:lang w:val="en-US" w:eastAsia="zh-CN"/>
        </w:rPr>
        <w:t>壹万</w:t>
      </w:r>
      <w:r>
        <w:rPr>
          <w:rFonts w:hint="eastAsia" w:ascii="仿宋" w:hAnsi="仿宋" w:eastAsia="仿宋" w:cs="仿宋"/>
          <w:b w:val="0"/>
          <w:color w:val="auto"/>
          <w:w w:val="100"/>
          <w:sz w:val="24"/>
          <w:szCs w:val="24"/>
          <w:highlight w:val="none"/>
          <w:lang w:eastAsia="zh-CN"/>
        </w:rPr>
        <w:t>元整）</w:t>
      </w:r>
    </w:p>
    <w:p w14:paraId="7587098F">
      <w:pPr>
        <w:pageBreakBefore w:val="0"/>
        <w:kinsoku/>
        <w:wordWrap/>
        <w:overflowPunct/>
        <w:topLinePunct w:val="0"/>
        <w:autoSpaceDE/>
        <w:autoSpaceDN/>
        <w:bidi w:val="0"/>
        <w:adjustRightInd/>
        <w:snapToGrid/>
        <w:spacing w:line="360" w:lineRule="auto"/>
        <w:ind w:left="0" w:leftChars="0" w:right="0" w:firstLine="540"/>
        <w:jc w:val="both"/>
        <w:textAlignment w:val="auto"/>
        <w:rPr>
          <w:rFonts w:hint="eastAsia" w:ascii="仿宋" w:hAnsi="仿宋" w:eastAsia="仿宋" w:cs="仿宋"/>
          <w:b w:val="0"/>
          <w:color w:val="auto"/>
          <w:w w:val="100"/>
          <w:sz w:val="24"/>
          <w:szCs w:val="24"/>
          <w:highlight w:val="none"/>
        </w:rPr>
      </w:pPr>
      <w:r>
        <w:rPr>
          <w:rFonts w:hint="eastAsia" w:ascii="仿宋" w:hAnsi="仿宋" w:eastAsia="仿宋" w:cs="仿宋"/>
          <w:b w:val="0"/>
          <w:color w:val="auto"/>
          <w:w w:val="100"/>
          <w:sz w:val="24"/>
          <w:szCs w:val="24"/>
          <w:highlight w:val="none"/>
          <w:lang w:val="en-US" w:eastAsia="zh-CN"/>
        </w:rPr>
        <w:t>供应商</w:t>
      </w:r>
      <w:r>
        <w:rPr>
          <w:rFonts w:hint="eastAsia" w:ascii="仿宋" w:hAnsi="仿宋" w:eastAsia="仿宋" w:cs="仿宋"/>
          <w:b w:val="0"/>
          <w:color w:val="auto"/>
          <w:w w:val="100"/>
          <w:sz w:val="24"/>
          <w:szCs w:val="24"/>
          <w:highlight w:val="none"/>
          <w:lang w:eastAsia="zh-CN"/>
        </w:rPr>
        <w:t>于</w:t>
      </w:r>
      <w:r>
        <w:rPr>
          <w:rFonts w:hint="eastAsia" w:ascii="仿宋" w:hAnsi="仿宋" w:eastAsia="仿宋" w:cs="仿宋"/>
          <w:b w:val="0"/>
          <w:color w:val="auto"/>
          <w:w w:val="100"/>
          <w:sz w:val="24"/>
          <w:szCs w:val="24"/>
          <w:highlight w:val="none"/>
          <w:u w:val="single"/>
          <w:lang w:eastAsia="zh-CN"/>
        </w:rPr>
        <w:t>2025年</w:t>
      </w:r>
      <w:r>
        <w:rPr>
          <w:rFonts w:hint="eastAsia" w:ascii="仿宋" w:hAnsi="仿宋" w:eastAsia="仿宋" w:cs="仿宋"/>
          <w:color w:val="auto"/>
          <w:sz w:val="24"/>
          <w:szCs w:val="24"/>
          <w:highlight w:val="none"/>
          <w:u w:val="single"/>
          <w:lang w:val="en-US" w:eastAsia="zh-CN"/>
        </w:rPr>
        <w:t>7月22日</w:t>
      </w:r>
      <w:r>
        <w:rPr>
          <w:rFonts w:hint="eastAsia" w:ascii="仿宋" w:hAnsi="仿宋" w:eastAsia="仿宋" w:cs="仿宋"/>
          <w:b w:val="0"/>
          <w:color w:val="auto"/>
          <w:w w:val="100"/>
          <w:sz w:val="24"/>
          <w:szCs w:val="24"/>
          <w:highlight w:val="none"/>
          <w:lang w:eastAsia="zh-CN"/>
        </w:rPr>
        <w:t>下午</w:t>
      </w:r>
      <w:r>
        <w:rPr>
          <w:rFonts w:hint="eastAsia" w:ascii="仿宋" w:hAnsi="仿宋" w:eastAsia="仿宋" w:cs="仿宋"/>
          <w:b w:val="0"/>
          <w:color w:val="auto"/>
          <w:w w:val="100"/>
          <w:sz w:val="24"/>
          <w:szCs w:val="24"/>
          <w:highlight w:val="none"/>
        </w:rPr>
        <w:t>16:</w:t>
      </w:r>
      <w:r>
        <w:rPr>
          <w:rFonts w:hint="eastAsia" w:ascii="仿宋" w:hAnsi="仿宋" w:eastAsia="仿宋" w:cs="仿宋"/>
          <w:b w:val="0"/>
          <w:color w:val="auto"/>
          <w:w w:val="100"/>
          <w:sz w:val="24"/>
          <w:szCs w:val="24"/>
          <w:highlight w:val="none"/>
          <w:lang w:val="en-US" w:eastAsia="zh-CN"/>
        </w:rPr>
        <w:t>3</w:t>
      </w:r>
      <w:r>
        <w:rPr>
          <w:rFonts w:hint="eastAsia" w:ascii="仿宋" w:hAnsi="仿宋" w:eastAsia="仿宋" w:cs="仿宋"/>
          <w:b w:val="0"/>
          <w:color w:val="auto"/>
          <w:w w:val="100"/>
          <w:sz w:val="24"/>
          <w:szCs w:val="24"/>
          <w:highlight w:val="none"/>
        </w:rPr>
        <w:t>0</w:t>
      </w:r>
      <w:r>
        <w:rPr>
          <w:rFonts w:hint="eastAsia" w:ascii="仿宋" w:hAnsi="仿宋" w:eastAsia="仿宋" w:cs="仿宋"/>
          <w:b w:val="0"/>
          <w:color w:val="auto"/>
          <w:w w:val="100"/>
          <w:sz w:val="24"/>
          <w:szCs w:val="24"/>
          <w:highlight w:val="none"/>
          <w:lang w:eastAsia="zh-CN"/>
        </w:rPr>
        <w:t>时前以转账、电汇、网银</w:t>
      </w:r>
      <w:r>
        <w:rPr>
          <w:rFonts w:hint="eastAsia" w:ascii="仿宋" w:hAnsi="仿宋" w:eastAsia="仿宋" w:cs="仿宋"/>
          <w:b w:val="0"/>
          <w:color w:val="auto"/>
          <w:w w:val="100"/>
          <w:sz w:val="24"/>
          <w:szCs w:val="24"/>
          <w:highlight w:val="none"/>
          <w:lang w:val="en-US" w:eastAsia="zh-CN"/>
        </w:rPr>
        <w:t>，或者金融机构、担保机构出具的保函（保函有效期必须在约定项目完工日期之日起30个工作日后）等非现金形式</w:t>
      </w:r>
      <w:r>
        <w:rPr>
          <w:rFonts w:hint="eastAsia" w:ascii="仿宋" w:hAnsi="仿宋" w:eastAsia="仿宋" w:cs="仿宋"/>
          <w:b w:val="0"/>
          <w:color w:val="auto"/>
          <w:w w:val="100"/>
          <w:sz w:val="24"/>
          <w:szCs w:val="24"/>
          <w:highlight w:val="none"/>
          <w:lang w:eastAsia="zh-CN"/>
        </w:rPr>
        <w:t>缴纳至绍兴市文汇项目管理有限公司并确认到账，如因供应商自身原因，造成投标单位保证金未及时到账的，一律视为</w:t>
      </w:r>
      <w:bookmarkStart w:id="144" w:name="_GoBack"/>
      <w:bookmarkEnd w:id="144"/>
      <w:r>
        <w:rPr>
          <w:rFonts w:hint="eastAsia" w:ascii="仿宋" w:hAnsi="仿宋" w:eastAsia="仿宋" w:cs="仿宋"/>
          <w:b w:val="0"/>
          <w:color w:val="auto"/>
          <w:w w:val="100"/>
          <w:sz w:val="24"/>
          <w:szCs w:val="24"/>
          <w:highlight w:val="none"/>
          <w:lang w:eastAsia="zh-CN"/>
        </w:rPr>
        <w:t>不响应采购文件，响应文件不予接收。</w:t>
      </w:r>
      <w:r>
        <w:rPr>
          <w:rFonts w:hint="eastAsia" w:ascii="仿宋" w:hAnsi="仿宋" w:eastAsia="仿宋" w:cs="仿宋"/>
          <w:b w:val="0"/>
          <w:color w:val="auto"/>
          <w:w w:val="100"/>
          <w:sz w:val="24"/>
          <w:szCs w:val="24"/>
          <w:highlight w:val="none"/>
          <w:lang w:val="en-US" w:eastAsia="zh-CN"/>
        </w:rPr>
        <w:t>供应商</w:t>
      </w:r>
      <w:r>
        <w:rPr>
          <w:rFonts w:hint="eastAsia" w:ascii="仿宋" w:hAnsi="仿宋" w:eastAsia="仿宋" w:cs="仿宋"/>
          <w:b w:val="0"/>
          <w:color w:val="auto"/>
          <w:w w:val="100"/>
          <w:sz w:val="24"/>
          <w:szCs w:val="24"/>
          <w:highlight w:val="none"/>
          <w:lang w:eastAsia="zh-CN"/>
        </w:rPr>
        <w:t>的投标保证金必须从其基本账户转出。</w:t>
      </w:r>
    </w:p>
    <w:p w14:paraId="2F377D8E">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公司名称：绍兴市文汇项目管理有限公司</w:t>
      </w:r>
    </w:p>
    <w:p w14:paraId="2BE4A9DD">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开户银行：</w:t>
      </w:r>
      <w:r>
        <w:rPr>
          <w:rFonts w:hint="eastAsia" w:ascii="仿宋" w:hAnsi="仿宋" w:eastAsia="仿宋" w:cs="仿宋"/>
          <w:color w:val="auto"/>
          <w:sz w:val="24"/>
          <w:szCs w:val="24"/>
          <w:highlight w:val="none"/>
        </w:rPr>
        <w:t>工商银行嵊州支行</w:t>
      </w:r>
    </w:p>
    <w:p w14:paraId="28A98FFF">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color w:val="auto"/>
          <w:sz w:val="24"/>
          <w:highlight w:val="none"/>
        </w:rPr>
      </w:pPr>
      <w:r>
        <w:rPr>
          <w:rFonts w:hint="eastAsia" w:ascii="仿宋" w:hAnsi="仿宋" w:eastAsia="仿宋" w:cs="仿宋"/>
          <w:b w:val="0"/>
          <w:color w:val="auto"/>
          <w:w w:val="100"/>
          <w:sz w:val="24"/>
          <w:szCs w:val="24"/>
          <w:highlight w:val="none"/>
          <w:lang w:eastAsia="zh-CN"/>
        </w:rPr>
        <w:t xml:space="preserve">     账    号：</w:t>
      </w:r>
      <w:r>
        <w:rPr>
          <w:rFonts w:hint="eastAsia" w:ascii="仿宋" w:hAnsi="仿宋" w:eastAsia="仿宋" w:cs="仿宋"/>
          <w:color w:val="auto"/>
          <w:sz w:val="24"/>
          <w:szCs w:val="24"/>
          <w:highlight w:val="none"/>
        </w:rPr>
        <w:t>1211026009200820957</w:t>
      </w:r>
    </w:p>
    <w:p w14:paraId="69E2C1BA">
      <w:pPr>
        <w:pStyle w:val="4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七、</w:t>
      </w:r>
      <w:r>
        <w:rPr>
          <w:rFonts w:hint="eastAsia" w:ascii="仿宋" w:hAnsi="仿宋" w:eastAsia="仿宋" w:cs="仿宋"/>
          <w:b/>
          <w:bCs/>
          <w:color w:val="auto"/>
          <w:spacing w:val="6"/>
          <w:sz w:val="24"/>
          <w:szCs w:val="24"/>
          <w:highlight w:val="none"/>
        </w:rPr>
        <w:t>其他补充事宜</w:t>
      </w:r>
    </w:p>
    <w:p w14:paraId="21C3AF3D">
      <w:pPr>
        <w:keepNext w:val="0"/>
        <w:keepLines w:val="0"/>
        <w:pageBreakBefore w:val="0"/>
        <w:widowControl w:val="0"/>
        <w:kinsoku/>
        <w:wordWrap/>
        <w:overflowPunct/>
        <w:topLinePunct w:val="0"/>
        <w:autoSpaceDE/>
        <w:autoSpaceDN/>
        <w:bidi w:val="0"/>
        <w:spacing w:line="360" w:lineRule="auto"/>
        <w:ind w:firstLine="504" w:firstLineChars="200"/>
        <w:textAlignment w:val="auto"/>
        <w:rPr>
          <w:rFonts w:ascii="仿宋" w:hAnsi="仿宋" w:eastAsia="仿宋" w:cs="仿宋"/>
          <w:color w:val="auto"/>
          <w:sz w:val="24"/>
          <w:highlight w:val="none"/>
        </w:rPr>
      </w:pPr>
      <w:r>
        <w:rPr>
          <w:rFonts w:hint="eastAsia" w:ascii="仿宋" w:hAnsi="仿宋" w:eastAsia="仿宋" w:cs="仿宋"/>
          <w:color w:val="auto"/>
          <w:spacing w:val="6"/>
          <w:sz w:val="24"/>
          <w:szCs w:val="24"/>
          <w:highlight w:val="none"/>
        </w:rPr>
        <w:t>1.</w:t>
      </w:r>
      <w:r>
        <w:rPr>
          <w:rFonts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4C3AC494">
      <w:pPr>
        <w:pStyle w:val="43"/>
        <w:keepNext w:val="0"/>
        <w:keepLines w:val="0"/>
        <w:pageBreakBefore w:val="0"/>
        <w:widowControl w:val="0"/>
        <w:kinsoku/>
        <w:wordWrap/>
        <w:overflowPunct/>
        <w:topLinePunct w:val="0"/>
        <w:autoSpaceDE/>
        <w:autoSpaceDN/>
        <w:bidi w:val="0"/>
        <w:adjustRightInd w:val="0"/>
        <w:snapToGrid w:val="0"/>
        <w:spacing w:line="360" w:lineRule="auto"/>
        <w:ind w:firstLine="482" w:firstLineChars="201"/>
        <w:textAlignment w:val="auto"/>
        <w:rPr>
          <w:rFonts w:hint="eastAsia" w:ascii="仿宋" w:hAnsi="仿宋" w:eastAsia="仿宋" w:cs="仿宋"/>
          <w:b/>
          <w:bCs/>
          <w:color w:val="auto"/>
          <w:spacing w:val="6"/>
          <w:sz w:val="24"/>
          <w:szCs w:val="24"/>
          <w:highlight w:val="none"/>
          <w:lang w:eastAsia="zh-CN"/>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.其他事项：</w:t>
      </w:r>
      <w:r>
        <w:rPr>
          <w:rFonts w:hint="eastAsia" w:ascii="仿宋" w:hAnsi="仿宋" w:eastAsia="仿宋" w:cs="仿宋"/>
          <w:color w:val="auto"/>
          <w:sz w:val="24"/>
          <w:highlight w:val="none"/>
        </w:rPr>
        <w:t>（</w:t>
      </w:r>
      <w:r>
        <w:rPr>
          <w:rFonts w:ascii="仿宋" w:hAnsi="仿宋" w:eastAsia="仿宋" w:cs="仿宋"/>
          <w:color w:val="auto"/>
          <w:sz w:val="24"/>
          <w:highlight w:val="none"/>
        </w:rPr>
        <w:t>1）需要落实的采购政策：包括节约资源、保护环境、支持创新、促进中小企业发展等。详见招标文件的第二部分总则。（2）电子招投标的说明：①电子招投标：本项目以数据电文形式，依托“乐采云平台（www.lecaiyun.com</w:t>
      </w:r>
      <w:r>
        <w:rPr>
          <w:rFonts w:hint="eastAsia" w:ascii="仿宋" w:hAnsi="仿宋" w:eastAsia="仿宋" w:cs="仿宋"/>
          <w:color w:val="auto"/>
          <w:sz w:val="24"/>
          <w:highlight w:val="none"/>
        </w:rPr>
        <w:t>）”进行招投标活动，不接受纸质投标文件；②投标准备：注册账号</w:t>
      </w:r>
      <w:r>
        <w:rPr>
          <w:rFonts w:ascii="仿宋" w:hAnsi="仿宋" w:eastAsia="仿宋" w:cs="仿宋"/>
          <w:color w:val="auto"/>
          <w:sz w:val="24"/>
          <w:highlight w:val="none"/>
        </w:rPr>
        <w:t>--</w:t>
      </w:r>
      <w:r>
        <w:rPr>
          <w:rFonts w:hint="eastAsia" w:ascii="仿宋" w:hAnsi="仿宋" w:eastAsia="仿宋" w:cs="仿宋"/>
          <w:color w:val="auto"/>
          <w:sz w:val="24"/>
          <w:highlight w:val="none"/>
        </w:rPr>
        <w:t>点击“商家入驻”，进行采购供应商资料填写；申领</w:t>
      </w:r>
      <w:r>
        <w:rPr>
          <w:rFonts w:ascii="仿宋" w:hAnsi="仿宋" w:eastAsia="仿宋" w:cs="仿宋"/>
          <w:color w:val="auto"/>
          <w:sz w:val="24"/>
          <w:highlight w:val="none"/>
        </w:rPr>
        <w:t>CA数字证书---申领流程详见“浙江政府采购网-下载专区-电子交易客户端-CA驱动和申领流程”；安装“</w:t>
      </w:r>
      <w:r>
        <w:rPr>
          <w:rFonts w:hint="eastAsia" w:ascii="仿宋" w:hAnsi="仿宋" w:eastAsia="仿宋" w:cs="仿宋"/>
          <w:color w:val="auto"/>
          <w:sz w:val="24"/>
          <w:highlight w:val="none"/>
        </w:rPr>
        <w:t>乐采云电子交易客户端”</w:t>
      </w:r>
      <w:r>
        <w:rPr>
          <w:rFonts w:ascii="仿宋" w:hAnsi="仿宋" w:eastAsia="仿宋" w:cs="仿宋"/>
          <w:color w:val="auto"/>
          <w:sz w:val="24"/>
          <w:highlight w:val="none"/>
        </w:rPr>
        <w:t>----</w:t>
      </w:r>
      <w:r>
        <w:rPr>
          <w:rFonts w:hint="eastAsia" w:ascii="仿宋" w:hAnsi="仿宋" w:eastAsia="仿宋" w:cs="仿宋"/>
          <w:color w:val="auto"/>
          <w:sz w:val="24"/>
          <w:highlight w:val="none"/>
        </w:rPr>
        <w:t>前往“浙江政府采购网</w:t>
      </w:r>
      <w:r>
        <w:rPr>
          <w:rFonts w:ascii="仿宋" w:hAnsi="仿宋" w:eastAsia="仿宋" w:cs="仿宋"/>
          <w:color w:val="auto"/>
          <w:sz w:val="24"/>
          <w:highlight w:val="none"/>
        </w:rPr>
        <w:t>-下载专区-电子交易客户端”进行下载并安装；③招标文件的获取：使用账号登录或者使用CA登录</w:t>
      </w:r>
      <w:r>
        <w:rPr>
          <w:rFonts w:hint="eastAsia" w:ascii="仿宋" w:hAnsi="仿宋" w:eastAsia="仿宋" w:cs="仿宋"/>
          <w:color w:val="auto"/>
          <w:sz w:val="24"/>
          <w:highlight w:val="none"/>
        </w:rPr>
        <w:t>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在投标截止时间前将加密的投标文件上传至乐采云平台；⑨投标文件的解密：</w:t>
      </w:r>
      <w:r>
        <w:rPr>
          <w:rFonts w:hint="eastAsia" w:ascii="仿宋" w:hAnsi="仿宋" w:eastAsia="仿宋" w:cs="仿宋_GB2312"/>
          <w:color w:val="auto"/>
          <w:sz w:val="24"/>
          <w:highlight w:val="none"/>
          <w:lang w:eastAsia="zh-CN"/>
        </w:rPr>
        <w:t>供应商</w:t>
      </w:r>
      <w:r>
        <w:rPr>
          <w:rFonts w:hint="eastAsia" w:ascii="仿宋" w:hAnsi="仿宋" w:eastAsia="仿宋" w:cs="仿宋_GB2312"/>
          <w:color w:val="auto"/>
          <w:sz w:val="24"/>
          <w:highlight w:val="none"/>
        </w:rPr>
        <w:t>按照平台提示和招标文件的规定在半小时内完成在线解密。通过“乐采云平台”上传递交的投标文件无法按时解密</w:t>
      </w: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eastAsia="zh-CN"/>
        </w:rPr>
        <w:t>供应商</w:t>
      </w:r>
      <w:r>
        <w:rPr>
          <w:rFonts w:hint="eastAsia" w:ascii="仿宋" w:hAnsi="仿宋" w:eastAsia="仿宋" w:cs="仿宋_GB2312"/>
          <w:b/>
          <w:color w:val="auto"/>
          <w:sz w:val="24"/>
          <w:highlight w:val="none"/>
        </w:rPr>
        <w:t>应特别注意CA锁有效性，CA锁延期、补办后，虽硬件介质不变，但锁的证书Key号发生改变，视为不同锁，会导致开标时无法解密投标文件）</w:t>
      </w:r>
      <w:r>
        <w:rPr>
          <w:rFonts w:hint="eastAsia" w:ascii="仿宋" w:hAnsi="仿宋" w:eastAsia="仿宋" w:cs="仿宋_GB2312"/>
          <w:color w:val="auto"/>
          <w:sz w:val="24"/>
          <w:highlight w:val="none"/>
        </w:rPr>
        <w:t>，视为投标文件撤回；</w:t>
      </w:r>
      <w:r>
        <w:rPr>
          <w:rFonts w:hint="eastAsia" w:ascii="仿宋" w:hAnsi="仿宋" w:eastAsia="仿宋" w:cs="仿宋"/>
          <w:color w:val="auto"/>
          <w:sz w:val="24"/>
          <w:highlight w:val="none"/>
        </w:rPr>
        <w:t>⑩具体操作指南：详见乐采云平台“服务中心</w:t>
      </w:r>
      <w:r>
        <w:rPr>
          <w:rFonts w:ascii="仿宋" w:hAnsi="仿宋" w:eastAsia="仿宋" w:cs="仿宋"/>
          <w:color w:val="auto"/>
          <w:sz w:val="24"/>
          <w:highlight w:val="none"/>
        </w:rPr>
        <w:t>-帮助文档-项目采购-操作流程-电子招投标-政府采购项目电子交易管理操作指南-供应商”。（3）招标文件公告期限与招标公告的公告期限一致</w:t>
      </w:r>
      <w:r>
        <w:rPr>
          <w:rFonts w:hint="eastAsia" w:ascii="仿宋" w:hAnsi="仿宋" w:eastAsia="仿宋" w:cs="仿宋"/>
          <w:color w:val="auto"/>
          <w:spacing w:val="6"/>
          <w:sz w:val="24"/>
          <w:szCs w:val="24"/>
          <w:highlight w:val="none"/>
        </w:rPr>
        <w:t>。</w:t>
      </w:r>
      <w:bookmarkEnd w:id="41"/>
      <w:bookmarkEnd w:id="42"/>
    </w:p>
    <w:p w14:paraId="6218F5DE">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highlight w:val="none"/>
        </w:rPr>
      </w:pPr>
      <w:bookmarkStart w:id="43" w:name="_Toc28359008"/>
      <w:bookmarkStart w:id="44" w:name="_Toc35393627"/>
      <w:bookmarkStart w:id="45" w:name="_Toc28359085"/>
      <w:bookmarkStart w:id="46" w:name="_Toc35393796"/>
      <w:r>
        <w:rPr>
          <w:rFonts w:hint="eastAsia" w:ascii="仿宋" w:hAnsi="仿宋" w:eastAsia="仿宋" w:cs="仿宋"/>
          <w:b/>
          <w:bCs/>
          <w:color w:val="auto"/>
          <w:spacing w:val="6"/>
          <w:sz w:val="24"/>
          <w:szCs w:val="24"/>
          <w:highlight w:val="none"/>
          <w:lang w:val="en-US" w:eastAsia="zh-CN"/>
        </w:rPr>
        <w:t>八</w:t>
      </w:r>
      <w:r>
        <w:rPr>
          <w:rFonts w:hint="eastAsia" w:ascii="仿宋" w:hAnsi="仿宋" w:eastAsia="仿宋" w:cs="仿宋"/>
          <w:b/>
          <w:bCs/>
          <w:color w:val="auto"/>
          <w:spacing w:val="6"/>
          <w:sz w:val="24"/>
          <w:szCs w:val="24"/>
          <w:highlight w:val="none"/>
        </w:rPr>
        <w:t>、对本次采购提出询问，请按以下方式联系</w:t>
      </w:r>
      <w:bookmarkEnd w:id="43"/>
      <w:bookmarkEnd w:id="44"/>
      <w:bookmarkEnd w:id="45"/>
      <w:bookmarkEnd w:id="46"/>
    </w:p>
    <w:p w14:paraId="60BDCD3F">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73A97DD6">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嵊州市交投港务有限公司</w:t>
      </w:r>
      <w:r>
        <w:rPr>
          <w:rFonts w:hint="eastAsia" w:ascii="仿宋" w:hAnsi="仿宋" w:eastAsia="仿宋" w:cs="仿宋"/>
          <w:color w:val="auto"/>
          <w:sz w:val="24"/>
          <w:szCs w:val="24"/>
          <w:highlight w:val="none"/>
          <w:u w:val="none"/>
        </w:rPr>
        <w:t xml:space="preserve">      　</w:t>
      </w:r>
    </w:p>
    <w:p w14:paraId="72EB3AAF">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地址：嵊州市</w:t>
      </w:r>
      <w:r>
        <w:rPr>
          <w:rFonts w:hint="eastAsia" w:ascii="仿宋" w:hAnsi="仿宋" w:eastAsia="仿宋" w:cs="仿宋"/>
          <w:color w:val="auto"/>
          <w:sz w:val="24"/>
          <w:szCs w:val="24"/>
          <w:highlight w:val="none"/>
          <w:u w:val="none"/>
          <w:lang w:val="en-US" w:eastAsia="zh-CN"/>
        </w:rPr>
        <w:t>三界镇振兴南路299号</w:t>
      </w:r>
      <w:r>
        <w:rPr>
          <w:rFonts w:hint="eastAsia" w:ascii="仿宋" w:hAnsi="仿宋" w:eastAsia="仿宋" w:cs="仿宋"/>
          <w:color w:val="auto"/>
          <w:sz w:val="24"/>
          <w:szCs w:val="24"/>
          <w:highlight w:val="none"/>
          <w:u w:val="none"/>
          <w:lang w:eastAsia="zh-CN"/>
        </w:rPr>
        <w:t xml:space="preserve">     </w:t>
      </w:r>
    </w:p>
    <w:p w14:paraId="48DCA7EC">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钱工</w:t>
      </w:r>
      <w:r>
        <w:rPr>
          <w:rFonts w:hint="eastAsia" w:ascii="仿宋" w:hAnsi="仿宋" w:eastAsia="仿宋" w:cs="仿宋"/>
          <w:color w:val="auto"/>
          <w:sz w:val="24"/>
          <w:szCs w:val="24"/>
          <w:highlight w:val="none"/>
          <w:u w:val="none"/>
          <w:lang w:eastAsia="zh-CN"/>
        </w:rPr>
        <w:t>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 xml:space="preserve">   　　  </w:t>
      </w:r>
    </w:p>
    <w:p w14:paraId="14C9CB51">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4"/>
          <w:highlight w:val="none"/>
          <w:u w:val="none"/>
          <w:lang w:eastAsia="zh-CN"/>
        </w:rPr>
        <w:t>：0575-83815169</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w:t>
      </w:r>
    </w:p>
    <w:p w14:paraId="6A4ABD8E">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bookmarkStart w:id="47" w:name="_Toc28359009"/>
      <w:bookmarkStart w:id="48" w:name="_Toc28359086"/>
      <w:r>
        <w:rPr>
          <w:rFonts w:hint="eastAsia" w:ascii="仿宋" w:hAnsi="仿宋" w:eastAsia="仿宋" w:cs="仿宋"/>
          <w:color w:val="auto"/>
          <w:sz w:val="24"/>
          <w:szCs w:val="24"/>
          <w:highlight w:val="none"/>
          <w:u w:val="none"/>
          <w:lang w:val="en-US" w:eastAsia="zh-CN"/>
        </w:rPr>
        <w:t>质疑联系人：袁先生</w:t>
      </w:r>
    </w:p>
    <w:p w14:paraId="6AF3D0CC">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质疑联系方式：0575-83815182</w:t>
      </w:r>
    </w:p>
    <w:p w14:paraId="75E97DDF">
      <w:pPr>
        <w:keepNext w:val="0"/>
        <w:keepLines w:val="0"/>
        <w:pageBreakBefore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rPr>
        <w:t>.采购代理机构信息</w:t>
      </w:r>
      <w:bookmarkEnd w:id="47"/>
      <w:bookmarkEnd w:id="48"/>
    </w:p>
    <w:p w14:paraId="539FFE3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绍兴市文汇项目管理有限公司</w:t>
      </w:r>
      <w:r>
        <w:rPr>
          <w:rFonts w:hint="eastAsia" w:ascii="仿宋" w:hAnsi="仿宋" w:eastAsia="仿宋" w:cs="仿宋"/>
          <w:color w:val="auto"/>
          <w:sz w:val="24"/>
          <w:szCs w:val="24"/>
          <w:highlight w:val="none"/>
          <w:u w:val="none"/>
        </w:rPr>
        <w:t xml:space="preserve">      </w:t>
      </w:r>
    </w:p>
    <w:p w14:paraId="5CC1C71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　址：嵊州市官河南路339号量子芯座11楼110</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室</w:t>
      </w:r>
    </w:p>
    <w:p w14:paraId="12951B26">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项目联系人（询问）：章科学</w:t>
      </w:r>
    </w:p>
    <w:p w14:paraId="0E837E19">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项目联系方式（询问）：0575-83275561</w:t>
      </w:r>
    </w:p>
    <w:p w14:paraId="256F6C3D">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质疑联系人：裘文燕</w:t>
      </w:r>
    </w:p>
    <w:p w14:paraId="622C592C">
      <w:pPr>
        <w:keepNext w:val="0"/>
        <w:keepLines w:val="0"/>
        <w:pageBreakBefore w:val="0"/>
        <w:kinsoku/>
        <w:wordWrap/>
        <w:overflowPunct/>
        <w:topLinePunct w:val="0"/>
        <w:bidi w:val="0"/>
        <w:spacing w:line="360" w:lineRule="auto"/>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质疑联系方式：0575-83275560</w:t>
      </w:r>
    </w:p>
    <w:p w14:paraId="13D696BF">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3</w:t>
      </w:r>
      <w:r>
        <w:rPr>
          <w:rFonts w:hint="eastAsia" w:ascii="仿宋" w:hAnsi="仿宋" w:eastAsia="仿宋" w:cs="仿宋"/>
          <w:b/>
          <w:bCs/>
          <w:color w:val="auto"/>
          <w:sz w:val="24"/>
          <w:szCs w:val="24"/>
          <w:highlight w:val="none"/>
          <w:lang w:val="en-US" w:eastAsia="zh-CN"/>
        </w:rPr>
        <w:t>.采购监督管理部门</w:t>
      </w:r>
    </w:p>
    <w:p w14:paraId="0439D22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称：嵊州市交通投资发展集团有限公司</w:t>
      </w:r>
    </w:p>
    <w:p w14:paraId="0D8BBF5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地    址：嵊州市浦口街道华发南路88号</w:t>
      </w:r>
    </w:p>
    <w:p w14:paraId="795D2C6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人：国女士</w:t>
      </w:r>
    </w:p>
    <w:p w14:paraId="59A959A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监督投诉电话：0575-83106709</w:t>
      </w:r>
    </w:p>
    <w:p w14:paraId="36ED2FA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w:t>
      </w:r>
    </w:p>
    <w:p w14:paraId="7C1A37AF">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若对项目采购电子交易系统操作有疑问，可登录</w:t>
      </w:r>
      <w:r>
        <w:rPr>
          <w:rFonts w:hint="eastAsia" w:ascii="仿宋" w:hAnsi="仿宋" w:eastAsia="仿宋" w:cs="仿宋"/>
          <w:b/>
          <w:bCs/>
          <w:color w:val="auto"/>
          <w:sz w:val="24"/>
          <w:szCs w:val="24"/>
          <w:highlight w:val="none"/>
          <w:u w:val="none"/>
          <w:lang w:eastAsia="zh-CN"/>
        </w:rPr>
        <w:t>乐采云</w:t>
      </w:r>
      <w:r>
        <w:rPr>
          <w:rFonts w:hint="eastAsia" w:ascii="仿宋" w:hAnsi="仿宋" w:eastAsia="仿宋" w:cs="仿宋"/>
          <w:b/>
          <w:bCs/>
          <w:color w:val="auto"/>
          <w:sz w:val="24"/>
          <w:szCs w:val="24"/>
          <w:highlight w:val="none"/>
          <w:u w:val="none"/>
        </w:rPr>
        <w:t>（https://www.lecaiyun.com/），点击右侧咨询小采，获取采小蜜智能服务管家帮助，或拨打</w:t>
      </w:r>
      <w:r>
        <w:rPr>
          <w:rFonts w:hint="eastAsia" w:ascii="仿宋" w:hAnsi="仿宋" w:eastAsia="仿宋" w:cs="仿宋"/>
          <w:b/>
          <w:bCs/>
          <w:color w:val="auto"/>
          <w:sz w:val="24"/>
          <w:szCs w:val="24"/>
          <w:highlight w:val="none"/>
          <w:u w:val="none"/>
          <w:lang w:eastAsia="zh-CN"/>
        </w:rPr>
        <w:t>乐采云</w:t>
      </w:r>
      <w:r>
        <w:rPr>
          <w:rFonts w:hint="eastAsia" w:ascii="仿宋" w:hAnsi="仿宋" w:eastAsia="仿宋" w:cs="仿宋"/>
          <w:b/>
          <w:bCs/>
          <w:color w:val="auto"/>
          <w:sz w:val="24"/>
          <w:szCs w:val="24"/>
          <w:highlight w:val="none"/>
          <w:u w:val="none"/>
        </w:rPr>
        <w:t>服务热线</w:t>
      </w:r>
      <w:r>
        <w:rPr>
          <w:rFonts w:hint="eastAsia" w:ascii="仿宋" w:hAnsi="仿宋" w:eastAsia="仿宋" w:cs="仿宋"/>
          <w:b/>
          <w:bCs/>
          <w:color w:val="auto"/>
          <w:sz w:val="24"/>
          <w:szCs w:val="24"/>
          <w:highlight w:val="none"/>
          <w:u w:val="none"/>
          <w:lang w:val="en-US" w:eastAsia="zh-CN"/>
        </w:rPr>
        <w:t>95763</w:t>
      </w:r>
      <w:r>
        <w:rPr>
          <w:rFonts w:hint="eastAsia" w:ascii="仿宋" w:hAnsi="仿宋" w:eastAsia="仿宋" w:cs="仿宋"/>
          <w:b/>
          <w:bCs/>
          <w:color w:val="auto"/>
          <w:sz w:val="24"/>
          <w:szCs w:val="24"/>
          <w:highlight w:val="none"/>
          <w:u w:val="none"/>
        </w:rPr>
        <w:t>获取热线服务帮助。</w:t>
      </w:r>
    </w:p>
    <w:p w14:paraId="6AFC43D0">
      <w:pPr>
        <w:keepNext w:val="0"/>
        <w:keepLines w:val="0"/>
        <w:pageBreakBefore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CA问题联系电话（人工）：汇信CA 400-888-4636；天谷CA 400-087-8198。</w:t>
      </w:r>
    </w:p>
    <w:p w14:paraId="036EC8AD">
      <w:pPr>
        <w:pStyle w:val="3"/>
        <w:spacing w:line="7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投标须知</w:t>
      </w:r>
      <w:bookmarkEnd w:id="11"/>
      <w:bookmarkEnd w:id="12"/>
      <w:bookmarkEnd w:id="13"/>
      <w:bookmarkEnd w:id="14"/>
      <w:bookmarkEnd w:id="15"/>
      <w:bookmarkEnd w:id="16"/>
      <w:bookmarkEnd w:id="17"/>
      <w:bookmarkEnd w:id="18"/>
      <w:bookmarkEnd w:id="19"/>
    </w:p>
    <w:p w14:paraId="2ED703D9">
      <w:pPr>
        <w:pStyle w:val="4"/>
        <w:spacing w:line="500" w:lineRule="exact"/>
        <w:ind w:left="357"/>
        <w:rPr>
          <w:rFonts w:hint="eastAsia" w:ascii="仿宋" w:hAnsi="仿宋" w:eastAsia="仿宋" w:cs="仿宋"/>
          <w:b/>
          <w:bCs w:val="0"/>
          <w:color w:val="auto"/>
          <w:sz w:val="24"/>
          <w:szCs w:val="24"/>
          <w:highlight w:val="none"/>
        </w:rPr>
      </w:pPr>
      <w:bookmarkStart w:id="49" w:name="_Toc339302125"/>
      <w:bookmarkStart w:id="50" w:name="_Toc19659"/>
      <w:bookmarkStart w:id="51" w:name="_Toc248065036"/>
      <w:bookmarkStart w:id="52" w:name="_Toc54978889"/>
      <w:bookmarkStart w:id="53" w:name="_Toc340321909"/>
      <w:bookmarkStart w:id="54" w:name="_Toc304551310"/>
      <w:bookmarkStart w:id="55" w:name="_Toc180555917"/>
      <w:bookmarkStart w:id="56" w:name="_Toc340322164"/>
      <w:bookmarkStart w:id="57" w:name="_Toc489481887"/>
      <w:bookmarkStart w:id="58" w:name="_Toc513456140"/>
      <w:bookmarkStart w:id="59" w:name="_Toc226337758"/>
      <w:r>
        <w:rPr>
          <w:rFonts w:hint="eastAsia" w:ascii="仿宋" w:hAnsi="仿宋" w:eastAsia="仿宋" w:cs="仿宋"/>
          <w:b w:val="0"/>
          <w:bCs/>
          <w:color w:val="auto"/>
          <w:sz w:val="24"/>
          <w:szCs w:val="24"/>
          <w:highlight w:val="none"/>
        </w:rPr>
        <w:t>一、</w:t>
      </w:r>
      <w:r>
        <w:rPr>
          <w:rFonts w:hint="eastAsia" w:ascii="仿宋" w:hAnsi="仿宋" w:eastAsia="仿宋" w:cs="仿宋"/>
          <w:b/>
          <w:bCs w:val="0"/>
          <w:color w:val="auto"/>
          <w:sz w:val="24"/>
          <w:szCs w:val="24"/>
          <w:highlight w:val="none"/>
        </w:rPr>
        <w:t>投标须知前附表</w:t>
      </w:r>
      <w:bookmarkEnd w:id="49"/>
      <w:bookmarkEnd w:id="50"/>
      <w:bookmarkEnd w:id="51"/>
      <w:bookmarkEnd w:id="52"/>
      <w:bookmarkEnd w:id="53"/>
      <w:bookmarkEnd w:id="54"/>
      <w:bookmarkEnd w:id="55"/>
      <w:bookmarkEnd w:id="56"/>
      <w:bookmarkEnd w:id="57"/>
      <w:bookmarkEnd w:id="58"/>
      <w:bookmarkEnd w:id="59"/>
    </w:p>
    <w:tbl>
      <w:tblPr>
        <w:tblStyle w:val="80"/>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14:paraId="5F62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32" w:type="dxa"/>
            <w:noWrap w:val="0"/>
            <w:vAlign w:val="center"/>
          </w:tcPr>
          <w:p w14:paraId="0D4B194F">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bookmarkStart w:id="60" w:name="_Toc82338239"/>
            <w:bookmarkStart w:id="61" w:name="_Toc82873322"/>
            <w:bookmarkStart w:id="62" w:name="_Toc35261571"/>
            <w:r>
              <w:rPr>
                <w:rFonts w:hint="eastAsia" w:ascii="仿宋" w:hAnsi="仿宋" w:eastAsia="仿宋" w:cs="仿宋"/>
                <w:color w:val="auto"/>
                <w:sz w:val="24"/>
                <w:szCs w:val="24"/>
                <w:highlight w:val="none"/>
              </w:rPr>
              <w:t>序号</w:t>
            </w:r>
          </w:p>
        </w:tc>
        <w:tc>
          <w:tcPr>
            <w:tcW w:w="1788" w:type="dxa"/>
            <w:noWrap w:val="0"/>
            <w:vAlign w:val="center"/>
          </w:tcPr>
          <w:p w14:paraId="4AE8CA6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412" w:type="dxa"/>
            <w:noWrap w:val="0"/>
            <w:vAlign w:val="center"/>
          </w:tcPr>
          <w:p w14:paraId="7743C9E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例  内  容</w:t>
            </w:r>
          </w:p>
        </w:tc>
      </w:tr>
      <w:tr w14:paraId="534C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732" w:type="dxa"/>
            <w:noWrap w:val="0"/>
            <w:vAlign w:val="center"/>
          </w:tcPr>
          <w:p w14:paraId="4675B33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88" w:type="dxa"/>
            <w:noWrap w:val="0"/>
            <w:vAlign w:val="center"/>
          </w:tcPr>
          <w:p w14:paraId="1413ECC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00" w:lineRule="exact"/>
              <w:ind w:left="0" w:leftChars="0" w:right="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项目属性与核心产品</w:t>
            </w:r>
          </w:p>
        </w:tc>
        <w:tc>
          <w:tcPr>
            <w:tcW w:w="7412" w:type="dxa"/>
            <w:noWrap w:val="0"/>
            <w:vAlign w:val="center"/>
          </w:tcPr>
          <w:p w14:paraId="7AC8F5A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lang w:eastAsia="zh-CN"/>
              </w:rPr>
              <w:t>货物类，</w:t>
            </w:r>
            <w:r>
              <w:rPr>
                <w:rFonts w:hint="eastAsia" w:ascii="仿宋" w:hAnsi="仿宋" w:eastAsia="仿宋" w:cs="仿宋"/>
                <w:color w:val="auto"/>
                <w:sz w:val="24"/>
                <w:szCs w:val="24"/>
                <w:highlight w:val="none"/>
              </w:rPr>
              <w:t>单一产品或核心产品为：</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21E9EC5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contextualSpacing/>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sym w:font="Wingdings" w:char="00FE"/>
            </w:r>
            <w:r>
              <w:rPr>
                <w:rFonts w:hint="eastAsia" w:ascii="仿宋" w:hAnsi="仿宋" w:eastAsia="仿宋" w:cs="仿宋"/>
                <w:color w:val="auto"/>
                <w:kern w:val="0"/>
                <w:sz w:val="24"/>
                <w:szCs w:val="24"/>
                <w:highlight w:val="none"/>
                <w:lang w:eastAsia="zh-CN"/>
              </w:rPr>
              <w:t>服务类</w:t>
            </w:r>
            <w:r>
              <w:rPr>
                <w:rFonts w:hint="eastAsia" w:ascii="仿宋" w:hAnsi="仿宋" w:eastAsia="仿宋" w:cs="仿宋"/>
                <w:color w:val="auto"/>
                <w:kern w:val="0"/>
                <w:sz w:val="24"/>
                <w:szCs w:val="24"/>
                <w:highlight w:val="none"/>
              </w:rPr>
              <w:t>。</w:t>
            </w:r>
          </w:p>
        </w:tc>
      </w:tr>
      <w:tr w14:paraId="05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32" w:type="dxa"/>
            <w:noWrap w:val="0"/>
            <w:vAlign w:val="center"/>
          </w:tcPr>
          <w:p w14:paraId="00E75F1E">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88" w:type="dxa"/>
            <w:noWrap w:val="0"/>
            <w:vAlign w:val="center"/>
          </w:tcPr>
          <w:p w14:paraId="213647E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7412" w:type="dxa"/>
            <w:noWrap w:val="0"/>
            <w:vAlign w:val="center"/>
          </w:tcPr>
          <w:p w14:paraId="496C461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40" w:lineRule="exact"/>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530F268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7A51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732" w:type="dxa"/>
            <w:noWrap w:val="0"/>
            <w:vAlign w:val="center"/>
          </w:tcPr>
          <w:p w14:paraId="356F56B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88" w:type="dxa"/>
            <w:noWrap w:val="0"/>
            <w:vAlign w:val="center"/>
          </w:tcPr>
          <w:p w14:paraId="379A431C">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分包</w:t>
            </w:r>
          </w:p>
        </w:tc>
        <w:tc>
          <w:tcPr>
            <w:tcW w:w="7412" w:type="dxa"/>
            <w:noWrap w:val="0"/>
            <w:vAlign w:val="center"/>
          </w:tcPr>
          <w:p w14:paraId="7CCBE0E3">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1EA06FE3">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r>
              <w:rPr>
                <w:rFonts w:hint="eastAsia" w:ascii="仿宋" w:hAnsi="仿宋" w:eastAsia="仿宋" w:cs="仿宋"/>
                <w:color w:val="auto"/>
                <w:sz w:val="24"/>
                <w:szCs w:val="24"/>
                <w:highlight w:val="none"/>
                <w:lang w:eastAsia="zh-CN"/>
              </w:rPr>
              <w:t>。</w:t>
            </w:r>
          </w:p>
        </w:tc>
      </w:tr>
      <w:tr w14:paraId="4020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33F6FDC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88" w:type="dxa"/>
            <w:noWrap w:val="0"/>
            <w:vAlign w:val="center"/>
          </w:tcPr>
          <w:p w14:paraId="683773C6">
            <w:pPr>
              <w:keepNext w:val="0"/>
              <w:keepLines w:val="0"/>
              <w:suppressLineNumbers w:val="0"/>
              <w:snapToGrid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412" w:type="dxa"/>
            <w:noWrap w:val="0"/>
            <w:vAlign w:val="center"/>
          </w:tcPr>
          <w:p w14:paraId="44CF043D">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F55F56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5D5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6F2DFBB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88" w:type="dxa"/>
            <w:noWrap w:val="0"/>
            <w:vAlign w:val="center"/>
          </w:tcPr>
          <w:p w14:paraId="316BD5DF">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412" w:type="dxa"/>
            <w:noWrap w:val="0"/>
            <w:vAlign w:val="center"/>
          </w:tcPr>
          <w:p w14:paraId="066F76C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7054E7B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B要求提供，</w:t>
            </w:r>
          </w:p>
          <w:p w14:paraId="103ED0A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详见项目招标范围及服务要求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12A89FA">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详见项目招标范围及服务要求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8EF4AA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18C836A1">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74E0A76">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；联系人：</w:t>
            </w:r>
            <w:r>
              <w:rPr>
                <w:rFonts w:hint="eastAsia" w:ascii="仿宋" w:hAnsi="仿宋" w:eastAsia="仿宋" w:cs="仿宋"/>
                <w:strike w:val="0"/>
                <w:dstrike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在上述时间内提供样品并按规定位置安装完毕。超过截止时间的，采购人或采购代理机构将不予接收，并将清场并封闭样品现场。</w:t>
            </w:r>
          </w:p>
          <w:p w14:paraId="0CEA11F4">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（6）采购活动结束后，对于未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提供的样品，采购人、采购机构将通知未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在规定的时间内取回，逾期未取回的，采购人、采购机构不负保管义务；对于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提供的样品，采购人将进行保管、封存，并作为履约验收的参考。</w:t>
            </w:r>
          </w:p>
          <w:p w14:paraId="0DF8A04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（7）制作、运输、安装和保管样品所发生的一切费用由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自理。</w:t>
            </w:r>
          </w:p>
        </w:tc>
      </w:tr>
      <w:tr w14:paraId="55A5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44F1D81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88" w:type="dxa"/>
            <w:noWrap w:val="0"/>
            <w:vAlign w:val="center"/>
          </w:tcPr>
          <w:p w14:paraId="31A7102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质疑与澄清</w:t>
            </w:r>
          </w:p>
        </w:tc>
        <w:tc>
          <w:tcPr>
            <w:tcW w:w="7412" w:type="dxa"/>
            <w:noWrap w:val="0"/>
            <w:vAlign w:val="center"/>
          </w:tcPr>
          <w:p w14:paraId="24958E0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供应商</w:t>
            </w:r>
            <w:r>
              <w:rPr>
                <w:rFonts w:hint="eastAsia" w:ascii="仿宋" w:hAnsi="仿宋" w:eastAsia="仿宋" w:cs="仿宋"/>
                <w:color w:val="auto"/>
                <w:spacing w:val="6"/>
                <w:sz w:val="24"/>
                <w:szCs w:val="24"/>
                <w:highlight w:val="none"/>
              </w:rPr>
              <w:t>如对采购文件有异议应该按财政部第94号令《政府采购质疑和投诉办法》规定的时间</w:t>
            </w:r>
            <w:r>
              <w:rPr>
                <w:rFonts w:hint="eastAsia" w:ascii="仿宋" w:hAnsi="仿宋" w:eastAsia="仿宋" w:cs="仿宋"/>
                <w:color w:val="auto"/>
                <w:sz w:val="24"/>
                <w:szCs w:val="24"/>
                <w:highlight w:val="none"/>
              </w:rPr>
              <w:t>要求一次性提出针对同一采购程序环节的质疑</w:t>
            </w:r>
            <w:r>
              <w:rPr>
                <w:rFonts w:hint="eastAsia" w:ascii="仿宋" w:hAnsi="仿宋" w:eastAsia="仿宋" w:cs="仿宋"/>
                <w:color w:val="auto"/>
                <w:spacing w:val="6"/>
                <w:sz w:val="24"/>
                <w:szCs w:val="24"/>
                <w:highlight w:val="none"/>
              </w:rPr>
              <w:t>，逾期提出的，代理机构不予受理、答复。对未按上述方式获取采购文件的供应商对该文件提出的质疑，</w:t>
            </w:r>
            <w:r>
              <w:rPr>
                <w:rFonts w:hint="eastAsia" w:ascii="仿宋" w:hAnsi="仿宋" w:eastAsia="仿宋" w:cs="仿宋"/>
                <w:color w:val="auto"/>
                <w:spacing w:val="6"/>
                <w:sz w:val="24"/>
                <w:szCs w:val="24"/>
                <w:highlight w:val="none"/>
                <w:lang w:eastAsia="zh-CN"/>
              </w:rPr>
              <w:t>采购人</w:t>
            </w:r>
            <w:r>
              <w:rPr>
                <w:rFonts w:hint="eastAsia" w:ascii="仿宋" w:hAnsi="仿宋" w:eastAsia="仿宋" w:cs="仿宋"/>
                <w:color w:val="auto"/>
                <w:spacing w:val="6"/>
                <w:sz w:val="24"/>
                <w:szCs w:val="24"/>
                <w:highlight w:val="none"/>
              </w:rPr>
              <w:t>或采购代理机构将不予处理。</w:t>
            </w:r>
          </w:p>
        </w:tc>
      </w:tr>
      <w:tr w14:paraId="391C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39C24FC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88" w:type="dxa"/>
            <w:noWrap w:val="0"/>
            <w:vAlign w:val="center"/>
          </w:tcPr>
          <w:p w14:paraId="41ECE321">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方案讲解演示</w:t>
            </w:r>
          </w:p>
        </w:tc>
        <w:tc>
          <w:tcPr>
            <w:tcW w:w="7412" w:type="dxa"/>
            <w:noWrap w:val="0"/>
            <w:vAlign w:val="center"/>
          </w:tcPr>
          <w:p w14:paraId="451F12D4">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9313047">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☐B组织。</w:t>
            </w:r>
          </w:p>
          <w:p w14:paraId="6AD6360C">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进行方案讲解演示。每个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时间不超过20分钟，讲解次序以投标文件解密时间先后次序为准，讲解演示人员不超过3人。讲解演示结束后按要求解答评标委员会提问。</w:t>
            </w:r>
          </w:p>
          <w:p w14:paraId="017CAF0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1354F493">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方式一：</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平台在线讲解演示。</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平台在线讲解需</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乐采云</w:t>
            </w:r>
            <w:r>
              <w:rPr>
                <w:rFonts w:hint="eastAsia" w:ascii="仿宋" w:hAnsi="仿宋" w:eastAsia="仿宋" w:cs="仿宋"/>
                <w:color w:val="auto"/>
                <w:kern w:val="0"/>
                <w:sz w:val="24"/>
                <w:szCs w:val="24"/>
                <w:highlight w:val="none"/>
              </w:rPr>
              <w:t>平台操作要求做好准备工作，提前完善软硬件配置环境。</w:t>
            </w:r>
          </w:p>
          <w:p w14:paraId="51B324FE">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方式二：</w:t>
            </w:r>
            <w:r>
              <w:rPr>
                <w:rFonts w:hint="eastAsia" w:ascii="仿宋" w:hAnsi="仿宋" w:eastAsia="仿宋" w:cs="仿宋"/>
                <w:color w:val="auto"/>
                <w:kern w:val="0"/>
                <w:sz w:val="24"/>
                <w:szCs w:val="24"/>
                <w:highlight w:val="none"/>
              </w:rPr>
              <w:t>代理机构评标场所现场讲解演示。现场讲解地点为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自备。现场讲解演示人员进场时提供讲解人员名单（加盖公章）及身份证明，否则不得讲解演示。</w:t>
            </w:r>
          </w:p>
          <w:p w14:paraId="19D8AE6A">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方式三：</w:t>
            </w:r>
            <w:r>
              <w:rPr>
                <w:rFonts w:hint="eastAsia" w:ascii="仿宋" w:hAnsi="仿宋" w:eastAsia="仿宋" w:cs="仿宋"/>
                <w:color w:val="auto"/>
                <w:kern w:val="0"/>
                <w:sz w:val="24"/>
                <w:szCs w:val="24"/>
                <w:highlight w:val="none"/>
              </w:rPr>
              <w:t>采用视频录制方式，用U盘介质储存快递或邮寄至代理机构（公告中列明的地址），视频中演示人应出示身份证。</w:t>
            </w:r>
            <w:r>
              <w:rPr>
                <w:rFonts w:hint="eastAsia" w:ascii="仿宋" w:hAnsi="仿宋" w:eastAsia="仿宋" w:cs="仿宋"/>
                <w:b/>
                <w:bCs/>
                <w:color w:val="auto"/>
                <w:kern w:val="0"/>
                <w:sz w:val="24"/>
                <w:szCs w:val="24"/>
                <w:highlight w:val="none"/>
              </w:rPr>
              <w:t>未派遣投标文件中的</w:t>
            </w:r>
            <w:r>
              <w:rPr>
                <w:rFonts w:hint="eastAsia" w:ascii="仿宋" w:hAnsi="仿宋" w:eastAsia="仿宋" w:cs="仿宋"/>
                <w:b/>
                <w:bCs/>
                <w:color w:val="auto"/>
                <w:kern w:val="0"/>
                <w:sz w:val="24"/>
                <w:szCs w:val="24"/>
                <w:highlight w:val="none"/>
                <w:u w:val="single"/>
              </w:rPr>
              <w:t>项目组人员</w:t>
            </w:r>
            <w:r>
              <w:rPr>
                <w:rFonts w:hint="eastAsia" w:ascii="仿宋" w:hAnsi="仿宋" w:eastAsia="仿宋" w:cs="仿宋"/>
                <w:b/>
                <w:bCs/>
                <w:color w:val="auto"/>
                <w:kern w:val="0"/>
                <w:sz w:val="24"/>
                <w:szCs w:val="24"/>
                <w:highlight w:val="none"/>
              </w:rPr>
              <w:t>进行演示讲解或未提供身份证明的，评分项不得分。</w:t>
            </w:r>
            <w:r>
              <w:rPr>
                <w:rFonts w:hint="eastAsia" w:ascii="仿宋" w:hAnsi="仿宋" w:eastAsia="仿宋" w:cs="仿宋"/>
                <w:color w:val="auto"/>
                <w:kern w:val="0"/>
                <w:sz w:val="24"/>
                <w:szCs w:val="24"/>
                <w:highlight w:val="none"/>
              </w:rPr>
              <w:t>若因U盘损坏或打不开则按视为未提交。</w:t>
            </w:r>
          </w:p>
          <w:p w14:paraId="407BA1DA">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方式四：</w:t>
            </w:r>
            <w:r>
              <w:rPr>
                <w:rFonts w:hint="eastAsia" w:ascii="仿宋" w:hAnsi="仿宋" w:eastAsia="仿宋" w:cs="仿宋"/>
                <w:color w:val="auto"/>
                <w:kern w:val="0"/>
                <w:sz w:val="24"/>
                <w:szCs w:val="24"/>
                <w:highlight w:val="none"/>
              </w:rPr>
              <w:t xml:space="preserve">采用现场钉钉直播演示的。开标后，演示人请加钉钉号：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3FA839E2">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kern w:val="0"/>
                <w:sz w:val="24"/>
                <w:szCs w:val="24"/>
                <w:highlight w:val="none"/>
              </w:rPr>
              <w:t>注：因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21FC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2" w:type="dxa"/>
            <w:vMerge w:val="restart"/>
            <w:noWrap w:val="0"/>
            <w:vAlign w:val="center"/>
          </w:tcPr>
          <w:p w14:paraId="6BD1E12E">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88" w:type="dxa"/>
            <w:vMerge w:val="restart"/>
            <w:noWrap w:val="0"/>
            <w:vAlign w:val="center"/>
          </w:tcPr>
          <w:p w14:paraId="568C7E62">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7412" w:type="dxa"/>
            <w:noWrap w:val="0"/>
            <w:vAlign w:val="center"/>
          </w:tcPr>
          <w:p w14:paraId="29AA63EA">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（1）资格证明文件</w:t>
            </w:r>
            <w:r>
              <w:rPr>
                <w:rFonts w:hint="eastAsia" w:ascii="仿宋" w:hAnsi="仿宋" w:eastAsia="仿宋" w:cs="仿宋"/>
                <w:color w:val="auto"/>
                <w:sz w:val="24"/>
                <w:szCs w:val="24"/>
                <w:highlight w:val="none"/>
                <w:lang w:val="en-US" w:eastAsia="zh-CN"/>
              </w:rPr>
              <w:t>见招标文件第二部分4.2.1</w:t>
            </w:r>
          </w:p>
          <w:p w14:paraId="4CEFD59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供应商未提供有效的资格证明文件的，视为供应商不具备采购文件中规定的资格要求，投标无效。</w:t>
            </w:r>
          </w:p>
        </w:tc>
      </w:tr>
      <w:tr w14:paraId="7441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2" w:type="dxa"/>
            <w:vMerge w:val="continue"/>
            <w:noWrap w:val="0"/>
            <w:vAlign w:val="center"/>
          </w:tcPr>
          <w:p w14:paraId="36DC46F2">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p>
        </w:tc>
        <w:tc>
          <w:tcPr>
            <w:tcW w:w="1788" w:type="dxa"/>
            <w:vMerge w:val="continue"/>
            <w:noWrap w:val="0"/>
            <w:vAlign w:val="center"/>
          </w:tcPr>
          <w:p w14:paraId="7B0B32FD">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highlight w:val="none"/>
              </w:rPr>
            </w:pPr>
          </w:p>
        </w:tc>
        <w:tc>
          <w:tcPr>
            <w:tcW w:w="7412" w:type="dxa"/>
            <w:noWrap w:val="0"/>
            <w:vAlign w:val="center"/>
          </w:tcPr>
          <w:p w14:paraId="4656300C">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技术文件：根据采购文件第四部分评标标准提供。</w:t>
            </w:r>
          </w:p>
        </w:tc>
      </w:tr>
      <w:tr w14:paraId="23A0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7B1D55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88" w:type="dxa"/>
            <w:noWrap w:val="0"/>
            <w:vAlign w:val="center"/>
          </w:tcPr>
          <w:p w14:paraId="377C847C">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投标文件编制</w:t>
            </w:r>
          </w:p>
        </w:tc>
        <w:tc>
          <w:tcPr>
            <w:tcW w:w="7412" w:type="dxa"/>
            <w:noWrap w:val="0"/>
            <w:vAlign w:val="center"/>
          </w:tcPr>
          <w:p w14:paraId="7892FEE9">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供应商应先安装“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电子交易客户端”，并按照本采购文件和“</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”的要求，通过“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电子交易客户端”编制并加密投标文件。</w:t>
            </w:r>
          </w:p>
        </w:tc>
      </w:tr>
      <w:tr w14:paraId="05C4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328B33C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88" w:type="dxa"/>
            <w:noWrap w:val="0"/>
            <w:vAlign w:val="center"/>
          </w:tcPr>
          <w:p w14:paraId="47B985D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签字或盖章要求</w:t>
            </w:r>
          </w:p>
        </w:tc>
        <w:tc>
          <w:tcPr>
            <w:tcW w:w="7412" w:type="dxa"/>
            <w:noWrap w:val="0"/>
            <w:vAlign w:val="center"/>
          </w:tcPr>
          <w:p w14:paraId="3A34FFB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）电子投标文件必须有电子签章；</w:t>
            </w:r>
          </w:p>
          <w:p w14:paraId="7A08EB31">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）开标后，相关信息记录确认、澄清说明、回复等内容，电子签章、或者签章后上传相关文件，均认可；</w:t>
            </w:r>
          </w:p>
          <w:p w14:paraId="4A509F4C">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）乐采云系统平台有新的操作流程的，按其规定。</w:t>
            </w:r>
          </w:p>
        </w:tc>
      </w:tr>
      <w:tr w14:paraId="6D74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3403694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88" w:type="dxa"/>
            <w:noWrap w:val="0"/>
            <w:vAlign w:val="center"/>
          </w:tcPr>
          <w:p w14:paraId="29DBA1D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投标文件的形式</w:t>
            </w:r>
          </w:p>
        </w:tc>
        <w:tc>
          <w:tcPr>
            <w:tcW w:w="7412" w:type="dxa"/>
            <w:noWrap w:val="0"/>
            <w:vAlign w:val="center"/>
          </w:tcPr>
          <w:p w14:paraId="2AEC7E7D">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电子投标文件（包括“电子加密投标文件”和“备份投标文件”，在投标文件编制完成后同时生成）；</w:t>
            </w:r>
          </w:p>
          <w:p w14:paraId="5A702C8D">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（1）“电子加密投标文件”是指通过“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电子交易客户端”完成投标文件编制后生成并加密的数据电文形式的投标文件。</w:t>
            </w:r>
          </w:p>
          <w:p w14:paraId="0E4E84AE">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（2）“备份投标文件”是指与“电子加密投标文件”同时生成的以介质（U盘）存储的数据电文形式的电子文件（备份标书），其他方式编制的备份投标文件视为无效备份投标文件。</w:t>
            </w:r>
          </w:p>
        </w:tc>
      </w:tr>
      <w:tr w14:paraId="35B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02CA921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88" w:type="dxa"/>
            <w:noWrap w:val="0"/>
            <w:vAlign w:val="center"/>
          </w:tcPr>
          <w:p w14:paraId="7B488F7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投标文件份数</w:t>
            </w:r>
          </w:p>
        </w:tc>
        <w:tc>
          <w:tcPr>
            <w:tcW w:w="7412" w:type="dxa"/>
            <w:noWrap w:val="0"/>
            <w:vAlign w:val="center"/>
          </w:tcPr>
          <w:p w14:paraId="0E1FADF7">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一份电子加密标书（后缀格式为.jmbs），一份备份标书文件（后缀格式为.bfbs）。</w:t>
            </w:r>
          </w:p>
          <w:p w14:paraId="384F8D4D">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每份电子投标文件应包括资格证明文件、资信技术文件及报价文件三部分内容。</w:t>
            </w:r>
          </w:p>
          <w:p w14:paraId="6E4C9632">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需根据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要求提供纸质投标文件至少</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份。采购人有权要求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提供原版技术资料。</w:t>
            </w:r>
          </w:p>
          <w:p w14:paraId="4F0BD654">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“备份投标文件”：密封包装后（邮寄形式）投标截止时间前递交一份（邮寄地址：嵊州市官河南路339号量子芯座11楼1105室，裘老师收）</w:t>
            </w:r>
          </w:p>
        </w:tc>
      </w:tr>
      <w:tr w14:paraId="244C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4A5CB35">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88" w:type="dxa"/>
            <w:noWrap w:val="0"/>
            <w:vAlign w:val="center"/>
          </w:tcPr>
          <w:p w14:paraId="44F1C0D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电子加密投标文件的上传、递交</w:t>
            </w:r>
          </w:p>
        </w:tc>
        <w:tc>
          <w:tcPr>
            <w:tcW w:w="7412" w:type="dxa"/>
            <w:noWrap w:val="0"/>
            <w:vAlign w:val="center"/>
          </w:tcPr>
          <w:p w14:paraId="644EF5B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（1）投标供应商应在投标截止时间前将“电子加密投标文件”成功上传递交至“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”，否则投标无效。</w:t>
            </w:r>
          </w:p>
          <w:p w14:paraId="1C27D66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（2）“电子加密投标文件”成功上传递交后，供应商可自行打印投标文件接收回执。</w:t>
            </w:r>
          </w:p>
        </w:tc>
      </w:tr>
      <w:tr w14:paraId="6181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4628536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88" w:type="dxa"/>
            <w:noWrap w:val="0"/>
            <w:vAlign w:val="center"/>
          </w:tcPr>
          <w:p w14:paraId="3EC1DFA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备份投标文件的密封包装、递交</w:t>
            </w:r>
          </w:p>
        </w:tc>
        <w:tc>
          <w:tcPr>
            <w:tcW w:w="7412" w:type="dxa"/>
            <w:noWrap w:val="0"/>
            <w:vAlign w:val="center"/>
          </w:tcPr>
          <w:p w14:paraId="5B8B047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（1）投标供应商在“</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”完成“电子加密投标文件”的上传递交后，还可以（邮寄形式）在投标截止时间前递交以介质（U盘）存储的“备份投标文件”（一份）；</w:t>
            </w:r>
          </w:p>
          <w:p w14:paraId="25E85D8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（2）“备份投标文件”应当密封包装，并在包装上标注投标项目名称、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名称并加盖公章。没有密封包装或者逾期邮寄送达至投标地点的“备份投标文件”将不予接收；</w:t>
            </w:r>
          </w:p>
          <w:p w14:paraId="0A515CA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tc>
      </w:tr>
      <w:tr w14:paraId="3DE3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62504BA7">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88" w:type="dxa"/>
            <w:noWrap w:val="0"/>
            <w:vAlign w:val="center"/>
          </w:tcPr>
          <w:p w14:paraId="2594D65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电子加密投标文件的解密和异常情况处理</w:t>
            </w:r>
          </w:p>
        </w:tc>
        <w:tc>
          <w:tcPr>
            <w:tcW w:w="7412" w:type="dxa"/>
            <w:noWrap w:val="0"/>
            <w:vAlign w:val="center"/>
          </w:tcPr>
          <w:p w14:paraId="3A54022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5D1C384E">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”操作规范将“备份投标文件”上传至“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”，上传成功后，“电子加密投标文件”自动失效），否则视为投标文件撤回。</w:t>
            </w:r>
          </w:p>
          <w:p w14:paraId="762A03B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（3）投标截止时间前，投标供应商仅递交了“备份投标文件”而未将电子加密投标文件上传至“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tc>
      </w:tr>
      <w:tr w14:paraId="3AE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2" w:type="dxa"/>
            <w:noWrap w:val="0"/>
            <w:vAlign w:val="center"/>
          </w:tcPr>
          <w:p w14:paraId="7A5FACB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788" w:type="dxa"/>
            <w:noWrap w:val="0"/>
            <w:vAlign w:val="center"/>
          </w:tcPr>
          <w:p w14:paraId="755DEA70">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投标有效期</w:t>
            </w:r>
          </w:p>
        </w:tc>
        <w:tc>
          <w:tcPr>
            <w:tcW w:w="7412" w:type="dxa"/>
            <w:noWrap w:val="0"/>
            <w:vAlign w:val="center"/>
          </w:tcPr>
          <w:p w14:paraId="1EE1B018">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投标截止时间后90天。</w:t>
            </w:r>
          </w:p>
        </w:tc>
      </w:tr>
      <w:tr w14:paraId="75E7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4C6AD945">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88" w:type="dxa"/>
            <w:noWrap w:val="0"/>
            <w:vAlign w:val="center"/>
          </w:tcPr>
          <w:p w14:paraId="20D3F25E">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推荐中标候选人数量</w:t>
            </w:r>
          </w:p>
        </w:tc>
        <w:tc>
          <w:tcPr>
            <w:tcW w:w="7412" w:type="dxa"/>
            <w:noWrap w:val="0"/>
            <w:vAlign w:val="center"/>
          </w:tcPr>
          <w:p w14:paraId="0124F6D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napToGrid w:val="0"/>
                <w:color w:val="auto"/>
                <w:kern w:val="2"/>
                <w:sz w:val="24"/>
                <w:szCs w:val="21"/>
                <w:highlight w:val="none"/>
                <w:lang w:val="en-US" w:eastAsia="zh-CN" w:bidi="ar-SA"/>
              </w:rPr>
              <w:t>推荐中标候选人数量：1名</w:t>
            </w:r>
            <w:r>
              <w:rPr>
                <w:rFonts w:hint="eastAsia" w:ascii="仿宋" w:hAnsi="仿宋" w:eastAsia="仿宋" w:cs="仿宋"/>
                <w:color w:val="auto"/>
                <w:sz w:val="24"/>
                <w:szCs w:val="24"/>
                <w:highlight w:val="none"/>
                <w:lang w:val="en-US" w:eastAsia="zh-CN"/>
              </w:rPr>
              <w:t>。</w:t>
            </w:r>
          </w:p>
        </w:tc>
      </w:tr>
      <w:tr w14:paraId="554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2" w:type="dxa"/>
            <w:noWrap w:val="0"/>
            <w:vAlign w:val="center"/>
          </w:tcPr>
          <w:p w14:paraId="581FDF7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788" w:type="dxa"/>
            <w:noWrap w:val="0"/>
            <w:vAlign w:val="center"/>
          </w:tcPr>
          <w:p w14:paraId="00B1196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tc>
        <w:tc>
          <w:tcPr>
            <w:tcW w:w="7412" w:type="dxa"/>
            <w:noWrap w:val="0"/>
            <w:vAlign w:val="center"/>
          </w:tcPr>
          <w:p w14:paraId="49321278">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0B78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32" w:type="dxa"/>
            <w:noWrap w:val="0"/>
            <w:vAlign w:val="center"/>
          </w:tcPr>
          <w:p w14:paraId="6ACDD675">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788" w:type="dxa"/>
            <w:noWrap w:val="0"/>
            <w:vAlign w:val="center"/>
          </w:tcPr>
          <w:p w14:paraId="5626DDD8">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有关费用</w:t>
            </w:r>
          </w:p>
        </w:tc>
        <w:tc>
          <w:tcPr>
            <w:tcW w:w="7412" w:type="dxa"/>
            <w:noWrap w:val="0"/>
            <w:vAlign w:val="center"/>
          </w:tcPr>
          <w:p w14:paraId="2868C2FA">
            <w:pPr>
              <w:keepNext w:val="0"/>
              <w:keepLines w:val="0"/>
              <w:suppressLineNumbers w:val="0"/>
              <w:spacing w:before="0" w:beforeAutospacing="0" w:after="0" w:afterAutospacing="0" w:line="336" w:lineRule="auto"/>
              <w:ind w:left="0" w:right="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snapToGrid w:val="0"/>
                <w:color w:val="auto"/>
                <w:kern w:val="28"/>
                <w:sz w:val="24"/>
                <w:szCs w:val="22"/>
                <w:highlight w:val="none"/>
              </w:rPr>
              <w:t>①</w:t>
            </w:r>
            <w:r>
              <w:rPr>
                <w:rFonts w:hint="eastAsia" w:ascii="仿宋" w:hAnsi="仿宋" w:eastAsia="仿宋" w:cs="仿宋"/>
                <w:color w:val="auto"/>
                <w:kern w:val="2"/>
                <w:sz w:val="24"/>
                <w:szCs w:val="24"/>
                <w:highlight w:val="none"/>
                <w:lang w:val="en-US" w:eastAsia="zh-CN" w:bidi="ar-SA"/>
              </w:rPr>
              <w:t>按代理协议约定的内容，中标人需支付以下费用，根据项目的中标金额，采用差额定率累进法下浮40%进行计算，其他费用按实结算，具体费率标准如下，请在投标报价中自行考虑：</w:t>
            </w:r>
          </w:p>
          <w:tbl>
            <w:tblPr>
              <w:tblStyle w:val="80"/>
              <w:tblW w:w="69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9"/>
              <w:gridCol w:w="2020"/>
              <w:gridCol w:w="1889"/>
            </w:tblGrid>
            <w:tr w14:paraId="436A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304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81FCF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采购类型金额（万元）        </w:t>
                  </w:r>
                </w:p>
              </w:tc>
              <w:tc>
                <w:tcPr>
                  <w:tcW w:w="2020" w:type="dxa"/>
                  <w:tcBorders>
                    <w:top w:val="single" w:color="000000" w:sz="4" w:space="0"/>
                    <w:left w:val="single" w:color="000000" w:sz="4" w:space="0"/>
                    <w:bottom w:val="single" w:color="000000" w:sz="4" w:space="0"/>
                    <w:right w:val="single" w:color="000000" w:sz="4" w:space="0"/>
                  </w:tcBorders>
                  <w:noWrap/>
                  <w:vAlign w:val="center"/>
                </w:tcPr>
                <w:p w14:paraId="34A576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89" w:type="dxa"/>
                  <w:tcBorders>
                    <w:top w:val="single" w:color="000000" w:sz="4" w:space="0"/>
                    <w:left w:val="single" w:color="000000" w:sz="4" w:space="0"/>
                    <w:bottom w:val="single" w:color="000000" w:sz="4" w:space="0"/>
                    <w:right w:val="single" w:color="000000" w:sz="4" w:space="0"/>
                  </w:tcBorders>
                  <w:noWrap/>
                  <w:vAlign w:val="center"/>
                </w:tcPr>
                <w:p w14:paraId="4ADD25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1576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049" w:type="dxa"/>
                  <w:tcBorders>
                    <w:top w:val="single" w:color="000000" w:sz="4" w:space="0"/>
                    <w:left w:val="single" w:color="000000" w:sz="4" w:space="0"/>
                    <w:bottom w:val="single" w:color="000000" w:sz="4" w:space="0"/>
                    <w:right w:val="single" w:color="000000" w:sz="4" w:space="0"/>
                  </w:tcBorders>
                  <w:noWrap/>
                  <w:vAlign w:val="center"/>
                </w:tcPr>
                <w:p w14:paraId="16ED38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020" w:type="dxa"/>
                  <w:tcBorders>
                    <w:top w:val="single" w:color="000000" w:sz="4" w:space="0"/>
                    <w:left w:val="single" w:color="000000" w:sz="4" w:space="0"/>
                    <w:bottom w:val="single" w:color="000000" w:sz="4" w:space="0"/>
                    <w:right w:val="single" w:color="000000" w:sz="4" w:space="0"/>
                  </w:tcBorders>
                  <w:noWrap/>
                  <w:vAlign w:val="center"/>
                </w:tcPr>
                <w:p w14:paraId="5FC671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89" w:type="dxa"/>
                  <w:tcBorders>
                    <w:top w:val="single" w:color="000000" w:sz="4" w:space="0"/>
                    <w:left w:val="single" w:color="000000" w:sz="4" w:space="0"/>
                    <w:bottom w:val="single" w:color="000000" w:sz="4" w:space="0"/>
                    <w:right w:val="single" w:color="000000" w:sz="4" w:space="0"/>
                  </w:tcBorders>
                  <w:noWrap/>
                  <w:vAlign w:val="center"/>
                </w:tcPr>
                <w:p w14:paraId="14C4D4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696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049" w:type="dxa"/>
                  <w:tcBorders>
                    <w:top w:val="single" w:color="000000" w:sz="4" w:space="0"/>
                    <w:left w:val="single" w:color="000000" w:sz="4" w:space="0"/>
                    <w:bottom w:val="single" w:color="000000" w:sz="4" w:space="0"/>
                    <w:right w:val="single" w:color="000000" w:sz="4" w:space="0"/>
                  </w:tcBorders>
                  <w:noWrap/>
                  <w:vAlign w:val="center"/>
                </w:tcPr>
                <w:p w14:paraId="25E7F0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020" w:type="dxa"/>
                  <w:tcBorders>
                    <w:top w:val="single" w:color="000000" w:sz="4" w:space="0"/>
                    <w:left w:val="single" w:color="000000" w:sz="4" w:space="0"/>
                    <w:bottom w:val="single" w:color="000000" w:sz="4" w:space="0"/>
                    <w:right w:val="single" w:color="000000" w:sz="4" w:space="0"/>
                  </w:tcBorders>
                  <w:noWrap/>
                  <w:vAlign w:val="center"/>
                </w:tcPr>
                <w:p w14:paraId="31490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89" w:type="dxa"/>
                  <w:tcBorders>
                    <w:top w:val="single" w:color="000000" w:sz="4" w:space="0"/>
                    <w:left w:val="single" w:color="000000" w:sz="4" w:space="0"/>
                    <w:bottom w:val="single" w:color="000000" w:sz="4" w:space="0"/>
                    <w:right w:val="single" w:color="000000" w:sz="4" w:space="0"/>
                  </w:tcBorders>
                  <w:noWrap/>
                  <w:vAlign w:val="center"/>
                </w:tcPr>
                <w:p w14:paraId="44146B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0160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49" w:type="dxa"/>
                  <w:tcBorders>
                    <w:top w:val="single" w:color="000000" w:sz="4" w:space="0"/>
                    <w:left w:val="single" w:color="000000" w:sz="4" w:space="0"/>
                    <w:bottom w:val="single" w:color="000000" w:sz="4" w:space="0"/>
                    <w:right w:val="single" w:color="000000" w:sz="4" w:space="0"/>
                  </w:tcBorders>
                  <w:noWrap/>
                  <w:vAlign w:val="center"/>
                </w:tcPr>
                <w:p w14:paraId="45E20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2020" w:type="dxa"/>
                  <w:tcBorders>
                    <w:top w:val="single" w:color="000000" w:sz="4" w:space="0"/>
                    <w:left w:val="single" w:color="000000" w:sz="4" w:space="0"/>
                    <w:bottom w:val="single" w:color="000000" w:sz="4" w:space="0"/>
                    <w:right w:val="single" w:color="000000" w:sz="4" w:space="0"/>
                  </w:tcBorders>
                  <w:noWrap/>
                  <w:vAlign w:val="center"/>
                </w:tcPr>
                <w:p w14:paraId="429780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889" w:type="dxa"/>
                  <w:tcBorders>
                    <w:top w:val="single" w:color="000000" w:sz="4" w:space="0"/>
                    <w:left w:val="single" w:color="000000" w:sz="4" w:space="0"/>
                    <w:bottom w:val="single" w:color="000000" w:sz="4" w:space="0"/>
                    <w:right w:val="single" w:color="000000" w:sz="4" w:space="0"/>
                  </w:tcBorders>
                  <w:noWrap/>
                  <w:vAlign w:val="center"/>
                </w:tcPr>
                <w:p w14:paraId="43E843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2C68BCF3">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②中标服务费的交纳方式：</w:t>
            </w:r>
          </w:p>
          <w:p w14:paraId="2668F6F4">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用银行支票、汇票、电汇、现金等付款方式直接交纳中标服务费。</w:t>
            </w:r>
          </w:p>
          <w:p w14:paraId="217EBB81">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eastAsia="zh-CN"/>
              </w:rPr>
              <w:t>绍兴市文汇项目管理有限公司</w:t>
            </w:r>
          </w:p>
          <w:p w14:paraId="2689AC7E">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开户行：工商银行嵊州支行</w:t>
            </w:r>
          </w:p>
          <w:p w14:paraId="62B8FBA1">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号：1211026009200820957</w:t>
            </w:r>
          </w:p>
        </w:tc>
      </w:tr>
      <w:tr w14:paraId="0AD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32" w:type="dxa"/>
            <w:noWrap w:val="0"/>
            <w:vAlign w:val="center"/>
          </w:tcPr>
          <w:p w14:paraId="68BC1D9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w:t>
            </w:r>
          </w:p>
        </w:tc>
        <w:tc>
          <w:tcPr>
            <w:tcW w:w="1788" w:type="dxa"/>
            <w:noWrap w:val="0"/>
            <w:vAlign w:val="center"/>
          </w:tcPr>
          <w:p w14:paraId="0B7873E0">
            <w:pPr>
              <w:pStyle w:val="293"/>
              <w:keepNext w:val="0"/>
              <w:keepLines w:val="0"/>
              <w:widowControl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解释</w:t>
            </w:r>
          </w:p>
        </w:tc>
        <w:tc>
          <w:tcPr>
            <w:tcW w:w="7412" w:type="dxa"/>
            <w:noWrap w:val="0"/>
            <w:vAlign w:val="center"/>
          </w:tcPr>
          <w:p w14:paraId="740AE34D">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凡涉及本采购文件的解释权属于采购人</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代理</w:t>
            </w:r>
            <w:r>
              <w:rPr>
                <w:rFonts w:hint="eastAsia" w:ascii="仿宋" w:hAnsi="仿宋" w:eastAsia="仿宋" w:cs="仿宋"/>
                <w:color w:val="auto"/>
                <w:sz w:val="24"/>
                <w:szCs w:val="24"/>
                <w:highlight w:val="none"/>
              </w:rPr>
              <w:t>机构。</w:t>
            </w:r>
          </w:p>
        </w:tc>
      </w:tr>
      <w:tr w14:paraId="28D9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32" w:type="dxa"/>
            <w:gridSpan w:val="3"/>
            <w:noWrap w:val="0"/>
            <w:vAlign w:val="center"/>
          </w:tcPr>
          <w:p w14:paraId="6361EDE4">
            <w:pPr>
              <w:pStyle w:val="293"/>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注：中标人放弃中标资格或因质疑、投诉被取消预中标资格或不能履行合同的，</w:t>
            </w:r>
            <w:r>
              <w:rPr>
                <w:rFonts w:hint="eastAsia" w:ascii="仿宋" w:hAnsi="仿宋" w:eastAsia="仿宋" w:cs="仿宋"/>
                <w:color w:val="auto"/>
                <w:sz w:val="24"/>
                <w:szCs w:val="24"/>
                <w:highlight w:val="none"/>
                <w:lang w:val="en-US" w:eastAsia="zh-CN"/>
              </w:rPr>
              <w:t>本项目组织</w:t>
            </w:r>
            <w:r>
              <w:rPr>
                <w:rFonts w:hint="eastAsia" w:ascii="仿宋" w:hAnsi="仿宋" w:eastAsia="仿宋" w:cs="仿宋"/>
                <w:color w:val="auto"/>
                <w:sz w:val="24"/>
                <w:szCs w:val="24"/>
                <w:highlight w:val="none"/>
              </w:rPr>
              <w:t>重新招标。</w:t>
            </w:r>
          </w:p>
        </w:tc>
      </w:tr>
    </w:tbl>
    <w:p w14:paraId="5B4BD27D">
      <w:pPr>
        <w:pStyle w:val="4"/>
        <w:spacing w:line="460" w:lineRule="exact"/>
        <w:jc w:val="center"/>
        <w:rPr>
          <w:rFonts w:hint="eastAsia" w:ascii="仿宋" w:hAnsi="仿宋" w:eastAsia="仿宋" w:cs="仿宋"/>
          <w:color w:val="auto"/>
          <w:sz w:val="32"/>
          <w:szCs w:val="32"/>
          <w:highlight w:val="none"/>
        </w:rPr>
      </w:pPr>
      <w:bookmarkStart w:id="63" w:name="_Toc54978890"/>
      <w:r>
        <w:rPr>
          <w:rFonts w:hint="eastAsia" w:ascii="仿宋" w:hAnsi="仿宋" w:eastAsia="仿宋" w:cs="仿宋"/>
          <w:color w:val="auto"/>
          <w:sz w:val="32"/>
          <w:szCs w:val="32"/>
          <w:highlight w:val="none"/>
        </w:rPr>
        <w:t>二、</w:t>
      </w:r>
      <w:bookmarkEnd w:id="60"/>
      <w:bookmarkEnd w:id="61"/>
      <w:r>
        <w:rPr>
          <w:rFonts w:hint="eastAsia" w:ascii="仿宋" w:hAnsi="仿宋" w:eastAsia="仿宋" w:cs="仿宋"/>
          <w:color w:val="auto"/>
          <w:sz w:val="32"/>
          <w:szCs w:val="32"/>
          <w:highlight w:val="none"/>
        </w:rPr>
        <w:t>总则</w:t>
      </w:r>
      <w:bookmarkEnd w:id="62"/>
      <w:bookmarkEnd w:id="63"/>
    </w:p>
    <w:p w14:paraId="42E688C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bookmarkStart w:id="64" w:name="_Toc82873323"/>
      <w:bookmarkStart w:id="65" w:name="_Toc82338240"/>
      <w:r>
        <w:rPr>
          <w:rFonts w:hint="eastAsia" w:ascii="仿宋" w:hAnsi="仿宋" w:eastAsia="仿宋" w:cs="仿宋"/>
          <w:color w:val="auto"/>
          <w:sz w:val="24"/>
          <w:szCs w:val="24"/>
          <w:highlight w:val="none"/>
        </w:rPr>
        <w:t>1、实施依据</w:t>
      </w:r>
    </w:p>
    <w:p w14:paraId="5A6ADB0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本次招标工作是按照</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嵊州市市属国有企业货物和服务采购管理办法</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等招标投标有关法律、法规、规章、文件的规定组织和实施。</w:t>
      </w:r>
    </w:p>
    <w:p w14:paraId="61C02CB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2、定义</w:t>
      </w:r>
    </w:p>
    <w:p w14:paraId="4329EF3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“采购人”系指采购公告中载明的本项目的采购人。</w:t>
      </w:r>
    </w:p>
    <w:p w14:paraId="16E2920B">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“采购机构”系指采购公告中载明的本项目的采购代理机构。</w:t>
      </w:r>
    </w:p>
    <w:p w14:paraId="589E5BA8">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”系指是指响应招标、参加投标竞争的法人、其他组织或者自然人。</w:t>
      </w:r>
    </w:p>
    <w:p w14:paraId="1305E5B8">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2B41AF2D">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5445E0B">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2.6“电子交易平台”是指本项目采购活动所依托的</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（https://</w:t>
      </w:r>
      <w:r>
        <w:rPr>
          <w:rFonts w:hint="eastAsia" w:ascii="仿宋" w:hAnsi="仿宋" w:eastAsia="仿宋" w:cs="仿宋"/>
          <w:color w:val="auto"/>
          <w:sz w:val="24"/>
          <w:szCs w:val="24"/>
          <w:highlight w:val="none"/>
          <w:lang w:eastAsia="zh-CN"/>
        </w:rPr>
        <w:t>www.lecaiyun.com</w:t>
      </w:r>
      <w:r>
        <w:rPr>
          <w:rFonts w:hint="eastAsia" w:ascii="仿宋" w:hAnsi="仿宋" w:eastAsia="仿宋" w:cs="仿宋"/>
          <w:color w:val="auto"/>
          <w:sz w:val="24"/>
          <w:szCs w:val="24"/>
          <w:highlight w:val="none"/>
        </w:rPr>
        <w:t>/）。</w:t>
      </w:r>
    </w:p>
    <w:p w14:paraId="7E2B301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系指实质性指标要求条款，“▲”系指主要性能指标要求条款。如任意一条打“★”的指标出现负偏离视为实质性不响应招标文件要求，作无效投标处理；如任意一条打“▲”的指标出现负偏离按评分标准规定处理。</w:t>
      </w:r>
    </w:p>
    <w:p w14:paraId="0F5479E1">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14:paraId="70BEB99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投标联合体：是指两个以上供应商组成联合体，以一个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的身份参加投标；</w:t>
      </w:r>
    </w:p>
    <w:p w14:paraId="3A27AC2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货物和服务：是指按采购文件要求的货物和服务；</w:t>
      </w:r>
    </w:p>
    <w:p w14:paraId="2E9A896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须知前附表规定接受联合体投标的，应遵守以下规定：</w:t>
      </w:r>
      <w:r>
        <w:rPr>
          <w:rFonts w:hint="eastAsia" w:ascii="仿宋" w:hAnsi="仿宋" w:eastAsia="仿宋" w:cs="仿宋"/>
          <w:b/>
          <w:color w:val="auto"/>
          <w:sz w:val="24"/>
          <w:szCs w:val="24"/>
          <w:highlight w:val="none"/>
        </w:rPr>
        <w:t>（本项目不适用）</w:t>
      </w:r>
    </w:p>
    <w:p w14:paraId="383E795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两个以上供应商可以组成一个联合体，以一个供应商的身份共同参加投标；</w:t>
      </w:r>
    </w:p>
    <w:p w14:paraId="1440818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组成联合体参加本项目投标的，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须在购买采购文件时向采购代理机构作出相关书面说明，否则投标无效；</w:t>
      </w:r>
    </w:p>
    <w:p w14:paraId="51AA2948">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以联合体形式参加本项目投标的，联合体各方中至少应当有一方符合采购人规定的特定条件，但同一专业的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组成的联合体以资质最低的一方为依据；</w:t>
      </w:r>
    </w:p>
    <w:p w14:paraId="0FAFDD3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3A4EAAA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联合体各方签订投标联合协议后，不得再以自己名义单独在本项目中参加投标，也不得组成新的联合体参加本项目投标；</w:t>
      </w:r>
    </w:p>
    <w:p w14:paraId="29E5B42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联合体各方共同与采购人签订采购合同，就采购合同约定的事项对采购人承担连带责任；</w:t>
      </w:r>
    </w:p>
    <w:p w14:paraId="2250EA9A">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4、费用</w:t>
      </w:r>
    </w:p>
    <w:p w14:paraId="392695B5">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无论招投标过程中的做法和结果如何，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自行承担招投标活动中所发生的全部费用。</w:t>
      </w:r>
    </w:p>
    <w:p w14:paraId="5A9ABA2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5、保密</w:t>
      </w:r>
    </w:p>
    <w:p w14:paraId="03F15F7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参与招标投标活动的各方应对采购文件和投标文件中的商业和技术等秘密保密，违者应对此造成的后果承担法律责任。</w:t>
      </w:r>
    </w:p>
    <w:p w14:paraId="6AFEA11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6、语言文字</w:t>
      </w:r>
    </w:p>
    <w:p w14:paraId="568291B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除专用术语外，与招标投标有关的语言使用中文。专用术语应附有中文注释。</w:t>
      </w:r>
    </w:p>
    <w:p w14:paraId="2B43448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7、计量单位</w:t>
      </w:r>
    </w:p>
    <w:p w14:paraId="0CEACED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0F4EDA8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8、踏勘现场</w:t>
      </w:r>
    </w:p>
    <w:p w14:paraId="4ED59FC2">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须知前附表规定组织踏勘现场的，采购人按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须知前附表规定的时间、地点组织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踏勘项目现场。</w:t>
      </w:r>
    </w:p>
    <w:p w14:paraId="5644785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踏勘现场发生的费用自理。</w:t>
      </w:r>
    </w:p>
    <w:p w14:paraId="2EBE29E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8.3除采购人的原因外，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自行负责在踏勘现场中所发生的人员伤亡和财产损失。</w:t>
      </w:r>
    </w:p>
    <w:p w14:paraId="061CF53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8.4采购人在踏勘现场中介绍的场地和相关的周边环境情况，供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在编制投标文件时参考，采购人不对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据此作出的判断和决策负责。</w:t>
      </w:r>
    </w:p>
    <w:p w14:paraId="53EA022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9、答疑会</w:t>
      </w:r>
    </w:p>
    <w:p w14:paraId="1026BCA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须知前附表规定召开答疑会的，采购人按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须知前附表规定的时间和地点召开答疑会，澄清</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提出的问题。</w:t>
      </w:r>
    </w:p>
    <w:p w14:paraId="28EB70D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应在答疑会时间的前一天，以书面形式将提出的问题送达采购人，以便采购人在会议期间澄清。</w:t>
      </w:r>
    </w:p>
    <w:p w14:paraId="6B871CD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9.3答疑会后，采购人按本章3.4款规定对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所提问题进行澄清答复。</w:t>
      </w:r>
    </w:p>
    <w:p w14:paraId="04E1471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10、转包与分包</w:t>
      </w:r>
    </w:p>
    <w:p w14:paraId="7B21E47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本项目不允许转包及分包。</w:t>
      </w:r>
    </w:p>
    <w:p w14:paraId="25B22E6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11、偏离</w:t>
      </w:r>
    </w:p>
    <w:p w14:paraId="3871F24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投标文件应完全响应采购文件规定的实质性内容和条件。</w:t>
      </w:r>
    </w:p>
    <w:p w14:paraId="738C400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12、其他</w:t>
      </w:r>
    </w:p>
    <w:p w14:paraId="3FC7267E">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12.1★</w:t>
      </w:r>
      <w:r>
        <w:rPr>
          <w:rFonts w:hint="eastAsia" w:ascii="仿宋" w:hAnsi="仿宋" w:eastAsia="仿宋" w:cs="仿宋"/>
          <w:b/>
          <w:bCs/>
          <w:color w:val="auto"/>
          <w:sz w:val="24"/>
          <w:szCs w:val="24"/>
          <w:highlight w:val="none"/>
          <w:u w:val="single"/>
          <w:lang w:eastAsia="zh-CN"/>
        </w:rPr>
        <w:t>供应商</w:t>
      </w:r>
      <w:r>
        <w:rPr>
          <w:rFonts w:hint="eastAsia" w:ascii="仿宋" w:hAnsi="仿宋" w:eastAsia="仿宋" w:cs="仿宋"/>
          <w:b/>
          <w:bCs/>
          <w:color w:val="auto"/>
          <w:sz w:val="24"/>
          <w:szCs w:val="24"/>
          <w:highlight w:val="none"/>
          <w:u w:val="single"/>
        </w:rPr>
        <w:t>对所投标项内的产品或服务必须按采购数量全部进行报价。</w:t>
      </w:r>
    </w:p>
    <w:p w14:paraId="23264A8C">
      <w:pPr>
        <w:pageBreakBefore w:val="0"/>
        <w:kinsoku/>
        <w:wordWrap/>
        <w:overflowPunct/>
        <w:topLinePunct w:val="0"/>
        <w:bidi w:val="0"/>
        <w:adjustRightInd/>
        <w:spacing w:line="460" w:lineRule="exact"/>
        <w:ind w:firstLine="420"/>
        <w:textAlignment w:val="auto"/>
        <w:rPr>
          <w:rFonts w:hint="eastAsia" w:ascii="仿宋" w:hAnsi="仿宋" w:eastAsia="仿宋" w:cs="仿宋"/>
          <w:b/>
          <w:bCs w:val="0"/>
          <w:color w:val="auto"/>
          <w:sz w:val="24"/>
          <w:szCs w:val="24"/>
          <w:highlight w:val="none"/>
          <w:u w:val="singl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2</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提供相同品牌产品且通过资格审查、符合性审查的不同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参加同一合同项下投标的，按一家</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计算，评审后得分最高的同品牌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获得中标人推荐资格；评审得分相同的，由采购人或者采购人委托评标委员会按照</w:t>
      </w:r>
      <w:r>
        <w:rPr>
          <w:rFonts w:hint="eastAsia" w:ascii="仿宋" w:hAnsi="仿宋" w:eastAsia="仿宋" w:cs="仿宋"/>
          <w:b/>
          <w:bCs w:val="0"/>
          <w:color w:val="auto"/>
          <w:sz w:val="24"/>
          <w:szCs w:val="24"/>
          <w:highlight w:val="none"/>
          <w:u w:val="single"/>
          <w:lang w:val="en-US" w:eastAsia="zh-CN"/>
        </w:rPr>
        <w:t>招标</w:t>
      </w:r>
      <w:r>
        <w:rPr>
          <w:rFonts w:hint="eastAsia" w:ascii="仿宋" w:hAnsi="仿宋" w:eastAsia="仿宋" w:cs="仿宋"/>
          <w:b/>
          <w:bCs w:val="0"/>
          <w:color w:val="auto"/>
          <w:sz w:val="24"/>
          <w:szCs w:val="24"/>
          <w:highlight w:val="none"/>
          <w:u w:val="single"/>
        </w:rPr>
        <w:t>文件规定的方式确定一个</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获得中标人推荐资格，</w:t>
      </w:r>
      <w:r>
        <w:rPr>
          <w:rFonts w:hint="eastAsia" w:ascii="仿宋" w:hAnsi="仿宋" w:eastAsia="仿宋" w:cs="仿宋"/>
          <w:b/>
          <w:bCs w:val="0"/>
          <w:color w:val="auto"/>
          <w:sz w:val="24"/>
          <w:szCs w:val="24"/>
          <w:highlight w:val="none"/>
          <w:u w:val="single"/>
          <w:lang w:val="en-US" w:eastAsia="zh-CN"/>
        </w:rPr>
        <w:t>招标</w:t>
      </w:r>
      <w:r>
        <w:rPr>
          <w:rFonts w:hint="eastAsia" w:ascii="仿宋" w:hAnsi="仿宋" w:eastAsia="仿宋" w:cs="仿宋"/>
          <w:b/>
          <w:bCs w:val="0"/>
          <w:color w:val="auto"/>
          <w:sz w:val="24"/>
          <w:szCs w:val="24"/>
          <w:highlight w:val="none"/>
          <w:u w:val="single"/>
        </w:rPr>
        <w:t>文件未规定的采取随机抽取方式确定，其他同品牌</w:t>
      </w:r>
      <w:r>
        <w:rPr>
          <w:rFonts w:hint="eastAsia" w:ascii="仿宋" w:hAnsi="仿宋" w:eastAsia="仿宋" w:cs="仿宋"/>
          <w:b/>
          <w:bCs w:val="0"/>
          <w:color w:val="auto"/>
          <w:sz w:val="24"/>
          <w:szCs w:val="24"/>
          <w:highlight w:val="none"/>
          <w:u w:val="single"/>
          <w:lang w:eastAsia="zh-CN"/>
        </w:rPr>
        <w:t>供应商</w:t>
      </w:r>
      <w:r>
        <w:rPr>
          <w:rFonts w:hint="eastAsia" w:ascii="仿宋" w:hAnsi="仿宋" w:eastAsia="仿宋" w:cs="仿宋"/>
          <w:b/>
          <w:bCs w:val="0"/>
          <w:color w:val="auto"/>
          <w:sz w:val="24"/>
          <w:szCs w:val="24"/>
          <w:highlight w:val="none"/>
          <w:u w:val="single"/>
        </w:rPr>
        <w:t>不作为中标候选人。</w:t>
      </w:r>
    </w:p>
    <w:p w14:paraId="4FD24E3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u w:val="none"/>
          <w:lang w:val="en-US" w:eastAsia="zh-CN"/>
        </w:rPr>
        <w:t>12.3</w:t>
      </w:r>
      <w:r>
        <w:rPr>
          <w:rFonts w:hint="eastAsia" w:ascii="仿宋" w:hAnsi="仿宋" w:eastAsia="仿宋" w:cs="仿宋"/>
          <w:color w:val="auto"/>
          <w:sz w:val="24"/>
          <w:szCs w:val="24"/>
          <w:highlight w:val="none"/>
        </w:rPr>
        <w:t>投标截止后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不足3家或者通过资格审查或符合性审查的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不足3家的，除采购任务取消情形外，按照以下方式处理：采购文件存在不合理条款或者招标程序不符合规定的，采购人、采购代理机构改正后依法重新招标；</w:t>
      </w:r>
    </w:p>
    <w:p w14:paraId="6859A065">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4</w:t>
      </w:r>
      <w:r>
        <w:rPr>
          <w:rFonts w:hint="eastAsia" w:ascii="仿宋" w:hAnsi="仿宋" w:eastAsia="仿宋" w:cs="仿宋"/>
          <w:bCs/>
          <w:color w:val="auto"/>
          <w:sz w:val="24"/>
          <w:szCs w:val="24"/>
          <w:highlight w:val="none"/>
        </w:rPr>
        <w:t>采购文件中如有描述歧义或前后不一致的地方，评标委员会有权按公平、合理的原则进行评判，但对同一条款的评判适用于每个</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p>
    <w:p w14:paraId="38FEA3F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投标文件的响应内容必须真实、明确、准确。否则，评标委员会将对其作出不利的评审。</w:t>
      </w:r>
    </w:p>
    <w:p w14:paraId="309E29D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乙</w:t>
      </w:r>
      <w:r>
        <w:rPr>
          <w:rFonts w:hint="eastAsia" w:ascii="仿宋" w:hAnsi="仿宋" w:eastAsia="仿宋" w:cs="仿宋"/>
          <w:color w:val="auto"/>
          <w:sz w:val="24"/>
          <w:szCs w:val="24"/>
          <w:highlight w:val="none"/>
        </w:rPr>
        <w:t>方为履行合同引起的相关人员的差旅费、食宿费以及其它不可预知的费用由乙方自理。合同实施过程中，须与甲</w:t>
      </w:r>
      <w:r>
        <w:rPr>
          <w:rFonts w:hint="eastAsia" w:ascii="仿宋" w:hAnsi="仿宋" w:eastAsia="仿宋" w:cs="仿宋"/>
          <w:color w:val="auto"/>
          <w:sz w:val="24"/>
          <w:szCs w:val="24"/>
          <w:highlight w:val="none"/>
          <w:lang w:eastAsia="zh-CN"/>
        </w:rPr>
        <w:t>、丙双</w:t>
      </w:r>
      <w:r>
        <w:rPr>
          <w:rFonts w:hint="eastAsia" w:ascii="仿宋" w:hAnsi="仿宋" w:eastAsia="仿宋" w:cs="仿宋"/>
          <w:color w:val="auto"/>
          <w:sz w:val="24"/>
          <w:szCs w:val="24"/>
          <w:highlight w:val="none"/>
        </w:rPr>
        <w:t>方积极配合。</w:t>
      </w:r>
    </w:p>
    <w:p w14:paraId="0B9DFE9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12.7项目资金已落实。</w:t>
      </w:r>
    </w:p>
    <w:p w14:paraId="0B4D4F5F">
      <w:pPr>
        <w:pStyle w:val="4"/>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highlight w:val="none"/>
          <w:lang w:eastAsia="zh-CN"/>
        </w:rPr>
      </w:pPr>
      <w:bookmarkStart w:id="66" w:name="_Toc35261572"/>
      <w:bookmarkStart w:id="67" w:name="_Toc54978891"/>
      <w:r>
        <w:rPr>
          <w:rFonts w:hint="eastAsia" w:ascii="仿宋" w:hAnsi="仿宋" w:eastAsia="仿宋" w:cs="仿宋"/>
          <w:color w:val="auto"/>
          <w:sz w:val="32"/>
          <w:szCs w:val="32"/>
          <w:highlight w:val="none"/>
        </w:rPr>
        <w:t>三、采购文件</w:t>
      </w:r>
      <w:bookmarkEnd w:id="64"/>
      <w:bookmarkEnd w:id="65"/>
      <w:bookmarkEnd w:id="66"/>
      <w:bookmarkEnd w:id="67"/>
      <w:r>
        <w:rPr>
          <w:rFonts w:hint="eastAsia" w:ascii="仿宋" w:hAnsi="仿宋" w:eastAsia="仿宋" w:cs="仿宋"/>
          <w:color w:val="auto"/>
          <w:sz w:val="32"/>
          <w:szCs w:val="32"/>
          <w:highlight w:val="none"/>
          <w:lang w:eastAsia="zh-CN"/>
        </w:rPr>
        <w:t>的构成、澄清、修改</w:t>
      </w:r>
    </w:p>
    <w:p w14:paraId="389758FF">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bookmarkStart w:id="68" w:name="_Toc82873324"/>
      <w:bookmarkStart w:id="69" w:name="_Toc82338241"/>
      <w:r>
        <w:rPr>
          <w:rFonts w:hint="eastAsia" w:ascii="仿宋" w:hAnsi="仿宋" w:eastAsia="仿宋" w:cs="仿宋"/>
          <w:b/>
          <w:bCs/>
          <w:color w:val="auto"/>
          <w:sz w:val="24"/>
          <w:szCs w:val="24"/>
          <w:highlight w:val="none"/>
        </w:rPr>
        <w:t>3.1、采购文件组成</w:t>
      </w:r>
    </w:p>
    <w:p w14:paraId="3CA216A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3.1.1第一章 </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公告</w:t>
      </w:r>
    </w:p>
    <w:p w14:paraId="293E969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3.1.2第二章 投标须知</w:t>
      </w:r>
    </w:p>
    <w:p w14:paraId="47F93C5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3.1.3第三章 项目招标范围及</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要求</w:t>
      </w:r>
    </w:p>
    <w:p w14:paraId="724179F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3.1.4第四章 评标办法</w:t>
      </w:r>
    </w:p>
    <w:p w14:paraId="620F5B5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3.1.5第五章 </w:t>
      </w:r>
      <w:r>
        <w:rPr>
          <w:rFonts w:hint="eastAsia" w:ascii="仿宋" w:hAnsi="仿宋" w:eastAsia="仿宋" w:cs="仿宋"/>
          <w:color w:val="auto"/>
          <w:sz w:val="24"/>
          <w:szCs w:val="24"/>
          <w:highlight w:val="none"/>
          <w:lang w:val="en-US" w:eastAsia="zh-CN"/>
        </w:rPr>
        <w:t>拟签订合同范本</w:t>
      </w:r>
    </w:p>
    <w:p w14:paraId="127BC17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3.1.6第六章 投标文件格式</w:t>
      </w:r>
      <w:r>
        <w:rPr>
          <w:rFonts w:hint="eastAsia" w:ascii="仿宋" w:hAnsi="仿宋" w:eastAsia="仿宋" w:cs="仿宋"/>
          <w:color w:val="auto"/>
          <w:sz w:val="24"/>
          <w:szCs w:val="24"/>
          <w:highlight w:val="none"/>
          <w:lang w:val="en-US" w:eastAsia="zh-CN"/>
        </w:rPr>
        <w:t>及其附件</w:t>
      </w:r>
      <w:r>
        <w:rPr>
          <w:rFonts w:hint="eastAsia" w:ascii="仿宋" w:hAnsi="仿宋" w:eastAsia="仿宋" w:cs="仿宋"/>
          <w:color w:val="auto"/>
          <w:sz w:val="24"/>
          <w:szCs w:val="24"/>
          <w:highlight w:val="none"/>
        </w:rPr>
        <w:t>格式</w:t>
      </w:r>
    </w:p>
    <w:p w14:paraId="715D69A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3.1.7补充文件（如有）</w:t>
      </w:r>
    </w:p>
    <w:p w14:paraId="1755074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与本项目有关的</w:t>
      </w:r>
      <w:r>
        <w:rPr>
          <w:rFonts w:hint="eastAsia" w:ascii="仿宋" w:hAnsi="仿宋" w:eastAsia="仿宋" w:cs="仿宋"/>
          <w:bCs/>
          <w:color w:val="auto"/>
          <w:sz w:val="24"/>
          <w:szCs w:val="24"/>
          <w:highlight w:val="none"/>
        </w:rPr>
        <w:t>澄清或者修改的内容为采购文件的组成部分</w:t>
      </w:r>
      <w:r>
        <w:rPr>
          <w:rFonts w:hint="eastAsia" w:ascii="仿宋" w:hAnsi="仿宋" w:eastAsia="仿宋" w:cs="仿宋"/>
          <w:color w:val="auto"/>
          <w:sz w:val="24"/>
          <w:szCs w:val="24"/>
          <w:highlight w:val="none"/>
        </w:rPr>
        <w:t>。</w:t>
      </w:r>
    </w:p>
    <w:p w14:paraId="5395FEC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采购文件的解释权归采购组织机构所有。</w:t>
      </w:r>
    </w:p>
    <w:p w14:paraId="59AEB6A5">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、采购文件的澄清</w:t>
      </w:r>
    </w:p>
    <w:p w14:paraId="2FDED15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在获取采购文件后，若有问题需要澄清或认为有必要与采购人进行技术交流，应于前附表规定的时间前，将问题发电子邮件至</w:t>
      </w:r>
      <w:r>
        <w:rPr>
          <w:rFonts w:hint="eastAsia" w:ascii="仿宋" w:hAnsi="仿宋" w:eastAsia="仿宋" w:cs="仿宋"/>
          <w:color w:val="auto"/>
          <w:sz w:val="24"/>
          <w:szCs w:val="24"/>
          <w:highlight w:val="none"/>
          <w:lang w:eastAsia="zh-CN"/>
        </w:rPr>
        <w:t>984537027</w:t>
      </w:r>
      <w:r>
        <w:rPr>
          <w:rFonts w:hint="eastAsia" w:ascii="仿宋" w:hAnsi="仿宋" w:eastAsia="仿宋" w:cs="仿宋"/>
          <w:color w:val="auto"/>
          <w:sz w:val="24"/>
          <w:szCs w:val="24"/>
          <w:highlight w:val="none"/>
        </w:rPr>
        <w:t>@qq.com（电子邮件与书面文件有不一致的，以书面文件为准）。截止期后的疑问将不予受理、答复。</w:t>
      </w:r>
    </w:p>
    <w:p w14:paraId="30599F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要求解释或澄清的问题应以书面形式送达，并加盖公章、写明日期。</w:t>
      </w:r>
    </w:p>
    <w:p w14:paraId="72F1EE9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 所有要求解释或澄清的问题都予以解答，答疑内容与补充内容以更正（澄清）公告形式告知所有购买采购文件的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042F9F74">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、采购文件的修改</w:t>
      </w:r>
    </w:p>
    <w:p w14:paraId="231B97D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；不足15日的，采购人或者采购代理机构应当顺延提交投标文件的截止时间。</w:t>
      </w:r>
    </w:p>
    <w:p w14:paraId="1CB170B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采购文件的修改将以更正（澄清）公告通知所有购买采购文件的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应及时关注浙江政府采购网、</w:t>
      </w:r>
      <w:r>
        <w:rPr>
          <w:rFonts w:hint="eastAsia" w:ascii="仿宋" w:hAnsi="仿宋" w:eastAsia="仿宋" w:cs="仿宋"/>
          <w:color w:val="auto"/>
          <w:sz w:val="24"/>
          <w:szCs w:val="24"/>
          <w:highlight w:val="none"/>
          <w:lang w:eastAsia="zh-CN"/>
        </w:rPr>
        <w:t>嵊州市</w:t>
      </w:r>
      <w:r>
        <w:rPr>
          <w:rFonts w:hint="eastAsia" w:ascii="仿宋" w:hAnsi="仿宋" w:eastAsia="仿宋" w:cs="仿宋"/>
          <w:color w:val="auto"/>
          <w:sz w:val="24"/>
          <w:szCs w:val="24"/>
          <w:highlight w:val="none"/>
        </w:rPr>
        <w:t>公共资源交易网上该项目的公告信息。</w:t>
      </w:r>
    </w:p>
    <w:p w14:paraId="438DBF6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在更正（澄清）公告发布后，如果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认为编制投标文件的时间不充分的，必须在公告发布之日的24小时内通知采购人和采购代理机构。否则，视同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有充足时间编制投标文件。</w:t>
      </w:r>
    </w:p>
    <w:p w14:paraId="115229A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2BFE8BC5">
      <w:pPr>
        <w:snapToGrid w:val="0"/>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采购文件的澄清、答复、修改或补充都应该通过本代理机构以法定形式发布，除此以外的发布不属于采购文件的组成部分。</w:t>
      </w:r>
    </w:p>
    <w:bookmarkEnd w:id="68"/>
    <w:bookmarkEnd w:id="69"/>
    <w:p w14:paraId="4E7EDDF6">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70" w:name="_Toc450482498"/>
      <w:bookmarkStart w:id="71" w:name="_Toc54978892"/>
      <w:bookmarkStart w:id="72" w:name="_Toc35261573"/>
      <w:bookmarkStart w:id="73" w:name="_Toc82873325"/>
      <w:bookmarkStart w:id="74" w:name="_Toc82338242"/>
      <w:r>
        <w:rPr>
          <w:rFonts w:hint="eastAsia" w:ascii="仿宋" w:hAnsi="仿宋" w:eastAsia="仿宋" w:cs="仿宋"/>
          <w:color w:val="auto"/>
          <w:sz w:val="32"/>
          <w:szCs w:val="32"/>
          <w:highlight w:val="none"/>
        </w:rPr>
        <w:t>四、投标文件</w:t>
      </w:r>
      <w:bookmarkEnd w:id="70"/>
      <w:bookmarkEnd w:id="71"/>
      <w:bookmarkEnd w:id="72"/>
    </w:p>
    <w:p w14:paraId="50045C8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4.1、投标文件</w:t>
      </w:r>
    </w:p>
    <w:p w14:paraId="6B13F76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应仔细阅读采购文件规定的所有内容，以保证能全面准确理解采购文件，并按照采购文件要求，详细编制投标文件，投标文件内容必须针对本次招标响应。</w:t>
      </w:r>
    </w:p>
    <w:p w14:paraId="3E9713D3">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必须按采购文件的要求提供相关资料，并对采购文件中提出的所有内容要求给予实质性响应，须保证投标文件的准确、真实、明确</w:t>
      </w:r>
      <w:r>
        <w:rPr>
          <w:rFonts w:hint="eastAsia" w:ascii="仿宋" w:hAnsi="仿宋" w:eastAsia="仿宋" w:cs="仿宋"/>
          <w:bCs/>
          <w:color w:val="auto"/>
          <w:sz w:val="24"/>
          <w:szCs w:val="24"/>
          <w:highlight w:val="none"/>
        </w:rPr>
        <w:t>。投标文件响应内容对采购文件要求如有偏离均应填写偏离表，如不填写，采购人有权视作投标文件完全响应采购文件要求。</w:t>
      </w:r>
    </w:p>
    <w:p w14:paraId="6FB671A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4.2、投标文件组成</w:t>
      </w:r>
    </w:p>
    <w:p w14:paraId="0BF724B8">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4.2.1资格证明文件</w:t>
      </w:r>
    </w:p>
    <w:p w14:paraId="1BF647F4">
      <w:pPr>
        <w:pageBreakBefore w:val="0"/>
        <w:widowControl/>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14:paraId="03D2EF4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）符合参加政企采购活动应当具备的一般条件的承诺函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14:paraId="410B0FC0">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w:t>
      </w:r>
    </w:p>
    <w:p w14:paraId="09303CB7">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rPr>
        <w:t>4.2.2</w:t>
      </w:r>
      <w:r>
        <w:rPr>
          <w:rFonts w:hint="eastAsia" w:ascii="仿宋" w:hAnsi="仿宋" w:eastAsia="仿宋" w:cs="仿宋"/>
          <w:b/>
          <w:bCs w:val="0"/>
          <w:color w:val="auto"/>
          <w:sz w:val="24"/>
          <w:szCs w:val="24"/>
          <w:highlight w:val="none"/>
          <w:lang w:eastAsia="zh-CN"/>
        </w:rPr>
        <w:t>商务</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eastAsia="zh-CN"/>
        </w:rPr>
        <w:t>文件</w:t>
      </w:r>
    </w:p>
    <w:p w14:paraId="6ED8825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1）评分索引表（格式见附件）；</w:t>
      </w:r>
    </w:p>
    <w:p w14:paraId="06F864F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2）投标函（格式见附件）；</w:t>
      </w:r>
    </w:p>
    <w:p w14:paraId="0BDDC7F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3）营业执照扫描件；</w:t>
      </w:r>
    </w:p>
    <w:p w14:paraId="676D631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4）法定代表人授权委托书、法定代表人身份证扫描件、授权委托人身份证扫描件；</w:t>
      </w:r>
    </w:p>
    <w:p w14:paraId="33D9A44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评标标准相应的商务技术</w:t>
      </w:r>
      <w:r>
        <w:rPr>
          <w:rFonts w:hint="eastAsia" w:ascii="仿宋" w:hAnsi="仿宋" w:eastAsia="仿宋" w:cs="仿宋"/>
          <w:color w:val="auto"/>
          <w:sz w:val="24"/>
          <w:szCs w:val="24"/>
          <w:highlight w:val="none"/>
          <w:lang w:val="zh-CN"/>
        </w:rPr>
        <w:t>资料；</w:t>
      </w:r>
    </w:p>
    <w:p w14:paraId="6A26B1F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商务资信响应表、</w:t>
      </w:r>
      <w:r>
        <w:rPr>
          <w:rFonts w:hint="eastAsia" w:ascii="仿宋" w:hAnsi="仿宋" w:eastAsia="仿宋" w:cs="仿宋"/>
          <w:color w:val="auto"/>
          <w:sz w:val="24"/>
          <w:szCs w:val="24"/>
          <w:highlight w:val="none"/>
          <w:lang w:val="zh-CN" w:eastAsia="zh-CN"/>
        </w:rPr>
        <w:t>技术偏离</w:t>
      </w:r>
      <w:r>
        <w:rPr>
          <w:rFonts w:hint="eastAsia" w:ascii="仿宋" w:hAnsi="仿宋" w:eastAsia="仿宋" w:cs="仿宋"/>
          <w:color w:val="auto"/>
          <w:sz w:val="24"/>
          <w:szCs w:val="24"/>
          <w:highlight w:val="none"/>
          <w:lang w:val="zh-CN"/>
        </w:rPr>
        <w:t>表；</w:t>
      </w:r>
    </w:p>
    <w:p w14:paraId="2B36CA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）廉政承诺书；</w:t>
      </w:r>
    </w:p>
    <w:p w14:paraId="50F590E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）供应商认为需要提供的与投标评标有关的其他资料。</w:t>
      </w:r>
    </w:p>
    <w:p w14:paraId="1802BF3E">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4.2.3报价</w:t>
      </w:r>
      <w:r>
        <w:rPr>
          <w:rFonts w:hint="eastAsia" w:ascii="仿宋" w:hAnsi="仿宋" w:eastAsia="仿宋" w:cs="仿宋"/>
          <w:b/>
          <w:bCs/>
          <w:color w:val="auto"/>
          <w:sz w:val="24"/>
          <w:szCs w:val="24"/>
          <w:highlight w:val="none"/>
          <w:lang w:eastAsia="zh-CN"/>
        </w:rPr>
        <w:t>文件</w:t>
      </w:r>
    </w:p>
    <w:p w14:paraId="70DAFBB4">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rPr>
        <w:t>开标一览表（</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606A7F52">
      <w:pPr>
        <w:pageBreakBefore w:val="0"/>
        <w:tabs>
          <w:tab w:val="left" w:pos="399"/>
        </w:tabs>
        <w:kinsoku/>
        <w:wordWrap/>
        <w:overflowPunct/>
        <w:topLinePunct w:val="0"/>
        <w:bidi w:val="0"/>
        <w:adjustRightInd/>
        <w:spacing w:line="460" w:lineRule="exact"/>
        <w:ind w:firstLine="42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2）投标报价明细表</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7E705E11">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针对报价需要说明的其他文件和说明，格式自拟。</w:t>
      </w:r>
    </w:p>
    <w:p w14:paraId="061B8D77">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4.2.4投标时提供的</w:t>
      </w:r>
      <w:r>
        <w:rPr>
          <w:rFonts w:hint="eastAsia" w:ascii="仿宋" w:hAnsi="仿宋" w:eastAsia="仿宋" w:cs="仿宋"/>
          <w:b/>
          <w:bCs/>
          <w:color w:val="auto"/>
          <w:sz w:val="24"/>
          <w:szCs w:val="24"/>
          <w:highlight w:val="none"/>
          <w:lang w:val="en-US" w:eastAsia="zh-CN"/>
        </w:rPr>
        <w:t>业绩</w:t>
      </w:r>
      <w:r>
        <w:rPr>
          <w:rFonts w:hint="eastAsia" w:ascii="仿宋" w:hAnsi="仿宋" w:eastAsia="仿宋" w:cs="仿宋"/>
          <w:b/>
          <w:bCs/>
          <w:color w:val="auto"/>
          <w:sz w:val="24"/>
          <w:szCs w:val="24"/>
          <w:highlight w:val="none"/>
        </w:rPr>
        <w:t>、荣誉、资质等，必须为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本身所具有。</w:t>
      </w:r>
    </w:p>
    <w:p w14:paraId="32F5AAF5">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4.2.5注意事项：</w:t>
      </w:r>
      <w:r>
        <w:rPr>
          <w:rFonts w:hint="eastAsia" w:ascii="仿宋" w:hAnsi="仿宋" w:eastAsia="仿宋" w:cs="仿宋"/>
          <w:b/>
          <w:color w:val="auto"/>
          <w:sz w:val="24"/>
          <w:szCs w:val="24"/>
          <w:highlight w:val="none"/>
        </w:rPr>
        <w:t>投标文件含有采购人不能接受的附加条件的，投标无效；</w:t>
      </w:r>
    </w:p>
    <w:p w14:paraId="2909F93D">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4.2.6</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提供虚假材料投标的，投标无效。</w:t>
      </w:r>
    </w:p>
    <w:p w14:paraId="7A3B12A5">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4.3、投标文件的编制</w:t>
      </w:r>
    </w:p>
    <w:p w14:paraId="15A8E88C">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4.3.1</w:t>
      </w:r>
      <w:r>
        <w:rPr>
          <w:rFonts w:hint="eastAsia" w:ascii="仿宋" w:hAnsi="仿宋" w:eastAsia="仿宋" w:cs="仿宋"/>
          <w:b/>
          <w:bCs/>
          <w:color w:val="auto"/>
          <w:kern w:val="0"/>
          <w:sz w:val="24"/>
          <w:szCs w:val="24"/>
          <w:highlight w:val="none"/>
          <w:lang w:val="zh-CN"/>
        </w:rPr>
        <w:t>投标文件分为资格</w:t>
      </w:r>
      <w:r>
        <w:rPr>
          <w:rFonts w:hint="eastAsia" w:ascii="仿宋" w:hAnsi="仿宋" w:eastAsia="仿宋" w:cs="仿宋"/>
          <w:b/>
          <w:bCs/>
          <w:color w:val="auto"/>
          <w:kern w:val="0"/>
          <w:sz w:val="24"/>
          <w:szCs w:val="24"/>
          <w:highlight w:val="none"/>
          <w:lang w:val="en-US" w:eastAsia="zh-CN"/>
        </w:rPr>
        <w:t>证明</w:t>
      </w:r>
      <w:r>
        <w:rPr>
          <w:rFonts w:hint="eastAsia" w:ascii="仿宋" w:hAnsi="仿宋" w:eastAsia="仿宋" w:cs="仿宋"/>
          <w:b/>
          <w:bCs/>
          <w:color w:val="auto"/>
          <w:kern w:val="0"/>
          <w:sz w:val="24"/>
          <w:szCs w:val="24"/>
          <w:highlight w:val="none"/>
          <w:lang w:val="zh-CN"/>
        </w:rPr>
        <w:t>文件、商务技术文件、报价文件三部分。各供应商在编制投标文件时请按照采购文件第六部分规定的格式进行，混乱的编排导致投标文件被误读或评标委员会查找不到有效文件是供应商的风险。</w:t>
      </w:r>
    </w:p>
    <w:p w14:paraId="3A86CAB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www.lecaiyun.com</w:t>
      </w:r>
      <w:r>
        <w:rPr>
          <w:rFonts w:hint="eastAsia" w:ascii="仿宋" w:hAnsi="仿宋" w:eastAsia="仿宋" w:cs="仿宋"/>
          <w:color w:val="auto"/>
          <w:sz w:val="24"/>
          <w:szCs w:val="24"/>
          <w:highlight w:val="none"/>
        </w:rPr>
        <w:t>）”实行在线投标响应（电子投标）。供应商应通过“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电子交易客户端”，并按照本采购文件和“</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”的要求编制并加密投标文件。</w:t>
      </w:r>
    </w:p>
    <w:p w14:paraId="56B28F1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投标供应商应当按照本章4.2款中规定的内容及顺序在“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电子交易客户端”编制投标文件。其中《资格证明文件》和《资信技术文件》中不得出现本项目投标报价</w:t>
      </w:r>
      <w:r>
        <w:rPr>
          <w:rFonts w:hint="eastAsia" w:ascii="仿宋" w:hAnsi="仿宋" w:eastAsia="仿宋" w:cs="仿宋"/>
          <w:color w:val="auto"/>
          <w:sz w:val="24"/>
          <w:szCs w:val="24"/>
          <w:highlight w:val="none"/>
          <w:lang w:eastAsia="zh-CN"/>
        </w:rPr>
        <w:t>，否则作无效投标</w:t>
      </w:r>
      <w:r>
        <w:rPr>
          <w:rFonts w:hint="eastAsia" w:ascii="仿宋" w:hAnsi="仿宋" w:eastAsia="仿宋" w:cs="仿宋"/>
          <w:color w:val="auto"/>
          <w:sz w:val="24"/>
          <w:szCs w:val="24"/>
          <w:highlight w:val="none"/>
        </w:rPr>
        <w:t>。</w:t>
      </w:r>
    </w:p>
    <w:p w14:paraId="38DAE60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6EA4234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投标文件应当对采购文件规定的内容进行明确，对采购文件规定的实质性内容应当作出响应。</w:t>
      </w:r>
    </w:p>
    <w:p w14:paraId="646DFAC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投标文件由于字迹模糊或表达不清引起的后果由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负责。</w:t>
      </w:r>
    </w:p>
    <w:p w14:paraId="797B1C56">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75C5C412">
      <w:pPr>
        <w:pStyle w:val="43"/>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投标保证金</w:t>
      </w:r>
    </w:p>
    <w:p w14:paraId="18ABD39A">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.1 </w:t>
      </w:r>
      <w:r>
        <w:rPr>
          <w:rFonts w:hint="eastAsia" w:ascii="仿宋" w:hAnsi="仿宋" w:eastAsia="仿宋" w:cs="仿宋"/>
          <w:color w:val="auto"/>
          <w:sz w:val="24"/>
          <w:highlight w:val="none"/>
          <w:lang w:val="en-US" w:eastAsia="zh-CN"/>
        </w:rPr>
        <w:t>投标人应以采购公告要求提交投标保证金，作为其投标的一部分</w:t>
      </w:r>
      <w:r>
        <w:rPr>
          <w:rFonts w:hint="eastAsia" w:ascii="仿宋" w:hAnsi="仿宋" w:eastAsia="仿宋" w:cs="仿宋"/>
          <w:b w:val="0"/>
          <w:bCs/>
          <w:color w:val="auto"/>
          <w:sz w:val="24"/>
          <w:szCs w:val="24"/>
          <w:highlight w:val="none"/>
        </w:rPr>
        <w:t>。</w:t>
      </w:r>
    </w:p>
    <w:p w14:paraId="117CDBC3">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.2 开标时，凡没有根据上述规定提供投标保证金的投标将被拒绝。</w:t>
      </w:r>
    </w:p>
    <w:p w14:paraId="15284A0E">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.3 未</w:t>
      </w:r>
      <w:r>
        <w:rPr>
          <w:rFonts w:hint="eastAsia" w:ascii="仿宋" w:hAnsi="仿宋" w:eastAsia="仿宋" w:cs="仿宋"/>
          <w:color w:val="auto"/>
          <w:sz w:val="24"/>
          <w:highlight w:val="none"/>
          <w:lang w:val="en-US" w:eastAsia="zh-CN"/>
        </w:rPr>
        <w:t>中标供应商</w:t>
      </w:r>
      <w:r>
        <w:rPr>
          <w:rFonts w:hint="eastAsia" w:ascii="仿宋" w:hAnsi="仿宋" w:eastAsia="仿宋" w:cs="仿宋"/>
          <w:b w:val="0"/>
          <w:bCs/>
          <w:color w:val="auto"/>
          <w:sz w:val="24"/>
          <w:szCs w:val="24"/>
          <w:highlight w:val="none"/>
        </w:rPr>
        <w:t>的投标保证金，将在</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rPr>
        <w:t>通知书发出后五个工作日内退还。</w:t>
      </w:r>
    </w:p>
    <w:p w14:paraId="32977ED7">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 xml:space="preserve">.4 </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的投标保证金，在</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按</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文件规定签订合同后五个工作日内</w:t>
      </w:r>
      <w:bookmarkStart w:id="75" w:name="OLE_LINK2"/>
      <w:r>
        <w:rPr>
          <w:rFonts w:hint="eastAsia" w:ascii="仿宋" w:hAnsi="仿宋" w:eastAsia="仿宋" w:cs="仿宋"/>
          <w:b w:val="0"/>
          <w:bCs/>
          <w:color w:val="auto"/>
          <w:sz w:val="24"/>
          <w:szCs w:val="24"/>
          <w:highlight w:val="none"/>
        </w:rPr>
        <w:t>，凭合同退还投标保证金</w:t>
      </w:r>
      <w:bookmarkEnd w:id="75"/>
      <w:r>
        <w:rPr>
          <w:rFonts w:hint="eastAsia" w:ascii="仿宋" w:hAnsi="仿宋" w:eastAsia="仿宋" w:cs="仿宋"/>
          <w:b w:val="0"/>
          <w:bCs/>
          <w:color w:val="auto"/>
          <w:sz w:val="24"/>
          <w:szCs w:val="24"/>
          <w:highlight w:val="none"/>
        </w:rPr>
        <w:t>。</w:t>
      </w:r>
    </w:p>
    <w:p w14:paraId="49F456F0">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.5 发生下列任何情况之一时，投标保证金将不予退还；</w:t>
      </w:r>
    </w:p>
    <w:p w14:paraId="75AB0D09">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在投标有效期内撤回</w:t>
      </w: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w:t>
      </w:r>
    </w:p>
    <w:p w14:paraId="10678BCA">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无正当理由未按</w:t>
      </w:r>
      <w:r>
        <w:rPr>
          <w:rFonts w:hint="eastAsia" w:ascii="仿宋" w:hAnsi="仿宋" w:eastAsia="仿宋" w:cs="仿宋"/>
          <w:color w:val="auto"/>
          <w:sz w:val="24"/>
          <w:highlight w:val="none"/>
          <w:lang w:val="en-US" w:eastAsia="zh-CN"/>
        </w:rPr>
        <w:t>中标</w:t>
      </w:r>
      <w:r>
        <w:rPr>
          <w:rFonts w:hint="eastAsia" w:ascii="仿宋" w:hAnsi="仿宋" w:eastAsia="仿宋" w:cs="仿宋"/>
          <w:b w:val="0"/>
          <w:bCs/>
          <w:color w:val="auto"/>
          <w:sz w:val="24"/>
          <w:szCs w:val="24"/>
          <w:highlight w:val="none"/>
        </w:rPr>
        <w:t>通知书的规定与采购人签订合同的；</w:t>
      </w:r>
    </w:p>
    <w:p w14:paraId="329BF865">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在投标过程中弄虚作假，提供虚假材料的；</w:t>
      </w:r>
    </w:p>
    <w:p w14:paraId="6134FCE5">
      <w:pPr>
        <w:pStyle w:val="43"/>
        <w:spacing w:line="44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4）将</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rPr>
        <w:t>项目转让给他人或者在</w:t>
      </w: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color w:val="auto"/>
          <w:sz w:val="24"/>
          <w:szCs w:val="24"/>
          <w:highlight w:val="none"/>
        </w:rPr>
        <w:t>文件中未说明且未经</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同意，将</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rPr>
        <w:t>项目分包给他人的；</w:t>
      </w:r>
    </w:p>
    <w:p w14:paraId="09D1F8F8">
      <w:pPr>
        <w:pStyle w:val="43"/>
        <w:spacing w:line="44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5）其他严重扰乱</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程序的</w:t>
      </w:r>
      <w:r>
        <w:rPr>
          <w:rFonts w:hint="eastAsia" w:ascii="仿宋" w:hAnsi="仿宋" w:eastAsia="仿宋" w:cs="仿宋"/>
          <w:b w:val="0"/>
          <w:bCs/>
          <w:color w:val="auto"/>
          <w:sz w:val="24"/>
          <w:szCs w:val="24"/>
          <w:highlight w:val="none"/>
          <w:lang w:eastAsia="zh-CN"/>
        </w:rPr>
        <w:t>。</w:t>
      </w:r>
    </w:p>
    <w:p w14:paraId="2A247254">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sz w:val="24"/>
          <w:szCs w:val="24"/>
          <w:highlight w:val="none"/>
        </w:rPr>
        <w:t>投标文件的签署、盖章</w:t>
      </w:r>
    </w:p>
    <w:p w14:paraId="1FB16D55">
      <w:pPr>
        <w:pageBreakBefore w:val="0"/>
        <w:kinsoku/>
        <w:wordWrap/>
        <w:overflowPunct/>
        <w:topLinePunct w:val="0"/>
        <w:bidi w:val="0"/>
        <w:adjustRightInd/>
        <w:snapToGrid w:val="0"/>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6.1</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的投标文件未按照采购文件要求签署、盖章的，其投标无效。</w:t>
      </w:r>
    </w:p>
    <w:p w14:paraId="059791E8">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6.2</w:t>
      </w:r>
      <w:r>
        <w:rPr>
          <w:rFonts w:hint="eastAsia" w:ascii="仿宋" w:hAnsi="仿宋" w:eastAsia="仿宋" w:cs="仿宋"/>
          <w:b w:val="0"/>
          <w:bCs w:val="0"/>
          <w:color w:val="auto"/>
          <w:sz w:val="24"/>
          <w:szCs w:val="24"/>
          <w:highlight w:val="none"/>
        </w:rPr>
        <w:t>为确保网上操作合法、有效和安全，</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应当在投标截止时间前完成在“</w:t>
      </w:r>
      <w:r>
        <w:rPr>
          <w:rFonts w:hint="eastAsia" w:ascii="仿宋" w:hAnsi="仿宋" w:eastAsia="仿宋" w:cs="仿宋"/>
          <w:b w:val="0"/>
          <w:bCs w:val="0"/>
          <w:color w:val="auto"/>
          <w:sz w:val="24"/>
          <w:szCs w:val="24"/>
          <w:highlight w:val="none"/>
          <w:lang w:eastAsia="zh-CN"/>
        </w:rPr>
        <w:t>采购云平台</w:t>
      </w:r>
      <w:r>
        <w:rPr>
          <w:rFonts w:hint="eastAsia" w:ascii="仿宋" w:hAnsi="仿宋" w:eastAsia="仿宋" w:cs="仿宋"/>
          <w:b w:val="0"/>
          <w:bCs w:val="0"/>
          <w:color w:val="auto"/>
          <w:sz w:val="24"/>
          <w:szCs w:val="24"/>
          <w:highlight w:val="none"/>
        </w:rPr>
        <w:t>”的身份认证，确保在电子投标过程中能够对相关数据电文进行加密和使用电子签名。</w:t>
      </w:r>
    </w:p>
    <w:p w14:paraId="781D0087">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6.3</w:t>
      </w:r>
      <w:r>
        <w:rPr>
          <w:rFonts w:hint="eastAsia" w:ascii="仿宋" w:hAnsi="仿宋" w:eastAsia="仿宋" w:cs="仿宋"/>
          <w:b w:val="0"/>
          <w:bCs w:val="0"/>
          <w:color w:val="auto"/>
          <w:sz w:val="24"/>
          <w:szCs w:val="24"/>
          <w:highlight w:val="none"/>
        </w:rPr>
        <w:t>采购文件对投标文件签署、盖章的要求适用于电子签名。</w:t>
      </w:r>
    </w:p>
    <w:p w14:paraId="32DAE1AF">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投</w:t>
      </w:r>
      <w:r>
        <w:rPr>
          <w:rFonts w:hint="eastAsia" w:ascii="仿宋" w:hAnsi="仿宋" w:eastAsia="仿宋" w:cs="仿宋"/>
          <w:b/>
          <w:color w:val="auto"/>
          <w:sz w:val="24"/>
          <w:szCs w:val="24"/>
          <w:highlight w:val="none"/>
        </w:rPr>
        <w:t>标文件的提交、补充、修改、撤回</w:t>
      </w:r>
    </w:p>
    <w:p w14:paraId="30763CD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.1、投标文件的上传、递交</w:t>
      </w:r>
    </w:p>
    <w:p w14:paraId="2850BBD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.1.1电子加密投标文件的上传、递交：</w:t>
      </w:r>
    </w:p>
    <w:p w14:paraId="56574C9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7.1.1.1</w:t>
      </w:r>
      <w:r>
        <w:rPr>
          <w:rFonts w:hint="eastAsia" w:ascii="仿宋" w:hAnsi="仿宋" w:eastAsia="仿宋" w:cs="仿宋"/>
          <w:color w:val="auto"/>
          <w:sz w:val="24"/>
          <w:szCs w:val="24"/>
          <w:highlight w:val="none"/>
        </w:rPr>
        <w:t>投标供应商应在投标截止时间前将“电子加密投标文件”成功上传递交至“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”，否则投标无效。</w:t>
      </w:r>
    </w:p>
    <w:p w14:paraId="755139A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7.1.1.2</w:t>
      </w:r>
      <w:r>
        <w:rPr>
          <w:rFonts w:hint="eastAsia" w:ascii="仿宋" w:hAnsi="仿宋" w:eastAsia="仿宋" w:cs="仿宋"/>
          <w:color w:val="auto"/>
          <w:sz w:val="24"/>
          <w:szCs w:val="24"/>
          <w:highlight w:val="none"/>
        </w:rPr>
        <w:t>“电子加密投标文件”成功上传递交后，供应商可自行打印投标文件接收回执。</w:t>
      </w:r>
    </w:p>
    <w:p w14:paraId="2772CE5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.1.2备份投标文件的密封包装、递交：</w:t>
      </w:r>
    </w:p>
    <w:p w14:paraId="7D8537E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7.1.2.1</w:t>
      </w:r>
      <w:r>
        <w:rPr>
          <w:rFonts w:hint="eastAsia" w:ascii="仿宋" w:hAnsi="仿宋" w:eastAsia="仿宋" w:cs="仿宋"/>
          <w:color w:val="auto"/>
          <w:sz w:val="24"/>
          <w:szCs w:val="24"/>
          <w:highlight w:val="none"/>
        </w:rPr>
        <w:t>投标供应商在“</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”完成“电子加密投标文件”的上传递交后，还可以（邮寄形式）在投标截止时间前递交以介质（U盘）存储的“备份投标文件”（一份）；</w:t>
      </w:r>
    </w:p>
    <w:p w14:paraId="3174051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7.1.2.2</w:t>
      </w:r>
      <w:r>
        <w:rPr>
          <w:rFonts w:hint="eastAsia" w:ascii="仿宋" w:hAnsi="仿宋" w:eastAsia="仿宋" w:cs="仿宋"/>
          <w:color w:val="auto"/>
          <w:sz w:val="24"/>
          <w:szCs w:val="24"/>
          <w:highlight w:val="none"/>
        </w:rPr>
        <w:t>“备份投标文件”应当密封包装，并在包装上标注投标项目名称、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名称并加盖公章。没有密封包装或者逾期邮寄送达至投标地点的“备份投标文件”将不予接收，（邮寄公司采用EMS或顺丰，以代理机构工作人员签收时间为准），采用邮寄的方式的请提前一天通知代理机构；</w:t>
      </w:r>
    </w:p>
    <w:p w14:paraId="770EB2B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7.1.2.3</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p w14:paraId="0FCAD8F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.2、解密和异常情况处理</w:t>
      </w:r>
    </w:p>
    <w:p w14:paraId="7A4F46A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.2.1开标后，采购组织机构将向各投标供应商发出“电子加密投标文件”的解密通知，各投标供应商代表应当在接到解密通知后30分钟内自行完成“电子加密投标文件”的在线解密。</w:t>
      </w:r>
    </w:p>
    <w:p w14:paraId="5E8CAC5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.2.2通过“</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”操作规范将“备份投标文件”上传至“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”，上传成功后，“电子加密投标文件”自动失效），否则视为投标文件撤回。</w:t>
      </w:r>
    </w:p>
    <w:p w14:paraId="0B1F5F6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.2.3投标截止时间前，投标供应商仅递交了“备份投标文件”而未将电子加密投标文件上传至“</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”的，投标无效。</w:t>
      </w:r>
    </w:p>
    <w:p w14:paraId="622D7F3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.3、投标文件的修改和撤回</w:t>
      </w:r>
    </w:p>
    <w:p w14:paraId="562FDB6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仿宋" w:hAnsi="仿宋" w:eastAsia="仿宋" w:cs="仿宋"/>
          <w:color w:val="auto"/>
          <w:sz w:val="24"/>
          <w:szCs w:val="24"/>
          <w:highlight w:val="none"/>
          <w:lang w:eastAsia="zh-CN"/>
        </w:rPr>
        <w:t>采购云平台</w:t>
      </w:r>
      <w:r>
        <w:rPr>
          <w:rFonts w:hint="eastAsia" w:ascii="仿宋" w:hAnsi="仿宋" w:eastAsia="仿宋" w:cs="仿宋"/>
          <w:color w:val="auto"/>
          <w:sz w:val="24"/>
          <w:szCs w:val="24"/>
          <w:highlight w:val="none"/>
        </w:rPr>
        <w:t>”将予以拒收。</w:t>
      </w:r>
    </w:p>
    <w:p w14:paraId="1950349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.3.2投标截止时间后，投标供应商不得撤回、修改投标文件。</w:t>
      </w:r>
    </w:p>
    <w:p w14:paraId="17371EF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.4、备选投标方案</w:t>
      </w:r>
    </w:p>
    <w:p w14:paraId="6E594E7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不得提交备选投标方案，否则，投标文件将被判定为无效标。（与“电子加密投标文件”同时生成的“备份投标文件”不是投标备选（替代）方案）</w:t>
      </w:r>
    </w:p>
    <w:p w14:paraId="5C8758B0">
      <w:pPr>
        <w:pageBreakBefore w:val="0"/>
        <w:numPr>
          <w:ilvl w:val="0"/>
          <w:numId w:val="0"/>
        </w:numPr>
        <w:kinsoku/>
        <w:wordWrap/>
        <w:overflowPunct/>
        <w:topLinePunct w:val="0"/>
        <w:bidi w:val="0"/>
        <w:adjustRightInd/>
        <w:spacing w:line="460" w:lineRule="exact"/>
        <w:ind w:left="48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8.备份投标文件</w:t>
      </w:r>
    </w:p>
    <w:p w14:paraId="1D182656">
      <w:pPr>
        <w:pageBreakBefore w:val="0"/>
        <w:numPr>
          <w:ilvl w:val="0"/>
          <w:numId w:val="0"/>
        </w:numPr>
        <w:kinsoku/>
        <w:wordWrap/>
        <w:overflowPunct/>
        <w:topLinePunct w:val="0"/>
        <w:bidi w:val="0"/>
        <w:adjustRightInd/>
        <w:spacing w:line="460" w:lineRule="exact"/>
        <w:ind w:firstLine="480" w:firstLineChars="200"/>
        <w:textAlignment w:val="auto"/>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lang w:val="en-US" w:eastAsia="zh-CN"/>
        </w:rPr>
        <w:t>8.1</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在电子交易平台传输递交投标文件后，还可以在投标截止时间前直接提交或者以邮政快递方式递交备份投标文件1份</w:t>
      </w:r>
      <w:r>
        <w:rPr>
          <w:rFonts w:hint="eastAsia" w:ascii="仿宋" w:hAnsi="仿宋" w:eastAsia="仿宋" w:cs="仿宋"/>
          <w:b/>
          <w:bCs/>
          <w:snapToGrid w:val="0"/>
          <w:color w:val="auto"/>
          <w:sz w:val="24"/>
          <w:szCs w:val="24"/>
          <w:highlight w:val="none"/>
        </w:rPr>
        <w:t>，</w:t>
      </w:r>
      <w:r>
        <w:rPr>
          <w:rFonts w:hint="eastAsia" w:ascii="仿宋" w:hAnsi="仿宋" w:eastAsia="仿宋" w:cs="仿宋"/>
          <w:b w:val="0"/>
          <w:bCs w:val="0"/>
          <w:snapToGrid w:val="0"/>
          <w:color w:val="auto"/>
          <w:sz w:val="24"/>
          <w:szCs w:val="24"/>
          <w:highlight w:val="none"/>
        </w:rPr>
        <w:t>但采购人、采购机构不强制或变相强制</w:t>
      </w:r>
      <w:r>
        <w:rPr>
          <w:rFonts w:hint="eastAsia" w:ascii="仿宋" w:hAnsi="仿宋" w:eastAsia="仿宋" w:cs="仿宋"/>
          <w:b w:val="0"/>
          <w:bCs w:val="0"/>
          <w:snapToGrid w:val="0"/>
          <w:color w:val="auto"/>
          <w:sz w:val="24"/>
          <w:szCs w:val="24"/>
          <w:highlight w:val="none"/>
          <w:lang w:eastAsia="zh-CN"/>
        </w:rPr>
        <w:t>供应商</w:t>
      </w:r>
      <w:r>
        <w:rPr>
          <w:rFonts w:hint="eastAsia" w:ascii="仿宋" w:hAnsi="仿宋" w:eastAsia="仿宋" w:cs="仿宋"/>
          <w:b w:val="0"/>
          <w:bCs w:val="0"/>
          <w:snapToGrid w:val="0"/>
          <w:color w:val="auto"/>
          <w:sz w:val="24"/>
          <w:szCs w:val="24"/>
          <w:highlight w:val="none"/>
        </w:rPr>
        <w:t>提交备份投标文件。</w:t>
      </w:r>
    </w:p>
    <w:p w14:paraId="129DC5B6">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.2备份投标文件须在“</w:t>
      </w:r>
      <w:r>
        <w:rPr>
          <w:rFonts w:hint="eastAsia" w:ascii="仿宋" w:hAnsi="仿宋" w:eastAsia="仿宋" w:cs="仿宋"/>
          <w:snapToGrid w:val="0"/>
          <w:color w:val="auto"/>
          <w:sz w:val="24"/>
          <w:szCs w:val="24"/>
          <w:highlight w:val="none"/>
          <w:lang w:eastAsia="zh-CN"/>
        </w:rPr>
        <w:t>乐采云</w:t>
      </w:r>
      <w:r>
        <w:rPr>
          <w:rFonts w:hint="eastAsia" w:ascii="仿宋" w:hAnsi="仿宋" w:eastAsia="仿宋" w:cs="仿宋"/>
          <w:snapToGrid w:val="0"/>
          <w:color w:val="auto"/>
          <w:sz w:val="24"/>
          <w:szCs w:val="24"/>
          <w:highlight w:val="none"/>
        </w:rPr>
        <w:t>投标客户端”制作生成，并储存在U盘中。</w:t>
      </w:r>
      <w:r>
        <w:rPr>
          <w:rFonts w:hint="eastAsia" w:ascii="仿宋" w:hAnsi="仿宋" w:eastAsia="仿宋" w:cs="仿宋"/>
          <w:b/>
          <w:bCs/>
          <w:snapToGrid w:val="0"/>
          <w:color w:val="auto"/>
          <w:sz w:val="24"/>
          <w:szCs w:val="24"/>
          <w:highlight w:val="none"/>
        </w:rPr>
        <w:t>备份投标文件应当密封包装并在包装上加盖公章并注明投标项目名称，</w:t>
      </w:r>
      <w:r>
        <w:rPr>
          <w:rFonts w:hint="eastAsia" w:ascii="仿宋" w:hAnsi="仿宋" w:eastAsia="仿宋" w:cs="仿宋"/>
          <w:b/>
          <w:bCs/>
          <w:snapToGrid w:val="0"/>
          <w:color w:val="auto"/>
          <w:sz w:val="24"/>
          <w:szCs w:val="24"/>
          <w:highlight w:val="none"/>
          <w:lang w:eastAsia="zh-CN"/>
        </w:rPr>
        <w:t>供应商</w:t>
      </w:r>
      <w:r>
        <w:rPr>
          <w:rFonts w:hint="eastAsia" w:ascii="仿宋" w:hAnsi="仿宋" w:eastAsia="仿宋" w:cs="仿宋"/>
          <w:b/>
          <w:bCs/>
          <w:snapToGrid w:val="0"/>
          <w:color w:val="auto"/>
          <w:sz w:val="24"/>
          <w:szCs w:val="24"/>
          <w:highlight w:val="none"/>
        </w:rPr>
        <w:t>名称</w:t>
      </w:r>
      <w:r>
        <w:rPr>
          <w:rFonts w:hint="eastAsia" w:ascii="仿宋" w:hAnsi="仿宋" w:eastAsia="仿宋" w:cs="仿宋"/>
          <w:snapToGrid w:val="0"/>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snapToGrid w:val="0"/>
          <w:color w:val="auto"/>
          <w:sz w:val="24"/>
          <w:szCs w:val="24"/>
          <w:highlight w:val="none"/>
        </w:rPr>
        <w:t>不符合上述制作、存储、密封规定的备份投标文件将被视为无效或者被拒绝接收。</w:t>
      </w:r>
    </w:p>
    <w:p w14:paraId="15F32D8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.3直接提交备份投标文件的，</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应于投标截止时间前在采购公告中载明的开标地点将备份投标文件提交给采购机构，采购机构将拒绝接受逾期送达的备份投标文件。</w:t>
      </w:r>
    </w:p>
    <w:p w14:paraId="6DD61FEC">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.4以快递方式递交备份投标文件的，</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应先将备份投标文件按要求密封和标记，再进行快递包装后邮寄。</w:t>
      </w:r>
    </w:p>
    <w:p w14:paraId="357D2130">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备份投标文件须在投标截止时间之前送达</w:t>
      </w:r>
      <w:r>
        <w:rPr>
          <w:rFonts w:hint="eastAsia" w:ascii="仿宋" w:hAnsi="仿宋" w:eastAsia="仿宋" w:cs="仿宋"/>
          <w:color w:val="auto"/>
          <w:sz w:val="24"/>
          <w:szCs w:val="24"/>
          <w:highlight w:val="none"/>
        </w:rPr>
        <w:t>采购文件第二部分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须知前附表规定的备份投标文件送达地点；</w:t>
      </w:r>
      <w:r>
        <w:rPr>
          <w:rFonts w:hint="eastAsia" w:ascii="仿宋" w:hAnsi="仿宋" w:eastAsia="仿宋" w:cs="仿宋"/>
          <w:snapToGrid w:val="0"/>
          <w:color w:val="auto"/>
          <w:sz w:val="24"/>
          <w:szCs w:val="24"/>
          <w:highlight w:val="none"/>
        </w:rPr>
        <w:t>送达时间以签收人签收时间为准。采购机构将拒绝接受逾期送达的备份投标文件。邮寄过程中，电子备份投标文件发生泄露、遗失、损坏或延期送达等情况的，由</w:t>
      </w:r>
      <w:r>
        <w:rPr>
          <w:rFonts w:hint="eastAsia" w:ascii="仿宋" w:hAnsi="仿宋" w:eastAsia="仿宋" w:cs="仿宋"/>
          <w:snapToGrid w:val="0"/>
          <w:color w:val="auto"/>
          <w:sz w:val="24"/>
          <w:szCs w:val="24"/>
          <w:highlight w:val="none"/>
          <w:lang w:eastAsia="zh-CN"/>
        </w:rPr>
        <w:t>供应商</w:t>
      </w:r>
      <w:r>
        <w:rPr>
          <w:rFonts w:hint="eastAsia" w:ascii="仿宋" w:hAnsi="仿宋" w:eastAsia="仿宋" w:cs="仿宋"/>
          <w:snapToGrid w:val="0"/>
          <w:color w:val="auto"/>
          <w:sz w:val="24"/>
          <w:szCs w:val="24"/>
          <w:highlight w:val="none"/>
        </w:rPr>
        <w:t>自行负责。</w:t>
      </w:r>
    </w:p>
    <w:p w14:paraId="047AEF7C">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lang w:val="en-US" w:eastAsia="zh-CN"/>
        </w:rPr>
        <w:t>8</w:t>
      </w:r>
      <w:r>
        <w:rPr>
          <w:rFonts w:hint="eastAsia" w:ascii="仿宋" w:hAnsi="仿宋" w:eastAsia="仿宋" w:cs="仿宋"/>
          <w:b/>
          <w:snapToGrid w:val="0"/>
          <w:color w:val="auto"/>
          <w:sz w:val="24"/>
          <w:szCs w:val="24"/>
          <w:highlight w:val="none"/>
        </w:rPr>
        <w:t>.</w:t>
      </w:r>
      <w:r>
        <w:rPr>
          <w:rFonts w:hint="eastAsia" w:ascii="仿宋" w:hAnsi="仿宋" w:eastAsia="仿宋" w:cs="仿宋"/>
          <w:b/>
          <w:snapToGrid w:val="0"/>
          <w:color w:val="auto"/>
          <w:sz w:val="24"/>
          <w:szCs w:val="24"/>
          <w:highlight w:val="none"/>
          <w:lang w:val="en-US" w:eastAsia="zh-CN"/>
        </w:rPr>
        <w:t>6</w:t>
      </w:r>
      <w:r>
        <w:rPr>
          <w:rFonts w:hint="eastAsia" w:ascii="仿宋" w:hAnsi="仿宋" w:eastAsia="仿宋" w:cs="仿宋"/>
          <w:b/>
          <w:snapToGrid w:val="0"/>
          <w:color w:val="auto"/>
          <w:sz w:val="24"/>
          <w:szCs w:val="24"/>
          <w:highlight w:val="none"/>
          <w:lang w:eastAsia="zh-CN"/>
        </w:rPr>
        <w:t>供应商</w:t>
      </w:r>
      <w:r>
        <w:rPr>
          <w:rFonts w:hint="eastAsia" w:ascii="仿宋" w:hAnsi="仿宋" w:eastAsia="仿宋" w:cs="仿宋"/>
          <w:b/>
          <w:snapToGrid w:val="0"/>
          <w:color w:val="auto"/>
          <w:sz w:val="24"/>
          <w:szCs w:val="24"/>
          <w:highlight w:val="none"/>
        </w:rPr>
        <w:t>仅提交备份投标文件，没有在电子交易平台传输递交投标文件的，投标无效。</w:t>
      </w:r>
    </w:p>
    <w:p w14:paraId="42C7A5ED">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szCs w:val="24"/>
          <w:highlight w:val="none"/>
          <w:lang w:val="en-US" w:eastAsia="zh-CN"/>
        </w:rPr>
        <w:t>9.</w:t>
      </w:r>
      <w:r>
        <w:rPr>
          <w:rFonts w:hint="eastAsia" w:ascii="仿宋" w:hAnsi="仿宋" w:eastAsia="仿宋" w:cs="仿宋"/>
          <w:b/>
          <w:color w:val="auto"/>
          <w:sz w:val="24"/>
          <w:szCs w:val="24"/>
          <w:highlight w:val="none"/>
        </w:rPr>
        <w:t>投标有效期</w:t>
      </w:r>
    </w:p>
    <w:p w14:paraId="22A55A7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.1投标有效期为从提交投标文件的截止之日起90天。</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的投标文件中承诺的投标有效期少于采购文件中载明的投标有效期的，投标无效。</w:t>
      </w:r>
    </w:p>
    <w:p w14:paraId="0BFEAD0A">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.2投标文件合格投递后，自投标截止日期起，在投标有效期内有效。</w:t>
      </w:r>
    </w:p>
    <w:p w14:paraId="2A0AE4B6">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.3在原定投标有效期满之前，如果出现特殊情况，采购机构可以以书面形式通知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延长投标有效期。</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同意延长的，不得要求或被允许修改其投标文件，</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拒绝延长的，其投标无效。</w:t>
      </w:r>
    </w:p>
    <w:p w14:paraId="52C3C02D">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9.4</w:t>
      </w:r>
      <w:r>
        <w:rPr>
          <w:rFonts w:hint="eastAsia" w:ascii="仿宋" w:hAnsi="仿宋" w:eastAsia="仿宋" w:cs="仿宋"/>
          <w:snapToGrid w:val="0"/>
          <w:color w:val="auto"/>
          <w:kern w:val="0"/>
          <w:sz w:val="24"/>
          <w:szCs w:val="24"/>
          <w:highlight w:val="none"/>
          <w:lang w:eastAsia="zh-CN"/>
        </w:rPr>
        <w:t>中标人</w:t>
      </w:r>
      <w:r>
        <w:rPr>
          <w:rFonts w:hint="eastAsia" w:ascii="仿宋" w:hAnsi="仿宋" w:eastAsia="仿宋" w:cs="仿宋"/>
          <w:snapToGrid w:val="0"/>
          <w:color w:val="auto"/>
          <w:kern w:val="0"/>
          <w:sz w:val="24"/>
          <w:szCs w:val="24"/>
          <w:highlight w:val="none"/>
        </w:rPr>
        <w:t>的投标文件自开标之日起至合同履行完毕止均应保持有效。</w:t>
      </w:r>
    </w:p>
    <w:p w14:paraId="79BE2703">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、投标报价</w:t>
      </w:r>
    </w:p>
    <w:p w14:paraId="4D52C0F3">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highlight w:val="none"/>
          <w:u w:val="thick"/>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 ★</w:t>
      </w:r>
      <w:r>
        <w:rPr>
          <w:rFonts w:hint="eastAsia" w:ascii="仿宋" w:hAnsi="仿宋" w:eastAsia="仿宋" w:cs="仿宋"/>
          <w:b/>
          <w:color w:val="auto"/>
          <w:sz w:val="24"/>
          <w:szCs w:val="24"/>
          <w:highlight w:val="none"/>
          <w:u w:val="thick"/>
        </w:rPr>
        <w:t>本次投标报价为</w:t>
      </w:r>
      <w:r>
        <w:rPr>
          <w:rFonts w:hint="eastAsia" w:ascii="仿宋" w:hAnsi="仿宋" w:eastAsia="仿宋" w:cs="仿宋"/>
          <w:b/>
          <w:color w:val="auto"/>
          <w:sz w:val="24"/>
          <w:szCs w:val="24"/>
          <w:highlight w:val="none"/>
          <w:u w:val="thick"/>
          <w:lang w:eastAsia="zh-CN"/>
        </w:rPr>
        <w:t>人民币报价，超过最高限价的作无效标处理</w:t>
      </w:r>
      <w:r>
        <w:rPr>
          <w:rFonts w:hint="eastAsia" w:ascii="仿宋" w:hAnsi="仿宋" w:eastAsia="仿宋" w:cs="仿宋"/>
          <w:b/>
          <w:bCs/>
          <w:color w:val="auto"/>
          <w:sz w:val="24"/>
          <w:szCs w:val="24"/>
          <w:highlight w:val="none"/>
          <w:u w:val="none"/>
        </w:rPr>
        <w:t>。</w:t>
      </w:r>
    </w:p>
    <w:p w14:paraId="10B62AA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.2费用须包含产品价、运杂费、保险费、利润、关税（若有）、税金等。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根据采购文件的要求，将产品供货、包装、安装、调试、检验、检测、通过验收直至交付使用单位，达到使用要求及质量标准、质保期服务所需的全部费用及招标代理服务费均包含在总价之中。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的报价应按采购文件要求的格式、顺序编制。</w:t>
      </w:r>
    </w:p>
    <w:p w14:paraId="588CE52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 xml:space="preserve">.3 </w:t>
      </w:r>
      <w:r>
        <w:rPr>
          <w:rFonts w:hint="eastAsia" w:ascii="仿宋" w:hAnsi="仿宋" w:eastAsia="仿宋" w:cs="仿宋"/>
          <w:color w:val="auto"/>
          <w:sz w:val="24"/>
          <w:szCs w:val="24"/>
          <w:highlight w:val="none"/>
        </w:rPr>
        <w:t>投标报价应按不同费用类别分开填写，具体详见“投标文件格式”。</w:t>
      </w:r>
    </w:p>
    <w:p w14:paraId="0C183A2C">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highlight w:val="none"/>
          <w:u w:val="thick"/>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 ★</w:t>
      </w:r>
      <w:r>
        <w:rPr>
          <w:rFonts w:hint="eastAsia" w:ascii="仿宋" w:hAnsi="仿宋" w:eastAsia="仿宋" w:cs="仿宋"/>
          <w:b/>
          <w:color w:val="auto"/>
          <w:sz w:val="24"/>
          <w:szCs w:val="24"/>
          <w:highlight w:val="none"/>
          <w:u w:val="thick"/>
        </w:rPr>
        <w:t>所投标项只允许有一个报价，不接受有选择报价的投标文件。</w:t>
      </w:r>
    </w:p>
    <w:p w14:paraId="52E233EE">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、投标文件的式样</w:t>
      </w:r>
    </w:p>
    <w:p w14:paraId="1F01469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”平台制作电子投标文件，投标文件制作详见“供应商-采购项目电子交易操作指南”。</w:t>
      </w:r>
    </w:p>
    <w:p w14:paraId="3344EB1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 投标文件是电子投标文件，包括“电子加密投标文件”和“备份投标文件”，在投标文件编制完成后同时生成。</w:t>
      </w:r>
    </w:p>
    <w:p w14:paraId="60BE7CC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11.2.1</w:t>
      </w:r>
      <w:r>
        <w:rPr>
          <w:rFonts w:hint="eastAsia" w:ascii="仿宋" w:hAnsi="仿宋" w:eastAsia="仿宋" w:cs="仿宋"/>
          <w:color w:val="auto"/>
          <w:sz w:val="24"/>
          <w:szCs w:val="24"/>
          <w:highlight w:val="none"/>
        </w:rPr>
        <w:t>“电子加密投标文件”是指通过“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电子交易客户端”完成投标文件编制后生成并加密的数据电文形式的投标文件。</w:t>
      </w:r>
    </w:p>
    <w:p w14:paraId="48421E9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11.2.2</w:t>
      </w:r>
      <w:r>
        <w:rPr>
          <w:rFonts w:hint="eastAsia" w:ascii="仿宋" w:hAnsi="仿宋" w:eastAsia="仿宋" w:cs="仿宋"/>
          <w:color w:val="auto"/>
          <w:sz w:val="24"/>
          <w:szCs w:val="24"/>
          <w:highlight w:val="none"/>
        </w:rPr>
        <w:t>“备份投标文件”是指与“电子加密投标文件”同时生成的数据电文形式的电子文件（备份标书，用于供应商标书解密异常时应急使用），其他方式编制的备份投标文件视为无效备份投标文件。</w:t>
      </w:r>
    </w:p>
    <w:p w14:paraId="2A60F0B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11.2.3</w:t>
      </w:r>
      <w:r>
        <w:rPr>
          <w:rFonts w:hint="eastAsia" w:ascii="仿宋" w:hAnsi="仿宋" w:eastAsia="仿宋" w:cs="仿宋"/>
          <w:color w:val="auto"/>
          <w:sz w:val="24"/>
          <w:szCs w:val="24"/>
          <w:highlight w:val="none"/>
        </w:rPr>
        <w:t>一份电子加密标书（后缀格式为.jmbs），一份备份标书文件（后缀格式为.bfbs）</w:t>
      </w:r>
    </w:p>
    <w:p w14:paraId="4F7DF1E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11.2.4</w:t>
      </w:r>
      <w:r>
        <w:rPr>
          <w:rFonts w:hint="eastAsia" w:ascii="仿宋" w:hAnsi="仿宋" w:eastAsia="仿宋" w:cs="仿宋"/>
          <w:color w:val="auto"/>
          <w:sz w:val="24"/>
          <w:szCs w:val="24"/>
          <w:highlight w:val="none"/>
        </w:rPr>
        <w:t>每份电子投标文件应包括资格证明文件、资信技术文件、报价文件三部分内容。</w:t>
      </w:r>
    </w:p>
    <w:p w14:paraId="05DEC61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.3 投标文件中投标函、</w:t>
      </w:r>
      <w:r>
        <w:rPr>
          <w:rFonts w:hint="eastAsia" w:ascii="仿宋" w:hAnsi="仿宋" w:eastAsia="仿宋" w:cs="仿宋"/>
          <w:color w:val="auto"/>
          <w:sz w:val="24"/>
          <w:szCs w:val="24"/>
          <w:highlight w:val="none"/>
          <w:lang w:val="zh-CN"/>
        </w:rPr>
        <w:t>法定代表人授权委托书</w:t>
      </w:r>
      <w:r>
        <w:rPr>
          <w:rFonts w:hint="eastAsia" w:ascii="仿宋" w:hAnsi="仿宋" w:eastAsia="仿宋" w:cs="仿宋"/>
          <w:color w:val="auto"/>
          <w:sz w:val="24"/>
          <w:szCs w:val="24"/>
          <w:highlight w:val="none"/>
        </w:rPr>
        <w:t>的格式、签字、盖章及内容均应符合采购文件格式要求，否则投标文件无效。</w:t>
      </w:r>
    </w:p>
    <w:p w14:paraId="14F409A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应根据“</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供应商项目采购-电子招投标操作指南”及本采购文件规定编制电子投标文件并进行关联定位，以便评标委员会在评标时，点击评分项，可直接定位到该评分项内容。</w:t>
      </w:r>
    </w:p>
    <w:p w14:paraId="015F375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如对采购文件的某项要求，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的投标响应文件未能提供相应的内容与其对应，则评标委员会在评审时会提示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未对此项招标要求提供相应内容。由此产生的评分影响由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p>
    <w:bookmarkEnd w:id="73"/>
    <w:bookmarkEnd w:id="74"/>
    <w:p w14:paraId="7B527769">
      <w:pPr>
        <w:pStyle w:val="4"/>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highlight w:val="none"/>
        </w:rPr>
      </w:pPr>
      <w:bookmarkStart w:id="76" w:name="_Toc82338243"/>
      <w:bookmarkStart w:id="77" w:name="_Toc54978894"/>
      <w:bookmarkStart w:id="78" w:name="_Toc82873326"/>
      <w:bookmarkStart w:id="79" w:name="_Toc35261575"/>
      <w:bookmarkStart w:id="80" w:name="_Toc450482500"/>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、开标、</w:t>
      </w:r>
      <w:r>
        <w:rPr>
          <w:rFonts w:hint="eastAsia" w:ascii="仿宋" w:hAnsi="仿宋" w:eastAsia="仿宋" w:cs="仿宋"/>
          <w:color w:val="auto"/>
          <w:sz w:val="32"/>
          <w:szCs w:val="32"/>
          <w:highlight w:val="none"/>
          <w:lang w:eastAsia="zh-CN"/>
        </w:rPr>
        <w:t>资格审查与信用信息查询</w:t>
      </w:r>
      <w:bookmarkEnd w:id="76"/>
      <w:bookmarkEnd w:id="77"/>
      <w:bookmarkEnd w:id="78"/>
      <w:bookmarkEnd w:id="79"/>
      <w:bookmarkEnd w:id="80"/>
    </w:p>
    <w:p w14:paraId="1D60BBF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.1开标</w:t>
      </w:r>
    </w:p>
    <w:p w14:paraId="2862461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.1.1 </w:t>
      </w:r>
      <w:r>
        <w:rPr>
          <w:rFonts w:hint="eastAsia" w:ascii="仿宋" w:hAnsi="仿宋" w:eastAsia="仿宋" w:cs="仿宋"/>
          <w:color w:val="auto"/>
          <w:kern w:val="0"/>
          <w:sz w:val="24"/>
          <w:szCs w:val="24"/>
          <w:highlight w:val="none"/>
        </w:rPr>
        <w:t>采购机构按照采购文件规定的时间通过电子交易平台组织开标，所有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均应当准时在线参加。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不足3家的，不得开标。</w:t>
      </w:r>
    </w:p>
    <w:p w14:paraId="3C50FCBB">
      <w:pPr>
        <w:pageBreakBefore w:val="0"/>
        <w:kinsoku/>
        <w:wordWrap/>
        <w:overflowPunct/>
        <w:topLinePunct w:val="0"/>
        <w:autoSpaceDE w:val="0"/>
        <w:autoSpaceDN w:val="0"/>
        <w:bidi w:val="0"/>
        <w:adjustRightInd/>
        <w:spacing w:line="460" w:lineRule="exact"/>
        <w:ind w:firstLine="480" w:firstLineChars="20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.1.2</w:t>
      </w:r>
      <w:r>
        <w:rPr>
          <w:rFonts w:hint="eastAsia" w:ascii="仿宋" w:hAnsi="仿宋" w:eastAsia="仿宋" w:cs="仿宋"/>
          <w:color w:val="auto"/>
          <w:kern w:val="0"/>
          <w:sz w:val="24"/>
          <w:szCs w:val="24"/>
          <w:highlight w:val="none"/>
        </w:rPr>
        <w:t>开标时，电子交易平台按开标时间自动提取所有投标文件。采购机构依托电子交易平台发起开始解密指令，</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按照平台提示和采购文件的规定在半小时内完成在线解密。</w:t>
      </w:r>
    </w:p>
    <w:p w14:paraId="0A3D915D">
      <w:pPr>
        <w:pageBreakBefore w:val="0"/>
        <w:kinsoku/>
        <w:wordWrap/>
        <w:overflowPunct/>
        <w:topLinePunct w:val="0"/>
        <w:autoSpaceDE w:val="0"/>
        <w:autoSpaceDN w:val="0"/>
        <w:bidi w:val="0"/>
        <w:adjustRightInd/>
        <w:spacing w:line="460" w:lineRule="exact"/>
        <w:ind w:firstLine="482" w:firstLineChars="200"/>
        <w:contextualSpacing/>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5.1.3</w:t>
      </w:r>
      <w:r>
        <w:rPr>
          <w:rFonts w:hint="eastAsia" w:ascii="仿宋" w:hAnsi="仿宋" w:eastAsia="仿宋" w:cs="仿宋"/>
          <w:b/>
          <w:bCs/>
          <w:color w:val="auto"/>
          <w:kern w:val="0"/>
          <w:sz w:val="24"/>
          <w:szCs w:val="24"/>
          <w:highlight w:val="none"/>
        </w:rPr>
        <w:t>投标文件未按时解密，</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提供了备份投标文件的，以备份投标文件作为依据，否则视为投标文件撤回。投标文件已按时解密的，备份投标文件自动失效。</w:t>
      </w:r>
    </w:p>
    <w:p w14:paraId="5B5D30EA">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5.1.4</w:t>
      </w:r>
      <w:r>
        <w:rPr>
          <w:rFonts w:hint="eastAsia" w:ascii="仿宋" w:hAnsi="仿宋" w:eastAsia="仿宋" w:cs="仿宋"/>
          <w:color w:val="auto"/>
          <w:sz w:val="24"/>
          <w:szCs w:val="24"/>
          <w:highlight w:val="none"/>
        </w:rPr>
        <w:t>开评标期间，</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代表应在线操作，并关注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有关信息公布、澄清等情况。</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代表不参加开标程序的，事后不得对采购相关人员、开标过程和开标结果提出异议。</w:t>
      </w:r>
    </w:p>
    <w:p w14:paraId="0C01FF13">
      <w:pPr>
        <w:pageBreakBefore w:val="0"/>
        <w:kinsoku/>
        <w:wordWrap/>
        <w:overflowPunct/>
        <w:topLinePunct w:val="0"/>
        <w:bidi w:val="0"/>
        <w:adjustRightInd/>
        <w:snapToGrid w:val="0"/>
        <w:spacing w:line="460" w:lineRule="exact"/>
        <w:ind w:firstLine="241" w:firstLineChars="100"/>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资格审查</w:t>
      </w:r>
    </w:p>
    <w:p w14:paraId="6E1F4DA7">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.1开标后，采购人或采购机构将依法对</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的资格进行审查。</w:t>
      </w:r>
    </w:p>
    <w:p w14:paraId="4DCEA751">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sz w:val="24"/>
          <w:szCs w:val="24"/>
          <w:highlight w:val="none"/>
        </w:rPr>
        <w:t>采购人或采购机构依据法律法规和采购文件的规定，对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的资格进行审查。</w:t>
      </w:r>
    </w:p>
    <w:p w14:paraId="4C1A0D7C">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未按照采购文件要求提供与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不具备采购文件中规定的资格要求，其投标无效。</w:t>
      </w:r>
    </w:p>
    <w:p w14:paraId="53223E0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4对未通过资格审查的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，采购人或采购机构告知其未通过的原因。</w:t>
      </w:r>
    </w:p>
    <w:p w14:paraId="20835258">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5合格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不足3家的，不再评标。</w:t>
      </w:r>
    </w:p>
    <w:p w14:paraId="4F9B735F">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5.3</w:t>
      </w:r>
      <w:r>
        <w:rPr>
          <w:rFonts w:hint="eastAsia" w:ascii="仿宋" w:hAnsi="仿宋" w:eastAsia="仿宋" w:cs="仿宋"/>
          <w:b/>
          <w:bCs/>
          <w:color w:val="auto"/>
          <w:kern w:val="0"/>
          <w:sz w:val="24"/>
          <w:szCs w:val="24"/>
          <w:highlight w:val="none"/>
        </w:rPr>
        <w:t>信用信息查询</w:t>
      </w:r>
    </w:p>
    <w:p w14:paraId="71320FC4">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5.3.1</w:t>
      </w:r>
      <w:r>
        <w:rPr>
          <w:rFonts w:hint="eastAsia" w:ascii="仿宋" w:hAnsi="仿宋" w:eastAsia="仿宋" w:cs="仿宋"/>
          <w:color w:val="auto"/>
          <w:kern w:val="0"/>
          <w:sz w:val="24"/>
          <w:szCs w:val="24"/>
          <w:highlight w:val="none"/>
          <w:lang w:eastAsia="zh-CN"/>
        </w:rPr>
        <w:t>信用信息查询</w:t>
      </w:r>
      <w:r>
        <w:rPr>
          <w:rFonts w:hint="eastAsia" w:ascii="仿宋" w:hAnsi="仿宋" w:eastAsia="仿宋" w:cs="仿宋"/>
          <w:color w:val="auto"/>
          <w:kern w:val="0"/>
          <w:sz w:val="24"/>
          <w:szCs w:val="24"/>
          <w:highlight w:val="none"/>
        </w:rPr>
        <w:t>渠道及截止时间：采购机构将在资格审查时通过“信用中国”网站(www.creditchina.gov.cn)、中国政府采购网(www.ccgp.gov.cn)渠道查询</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接受资格时的信用记录。</w:t>
      </w:r>
    </w:p>
    <w:p w14:paraId="3FCBC7FB">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bookmarkStart w:id="81" w:name="_Hlk125840869"/>
      <w:r>
        <w:rPr>
          <w:rFonts w:hint="eastAsia" w:ascii="仿宋" w:hAnsi="仿宋" w:eastAsia="仿宋" w:cs="仿宋"/>
          <w:color w:val="auto"/>
          <w:kern w:val="0"/>
          <w:sz w:val="24"/>
          <w:szCs w:val="24"/>
          <w:highlight w:val="none"/>
          <w:lang w:val="en-US" w:eastAsia="zh-CN"/>
        </w:rPr>
        <w:t>5.3.2</w:t>
      </w:r>
      <w:r>
        <w:rPr>
          <w:rFonts w:hint="eastAsia" w:ascii="仿宋" w:hAnsi="仿宋" w:eastAsia="仿宋" w:cs="仿宋"/>
          <w:color w:val="auto"/>
          <w:kern w:val="0"/>
          <w:sz w:val="24"/>
          <w:szCs w:val="24"/>
          <w:highlight w:val="none"/>
        </w:rPr>
        <w:t>信用信息查询记录和证据留存的具体方式：现场查询的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的信用记录、查询结果经确认后将与采购文件一起存档。</w:t>
      </w:r>
    </w:p>
    <w:p w14:paraId="406B4FCF">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5.3.3</w:t>
      </w:r>
      <w:r>
        <w:rPr>
          <w:rFonts w:hint="eastAsia" w:ascii="仿宋" w:hAnsi="仿宋" w:eastAsia="仿宋" w:cs="仿宋"/>
          <w:color w:val="auto"/>
          <w:kern w:val="0"/>
          <w:sz w:val="24"/>
          <w:szCs w:val="24"/>
          <w:highlight w:val="none"/>
        </w:rPr>
        <w:t>信用信息的使用规则：经查询列入失信被执行人名单、重大税收违法案件当事人名单、政府采购严重违法失信行为记录名单的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将被拒绝参与采购活动。</w:t>
      </w:r>
    </w:p>
    <w:p w14:paraId="0054536C">
      <w:pPr>
        <w:pStyle w:val="288"/>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5.3.4</w:t>
      </w:r>
      <w:r>
        <w:rPr>
          <w:rFonts w:hint="eastAsia" w:ascii="仿宋" w:hAnsi="仿宋" w:eastAsia="仿宋" w:cs="仿宋"/>
          <w:color w:val="auto"/>
          <w:kern w:val="0"/>
          <w:sz w:val="24"/>
          <w:szCs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bookmarkEnd w:id="81"/>
      <w:r>
        <w:rPr>
          <w:rFonts w:hint="eastAsia" w:ascii="仿宋" w:hAnsi="仿宋" w:eastAsia="仿宋" w:cs="仿宋"/>
          <w:color w:val="auto"/>
          <w:sz w:val="24"/>
          <w:szCs w:val="24"/>
          <w:highlight w:val="none"/>
        </w:rPr>
        <w:t>。</w:t>
      </w:r>
    </w:p>
    <w:p w14:paraId="0C2E4A2D">
      <w:pPr>
        <w:keepNext w:val="0"/>
        <w:keepLines w:val="0"/>
        <w:pageBreakBefore w:val="0"/>
        <w:widowControl w:val="0"/>
        <w:kinsoku/>
        <w:wordWrap/>
        <w:overflowPunct/>
        <w:topLinePunct w:val="0"/>
        <w:autoSpaceDE/>
        <w:autoSpaceDN/>
        <w:bidi w:val="0"/>
        <w:adjustRightInd/>
        <w:snapToGrid/>
        <w:spacing w:before="313" w:beforeLines="100" w:line="4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评标</w:t>
      </w:r>
    </w:p>
    <w:p w14:paraId="11E6244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评标组织</w:t>
      </w:r>
    </w:p>
    <w:p w14:paraId="0051425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14:paraId="06465AD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6.2评标纪律</w:t>
      </w:r>
    </w:p>
    <w:p w14:paraId="5D6D9FA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本次评标工作将在严格保密的情况下进行，评标委员会成员名单在定标前将保密。</w:t>
      </w:r>
    </w:p>
    <w:p w14:paraId="1C67367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6.3评标办法</w:t>
      </w:r>
    </w:p>
    <w:p w14:paraId="6B1FF1D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采用综合评分法，详见采购文件第四章“评标办法”。</w:t>
      </w:r>
    </w:p>
    <w:p w14:paraId="3ECFF67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评标程序</w:t>
      </w:r>
    </w:p>
    <w:p w14:paraId="3DEDB11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6.4.1投标文件初审。初审分为资格</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查和符合性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w:t>
      </w:r>
    </w:p>
    <w:p w14:paraId="1A02D11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6.4.1.1</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w:t>
      </w:r>
    </w:p>
    <w:p w14:paraId="7BBE7C3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开标后，采购人或采购代理机构将依据法律法规和供应商资格条件对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的基本资格条件、特定资格条件进行审查。</w:t>
      </w:r>
    </w:p>
    <w:p w14:paraId="2F84B0B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未按照采购文件中供应商资格条件要求提供相应的有效资格证明材料的，视为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不具备采购文件中规定的资格要求，其资格审查不通过。</w:t>
      </w:r>
    </w:p>
    <w:p w14:paraId="57FDA5B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6.4.1.2</w:t>
      </w:r>
      <w:r>
        <w:rPr>
          <w:rFonts w:hint="eastAsia" w:ascii="仿宋" w:hAnsi="仿宋" w:eastAsia="仿宋" w:cs="仿宋"/>
          <w:color w:val="auto"/>
          <w:sz w:val="24"/>
          <w:szCs w:val="24"/>
          <w:highlight w:val="none"/>
        </w:rPr>
        <w:t>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查。依据采购文件的规定，从投标文件的有效性、完整性和对采购文件的响应程度进行审查，以确定是否对采购文件的实质性要求作出响应。具体审查内容见投标须知6.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.1条“无效投标的认定”。</w:t>
      </w:r>
    </w:p>
    <w:p w14:paraId="57722F1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评标委员会决定投标文件的响应性只根据投标文件本身的内容，而不寻求外部证据。</w:t>
      </w:r>
    </w:p>
    <w:p w14:paraId="1E16EF2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如果投标文件没有实质上响应采购文件的要求，评标委员会将判定无效，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不得通过修改或撤销不合要求的偏离或保留而使其投标成为实质性响应的投标。</w:t>
      </w:r>
    </w:p>
    <w:p w14:paraId="3EC5E1C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rPr>
        <w:t>澄清有关问题。在评标期间，对投标文件中含义不明确、同类问题表述不一致或者有明显文字和计算错误的内容，评标委员会可以书面形式（或有效电子数据电文）要求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作出必要的澄清、说明或者纠正。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的澄清、说明或者补正不得超出投标文件的范围或者改变投标文件的实质性内容。</w:t>
      </w:r>
    </w:p>
    <w:p w14:paraId="7560FDA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投标供应商的澄清、说明或者补正应当由法定代表人或其授权的代表签字（或加盖公章）后扫描上传提交。</w:t>
      </w:r>
    </w:p>
    <w:p w14:paraId="0D16AD4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授权代表对澄清、说明或者补正内容未签字确认的，将自行承担由此可能导致的对其不利的评审结果，评标委员会按少数服从多数原则对相关内容进行评判。</w:t>
      </w:r>
    </w:p>
    <w:p w14:paraId="740BCAC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除邮件交互外，如</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平台提供信息发布、澄清说明、数据交换等操作方式的，或者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系统平台有新的操作流程的，按其规定。</w:t>
      </w:r>
    </w:p>
    <w:p w14:paraId="44C32D4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.4修正原则</w:t>
      </w:r>
    </w:p>
    <w:p w14:paraId="3C14E7F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投标文件报价出现前后不一致的，按照下列规定修正：</w:t>
      </w:r>
    </w:p>
    <w:p w14:paraId="443D69B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投标文件中开标一览表(报价表)内容与投标文件中相应内容不一致的，以开标一览表(报价表)为准；</w:t>
      </w:r>
    </w:p>
    <w:p w14:paraId="5976642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大写金额和小写金额不一致的，以大写金额为准；</w:t>
      </w:r>
    </w:p>
    <w:p w14:paraId="266AB08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单价金额小数点或者百分比有明显错位的，以开标一览表的总价为准，并修改单价；</w:t>
      </w:r>
    </w:p>
    <w:p w14:paraId="51F8F3F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总价金额与按单价汇总金额不一致的，以单价金额计算结果为准。</w:t>
      </w:r>
    </w:p>
    <w:p w14:paraId="2DA675E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不确认的，其投标无效。</w:t>
      </w:r>
    </w:p>
    <w:p w14:paraId="43340B7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比较与评价。</w:t>
      </w:r>
    </w:p>
    <w:p w14:paraId="623FD19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按采购文件中规定的评标方法和标准，对资格性检查和符合性检查合格的投标文件进行商务和技术评估，综合比较与评价。</w:t>
      </w:r>
    </w:p>
    <w:p w14:paraId="18BC661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4.1.6</w:t>
      </w:r>
      <w:r>
        <w:rPr>
          <w:rFonts w:hint="eastAsia" w:ascii="仿宋" w:hAnsi="仿宋" w:eastAsia="仿宋" w:cs="仿宋"/>
          <w:color w:val="auto"/>
          <w:sz w:val="24"/>
          <w:szCs w:val="24"/>
          <w:highlight w:val="none"/>
        </w:rPr>
        <w:t>按采购文件中规定的评标方法和标准，对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进行排序，并推荐中标候选人。</w:t>
      </w:r>
    </w:p>
    <w:p w14:paraId="00988DC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4.1.7</w:t>
      </w:r>
      <w:r>
        <w:rPr>
          <w:rFonts w:hint="eastAsia" w:ascii="仿宋" w:hAnsi="仿宋" w:eastAsia="仿宋" w:cs="仿宋"/>
          <w:color w:val="auto"/>
          <w:sz w:val="24"/>
          <w:szCs w:val="24"/>
          <w:highlight w:val="none"/>
        </w:rPr>
        <w:t>编写评标报告。</w:t>
      </w:r>
    </w:p>
    <w:p w14:paraId="6E4B81A0">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无效投标的认定</w:t>
      </w:r>
    </w:p>
    <w:p w14:paraId="3D3474E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的商务技术文件、报价文件和其他评审要求等，评标委员会将逐项进行审查、比较，对于实质性偏离或符合无效条款的，应当询问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，并允许</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进行陈述申辩，但不允许其对偏离条款进行补充、修正或撤回。但经评标委员会认定属于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疏忽、笔误所造成的差错，应当允许其在评标结束之前进行修改或者补正（可以是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、传真件等）。修改或者补正投标文件必须以书面形式进行，并应在中标结果公告之前查核原件。限期内不补正或经补正后仍不符合采购文件要求的，应认定其投标无效。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修改、补正投标文件后，不影响评标委员会对其投标文件所作的评价和评分结果。</w:t>
      </w:r>
    </w:p>
    <w:p w14:paraId="2E351F86">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.1如发现下列情形之一的，投标文件将被视为无效投标：</w:t>
      </w:r>
    </w:p>
    <w:p w14:paraId="569DBC5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不具备采购文件中规定的资格要求的（</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未提供有效的资格文件的，视为</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不具备采购文件中规定的资格要求）；</w:t>
      </w:r>
    </w:p>
    <w:p w14:paraId="4CE112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）未</w:t>
      </w:r>
      <w:r>
        <w:rPr>
          <w:rFonts w:hint="eastAsia" w:ascii="仿宋" w:hAnsi="仿宋" w:eastAsia="仿宋" w:cs="仿宋"/>
          <w:color w:val="auto"/>
          <w:sz w:val="24"/>
          <w:szCs w:val="24"/>
          <w:highlight w:val="none"/>
        </w:rPr>
        <w:t>按时上传或按时解密电子投标文件的</w:t>
      </w:r>
    </w:p>
    <w:p w14:paraId="1770A82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）电</w:t>
      </w:r>
      <w:r>
        <w:rPr>
          <w:rFonts w:hint="eastAsia" w:ascii="仿宋" w:hAnsi="仿宋" w:eastAsia="仿宋" w:cs="仿宋"/>
          <w:color w:val="auto"/>
          <w:sz w:val="24"/>
          <w:szCs w:val="24"/>
          <w:highlight w:val="none"/>
        </w:rPr>
        <w:t>子投标文件解密失败的，且未在规定时间内提交有效备份投标文件的；</w:t>
      </w:r>
    </w:p>
    <w:p w14:paraId="23A0B1F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电子投标文件未按规定要求提供电子签章的；</w:t>
      </w:r>
    </w:p>
    <w:p w14:paraId="57C48DDB">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）投标文件没有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的法定代表人或法定代表人授权委托人签字、投标文件应盖公章而未盖公章或盖非公司公章、未有效授权、法定代表人授权书填写不完整或有涂改的；</w:t>
      </w:r>
    </w:p>
    <w:p w14:paraId="704C4C0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）不响应采购文件标注“★”条款要求的；</w:t>
      </w:r>
    </w:p>
    <w:p w14:paraId="2126D28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）投标文件载明的招标项目合同期或服务期少于采购文件规定期限的；</w:t>
      </w:r>
    </w:p>
    <w:p w14:paraId="15EA291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）投标文件未响应采购文件规定的付款方式的；</w:t>
      </w:r>
    </w:p>
    <w:p w14:paraId="41AB739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）投标报价超出预算或最高限价，采购人无法接受的；</w:t>
      </w:r>
    </w:p>
    <w:p w14:paraId="591D6958">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报价明显低于其他通过符合性审查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27ADE8FB">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）没有按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文件的要求提供投标保证金或提供的保证金有瑕疵而不能接受的；</w:t>
      </w:r>
    </w:p>
    <w:p w14:paraId="7E4C885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投标货物的技术规范、技术标准明显不符合国家强制性要求的；</w:t>
      </w:r>
    </w:p>
    <w:p w14:paraId="4C118CE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提交两份或多份内容不同的报价响应文件，或在一份报价响应文件中对同一内容报有两个或多个报价，且未声明哪一个为最终报价的；</w:t>
      </w:r>
    </w:p>
    <w:p w14:paraId="6C964C5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投标报价超过采购文件中规定的预算金额或者最高限价的</w:t>
      </w:r>
      <w:r>
        <w:rPr>
          <w:rFonts w:hint="eastAsia" w:ascii="仿宋" w:hAnsi="仿宋" w:eastAsia="仿宋" w:cs="仿宋"/>
          <w:color w:val="auto"/>
          <w:kern w:val="0"/>
          <w:sz w:val="24"/>
          <w:szCs w:val="24"/>
          <w:highlight w:val="none"/>
          <w:lang w:eastAsia="zh-CN"/>
        </w:rPr>
        <w:t>；</w:t>
      </w:r>
    </w:p>
    <w:p w14:paraId="09D927A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对根据修正原则修正后的报价不确认的；</w:t>
      </w:r>
    </w:p>
    <w:p w14:paraId="356604A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提供虚假材料投标的</w:t>
      </w:r>
      <w:r>
        <w:rPr>
          <w:rFonts w:hint="eastAsia" w:ascii="仿宋" w:hAnsi="仿宋" w:eastAsia="仿宋" w:cs="仿宋"/>
          <w:color w:val="auto"/>
          <w:kern w:val="0"/>
          <w:sz w:val="24"/>
          <w:szCs w:val="24"/>
          <w:highlight w:val="none"/>
          <w:lang w:val="en-US" w:eastAsia="zh-CN"/>
        </w:rPr>
        <w:t>；</w:t>
      </w:r>
    </w:p>
    <w:p w14:paraId="279C9F0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有恶意串通、妨碍其他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的竞争行为、损害采购人或者其他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的合法权益情形的；</w:t>
      </w:r>
    </w:p>
    <w:p w14:paraId="4065360C">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18）资信技术文件出现投标报价的；</w:t>
      </w:r>
    </w:p>
    <w:p w14:paraId="0C5D623D">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）投标文件附有采购人不能接受的条款；</w:t>
      </w:r>
    </w:p>
    <w:p w14:paraId="1FF74F6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仅提交备份投标文件，没有在电子交易平台传输递交投标文件的，投标无效；</w:t>
      </w:r>
    </w:p>
    <w:p w14:paraId="0BE706B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）不满足采购文件规定的实质性要求的；</w:t>
      </w:r>
    </w:p>
    <w:p w14:paraId="3B987E9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）国家和省另有规定属无效投标文件的。</w:t>
      </w:r>
    </w:p>
    <w:p w14:paraId="592481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6.3.2有下列情形之一的，视为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串通投标，其投标无效：</w:t>
      </w:r>
    </w:p>
    <w:p w14:paraId="4CFF06C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的投标文件由同一单位或者个人编制；</w:t>
      </w:r>
    </w:p>
    <w:p w14:paraId="6EEBB1B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委托同一单位或者个人办理投标事宜；</w:t>
      </w:r>
    </w:p>
    <w:p w14:paraId="5FFBDC6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的投标文件载明的项目管理成员或者联系人员为同一人；</w:t>
      </w:r>
    </w:p>
    <w:p w14:paraId="5124B73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的投标文件异常一致或者投标报价呈规律性差异；</w:t>
      </w:r>
    </w:p>
    <w:p w14:paraId="5F0CE5F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的投标文件相互混装。</w:t>
      </w:r>
    </w:p>
    <w:p w14:paraId="1E16FD2B">
      <w:pPr>
        <w:pageBreakBefore w:val="0"/>
        <w:numPr>
          <w:ilvl w:val="0"/>
          <w:numId w:val="0"/>
        </w:numPr>
        <w:kinsoku/>
        <w:wordWrap/>
        <w:overflowPunct/>
        <w:topLinePunct w:val="0"/>
        <w:bidi w:val="0"/>
        <w:adjustRightInd/>
        <w:snapToGrid w:val="0"/>
        <w:spacing w:line="460" w:lineRule="exact"/>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14:paraId="76A43580">
      <w:pPr>
        <w:pageBreakBefore w:val="0"/>
        <w:numPr>
          <w:ilvl w:val="0"/>
          <w:numId w:val="0"/>
        </w:numPr>
        <w:kinsoku/>
        <w:wordWrap/>
        <w:overflowPunct/>
        <w:topLinePunct w:val="0"/>
        <w:bidi w:val="0"/>
        <w:adjustRightInd/>
        <w:snapToGrid w:val="0"/>
        <w:spacing w:line="460" w:lineRule="exact"/>
        <w:jc w:val="center"/>
        <w:textAlignment w:val="auto"/>
        <w:outlineLvl w:val="2"/>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七、  </w:t>
      </w:r>
      <w:r>
        <w:rPr>
          <w:rFonts w:hint="eastAsia" w:ascii="仿宋" w:hAnsi="仿宋" w:eastAsia="仿宋" w:cs="仿宋"/>
          <w:b/>
          <w:bCs/>
          <w:color w:val="auto"/>
          <w:sz w:val="32"/>
          <w:szCs w:val="32"/>
          <w:highlight w:val="none"/>
          <w:lang w:eastAsia="zh-CN"/>
        </w:rPr>
        <w:t>定标</w:t>
      </w:r>
    </w:p>
    <w:p w14:paraId="65A63C10">
      <w:pPr>
        <w:pStyle w:val="288"/>
        <w:pageBreakBefore w:val="0"/>
        <w:kinsoku/>
        <w:wordWrap/>
        <w:overflowPunct/>
        <w:topLinePunct w:val="0"/>
        <w:bidi w:val="0"/>
        <w:adjustRightInd/>
        <w:snapToGrid w:val="0"/>
        <w:spacing w:before="0" w:line="460" w:lineRule="exact"/>
        <w:ind w:firstLine="48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7.1</w:t>
      </w:r>
      <w:r>
        <w:rPr>
          <w:rFonts w:hint="eastAsia" w:ascii="仿宋" w:hAnsi="仿宋" w:eastAsia="仿宋" w:cs="仿宋"/>
          <w:b/>
          <w:color w:val="auto"/>
          <w:sz w:val="24"/>
          <w:szCs w:val="24"/>
          <w:highlight w:val="none"/>
        </w:rPr>
        <w:t>确定</w:t>
      </w:r>
      <w:r>
        <w:rPr>
          <w:rFonts w:hint="eastAsia" w:ascii="仿宋" w:hAnsi="仿宋" w:eastAsia="仿宋" w:cs="仿宋"/>
          <w:b/>
          <w:color w:val="auto"/>
          <w:sz w:val="24"/>
          <w:szCs w:val="24"/>
          <w:highlight w:val="none"/>
          <w:lang w:eastAsia="zh-CN"/>
        </w:rPr>
        <w:t>中标人</w:t>
      </w:r>
    </w:p>
    <w:p w14:paraId="0A6F6D6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7.1.1采购代理机构应当自评审结束之日起2个工作日内将评审报告送交采购人。</w:t>
      </w:r>
    </w:p>
    <w:p w14:paraId="250491A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采购人应当自收到评标报告之日起5个工作日内，在评标报告确定的中标候选人名单中按顺序确定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。中标候选人并列的，由采购人或者采购人委托评标委员会按照采购文件规定的方式确定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；采购文件未规定的，采取随机抽取的方式确定。</w:t>
      </w:r>
    </w:p>
    <w:p w14:paraId="49A576D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采购人在收到评标报告5个工作日内未按评标报告推荐的中标候选人顺序确定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，又不能说明合法理由的，视同按评标报告推荐的顺序确定排名第一的中标候选人为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20AC9A4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采购人或者采购代理机构应当自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确定之日起2个工作日内，在省级以上财政部门指定的媒体上公告中标结果。</w:t>
      </w:r>
    </w:p>
    <w:p w14:paraId="2193722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公告期限为1个工作日。</w:t>
      </w:r>
    </w:p>
    <w:p w14:paraId="545D5B5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除国务院财政部门规定的情形外，采购人、采购代理机构不得以任何理由组织重新评审。采购人、采购代理机构按照国务院财政部门的规定组织重新评审的，应当书面报告本级人民政府财政部门。</w:t>
      </w:r>
    </w:p>
    <w:p w14:paraId="3254F57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7.3中标通知书发出后，采购人不得违法改变中标结果，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 xml:space="preserve">无正当理由不得放弃中标。 </w:t>
      </w:r>
    </w:p>
    <w:p w14:paraId="46659C0B">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7.2</w:t>
      </w:r>
      <w:r>
        <w:rPr>
          <w:rFonts w:hint="eastAsia" w:ascii="仿宋" w:hAnsi="仿宋" w:eastAsia="仿宋" w:cs="仿宋"/>
          <w:b/>
          <w:color w:val="auto"/>
          <w:sz w:val="24"/>
          <w:szCs w:val="24"/>
          <w:highlight w:val="none"/>
        </w:rPr>
        <w:t>. 中标通知与中标结果公告</w:t>
      </w:r>
    </w:p>
    <w:p w14:paraId="6F74223B">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.1自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确定之日起2个工作日内，采购机构通过电子交易平台向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发出中标通知书，同时编制发布采购结果公告。采购机构也可以以纸质形式进行中标通知。</w:t>
      </w:r>
    </w:p>
    <w:p w14:paraId="4010F71D">
      <w:pPr>
        <w:pageBreakBefore w:val="0"/>
        <w:widowControl/>
        <w:shd w:val="clear" w:color="auto" w:fill="FFFFFF"/>
        <w:kinsoku/>
        <w:wordWrap/>
        <w:overflowPunct/>
        <w:topLinePunct w:val="0"/>
        <w:bidi w:val="0"/>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.2中标结果公告内容包括采购人及其委托的采购机构的名称、地址、联系方式，项目名称和项目编号，</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名称、地址和中标金额，主要中标标的的名称、规格型号、数量、单价、服务要求，开标记录、</w:t>
      </w:r>
      <w:bookmarkStart w:id="82" w:name="_Hlk101184471"/>
      <w:r>
        <w:rPr>
          <w:rFonts w:hint="eastAsia" w:ascii="仿宋" w:hAnsi="仿宋" w:eastAsia="仿宋" w:cs="仿宋"/>
          <w:color w:val="auto"/>
          <w:sz w:val="24"/>
          <w:szCs w:val="24"/>
          <w:highlight w:val="none"/>
        </w:rPr>
        <w:t>资格审查情况、评审专家抽取规则、符合性审查情况、</w:t>
      </w:r>
      <w:bookmarkEnd w:id="82"/>
      <w:r>
        <w:rPr>
          <w:rFonts w:hint="eastAsia" w:ascii="仿宋" w:hAnsi="仿宋" w:eastAsia="仿宋" w:cs="仿宋"/>
          <w:color w:val="auto"/>
          <w:sz w:val="24"/>
          <w:szCs w:val="24"/>
          <w:highlight w:val="none"/>
        </w:rPr>
        <w:t>未中标情况说明、中标公告期限以及评审专家名单、评分汇总及明细。</w:t>
      </w:r>
    </w:p>
    <w:p w14:paraId="0DACDDD0">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.3公告期限为1个工作日。</w:t>
      </w:r>
    </w:p>
    <w:p w14:paraId="145B8CC3">
      <w:pPr>
        <w:pageBreakBefore w:val="0"/>
        <w:kinsoku/>
        <w:wordWrap/>
        <w:overflowPunct/>
        <w:topLinePunct w:val="0"/>
        <w:bidi w:val="0"/>
        <w:adjustRightInd/>
        <w:spacing w:line="4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废标</w:t>
      </w:r>
    </w:p>
    <w:p w14:paraId="6394D58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.1出现下列情形之一的，应予以废标：</w:t>
      </w:r>
    </w:p>
    <w:p w14:paraId="168F946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8.1.1</w:t>
      </w:r>
      <w:r>
        <w:rPr>
          <w:rFonts w:hint="eastAsia" w:ascii="仿宋" w:hAnsi="仿宋" w:eastAsia="仿宋" w:cs="仿宋"/>
          <w:color w:val="auto"/>
          <w:sz w:val="24"/>
          <w:szCs w:val="24"/>
          <w:highlight w:val="none"/>
        </w:rPr>
        <w:t>符合专业条件的供应商或者对采购文件作实质响应的供应商不足三家的；</w:t>
      </w:r>
    </w:p>
    <w:p w14:paraId="5365DB0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8.1.2</w:t>
      </w:r>
      <w:r>
        <w:rPr>
          <w:rFonts w:hint="eastAsia" w:ascii="仿宋" w:hAnsi="仿宋" w:eastAsia="仿宋" w:cs="仿宋"/>
          <w:color w:val="auto"/>
          <w:sz w:val="24"/>
          <w:szCs w:val="24"/>
          <w:highlight w:val="none"/>
        </w:rPr>
        <w:t>出现影响采购公正的违法、违规行为的；</w:t>
      </w:r>
    </w:p>
    <w:p w14:paraId="2FFA47F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8.1.3</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的报价均超过了采购预算，采购人不能支付的；</w:t>
      </w:r>
    </w:p>
    <w:p w14:paraId="65A0385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8.1.4</w:t>
      </w:r>
      <w:r>
        <w:rPr>
          <w:rFonts w:hint="eastAsia" w:ascii="仿宋" w:hAnsi="仿宋" w:eastAsia="仿宋" w:cs="仿宋"/>
          <w:color w:val="auto"/>
          <w:sz w:val="24"/>
          <w:szCs w:val="24"/>
          <w:highlight w:val="none"/>
        </w:rPr>
        <w:t>因重大变故，采购任务取消的。</w:t>
      </w:r>
    </w:p>
    <w:p w14:paraId="70B55186">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.2采购过程中出现以下情形，导致电子交易平台无法正常运行，或者无法保证电子交易的公平、公正和安全时，采购组织机构可中止电子交易活动：</w:t>
      </w:r>
    </w:p>
    <w:p w14:paraId="0C700C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8.2.1</w:t>
      </w:r>
      <w:r>
        <w:rPr>
          <w:rFonts w:hint="eastAsia" w:ascii="仿宋" w:hAnsi="仿宋" w:eastAsia="仿宋" w:cs="仿宋"/>
          <w:color w:val="auto"/>
          <w:sz w:val="24"/>
          <w:szCs w:val="24"/>
          <w:highlight w:val="none"/>
        </w:rPr>
        <w:t xml:space="preserve">电子交易平台发生故障而无法登录访问的； </w:t>
      </w:r>
    </w:p>
    <w:p w14:paraId="067C985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8.2.2</w:t>
      </w:r>
      <w:r>
        <w:rPr>
          <w:rFonts w:hint="eastAsia" w:ascii="仿宋" w:hAnsi="仿宋" w:eastAsia="仿宋" w:cs="仿宋"/>
          <w:color w:val="auto"/>
          <w:sz w:val="24"/>
          <w:szCs w:val="24"/>
          <w:highlight w:val="none"/>
        </w:rPr>
        <w:t>电子交易平台应用或数据库出现错误，不能进行正常操作的；</w:t>
      </w:r>
    </w:p>
    <w:p w14:paraId="12746D6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8.2.3</w:t>
      </w:r>
      <w:r>
        <w:rPr>
          <w:rFonts w:hint="eastAsia" w:ascii="仿宋" w:hAnsi="仿宋" w:eastAsia="仿宋" w:cs="仿宋"/>
          <w:color w:val="auto"/>
          <w:sz w:val="24"/>
          <w:szCs w:val="24"/>
          <w:highlight w:val="none"/>
        </w:rPr>
        <w:t>电子交易平台发现严重安全漏洞，有潜在泄密危险的；</w:t>
      </w:r>
    </w:p>
    <w:p w14:paraId="4766EDC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8.2.4</w:t>
      </w:r>
      <w:r>
        <w:rPr>
          <w:rFonts w:hint="eastAsia" w:ascii="仿宋" w:hAnsi="仿宋" w:eastAsia="仿宋" w:cs="仿宋"/>
          <w:color w:val="auto"/>
          <w:sz w:val="24"/>
          <w:szCs w:val="24"/>
          <w:highlight w:val="none"/>
        </w:rPr>
        <w:t xml:space="preserve">病毒发作导致不能进行正常操作的； </w:t>
      </w:r>
    </w:p>
    <w:p w14:paraId="51B9EA8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8.2.5</w:t>
      </w:r>
      <w:r>
        <w:rPr>
          <w:rFonts w:hint="eastAsia" w:ascii="仿宋" w:hAnsi="仿宋" w:eastAsia="仿宋" w:cs="仿宋"/>
          <w:color w:val="auto"/>
          <w:sz w:val="24"/>
          <w:szCs w:val="24"/>
          <w:highlight w:val="none"/>
        </w:rPr>
        <w:t>其他无法保证电子交易的公平、公正和安全的情况。</w:t>
      </w:r>
    </w:p>
    <w:p w14:paraId="3FA8DA2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47EB31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8.2.6</w:t>
      </w:r>
      <w:r>
        <w:rPr>
          <w:rFonts w:hint="eastAsia" w:ascii="仿宋" w:hAnsi="仿宋" w:eastAsia="仿宋" w:cs="仿宋"/>
          <w:color w:val="auto"/>
          <w:sz w:val="24"/>
          <w:szCs w:val="24"/>
          <w:highlight w:val="none"/>
        </w:rPr>
        <w:t xml:space="preserve"> 废标后，采购人应当将废标理由通知所有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并重新组织招标；或者经主管部门批准，采取其他方式组织采购。</w:t>
      </w:r>
    </w:p>
    <w:p w14:paraId="709A1B73">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83" w:name="_Toc450482502"/>
      <w:bookmarkStart w:id="84" w:name="_Toc54978896"/>
      <w:bookmarkStart w:id="85" w:name="_Toc35261577"/>
      <w:r>
        <w:rPr>
          <w:rFonts w:hint="eastAsia" w:ascii="仿宋" w:hAnsi="仿宋" w:eastAsia="仿宋" w:cs="仿宋"/>
          <w:color w:val="auto"/>
          <w:sz w:val="32"/>
          <w:szCs w:val="32"/>
          <w:highlight w:val="none"/>
          <w:lang w:eastAsia="zh-CN"/>
        </w:rPr>
        <w:t>九</w:t>
      </w:r>
      <w:r>
        <w:rPr>
          <w:rFonts w:hint="eastAsia" w:ascii="仿宋" w:hAnsi="仿宋" w:eastAsia="仿宋" w:cs="仿宋"/>
          <w:color w:val="auto"/>
          <w:sz w:val="32"/>
          <w:szCs w:val="32"/>
          <w:highlight w:val="none"/>
        </w:rPr>
        <w:t>、合同授予</w:t>
      </w:r>
      <w:bookmarkEnd w:id="83"/>
      <w:r>
        <w:rPr>
          <w:rFonts w:hint="eastAsia" w:ascii="仿宋" w:hAnsi="仿宋" w:eastAsia="仿宋" w:cs="仿宋"/>
          <w:color w:val="auto"/>
          <w:sz w:val="32"/>
          <w:szCs w:val="32"/>
          <w:highlight w:val="none"/>
        </w:rPr>
        <w:t>及签订</w:t>
      </w:r>
      <w:bookmarkEnd w:id="84"/>
      <w:bookmarkEnd w:id="85"/>
    </w:p>
    <w:p w14:paraId="4CF87AC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.1合同授予</w:t>
      </w:r>
    </w:p>
    <w:p w14:paraId="21A02A5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.1.1本项目的合同将授予按本须知第7.1.1款所确定的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11DD615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.1.2 中标或者成交供应商拒绝与采购人签订合同的，采购人可以按照评审报告推荐的中标或者成交候选人名单排序，确定下一候选人为中标或者成交供应商，也可以重新开展采购活动。</w:t>
      </w:r>
    </w:p>
    <w:p w14:paraId="2C21B3D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.2签订合同</w:t>
      </w:r>
    </w:p>
    <w:p w14:paraId="2B4AFF9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应按中标通知书规定的时间与采购人签订合同。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在领取中标通知书时须向采购人提供一份关于本项目在实施过程中的相关人员的通讯录作为合同附件。</w:t>
      </w:r>
    </w:p>
    <w:p w14:paraId="2838EA6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如不遵守采购文件或投标文件各项条款的邀约与要约，或在接到中标通知书后借故拖延，拒签合同的，采购人将依据国家和采购文件有关规定要求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予以赔偿，同时采购人可根据</w:t>
      </w:r>
      <w:r>
        <w:rPr>
          <w:rFonts w:hint="eastAsia" w:ascii="仿宋" w:hAnsi="仿宋" w:eastAsia="仿宋" w:cs="仿宋"/>
          <w:color w:val="auto"/>
          <w:sz w:val="24"/>
          <w:szCs w:val="24"/>
          <w:highlight w:val="none"/>
          <w:lang w:val="en-US" w:eastAsia="zh-CN"/>
        </w:rPr>
        <w:t>相关规定</w:t>
      </w:r>
      <w:r>
        <w:rPr>
          <w:rFonts w:hint="eastAsia" w:ascii="仿宋" w:hAnsi="仿宋" w:eastAsia="仿宋" w:cs="仿宋"/>
          <w:color w:val="auto"/>
          <w:sz w:val="24"/>
          <w:szCs w:val="24"/>
          <w:highlight w:val="none"/>
        </w:rPr>
        <w:t>另行选择</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2C60721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.2.3 采购文件、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的投标文件及投标修改文件、评标过程中有关澄清文件及经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法定代表人或授权代表签字确认的询标回复和承诺及中标通知书均作为合同组成部分。</w:t>
      </w:r>
    </w:p>
    <w:p w14:paraId="5E00D80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.3履约保证金</w:t>
      </w:r>
    </w:p>
    <w:p w14:paraId="0013667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须知前附表”规定的缴纳履约保证金。</w:t>
      </w:r>
    </w:p>
    <w:p w14:paraId="4B48712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.3.2履约保证金有效期按“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w:t>
      </w:r>
    </w:p>
    <w:p w14:paraId="766327C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.3.3履约保证金有效期结束后，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凭保证金收据无息退还。</w:t>
      </w:r>
    </w:p>
    <w:p w14:paraId="50CDFC3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.3.4如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有下列情况，</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将承担赔偿责任，赔偿金额为项目预算金额的2%，如实际损失超过前述金额的，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需赔偿超过前述金额部分的实际损失。</w:t>
      </w:r>
    </w:p>
    <w:p w14:paraId="4BC9B57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在投标截止时间后撤销投标文件的；</w:t>
      </w:r>
    </w:p>
    <w:p w14:paraId="145832D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未按规定签订合同或转让中标的；</w:t>
      </w:r>
    </w:p>
    <w:p w14:paraId="2BC995C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9.3.4.3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违反</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法律法规规定，给采购人造成损失的。</w:t>
      </w:r>
    </w:p>
    <w:p w14:paraId="5F2451C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.4采购代理服务费</w:t>
      </w:r>
    </w:p>
    <w:p w14:paraId="54D8033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本次采购代理服务费按“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须知前附表”规定收取。</w:t>
      </w:r>
      <w:bookmarkStart w:id="86" w:name="_Toc248065069"/>
      <w:bookmarkStart w:id="87" w:name="_Toc180555950"/>
      <w:bookmarkStart w:id="88" w:name="_Toc226337791"/>
    </w:p>
    <w:p w14:paraId="2A662D1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.5诚实信用</w:t>
      </w:r>
      <w:bookmarkEnd w:id="86"/>
      <w:bookmarkEnd w:id="87"/>
      <w:bookmarkEnd w:id="88"/>
    </w:p>
    <w:p w14:paraId="3C8B2AD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bookmarkStart w:id="89" w:name="_Toc180555951"/>
      <w:bookmarkStart w:id="90" w:name="_Toc226337792"/>
      <w:bookmarkStart w:id="91" w:name="_Toc248065070"/>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之间串通投标（递交投标文件之前或之后），人为地使投标丧失竞争性，损害采购人从公开竞争中所能获得的权益。</w:t>
      </w:r>
    </w:p>
    <w:p w14:paraId="6F2839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.5.2如果采购人有证据表明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在本招标项目的竞争中存在腐败、欺诈、失信记录或其他严重违背诚信原则的行为，则将拒绝其投标，或中标无效。</w:t>
      </w:r>
    </w:p>
    <w:p w14:paraId="4337DAD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.5.3如果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没有按照采购文件和中标通知书的规定签订合同，报</w:t>
      </w:r>
      <w:r>
        <w:rPr>
          <w:rFonts w:hint="eastAsia" w:ascii="仿宋" w:hAnsi="仿宋" w:eastAsia="仿宋" w:cs="仿宋"/>
          <w:color w:val="auto"/>
          <w:sz w:val="24"/>
          <w:szCs w:val="24"/>
          <w:highlight w:val="none"/>
          <w:lang w:eastAsia="zh-CN"/>
        </w:rPr>
        <w:t>嵊州市</w:t>
      </w:r>
      <w:r>
        <w:rPr>
          <w:rFonts w:hint="eastAsia" w:ascii="仿宋" w:hAnsi="仿宋" w:eastAsia="仿宋" w:cs="仿宋"/>
          <w:color w:val="auto"/>
          <w:sz w:val="24"/>
          <w:szCs w:val="24"/>
          <w:highlight w:val="none"/>
        </w:rPr>
        <w:t>采购监督管理部门按照采购的有关规定进行处理。</w:t>
      </w:r>
      <w:bookmarkEnd w:id="89"/>
      <w:bookmarkEnd w:id="90"/>
      <w:bookmarkEnd w:id="91"/>
    </w:p>
    <w:p w14:paraId="7BAD71A7">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highlight w:val="none"/>
        </w:rPr>
      </w:pPr>
      <w:bookmarkStart w:id="92" w:name="_Toc35261578"/>
      <w:bookmarkStart w:id="93" w:name="_Toc54978897"/>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询问、</w:t>
      </w:r>
      <w:r>
        <w:rPr>
          <w:rFonts w:hint="eastAsia" w:ascii="仿宋" w:hAnsi="仿宋" w:eastAsia="仿宋" w:cs="仿宋"/>
          <w:color w:val="auto"/>
          <w:sz w:val="32"/>
          <w:szCs w:val="32"/>
          <w:highlight w:val="none"/>
        </w:rPr>
        <w:t>投诉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质疑</w:t>
      </w:r>
      <w:bookmarkEnd w:id="92"/>
      <w:bookmarkEnd w:id="93"/>
    </w:p>
    <w:p w14:paraId="24086A6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采购供应商（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，下同）可以依法提起质疑和投诉。</w:t>
      </w:r>
    </w:p>
    <w:p w14:paraId="373DCDC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质疑函范本、投诉书范本请到浙江政府采购网下载专区下载。</w:t>
      </w:r>
    </w:p>
    <w:p w14:paraId="6532EBA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.1供应商询问</w:t>
      </w:r>
    </w:p>
    <w:p w14:paraId="78C391E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供应商对采购活动事项有疑问的，可以向采购机构提出询问，采购人或者采购代理机构应当在3个工作日内对供应商依法提出的询问作出答复，但答复的内容不得涉及商业秘密。</w:t>
      </w:r>
    </w:p>
    <w:p w14:paraId="35A5374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.2供应商质疑</w:t>
      </w:r>
    </w:p>
    <w:p w14:paraId="7A65A76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19287B5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在法定质疑期内一次性提出针对同一采购程序环节的质疑。</w:t>
      </w:r>
    </w:p>
    <w:p w14:paraId="734AF21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.2.2提出质疑的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（以下简称质疑人）应当是参与所质疑项目采购活动的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7D9B714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已依法获取其可质疑的采购文件的，可以对该文件提出质疑。对采购文件提出质疑的，应当在获取采购文件或者采购文件公告期限届满之日起7个工作日内提出。</w:t>
      </w:r>
    </w:p>
    <w:p w14:paraId="35E9657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提出质疑应当提交质疑函和必要的证明材料。质疑函应当包括下列内容：</w:t>
      </w:r>
    </w:p>
    <w:p w14:paraId="289A956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的姓名或者名称、地址、邮编、联系人及联系电话；</w:t>
      </w:r>
    </w:p>
    <w:p w14:paraId="334AD0D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52B7EEB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（三）具体、明确的质疑事项和与质疑事项相关的请求；</w:t>
      </w:r>
    </w:p>
    <w:p w14:paraId="4F2617E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w:t>
      </w:r>
    </w:p>
    <w:p w14:paraId="0F1D0CF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（五）必要的法律依据；</w:t>
      </w:r>
    </w:p>
    <w:p w14:paraId="5127A02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55D76BD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为自然人的，应当由本人签字；</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为法人或者其他组织的，应当由法定代表人、主要负责人，或者其授权代表签字或者盖章，并加盖公章。</w:t>
      </w:r>
    </w:p>
    <w:p w14:paraId="3478EA0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.4采购人、采购代理机构在收到法定质疑期内发出的质疑函后7个工作日内作出答复，并以书面形式通知质疑人和其他有关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。质疑答复的内容不得涉及商业秘密。</w:t>
      </w:r>
    </w:p>
    <w:p w14:paraId="7B0BDEA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.3供应商投诉</w:t>
      </w:r>
    </w:p>
    <w:p w14:paraId="302867D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质疑供应商对采购机构的答复不满意或者采购机构未在规定的时间内作出答复的，可以在答复期满后十五个工作日内向同级采购监督管理部门提出投诉。</w:t>
      </w:r>
    </w:p>
    <w:p w14:paraId="64E9692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.4采购结束</w:t>
      </w:r>
    </w:p>
    <w:p w14:paraId="6862912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与采购人签订合同生效后即为采购结束。</w:t>
      </w:r>
    </w:p>
    <w:p w14:paraId="15C3494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.4.2本项目的投标文件不予退回。</w:t>
      </w:r>
    </w:p>
    <w:p w14:paraId="1B589151">
      <w:pPr>
        <w:pageBreakBefore w:val="0"/>
        <w:kinsoku/>
        <w:wordWrap/>
        <w:overflowPunct/>
        <w:topLinePunct w:val="0"/>
        <w:bidi w:val="0"/>
        <w:adjustRightInd/>
        <w:snapToGrid w:val="0"/>
        <w:spacing w:line="460" w:lineRule="exact"/>
        <w:jc w:val="both"/>
        <w:textAlignment w:val="auto"/>
        <w:outlineLvl w:val="1"/>
        <w:rPr>
          <w:rFonts w:hint="eastAsia" w:ascii="仿宋" w:hAnsi="仿宋" w:eastAsia="仿宋" w:cs="仿宋"/>
          <w:b/>
          <w:color w:val="auto"/>
          <w:sz w:val="24"/>
          <w:szCs w:val="24"/>
          <w:highlight w:val="none"/>
          <w:lang w:eastAsia="zh-CN"/>
        </w:rPr>
      </w:pPr>
      <w:bookmarkStart w:id="94" w:name="_Toc54978898"/>
    </w:p>
    <w:p w14:paraId="4137CDAE">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十一、</w:t>
      </w:r>
      <w:r>
        <w:rPr>
          <w:rFonts w:hint="eastAsia" w:ascii="仿宋" w:hAnsi="仿宋" w:eastAsia="仿宋" w:cs="仿宋"/>
          <w:b/>
          <w:color w:val="auto"/>
          <w:sz w:val="32"/>
          <w:szCs w:val="32"/>
          <w:highlight w:val="none"/>
        </w:rPr>
        <w:t>电子交易活动的中止</w:t>
      </w:r>
    </w:p>
    <w:p w14:paraId="7BCE60A4">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11.1</w:t>
      </w:r>
      <w:r>
        <w:rPr>
          <w:rFonts w:hint="eastAsia" w:ascii="仿宋" w:hAnsi="仿宋" w:eastAsia="仿宋" w:cs="仿宋"/>
          <w:b/>
          <w:color w:val="auto"/>
          <w:sz w:val="24"/>
          <w:szCs w:val="24"/>
          <w:highlight w:val="none"/>
        </w:rPr>
        <w:t>电子交易活动的中止。</w:t>
      </w:r>
    </w:p>
    <w:p w14:paraId="1249FABA">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采购过程中出现以下情形，导致电子交易平台无法正常运行，或者无法保证电子交易的公平、公正和安全时，采购机构可中止电子交易活动：</w:t>
      </w:r>
    </w:p>
    <w:p w14:paraId="2AE9DFF0">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电子交易平台发生故障而无法登录访问的； </w:t>
      </w:r>
    </w:p>
    <w:p w14:paraId="7C52627D">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11.1.2</w:t>
      </w:r>
      <w:r>
        <w:rPr>
          <w:rFonts w:hint="eastAsia" w:ascii="仿宋" w:hAnsi="仿宋" w:eastAsia="仿宋" w:cs="仿宋"/>
          <w:color w:val="auto"/>
          <w:sz w:val="24"/>
          <w:szCs w:val="24"/>
          <w:highlight w:val="none"/>
        </w:rPr>
        <w:t>电子交易平台应用或数据库出现错误，不能进行正常操作的；</w:t>
      </w:r>
    </w:p>
    <w:p w14:paraId="40466215">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w:t>
      </w:r>
      <w:r>
        <w:rPr>
          <w:rFonts w:hint="eastAsia" w:ascii="仿宋" w:hAnsi="仿宋" w:eastAsia="仿宋" w:cs="仿宋"/>
          <w:color w:val="auto"/>
          <w:sz w:val="24"/>
          <w:szCs w:val="24"/>
          <w:highlight w:val="none"/>
        </w:rPr>
        <w:t>电子交易平台发现严重安全漏洞，有潜在泄密危险的；</w:t>
      </w:r>
    </w:p>
    <w:p w14:paraId="35DE8985">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11.1.4</w:t>
      </w:r>
      <w:r>
        <w:rPr>
          <w:rFonts w:hint="eastAsia" w:ascii="仿宋" w:hAnsi="仿宋" w:eastAsia="仿宋" w:cs="仿宋"/>
          <w:color w:val="auto"/>
          <w:sz w:val="24"/>
          <w:szCs w:val="24"/>
          <w:highlight w:val="none"/>
        </w:rPr>
        <w:t>病毒发作导致不能进行正常操作的；</w:t>
      </w:r>
    </w:p>
    <w:p w14:paraId="26F47BAD">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11.1.5</w:t>
      </w:r>
      <w:r>
        <w:rPr>
          <w:rFonts w:hint="eastAsia" w:ascii="仿宋" w:hAnsi="仿宋" w:eastAsia="仿宋" w:cs="仿宋"/>
          <w:color w:val="auto"/>
          <w:sz w:val="24"/>
          <w:szCs w:val="24"/>
          <w:highlight w:val="none"/>
        </w:rPr>
        <w:t>其他无法保证电子交易的公平、公正和安全的情况。</w:t>
      </w:r>
    </w:p>
    <w:p w14:paraId="6413E7CE">
      <w:pPr>
        <w:pageBreakBefore w:val="0"/>
        <w:widowControl/>
        <w:kinsoku/>
        <w:wordWrap/>
        <w:overflowPunct/>
        <w:topLinePunct w:val="0"/>
        <w:bidi w:val="0"/>
        <w:adjustRightInd/>
        <w:snapToGrid w:val="0"/>
        <w:spacing w:line="46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62A680A">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24"/>
          <w:szCs w:val="24"/>
          <w:highlight w:val="none"/>
          <w:lang w:eastAsia="zh-CN"/>
        </w:rPr>
      </w:pPr>
    </w:p>
    <w:p w14:paraId="16E625BE">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验收</w:t>
      </w:r>
    </w:p>
    <w:p w14:paraId="40BC2192">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BF953D">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.2采购人可以邀请参加本项目的其他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或者第三方机构参与验收。参与验收的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或者第三方机构的意见作为验收书的参考资料一并存档。</w:t>
      </w:r>
    </w:p>
    <w:p w14:paraId="64C7E191">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3C8E24">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highlight w:val="none"/>
          <w:lang w:eastAsia="zh-CN"/>
        </w:rPr>
        <w:sectPr>
          <w:headerReference r:id="rId4" w:type="first"/>
          <w:footerReference r:id="rId6"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95" w:name="_Hlt75236101"/>
      <w:bookmarkEnd w:id="95"/>
      <w:bookmarkStart w:id="96" w:name="_Hlt68072998"/>
      <w:bookmarkEnd w:id="96"/>
      <w:bookmarkStart w:id="97" w:name="_Hlt68057669"/>
      <w:bookmarkEnd w:id="97"/>
      <w:bookmarkStart w:id="98" w:name="_Hlt75236290"/>
      <w:bookmarkEnd w:id="98"/>
      <w:bookmarkStart w:id="99" w:name="_Hlt75236011"/>
      <w:bookmarkEnd w:id="99"/>
      <w:bookmarkStart w:id="100" w:name="_Hlt74729768"/>
      <w:bookmarkEnd w:id="100"/>
      <w:bookmarkStart w:id="101" w:name="_Hlt68403820"/>
      <w:bookmarkEnd w:id="101"/>
      <w:bookmarkStart w:id="102" w:name="_Hlt74730295"/>
      <w:bookmarkEnd w:id="102"/>
      <w:bookmarkStart w:id="103" w:name="_Hlt74714665"/>
      <w:bookmarkEnd w:id="103"/>
      <w:bookmarkStart w:id="104" w:name="_Hlt74707468"/>
      <w:bookmarkEnd w:id="104"/>
      <w:bookmarkStart w:id="105" w:name="_Hlt68073093"/>
      <w:bookmarkEnd w:id="105"/>
      <w:bookmarkStart w:id="106" w:name="_Hlt68072990"/>
      <w:bookmarkEnd w:id="106"/>
      <w:r>
        <w:rPr>
          <w:rFonts w:hint="eastAsia" w:ascii="仿宋" w:hAnsi="仿宋" w:eastAsia="仿宋" w:cs="仿宋"/>
          <w:color w:val="auto"/>
          <w:sz w:val="24"/>
          <w:szCs w:val="24"/>
          <w:highlight w:val="none"/>
          <w:lang w:val="en-US" w:eastAsia="zh-CN"/>
        </w:rPr>
        <w:t>相关主管部门</w:t>
      </w:r>
      <w:r>
        <w:rPr>
          <w:rFonts w:hint="eastAsia" w:ascii="仿宋" w:hAnsi="仿宋" w:eastAsia="仿宋" w:cs="仿宋"/>
          <w:color w:val="auto"/>
          <w:sz w:val="24"/>
          <w:szCs w:val="24"/>
          <w:highlight w:val="none"/>
          <w:lang w:eastAsia="zh-CN"/>
        </w:rPr>
        <w:t>。</w:t>
      </w:r>
    </w:p>
    <w:p w14:paraId="1F824722">
      <w:pPr>
        <w:pStyle w:val="349"/>
        <w:numPr>
          <w:ilvl w:val="0"/>
          <w:numId w:val="0"/>
        </w:numPr>
        <w:bidi w:val="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第三部分  项目招标范围及技术要求</w:t>
      </w:r>
    </w:p>
    <w:p w14:paraId="3E870D0F">
      <w:pPr>
        <w:snapToGrid w:val="0"/>
        <w:spacing w:line="440" w:lineRule="exact"/>
        <w:rPr>
          <w:rFonts w:hint="eastAsia" w:ascii="仿宋" w:hAnsi="仿宋" w:eastAsia="仿宋" w:cs="仿宋"/>
          <w:b/>
          <w:bCs/>
          <w:color w:val="auto"/>
          <w:sz w:val="24"/>
          <w:szCs w:val="24"/>
          <w:highlight w:val="none"/>
        </w:rPr>
      </w:pPr>
      <w:bookmarkStart w:id="107" w:name="OLE_LINK7"/>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拆卸</w:t>
      </w:r>
      <w:r>
        <w:rPr>
          <w:rFonts w:hint="eastAsia" w:ascii="仿宋" w:hAnsi="仿宋" w:eastAsia="仿宋" w:cs="仿宋"/>
          <w:b/>
          <w:bCs/>
          <w:color w:val="auto"/>
          <w:sz w:val="24"/>
          <w:szCs w:val="24"/>
          <w:highlight w:val="none"/>
        </w:rPr>
        <w:t>清单</w:t>
      </w:r>
    </w:p>
    <w:p w14:paraId="5AFF00CF">
      <w:pPr>
        <w:snapToGrid w:val="0"/>
        <w:spacing w:line="440" w:lineRule="exact"/>
        <w:ind w:firstLine="480" w:firstLineChars="200"/>
        <w:rPr>
          <w:rFonts w:hint="eastAsia" w:ascii="仿宋" w:hAnsi="仿宋" w:eastAsia="仿宋" w:cs="仿宋"/>
          <w:bCs/>
          <w:color w:val="auto"/>
          <w:sz w:val="24"/>
          <w:szCs w:val="24"/>
          <w:highlight w:val="none"/>
        </w:rPr>
      </w:pPr>
      <w:bookmarkStart w:id="108" w:name="_Toc429318415"/>
      <w:r>
        <w:rPr>
          <w:rFonts w:hint="eastAsia" w:ascii="仿宋" w:hAnsi="仿宋" w:eastAsia="仿宋" w:cs="仿宋"/>
          <w:bCs/>
          <w:color w:val="auto"/>
          <w:sz w:val="24"/>
          <w:szCs w:val="24"/>
          <w:highlight w:val="none"/>
        </w:rPr>
        <w:t>嵊州市交投港务有限公司25吨门座起重机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运输、堆放、</w:t>
      </w:r>
      <w:r>
        <w:rPr>
          <w:rFonts w:hint="eastAsia" w:ascii="仿宋" w:hAnsi="仿宋" w:eastAsia="仿宋" w:cs="仿宋"/>
          <w:color w:val="auto"/>
          <w:kern w:val="0"/>
          <w:sz w:val="24"/>
          <w:szCs w:val="24"/>
          <w:highlight w:val="none"/>
        </w:rPr>
        <w:t>垃圾清运、地面平整等服务</w:t>
      </w:r>
      <w:r>
        <w:rPr>
          <w:rFonts w:hint="eastAsia" w:ascii="仿宋" w:hAnsi="仿宋" w:eastAsia="仿宋" w:cs="仿宋"/>
          <w:bCs/>
          <w:color w:val="auto"/>
          <w:sz w:val="24"/>
          <w:szCs w:val="24"/>
          <w:highlight w:val="none"/>
        </w:rPr>
        <w:t>，具体清单如下：</w:t>
      </w:r>
    </w:p>
    <w:bookmarkEnd w:id="108"/>
    <w:tbl>
      <w:tblPr>
        <w:tblStyle w:val="8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26"/>
        <w:gridCol w:w="2275"/>
        <w:gridCol w:w="2415"/>
        <w:gridCol w:w="892"/>
        <w:gridCol w:w="893"/>
      </w:tblGrid>
      <w:tr w14:paraId="386D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2" w:type="dxa"/>
            <w:noWrap w:val="0"/>
            <w:vAlign w:val="center"/>
          </w:tcPr>
          <w:p w14:paraId="210E6E9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26" w:type="dxa"/>
            <w:noWrap w:val="0"/>
            <w:vAlign w:val="center"/>
          </w:tcPr>
          <w:p w14:paraId="52E501A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位置</w:t>
            </w:r>
          </w:p>
        </w:tc>
        <w:tc>
          <w:tcPr>
            <w:tcW w:w="2275" w:type="dxa"/>
            <w:noWrap w:val="0"/>
            <w:vAlign w:val="center"/>
          </w:tcPr>
          <w:p w14:paraId="4595A4E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415" w:type="dxa"/>
            <w:noWrap w:val="0"/>
            <w:vAlign w:val="center"/>
          </w:tcPr>
          <w:p w14:paraId="641BD79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2" w:type="dxa"/>
            <w:noWrap w:val="0"/>
            <w:vAlign w:val="center"/>
          </w:tcPr>
          <w:p w14:paraId="21E716C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93" w:type="dxa"/>
            <w:noWrap w:val="0"/>
            <w:vAlign w:val="center"/>
          </w:tcPr>
          <w:p w14:paraId="628DC9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14:paraId="584C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42" w:type="dxa"/>
            <w:noWrap w:val="0"/>
            <w:vAlign w:val="center"/>
          </w:tcPr>
          <w:p w14:paraId="29FA015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26" w:type="dxa"/>
            <w:tcBorders>
              <w:bottom w:val="single" w:color="auto" w:sz="4" w:space="0"/>
            </w:tcBorders>
            <w:noWrap w:val="0"/>
            <w:vAlign w:val="center"/>
          </w:tcPr>
          <w:p w14:paraId="45CC791F">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三界码头B区</w:t>
            </w:r>
          </w:p>
        </w:tc>
        <w:tc>
          <w:tcPr>
            <w:tcW w:w="2275" w:type="dxa"/>
            <w:noWrap w:val="0"/>
            <w:vAlign w:val="center"/>
          </w:tcPr>
          <w:p w14:paraId="0F34677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门座起重机</w:t>
            </w:r>
          </w:p>
        </w:tc>
        <w:tc>
          <w:tcPr>
            <w:tcW w:w="2415" w:type="dxa"/>
            <w:noWrap w:val="0"/>
            <w:vAlign w:val="center"/>
          </w:tcPr>
          <w:p w14:paraId="11787C15">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MQ型25t</w:t>
            </w:r>
          </w:p>
        </w:tc>
        <w:tc>
          <w:tcPr>
            <w:tcW w:w="892" w:type="dxa"/>
            <w:noWrap w:val="0"/>
            <w:vAlign w:val="center"/>
          </w:tcPr>
          <w:p w14:paraId="612AA18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93" w:type="dxa"/>
            <w:noWrap w:val="0"/>
            <w:vAlign w:val="center"/>
          </w:tcPr>
          <w:p w14:paraId="2F937B0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3DCB77BD">
      <w:pPr>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二、服务要求</w:t>
      </w:r>
    </w:p>
    <w:p w14:paraId="4B0FCE78">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1、服务范围：清单内采购人委托</w:t>
      </w:r>
      <w:r>
        <w:rPr>
          <w:rFonts w:hint="eastAsia" w:ascii="仿宋" w:hAnsi="仿宋" w:eastAsia="仿宋" w:cs="仿宋"/>
          <w:color w:val="auto"/>
          <w:kern w:val="0"/>
          <w:sz w:val="24"/>
          <w:szCs w:val="24"/>
          <w:highlight w:val="none"/>
        </w:rPr>
        <w:t>起重设备的</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运输、堆放、</w:t>
      </w:r>
      <w:r>
        <w:rPr>
          <w:rFonts w:hint="eastAsia" w:ascii="仿宋" w:hAnsi="仿宋" w:eastAsia="仿宋" w:cs="仿宋"/>
          <w:color w:val="auto"/>
          <w:kern w:val="0"/>
          <w:sz w:val="24"/>
          <w:szCs w:val="24"/>
          <w:highlight w:val="none"/>
        </w:rPr>
        <w:t>垃圾清运、地面平整等服务</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所得归采购人所有。</w:t>
      </w:r>
    </w:p>
    <w:p w14:paraId="7365D3D0">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2、人员最低要求</w:t>
      </w:r>
    </w:p>
    <w:p w14:paraId="140BAD30">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2.1本项目至少配备项目负责人1名、负责整个项目协调沟通，把控安全和进度；</w:t>
      </w:r>
    </w:p>
    <w:p w14:paraId="57474AC3">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2.2专职安全员1名，负责检查现场安全制度的执行；</w:t>
      </w:r>
    </w:p>
    <w:p w14:paraId="6F37390B">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2.3电气工程师1名，负责电气元器件的拆解方案制定；</w:t>
      </w:r>
    </w:p>
    <w:p w14:paraId="16F7DAA1">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2.4机械工程师1名，负责钢结构拆解方案制定；</w:t>
      </w:r>
    </w:p>
    <w:p w14:paraId="5D432282">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2.5叉车司机、吊车司机若干，持证上岗；</w:t>
      </w:r>
    </w:p>
    <w:p w14:paraId="4A58899E">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2.6其他相关人员1批，各供应商根据项目实际情况配备；</w:t>
      </w:r>
    </w:p>
    <w:p w14:paraId="47C045CC">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2.7人员配备情况须经采购人确认，在项目实施期间应保证人员相对固定，如有变更，需提前通知采购人并经采购人同意后方可更换；</w:t>
      </w:r>
    </w:p>
    <w:p w14:paraId="0EB60C3D">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供应商必须为每位符合国家规定社保条件的职工参加保险，并对所有符合参加人身意外伤害保险条件的人员统一进行参保（社会保险参保人员除外）。如发生安全生产责任事故或交通事故或其他劳动纠纷，由供应商承担一切责任及损失，与采购人无</w:t>
      </w:r>
      <w:r>
        <w:rPr>
          <w:rFonts w:hint="eastAsia" w:ascii="仿宋" w:hAnsi="仿宋" w:eastAsia="仿宋" w:cs="仿宋"/>
          <w:bCs/>
          <w:color w:val="auto"/>
          <w:sz w:val="24"/>
          <w:szCs w:val="24"/>
          <w:highlight w:val="none"/>
          <w:lang w:val="en-US" w:eastAsia="zh-CN"/>
        </w:rPr>
        <w:t>关</w:t>
      </w:r>
      <w:r>
        <w:rPr>
          <w:rFonts w:hint="eastAsia" w:ascii="仿宋" w:hAnsi="仿宋" w:eastAsia="仿宋" w:cs="仿宋"/>
          <w:bCs/>
          <w:color w:val="auto"/>
          <w:sz w:val="24"/>
          <w:szCs w:val="24"/>
          <w:highlight w:val="none"/>
        </w:rPr>
        <w:t>。</w:t>
      </w:r>
    </w:p>
    <w:p w14:paraId="4B196C07">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3、现场踏勘：采购人不统一组织现场勘察，各供应商可在获取</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文件后自行勘察现场并承担相关费用和责任。</w:t>
      </w:r>
    </w:p>
    <w:p w14:paraId="36AF47EC">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4、根据采购人要求，起重设备</w:t>
      </w:r>
      <w:r>
        <w:rPr>
          <w:rFonts w:hint="eastAsia" w:ascii="仿宋" w:hAnsi="仿宋" w:eastAsia="仿宋" w:cs="仿宋"/>
          <w:bCs/>
          <w:color w:val="auto"/>
          <w:sz w:val="24"/>
          <w:szCs w:val="24"/>
          <w:highlight w:val="none"/>
          <w:lang w:val="en-US" w:eastAsia="zh-CN"/>
        </w:rPr>
        <w:t>拆卸</w:t>
      </w:r>
      <w:r>
        <w:rPr>
          <w:rFonts w:hint="eastAsia" w:ascii="仿宋" w:hAnsi="仿宋" w:eastAsia="仿宋" w:cs="仿宋"/>
          <w:bCs/>
          <w:color w:val="auto"/>
          <w:sz w:val="24"/>
          <w:szCs w:val="24"/>
          <w:highlight w:val="none"/>
        </w:rPr>
        <w:t>后运至采购人指定地点</w:t>
      </w:r>
      <w:r>
        <w:rPr>
          <w:rFonts w:hint="eastAsia" w:ascii="仿宋" w:hAnsi="仿宋" w:eastAsia="仿宋" w:cs="仿宋"/>
          <w:bCs/>
          <w:color w:val="auto"/>
          <w:sz w:val="24"/>
          <w:szCs w:val="24"/>
          <w:highlight w:val="none"/>
          <w:lang w:val="en-US" w:eastAsia="zh-CN"/>
        </w:rPr>
        <w:t>摆放整齐，并提供围挡雨布遮盖，</w:t>
      </w:r>
      <w:r>
        <w:rPr>
          <w:rFonts w:hint="eastAsia" w:ascii="仿宋" w:hAnsi="仿宋" w:eastAsia="仿宋" w:cs="仿宋"/>
          <w:bCs/>
          <w:color w:val="auto"/>
          <w:sz w:val="24"/>
          <w:szCs w:val="24"/>
          <w:highlight w:val="none"/>
        </w:rPr>
        <w:t>不得损坏遗失确保可二次使用，否则采购人可要求供应商原价赔偿。</w:t>
      </w:r>
    </w:p>
    <w:p w14:paraId="44587429">
      <w:pPr>
        <w:snapToGrid w:val="0"/>
        <w:spacing w:line="44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5、拆卸的设备堆放时底部必须做好防潮防雨水浸泡方面的工作，设备堆放离地面不少于15cm的高度。</w:t>
      </w:r>
    </w:p>
    <w:p w14:paraId="394D15D8">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作业时供应商必须遵守国家、浙江省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绍兴市</w:t>
      </w:r>
      <w:r>
        <w:rPr>
          <w:rFonts w:hint="eastAsia" w:ascii="仿宋" w:hAnsi="仿宋" w:eastAsia="仿宋" w:cs="仿宋"/>
          <w:bCs/>
          <w:color w:val="auto"/>
          <w:sz w:val="24"/>
          <w:szCs w:val="24"/>
          <w:highlight w:val="none"/>
        </w:rPr>
        <w:t>现行的《建筑物、构筑物拆除技术规程》及《建筑工程安全生产管理条例》等法律法规及行业规范。</w:t>
      </w:r>
    </w:p>
    <w:p w14:paraId="2869D6B0">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、供应商必须派有经验的专职安全员进场做好安全生产的监督、管理工作，严格按照国家、浙江省、</w:t>
      </w:r>
      <w:r>
        <w:rPr>
          <w:rFonts w:hint="eastAsia" w:ascii="仿宋" w:hAnsi="仿宋" w:eastAsia="仿宋" w:cs="仿宋"/>
          <w:bCs/>
          <w:color w:val="auto"/>
          <w:sz w:val="24"/>
          <w:szCs w:val="24"/>
          <w:highlight w:val="none"/>
          <w:lang w:val="en-US" w:eastAsia="zh-CN"/>
        </w:rPr>
        <w:t>绍兴市</w:t>
      </w:r>
      <w:r>
        <w:rPr>
          <w:rFonts w:hint="eastAsia" w:ascii="仿宋" w:hAnsi="仿宋" w:eastAsia="仿宋" w:cs="仿宋"/>
          <w:bCs/>
          <w:color w:val="auto"/>
          <w:sz w:val="24"/>
          <w:szCs w:val="24"/>
          <w:highlight w:val="none"/>
        </w:rPr>
        <w:t>的有关安全法律法规开展</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施工，完善安全管理体系，针对本项目的特点制定安全保证措施，建立应急救援预案，确保</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施工在安全的状态下进行。</w:t>
      </w:r>
    </w:p>
    <w:p w14:paraId="3128A905">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、在</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清运、地面平整过程中，需满足环保（如粉尘、噪音等）、安监等的管理要求，负责协调施工现场与周边安全防护，如因此造成工期延误，供应商应承担相应的责任。如施工过程中采取的任何保证措施所增加的费用，以及出现任何投诉和安全事故，均由供应商负全部责任。</w:t>
      </w:r>
    </w:p>
    <w:p w14:paraId="571A8A52">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、相关</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从业人员需持有上岗证书，且必须统一容易识别的服饰。</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过程中须注意施工现场安全，做好安全防护措施，确保人员安全。</w:t>
      </w:r>
    </w:p>
    <w:p w14:paraId="31CCB195">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、在项目实施区域应做好安全防范措施、设置安全生产所采取的必要措施及设施，实行封闭式管理，不得影响、损坏周围建筑物及路面，不得让非工作人员进入施工现场；做好对邻近设施、建筑物等的防护。</w:t>
      </w:r>
    </w:p>
    <w:p w14:paraId="51BC8315">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垃圾的清理外运过程中，确保运输车辆车容整洁，运输过程中无扬、撒、拖、挂等现象，不得超重、超高运输，确保市政运输道路的整洁等。</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垃圾的处理符合环保等要求，不得乱倒、乱卸、乱抛，更不得直接倾倒入</w:t>
      </w:r>
      <w:r>
        <w:rPr>
          <w:rFonts w:hint="eastAsia" w:ascii="仿宋" w:hAnsi="仿宋" w:eastAsia="仿宋" w:cs="仿宋"/>
          <w:bCs/>
          <w:color w:val="auto"/>
          <w:sz w:val="24"/>
          <w:szCs w:val="24"/>
          <w:highlight w:val="none"/>
          <w:lang w:val="en-US" w:eastAsia="zh-CN"/>
        </w:rPr>
        <w:t>江</w:t>
      </w:r>
      <w:r>
        <w:rPr>
          <w:rFonts w:hint="eastAsia" w:ascii="仿宋" w:hAnsi="仿宋" w:eastAsia="仿宋" w:cs="仿宋"/>
          <w:bCs/>
          <w:color w:val="auto"/>
          <w:sz w:val="24"/>
          <w:szCs w:val="24"/>
          <w:highlight w:val="none"/>
        </w:rPr>
        <w:t>。</w:t>
      </w:r>
    </w:p>
    <w:p w14:paraId="3F81C98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、供应商如未在约定限期内</w:t>
      </w:r>
      <w:r>
        <w:rPr>
          <w:rFonts w:hint="eastAsia" w:ascii="仿宋" w:hAnsi="仿宋" w:eastAsia="仿宋" w:cs="仿宋"/>
          <w:bCs/>
          <w:color w:val="auto"/>
          <w:sz w:val="24"/>
          <w:szCs w:val="24"/>
          <w:highlight w:val="none"/>
          <w:lang w:val="en-US" w:eastAsia="zh-CN"/>
        </w:rPr>
        <w:t>完成拆卸</w:t>
      </w:r>
      <w:r>
        <w:rPr>
          <w:rFonts w:hint="eastAsia" w:ascii="仿宋" w:hAnsi="仿宋" w:eastAsia="仿宋" w:cs="仿宋"/>
          <w:bCs/>
          <w:color w:val="auto"/>
          <w:sz w:val="24"/>
          <w:szCs w:val="24"/>
          <w:highlight w:val="none"/>
        </w:rPr>
        <w:t>及固废处理、建筑垃圾清运等全部内容，供应商须每天按人民币</w:t>
      </w:r>
      <w:r>
        <w:rPr>
          <w:rFonts w:hint="eastAsia" w:ascii="仿宋" w:hAnsi="仿宋" w:eastAsia="仿宋" w:cs="仿宋"/>
          <w:bCs/>
          <w:color w:val="auto"/>
          <w:sz w:val="24"/>
          <w:szCs w:val="24"/>
          <w:highlight w:val="none"/>
          <w:lang w:val="en-US" w:eastAsia="zh-CN"/>
        </w:rPr>
        <w:t>5000</w:t>
      </w:r>
      <w:r>
        <w:rPr>
          <w:rFonts w:hint="eastAsia" w:ascii="仿宋" w:hAnsi="仿宋" w:eastAsia="仿宋" w:cs="仿宋"/>
          <w:bCs/>
          <w:color w:val="auto"/>
          <w:sz w:val="24"/>
          <w:szCs w:val="24"/>
          <w:highlight w:val="none"/>
        </w:rPr>
        <w:t>元作为拖延完成时限</w:t>
      </w:r>
      <w:r>
        <w:rPr>
          <w:rFonts w:hint="eastAsia" w:ascii="仿宋" w:hAnsi="仿宋" w:eastAsia="仿宋" w:cs="仿宋"/>
          <w:bCs/>
          <w:color w:val="auto"/>
          <w:sz w:val="24"/>
          <w:szCs w:val="24"/>
          <w:highlight w:val="none"/>
          <w:lang w:val="en-US" w:eastAsia="zh-CN"/>
        </w:rPr>
        <w:t>违约金</w:t>
      </w:r>
      <w:r>
        <w:rPr>
          <w:rFonts w:hint="eastAsia" w:ascii="仿宋" w:hAnsi="仿宋" w:eastAsia="仿宋" w:cs="仿宋"/>
          <w:bCs/>
          <w:color w:val="auto"/>
          <w:sz w:val="24"/>
          <w:szCs w:val="24"/>
          <w:highlight w:val="none"/>
        </w:rPr>
        <w:t>交付给采购人，至</w:t>
      </w:r>
      <w:r>
        <w:rPr>
          <w:rFonts w:hint="eastAsia" w:ascii="仿宋" w:hAnsi="仿宋" w:eastAsia="仿宋" w:cs="仿宋"/>
          <w:bCs/>
          <w:color w:val="auto"/>
          <w:sz w:val="24"/>
          <w:szCs w:val="24"/>
          <w:highlight w:val="none"/>
          <w:lang w:val="en-US" w:eastAsia="zh-CN"/>
        </w:rPr>
        <w:t>拆卸</w:t>
      </w:r>
      <w:r>
        <w:rPr>
          <w:rFonts w:hint="eastAsia" w:ascii="仿宋" w:hAnsi="仿宋" w:eastAsia="仿宋" w:cs="仿宋"/>
          <w:bCs/>
          <w:color w:val="auto"/>
          <w:sz w:val="24"/>
          <w:szCs w:val="24"/>
          <w:highlight w:val="none"/>
        </w:rPr>
        <w:t>任务完成验收合格为止，如遇实际特殊情况不能按期完成，需征采购人同意方可顺延完成时限。</w:t>
      </w:r>
    </w:p>
    <w:bookmarkEnd w:id="107"/>
    <w:p w14:paraId="08AFD9E1">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三、商务要求条款</w:t>
      </w:r>
    </w:p>
    <w:tbl>
      <w:tblPr>
        <w:tblStyle w:val="80"/>
        <w:tblW w:w="9411" w:type="dxa"/>
        <w:tblInd w:w="-185" w:type="dxa"/>
        <w:tblLayout w:type="fixed"/>
        <w:tblCellMar>
          <w:top w:w="0" w:type="dxa"/>
          <w:left w:w="108" w:type="dxa"/>
          <w:bottom w:w="0" w:type="dxa"/>
          <w:right w:w="108" w:type="dxa"/>
        </w:tblCellMar>
      </w:tblPr>
      <w:tblGrid>
        <w:gridCol w:w="1581"/>
        <w:gridCol w:w="7830"/>
      </w:tblGrid>
      <w:tr w14:paraId="783A6B1A">
        <w:tblPrEx>
          <w:tblCellMar>
            <w:top w:w="0" w:type="dxa"/>
            <w:left w:w="108" w:type="dxa"/>
            <w:bottom w:w="0" w:type="dxa"/>
            <w:right w:w="108" w:type="dxa"/>
          </w:tblCellMar>
        </w:tblPrEx>
        <w:trPr>
          <w:trHeight w:val="290" w:hRule="atLeast"/>
        </w:trPr>
        <w:tc>
          <w:tcPr>
            <w:tcW w:w="1581" w:type="dxa"/>
            <w:tcBorders>
              <w:top w:val="single" w:color="000000" w:sz="4" w:space="0"/>
              <w:left w:val="single" w:color="000000" w:sz="4" w:space="0"/>
              <w:bottom w:val="single" w:color="000000" w:sz="4" w:space="0"/>
              <w:right w:val="single" w:color="000000" w:sz="4" w:space="0"/>
            </w:tcBorders>
            <w:vAlign w:val="center"/>
          </w:tcPr>
          <w:p w14:paraId="2E109AD5">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服务期限及地点</w:t>
            </w:r>
          </w:p>
        </w:tc>
        <w:tc>
          <w:tcPr>
            <w:tcW w:w="7830" w:type="dxa"/>
            <w:tcBorders>
              <w:top w:val="single" w:color="000000" w:sz="4" w:space="0"/>
              <w:left w:val="single" w:color="000000" w:sz="4" w:space="0"/>
              <w:bottom w:val="single" w:color="000000" w:sz="4" w:space="0"/>
              <w:right w:val="single" w:color="000000" w:sz="4" w:space="0"/>
            </w:tcBorders>
            <w:vAlign w:val="top"/>
          </w:tcPr>
          <w:p w14:paraId="0A315178">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（1）服务期限：</w:t>
            </w:r>
            <w:r>
              <w:rPr>
                <w:rFonts w:hint="eastAsia" w:ascii="仿宋" w:hAnsi="仿宋" w:eastAsia="仿宋" w:cs="仿宋"/>
                <w:color w:val="auto"/>
                <w:kern w:val="0"/>
                <w:sz w:val="24"/>
                <w:szCs w:val="24"/>
                <w:highlight w:val="none"/>
              </w:rPr>
              <w:t>合同签订生效之日起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天内完成</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及固废处理、建筑垃圾清运等全部内容</w:t>
            </w:r>
            <w:r>
              <w:rPr>
                <w:rFonts w:hint="eastAsia" w:ascii="仿宋" w:hAnsi="仿宋" w:eastAsia="仿宋" w:cs="仿宋"/>
                <w:b w:val="0"/>
                <w:bCs/>
                <w:color w:val="auto"/>
                <w:sz w:val="24"/>
                <w:szCs w:val="24"/>
                <w:highlight w:val="none"/>
                <w:lang w:val="en-US" w:eastAsia="zh-CN"/>
              </w:rPr>
              <w:t>。</w:t>
            </w:r>
          </w:p>
          <w:p w14:paraId="5A105AB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（2）服务地点：采购人指定地点。</w:t>
            </w:r>
          </w:p>
        </w:tc>
      </w:tr>
      <w:tr w14:paraId="1D26D51F">
        <w:tblPrEx>
          <w:tblCellMar>
            <w:top w:w="0" w:type="dxa"/>
            <w:left w:w="108" w:type="dxa"/>
            <w:bottom w:w="0" w:type="dxa"/>
            <w:right w:w="108" w:type="dxa"/>
          </w:tblCellMar>
        </w:tblPrEx>
        <w:trPr>
          <w:trHeight w:val="365" w:hRule="atLeast"/>
        </w:trPr>
        <w:tc>
          <w:tcPr>
            <w:tcW w:w="1581" w:type="dxa"/>
            <w:tcBorders>
              <w:top w:val="single" w:color="000000" w:sz="4" w:space="0"/>
              <w:left w:val="single" w:color="000000" w:sz="4" w:space="0"/>
              <w:bottom w:val="single" w:color="000000" w:sz="4" w:space="0"/>
              <w:right w:val="single" w:color="000000" w:sz="4" w:space="0"/>
            </w:tcBorders>
            <w:vAlign w:val="center"/>
          </w:tcPr>
          <w:p w14:paraId="4D893352">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7830" w:type="dxa"/>
            <w:tcBorders>
              <w:top w:val="single" w:color="000000" w:sz="4" w:space="0"/>
              <w:left w:val="single" w:color="000000" w:sz="4" w:space="0"/>
              <w:bottom w:val="single" w:color="000000" w:sz="4" w:space="0"/>
              <w:right w:val="single" w:color="000000" w:sz="4" w:space="0"/>
            </w:tcBorders>
            <w:vAlign w:val="top"/>
          </w:tcPr>
          <w:p w14:paraId="77C2265D">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中标人向采购人缴纳合同价的1%作为履约保证金，服务期满后无服务质量问题15个工作日内无息退还。（投标人应当以银行转账、支票、汇票、本票或者金融机构、保险公司出具的保函等形式提交）</w:t>
            </w:r>
          </w:p>
        </w:tc>
      </w:tr>
      <w:tr w14:paraId="08B493F1">
        <w:tblPrEx>
          <w:tblCellMar>
            <w:top w:w="0" w:type="dxa"/>
            <w:left w:w="108" w:type="dxa"/>
            <w:bottom w:w="0" w:type="dxa"/>
            <w:right w:w="108" w:type="dxa"/>
          </w:tblCellMar>
        </w:tblPrEx>
        <w:trPr>
          <w:trHeight w:val="780" w:hRule="atLeast"/>
        </w:trPr>
        <w:tc>
          <w:tcPr>
            <w:tcW w:w="1581" w:type="dxa"/>
            <w:tcBorders>
              <w:top w:val="single" w:color="000000" w:sz="4" w:space="0"/>
              <w:left w:val="single" w:color="000000" w:sz="4" w:space="0"/>
              <w:bottom w:val="single" w:color="000000" w:sz="4" w:space="0"/>
              <w:right w:val="single" w:color="000000" w:sz="4" w:space="0"/>
            </w:tcBorders>
            <w:vAlign w:val="center"/>
          </w:tcPr>
          <w:p w14:paraId="6C7B2275">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付款方式</w:t>
            </w:r>
          </w:p>
        </w:tc>
        <w:tc>
          <w:tcPr>
            <w:tcW w:w="7830" w:type="dxa"/>
            <w:tcBorders>
              <w:top w:val="single" w:color="000000" w:sz="4" w:space="0"/>
              <w:left w:val="single" w:color="000000" w:sz="4" w:space="0"/>
              <w:bottom w:val="single" w:color="000000" w:sz="4" w:space="0"/>
              <w:right w:val="single" w:color="000000" w:sz="4" w:space="0"/>
            </w:tcBorders>
            <w:vAlign w:val="center"/>
          </w:tcPr>
          <w:p w14:paraId="34CD4408">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left"/>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Cs w:val="21"/>
                <w:highlight w:val="none"/>
                <w:lang w:val="en-US" w:eastAsia="zh-CN"/>
              </w:rPr>
              <w:t>拆卸、堆放完成并验收合格后一次性付清。</w:t>
            </w:r>
            <w:r>
              <w:rPr>
                <w:rFonts w:hint="eastAsia" w:ascii="仿宋" w:hAnsi="仿宋" w:eastAsia="仿宋" w:cs="仿宋"/>
                <w:color w:val="auto"/>
                <w:szCs w:val="21"/>
                <w:highlight w:val="none"/>
                <w:lang w:eastAsia="zh-CN"/>
              </w:rPr>
              <w:t>（中标人须提供采购人认可的正规财务发票）</w:t>
            </w:r>
            <w:r>
              <w:rPr>
                <w:rFonts w:hint="eastAsia" w:ascii="仿宋" w:hAnsi="仿宋" w:eastAsia="仿宋" w:cs="仿宋"/>
                <w:color w:val="auto"/>
                <w:szCs w:val="21"/>
                <w:highlight w:val="none"/>
              </w:rPr>
              <w:t>。</w:t>
            </w:r>
          </w:p>
        </w:tc>
      </w:tr>
      <w:tr w14:paraId="165D7418">
        <w:tblPrEx>
          <w:tblCellMar>
            <w:top w:w="0" w:type="dxa"/>
            <w:left w:w="108" w:type="dxa"/>
            <w:bottom w:w="0" w:type="dxa"/>
            <w:right w:w="108" w:type="dxa"/>
          </w:tblCellMar>
        </w:tblPrEx>
        <w:trPr>
          <w:trHeight w:val="1015" w:hRule="atLeast"/>
        </w:trPr>
        <w:tc>
          <w:tcPr>
            <w:tcW w:w="1581" w:type="dxa"/>
            <w:tcBorders>
              <w:top w:val="single" w:color="000000" w:sz="4" w:space="0"/>
              <w:left w:val="single" w:color="000000" w:sz="4" w:space="0"/>
              <w:bottom w:val="single" w:color="000000" w:sz="4" w:space="0"/>
              <w:right w:val="single" w:color="000000" w:sz="4" w:space="0"/>
            </w:tcBorders>
            <w:vAlign w:val="center"/>
          </w:tcPr>
          <w:p w14:paraId="469FBDC5">
            <w:pPr>
              <w:pStyle w:val="5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安全责任</w:t>
            </w:r>
          </w:p>
        </w:tc>
        <w:tc>
          <w:tcPr>
            <w:tcW w:w="7830" w:type="dxa"/>
            <w:tcBorders>
              <w:top w:val="single" w:color="000000" w:sz="4" w:space="0"/>
              <w:left w:val="single" w:color="000000" w:sz="4" w:space="0"/>
              <w:bottom w:val="single" w:color="000000" w:sz="4" w:space="0"/>
              <w:right w:val="single" w:color="000000" w:sz="4" w:space="0"/>
            </w:tcBorders>
            <w:vAlign w:val="center"/>
          </w:tcPr>
          <w:p w14:paraId="61EE28BF">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FFFFFF"/>
              </w:rPr>
              <w:t>项目</w:t>
            </w:r>
            <w:r>
              <w:rPr>
                <w:rFonts w:hint="eastAsia" w:ascii="仿宋" w:hAnsi="仿宋" w:eastAsia="仿宋" w:cs="仿宋"/>
                <w:color w:val="auto"/>
                <w:kern w:val="0"/>
                <w:sz w:val="24"/>
                <w:szCs w:val="24"/>
                <w:highlight w:val="none"/>
                <w:shd w:val="clear" w:color="auto" w:fill="FFFFFF"/>
                <w:lang w:val="en-US" w:eastAsia="zh-CN"/>
              </w:rPr>
              <w:t>服务</w:t>
            </w:r>
            <w:r>
              <w:rPr>
                <w:rFonts w:hint="eastAsia" w:ascii="仿宋" w:hAnsi="仿宋" w:eastAsia="仿宋" w:cs="仿宋"/>
                <w:color w:val="auto"/>
                <w:kern w:val="0"/>
                <w:sz w:val="24"/>
                <w:szCs w:val="24"/>
                <w:highlight w:val="none"/>
                <w:shd w:val="clear" w:color="auto" w:fill="FFFFFF"/>
              </w:rPr>
              <w:t>过程中做好安全措施，杜绝一切安全事故的发生</w:t>
            </w:r>
            <w:r>
              <w:rPr>
                <w:rFonts w:hint="eastAsia" w:ascii="仿宋" w:hAnsi="仿宋" w:eastAsia="仿宋" w:cs="仿宋"/>
                <w:color w:val="auto"/>
                <w:sz w:val="24"/>
                <w:szCs w:val="24"/>
                <w:highlight w:val="none"/>
              </w:rPr>
              <w:t>，服务期内如发生意外伤亡事故的，采购人不承担任何经济及法律责任，所有的责任由中标供应商承担。</w:t>
            </w:r>
          </w:p>
        </w:tc>
      </w:tr>
      <w:tr w14:paraId="5BD0B0F5">
        <w:tblPrEx>
          <w:tblCellMar>
            <w:top w:w="0" w:type="dxa"/>
            <w:left w:w="108" w:type="dxa"/>
            <w:bottom w:w="0" w:type="dxa"/>
            <w:right w:w="108" w:type="dxa"/>
          </w:tblCellMar>
        </w:tblPrEx>
        <w:trPr>
          <w:trHeight w:val="682" w:hRule="atLeast"/>
        </w:trPr>
        <w:tc>
          <w:tcPr>
            <w:tcW w:w="1581" w:type="dxa"/>
            <w:tcBorders>
              <w:top w:val="single" w:color="000000" w:sz="4" w:space="0"/>
              <w:left w:val="single" w:color="000000" w:sz="4" w:space="0"/>
              <w:bottom w:val="single" w:color="000000" w:sz="4" w:space="0"/>
              <w:right w:val="single" w:color="000000" w:sz="4" w:space="0"/>
            </w:tcBorders>
            <w:vAlign w:val="center"/>
          </w:tcPr>
          <w:p w14:paraId="29329366">
            <w:pPr>
              <w:pStyle w:val="55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其他</w:t>
            </w:r>
          </w:p>
        </w:tc>
        <w:tc>
          <w:tcPr>
            <w:tcW w:w="7830" w:type="dxa"/>
            <w:tcBorders>
              <w:top w:val="single" w:color="000000" w:sz="4" w:space="0"/>
              <w:left w:val="single" w:color="000000" w:sz="4" w:space="0"/>
              <w:bottom w:val="single" w:color="000000" w:sz="4" w:space="0"/>
              <w:right w:val="single" w:color="000000" w:sz="4" w:space="0"/>
            </w:tcBorders>
            <w:vAlign w:val="center"/>
          </w:tcPr>
          <w:p w14:paraId="6E4A9725">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exact"/>
              <w:ind w:left="0" w:right="0" w:rightChars="0"/>
              <w:jc w:val="both"/>
              <w:textAlignment w:val="auto"/>
              <w:outlineLvl w:val="9"/>
              <w:rPr>
                <w:rFonts w:hint="default" w:ascii="仿宋" w:hAnsi="仿宋" w:eastAsia="仿宋" w:cs="仿宋"/>
                <w:color w:val="auto"/>
                <w:kern w:val="0"/>
                <w:sz w:val="24"/>
                <w:szCs w:val="24"/>
                <w:highlight w:val="none"/>
                <w:shd w:val="clear" w:color="auto" w:fill="FFFFFF"/>
                <w:lang w:val="en-US" w:eastAsia="zh-CN"/>
              </w:rPr>
            </w:pPr>
            <w:r>
              <w:rPr>
                <w:rFonts w:hint="default" w:ascii="仿宋" w:hAnsi="仿宋" w:eastAsia="仿宋" w:cs="仿宋"/>
                <w:color w:val="auto"/>
                <w:kern w:val="0"/>
                <w:sz w:val="24"/>
                <w:szCs w:val="24"/>
                <w:highlight w:val="none"/>
                <w:shd w:val="clear" w:color="auto" w:fill="FFFFFF"/>
                <w:lang w:val="en-US" w:eastAsia="zh-CN"/>
              </w:rPr>
              <w:t>合同签订前，如需报备拆卸专项方案等</w:t>
            </w:r>
            <w:r>
              <w:rPr>
                <w:rFonts w:hint="eastAsia" w:ascii="仿宋" w:hAnsi="仿宋" w:eastAsia="仿宋" w:cs="仿宋"/>
                <w:color w:val="auto"/>
                <w:kern w:val="0"/>
                <w:sz w:val="24"/>
                <w:szCs w:val="24"/>
                <w:highlight w:val="none"/>
                <w:shd w:val="clear" w:color="auto" w:fill="FFFFFF"/>
                <w:lang w:val="en-US" w:eastAsia="zh-CN"/>
              </w:rPr>
              <w:t>工作</w:t>
            </w:r>
            <w:r>
              <w:rPr>
                <w:rFonts w:hint="default" w:ascii="仿宋" w:hAnsi="仿宋" w:eastAsia="仿宋" w:cs="仿宋"/>
                <w:color w:val="auto"/>
                <w:kern w:val="0"/>
                <w:sz w:val="24"/>
                <w:szCs w:val="24"/>
                <w:highlight w:val="none"/>
                <w:shd w:val="clear" w:color="auto" w:fill="FFFFFF"/>
                <w:lang w:val="en-US" w:eastAsia="zh-CN"/>
              </w:rPr>
              <w:t>，由中标人做好相关部门的报备工作。</w:t>
            </w:r>
          </w:p>
        </w:tc>
      </w:tr>
    </w:tbl>
    <w:p w14:paraId="3F3134C3">
      <w:pPr>
        <w:pStyle w:val="349"/>
        <w:numPr>
          <w:ilvl w:val="0"/>
          <w:numId w:val="0"/>
        </w:numPr>
        <w:bidi w:val="0"/>
        <w:jc w:val="left"/>
        <w:rPr>
          <w:rFonts w:hint="eastAsia" w:ascii="仿宋" w:hAnsi="仿宋" w:eastAsia="仿宋" w:cs="仿宋"/>
          <w:b/>
          <w:bCs/>
          <w:color w:val="auto"/>
          <w:sz w:val="24"/>
          <w:szCs w:val="24"/>
          <w:highlight w:val="none"/>
          <w:lang w:val="en-US" w:eastAsia="zh-CN"/>
        </w:rPr>
      </w:pPr>
    </w:p>
    <w:p w14:paraId="4BA474EE">
      <w:pPr>
        <w:pStyle w:val="349"/>
        <w:numPr>
          <w:ilvl w:val="0"/>
          <w:numId w:val="0"/>
        </w:numPr>
        <w:bidi w:val="0"/>
        <w:jc w:val="left"/>
        <w:rPr>
          <w:rFonts w:hint="default" w:ascii="仿宋" w:hAnsi="仿宋" w:eastAsia="仿宋" w:cs="仿宋"/>
          <w:color w:val="auto"/>
          <w:sz w:val="24"/>
          <w:szCs w:val="24"/>
          <w:highlight w:val="none"/>
          <w:lang w:val="en-US" w:eastAsia="zh-CN"/>
        </w:rPr>
        <w:sectPr>
          <w:pgSz w:w="11906" w:h="16838"/>
          <w:pgMar w:top="1418" w:right="1418" w:bottom="133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24"/>
          <w:szCs w:val="24"/>
          <w:highlight w:val="none"/>
          <w:lang w:val="en-US" w:eastAsia="zh-CN"/>
        </w:rPr>
        <w:t>附图：</w:t>
      </w:r>
      <w:r>
        <w:rPr>
          <w:rFonts w:hint="default" w:ascii="仿宋" w:hAnsi="仿宋" w:eastAsia="仿宋" w:cs="仿宋"/>
          <w:color w:val="auto"/>
          <w:sz w:val="24"/>
          <w:szCs w:val="24"/>
          <w:highlight w:val="none"/>
          <w:lang w:val="en-US" w:eastAsia="zh-CN"/>
        </w:rPr>
        <w:drawing>
          <wp:inline distT="0" distB="0" distL="114300" distR="114300">
            <wp:extent cx="5751830" cy="7668895"/>
            <wp:effectExtent l="0" t="0" r="1270" b="8255"/>
            <wp:docPr id="1" name="图片 1" descr="897c0f6874833da1c15f96241a5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7c0f6874833da1c15f96241a55466"/>
                    <pic:cNvPicPr>
                      <a:picLocks noChangeAspect="1"/>
                    </pic:cNvPicPr>
                  </pic:nvPicPr>
                  <pic:blipFill>
                    <a:blip r:embed="rId10"/>
                    <a:stretch>
                      <a:fillRect/>
                    </a:stretch>
                  </pic:blipFill>
                  <pic:spPr>
                    <a:xfrm>
                      <a:off x="0" y="0"/>
                      <a:ext cx="5751830" cy="7668895"/>
                    </a:xfrm>
                    <a:prstGeom prst="rect">
                      <a:avLst/>
                    </a:prstGeom>
                  </pic:spPr>
                </pic:pic>
              </a:graphicData>
            </a:graphic>
          </wp:inline>
        </w:drawing>
      </w:r>
    </w:p>
    <w:bookmarkEnd w:id="94"/>
    <w:p w14:paraId="2F667737">
      <w:pPr>
        <w:pStyle w:val="3"/>
        <w:spacing w:line="700" w:lineRule="exact"/>
        <w:ind w:left="0" w:firstLine="0"/>
        <w:jc w:val="center"/>
        <w:rPr>
          <w:rFonts w:hint="eastAsia" w:ascii="仿宋" w:hAnsi="仿宋" w:eastAsia="仿宋" w:cs="仿宋"/>
          <w:b/>
          <w:bCs/>
          <w:color w:val="auto"/>
          <w:sz w:val="36"/>
          <w:szCs w:val="36"/>
          <w:highlight w:val="none"/>
        </w:rPr>
      </w:pPr>
      <w:bookmarkStart w:id="109" w:name="_Toc297662418"/>
      <w:bookmarkStart w:id="110" w:name="_Toc339302155"/>
      <w:bookmarkStart w:id="111" w:name="_Toc340321940"/>
      <w:bookmarkStart w:id="112" w:name="_Toc340322195"/>
      <w:bookmarkStart w:id="113" w:name="_Toc54978899"/>
      <w:bookmarkStart w:id="114" w:name="_Toc17741"/>
      <w:bookmarkStart w:id="115" w:name="_Toc22296"/>
      <w:bookmarkStart w:id="116" w:name="_Toc340321928"/>
      <w:bookmarkStart w:id="117" w:name="_Toc339302144"/>
      <w:bookmarkStart w:id="118" w:name="_Toc248065071"/>
      <w:bookmarkStart w:id="119" w:name="_Toc4171"/>
      <w:bookmarkStart w:id="120" w:name="_Toc226337793"/>
      <w:bookmarkStart w:id="121" w:name="_Toc340322183"/>
      <w:r>
        <w:rPr>
          <w:rFonts w:hint="eastAsia" w:ascii="仿宋" w:hAnsi="仿宋" w:eastAsia="仿宋" w:cs="仿宋"/>
          <w:b/>
          <w:bCs/>
          <w:color w:val="auto"/>
          <w:sz w:val="36"/>
          <w:szCs w:val="36"/>
          <w:highlight w:val="none"/>
          <w:lang w:val="en-US" w:eastAsia="zh-CN"/>
        </w:rPr>
        <w:t>第</w:t>
      </w:r>
      <w:r>
        <w:rPr>
          <w:rFonts w:hint="eastAsia" w:ascii="仿宋" w:hAnsi="仿宋" w:eastAsia="仿宋" w:cs="仿宋"/>
          <w:b/>
          <w:bCs/>
          <w:color w:val="auto"/>
          <w:sz w:val="36"/>
          <w:szCs w:val="36"/>
          <w:highlight w:val="none"/>
        </w:rPr>
        <w:t>四部分  评标办法</w:t>
      </w:r>
      <w:bookmarkEnd w:id="109"/>
      <w:bookmarkEnd w:id="110"/>
      <w:bookmarkEnd w:id="111"/>
      <w:bookmarkEnd w:id="112"/>
      <w:bookmarkEnd w:id="113"/>
      <w:bookmarkEnd w:id="114"/>
      <w:bookmarkEnd w:id="115"/>
    </w:p>
    <w:p w14:paraId="262229E5">
      <w:pPr>
        <w:pStyle w:val="5"/>
        <w:spacing w:before="120" w:beforeLines="0" w:after="120" w:afterLines="0" w:line="440" w:lineRule="exact"/>
        <w:ind w:firstLine="103"/>
        <w:rPr>
          <w:rFonts w:hint="eastAsia" w:ascii="仿宋" w:hAnsi="仿宋" w:eastAsia="仿宋" w:cs="仿宋"/>
          <w:color w:val="auto"/>
          <w:sz w:val="24"/>
          <w:szCs w:val="24"/>
          <w:highlight w:val="none"/>
        </w:rPr>
      </w:pPr>
      <w:bookmarkStart w:id="122" w:name="_Toc22707"/>
      <w:bookmarkStart w:id="123" w:name="_Toc297662419"/>
      <w:r>
        <w:rPr>
          <w:rFonts w:hint="eastAsia" w:ascii="仿宋" w:hAnsi="仿宋" w:eastAsia="仿宋" w:cs="仿宋"/>
          <w:color w:val="auto"/>
          <w:sz w:val="24"/>
          <w:szCs w:val="24"/>
          <w:highlight w:val="none"/>
        </w:rPr>
        <w:t>一、评标组织</w:t>
      </w:r>
      <w:bookmarkEnd w:id="122"/>
      <w:bookmarkEnd w:id="123"/>
    </w:p>
    <w:p w14:paraId="02E9ACE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692046A3">
      <w:pPr>
        <w:pStyle w:val="5"/>
        <w:spacing w:before="120" w:beforeLines="0" w:after="120" w:afterLines="0" w:line="440" w:lineRule="exact"/>
        <w:ind w:firstLine="103"/>
        <w:rPr>
          <w:rFonts w:hint="eastAsia" w:ascii="仿宋" w:hAnsi="仿宋" w:eastAsia="仿宋" w:cs="仿宋"/>
          <w:color w:val="auto"/>
          <w:sz w:val="24"/>
          <w:szCs w:val="24"/>
          <w:highlight w:val="none"/>
        </w:rPr>
      </w:pPr>
      <w:bookmarkStart w:id="124" w:name="_Toc11215"/>
      <w:bookmarkStart w:id="125" w:name="_Toc297662420"/>
      <w:r>
        <w:rPr>
          <w:rFonts w:hint="eastAsia" w:ascii="仿宋" w:hAnsi="仿宋" w:eastAsia="仿宋" w:cs="仿宋"/>
          <w:color w:val="auto"/>
          <w:sz w:val="24"/>
          <w:szCs w:val="24"/>
          <w:highlight w:val="none"/>
        </w:rPr>
        <w:t>二、评标方法</w:t>
      </w:r>
      <w:bookmarkEnd w:id="124"/>
      <w:bookmarkEnd w:id="125"/>
    </w:p>
    <w:p w14:paraId="7D377059">
      <w:pPr>
        <w:spacing w:line="440" w:lineRule="exact"/>
        <w:ind w:firstLine="551" w:firstLineChars="218"/>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本项目采用综合评分法。</w:t>
      </w:r>
      <w:r>
        <w:rPr>
          <w:rFonts w:hint="eastAsia" w:ascii="仿宋" w:hAnsi="仿宋" w:eastAsia="仿宋" w:cs="仿宋"/>
          <w:color w:val="auto"/>
          <w:kern w:val="2"/>
          <w:sz w:val="24"/>
          <w:szCs w:val="24"/>
          <w:highlight w:val="none"/>
          <w:lang w:val="en-US" w:eastAsia="zh-CN" w:bidi="ar-SA"/>
        </w:rPr>
        <w:t>开标后，凡供应商不符合投标资格或投标文件完整性、合法性存在欠缺的，或投标文件实质性内容和关键格式严重不符合有关规定和不响应采购文件要求的，作为无效标予以废除，不进入评议打分范围。</w:t>
      </w:r>
    </w:p>
    <w:p w14:paraId="2CE078D3">
      <w:pPr>
        <w:pStyle w:val="3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评标委员会以审标、询标为基础依据，对投标文件及</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分别进行分析评议，按《评标细则》由评委独立评议计分，取汇总后的算术平均值。</w:t>
      </w:r>
    </w:p>
    <w:p w14:paraId="5272BBD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为预中标候选人，若预中标候选人放弃中标资格或因质疑、投诉被取消预中标资格或不能履行合同的，则</w:t>
      </w:r>
      <w:r>
        <w:rPr>
          <w:rFonts w:hint="eastAsia" w:ascii="仿宋" w:hAnsi="仿宋" w:eastAsia="仿宋" w:cs="仿宋"/>
          <w:color w:val="auto"/>
          <w:sz w:val="24"/>
          <w:szCs w:val="24"/>
          <w:highlight w:val="none"/>
          <w:lang w:val="en-US" w:eastAsia="zh-CN"/>
        </w:rPr>
        <w:t>本项目组织</w:t>
      </w:r>
      <w:r>
        <w:rPr>
          <w:rFonts w:hint="eastAsia" w:ascii="仿宋" w:hAnsi="仿宋" w:eastAsia="仿宋" w:cs="仿宋"/>
          <w:color w:val="auto"/>
          <w:sz w:val="24"/>
          <w:szCs w:val="24"/>
          <w:highlight w:val="none"/>
        </w:rPr>
        <w:t>重新招标。</w:t>
      </w:r>
    </w:p>
    <w:p w14:paraId="7BE5BCBC">
      <w:pPr>
        <w:pStyle w:val="5"/>
        <w:spacing w:before="120" w:beforeLines="0" w:after="120" w:afterLines="0" w:line="440" w:lineRule="exact"/>
        <w:ind w:firstLine="103"/>
        <w:rPr>
          <w:rFonts w:hint="eastAsia" w:ascii="仿宋" w:hAnsi="仿宋" w:eastAsia="仿宋" w:cs="仿宋"/>
          <w:color w:val="auto"/>
          <w:sz w:val="24"/>
          <w:szCs w:val="24"/>
          <w:highlight w:val="none"/>
        </w:rPr>
      </w:pPr>
      <w:bookmarkStart w:id="126" w:name="_Toc4514"/>
      <w:bookmarkStart w:id="127" w:name="_Toc297662421"/>
      <w:r>
        <w:rPr>
          <w:rFonts w:hint="eastAsia" w:ascii="仿宋" w:hAnsi="仿宋" w:eastAsia="仿宋" w:cs="仿宋"/>
          <w:color w:val="auto"/>
          <w:sz w:val="24"/>
          <w:szCs w:val="24"/>
          <w:highlight w:val="none"/>
        </w:rPr>
        <w:t>三、定标办法</w:t>
      </w:r>
      <w:bookmarkEnd w:id="126"/>
      <w:bookmarkEnd w:id="127"/>
    </w:p>
    <w:p w14:paraId="70A1D21C">
      <w:pPr>
        <w:pStyle w:val="3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评标结束后，采购人根据评标委员会提交的评标报告和推荐意见，对进入候选的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进行最终审查。终审后根据推荐的候选</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情况确定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b/>
          <w:bCs/>
          <w:color w:val="auto"/>
          <w:spacing w:val="6"/>
          <w:sz w:val="24"/>
          <w:szCs w:val="24"/>
          <w:highlight w:val="none"/>
        </w:rPr>
        <w:t>最低报价不是中标的唯一保证。</w:t>
      </w:r>
    </w:p>
    <w:p w14:paraId="79A4C63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整个评标过程应严格保密，评标委员会成员及工作人员应严格遵守纪律，不得泄漏任何评标信息。</w:t>
      </w:r>
    </w:p>
    <w:p w14:paraId="7FE2DAAE">
      <w:pPr>
        <w:pStyle w:val="5"/>
        <w:spacing w:before="120" w:beforeLines="0" w:after="120" w:afterLines="0" w:line="440" w:lineRule="exact"/>
        <w:ind w:firstLine="103"/>
        <w:rPr>
          <w:rFonts w:hint="eastAsia" w:ascii="仿宋" w:hAnsi="仿宋" w:eastAsia="仿宋" w:cs="仿宋"/>
          <w:color w:val="auto"/>
          <w:sz w:val="28"/>
          <w:szCs w:val="28"/>
          <w:highlight w:val="none"/>
        </w:rPr>
      </w:pPr>
      <w:bookmarkStart w:id="128" w:name="_Toc19935"/>
      <w:r>
        <w:rPr>
          <w:rFonts w:hint="eastAsia" w:ascii="仿宋" w:hAnsi="仿宋" w:eastAsia="仿宋" w:cs="仿宋"/>
          <w:color w:val="auto"/>
          <w:sz w:val="28"/>
          <w:szCs w:val="28"/>
          <w:highlight w:val="none"/>
        </w:rPr>
        <w:t>四、评标细则</w:t>
      </w:r>
      <w:bookmarkEnd w:id="128"/>
    </w:p>
    <w:p w14:paraId="632A94A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w:t>
      </w:r>
      <w:r>
        <w:rPr>
          <w:rFonts w:hint="eastAsia" w:ascii="仿宋" w:hAnsi="仿宋" w:eastAsia="仿宋" w:cs="仿宋"/>
          <w:color w:val="auto"/>
          <w:sz w:val="24"/>
          <w:szCs w:val="24"/>
          <w:highlight w:val="none"/>
        </w:rPr>
        <w:t>技术资信部分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p w14:paraId="79992B40">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（一）各评委成员按评标细则进行评审，计算精确到小数点后二位（各家单位的分值为所有评标成员给出的值的算术平均值）。</w:t>
      </w:r>
    </w:p>
    <w:p w14:paraId="7FB4023E">
      <w:pPr>
        <w:spacing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（二）技术资信分值（</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bl>
      <w:tblPr>
        <w:tblStyle w:val="80"/>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8"/>
        <w:gridCol w:w="6780"/>
        <w:gridCol w:w="759"/>
      </w:tblGrid>
      <w:tr w14:paraId="295C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4675B09F">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458" w:type="dxa"/>
            <w:tcBorders>
              <w:top w:val="single" w:color="auto" w:sz="4" w:space="0"/>
              <w:left w:val="single" w:color="auto" w:sz="4" w:space="0"/>
              <w:bottom w:val="single" w:color="auto" w:sz="4" w:space="0"/>
              <w:right w:val="single" w:color="auto" w:sz="4" w:space="0"/>
            </w:tcBorders>
            <w:noWrap/>
            <w:vAlign w:val="center"/>
          </w:tcPr>
          <w:p w14:paraId="4191B4E2">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780" w:type="dxa"/>
            <w:tcBorders>
              <w:top w:val="single" w:color="auto" w:sz="4" w:space="0"/>
              <w:left w:val="single" w:color="auto" w:sz="4" w:space="0"/>
              <w:bottom w:val="single" w:color="auto" w:sz="4" w:space="0"/>
              <w:right w:val="single" w:color="auto" w:sz="4" w:space="0"/>
            </w:tcBorders>
            <w:noWrap/>
            <w:vAlign w:val="center"/>
          </w:tcPr>
          <w:p w14:paraId="55E94E0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759" w:type="dxa"/>
            <w:tcBorders>
              <w:top w:val="single" w:color="auto" w:sz="4" w:space="0"/>
              <w:left w:val="single" w:color="auto" w:sz="4" w:space="0"/>
              <w:bottom w:val="single" w:color="auto" w:sz="4" w:space="0"/>
              <w:right w:val="single" w:color="auto" w:sz="4" w:space="0"/>
            </w:tcBorders>
            <w:noWrap/>
            <w:vAlign w:val="center"/>
          </w:tcPr>
          <w:p w14:paraId="59BC6C47">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7628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1D2CD9B7">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458" w:type="dxa"/>
            <w:tcBorders>
              <w:top w:val="single" w:color="auto" w:sz="4" w:space="0"/>
              <w:left w:val="single" w:color="auto" w:sz="4" w:space="0"/>
              <w:right w:val="single" w:color="auto" w:sz="4" w:space="0"/>
            </w:tcBorders>
            <w:noWrap/>
            <w:vAlign w:val="center"/>
          </w:tcPr>
          <w:p w14:paraId="3412C179">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同类业绩</w:t>
            </w:r>
          </w:p>
        </w:tc>
        <w:tc>
          <w:tcPr>
            <w:tcW w:w="6780" w:type="dxa"/>
            <w:tcBorders>
              <w:top w:val="single" w:color="auto" w:sz="4" w:space="0"/>
              <w:left w:val="single" w:color="auto" w:sz="4" w:space="0"/>
              <w:right w:val="single" w:color="auto" w:sz="4" w:space="0"/>
            </w:tcBorders>
            <w:noWrap/>
            <w:vAlign w:val="center"/>
          </w:tcPr>
          <w:p w14:paraId="45016B4E">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val="0"/>
                <w:color w:val="auto"/>
                <w:kern w:val="0"/>
                <w:sz w:val="24"/>
                <w:szCs w:val="24"/>
                <w:highlight w:val="none"/>
                <w:shd w:val="clear" w:color="auto" w:fill="auto"/>
                <w:lang w:val="en-US" w:eastAsia="zh-CN" w:bidi="ar-SA"/>
              </w:rPr>
              <w:t>人</w:t>
            </w:r>
            <w:r>
              <w:rPr>
                <w:rFonts w:hint="eastAsia" w:ascii="仿宋" w:hAnsi="仿宋" w:eastAsia="仿宋" w:cs="仿宋"/>
                <w:b w:val="0"/>
                <w:bCs/>
                <w:color w:val="auto"/>
                <w:sz w:val="24"/>
                <w:szCs w:val="24"/>
                <w:highlight w:val="none"/>
                <w:lang w:val="en-US" w:eastAsia="zh-CN"/>
              </w:rPr>
              <w:t>提供自2022年3月1日以来（以合同签订时间为准）承接过同类项目案例的，每提供一个得1分，最高得5分。（提供合同、中标通知书扫描件并加盖CA签章）</w:t>
            </w:r>
          </w:p>
        </w:tc>
        <w:tc>
          <w:tcPr>
            <w:tcW w:w="759" w:type="dxa"/>
            <w:tcBorders>
              <w:top w:val="single" w:color="auto" w:sz="4" w:space="0"/>
              <w:left w:val="single" w:color="auto" w:sz="4" w:space="0"/>
            </w:tcBorders>
            <w:noWrap/>
            <w:vAlign w:val="center"/>
          </w:tcPr>
          <w:p w14:paraId="3C64CAFD">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4A4D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31" w:type="dxa"/>
            <w:tcBorders>
              <w:top w:val="single" w:color="auto" w:sz="4" w:space="0"/>
              <w:left w:val="single" w:color="auto" w:sz="4" w:space="0"/>
              <w:right w:val="single" w:color="auto" w:sz="4" w:space="0"/>
            </w:tcBorders>
            <w:noWrap/>
            <w:vAlign w:val="center"/>
          </w:tcPr>
          <w:p w14:paraId="28829B25">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458" w:type="dxa"/>
            <w:vMerge w:val="restart"/>
            <w:tcBorders>
              <w:top w:val="single" w:color="auto" w:sz="4" w:space="0"/>
              <w:left w:val="single" w:color="auto" w:sz="4" w:space="0"/>
              <w:right w:val="single" w:color="auto" w:sz="4" w:space="0"/>
            </w:tcBorders>
            <w:noWrap/>
            <w:vAlign w:val="center"/>
          </w:tcPr>
          <w:p w14:paraId="2B7AB131">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项目技术人员配置</w:t>
            </w:r>
          </w:p>
        </w:tc>
        <w:tc>
          <w:tcPr>
            <w:tcW w:w="6780" w:type="dxa"/>
            <w:tcBorders>
              <w:top w:val="single" w:color="auto" w:sz="4" w:space="0"/>
              <w:left w:val="single" w:color="auto" w:sz="4" w:space="0"/>
              <w:right w:val="single" w:color="auto" w:sz="4" w:space="0"/>
            </w:tcBorders>
            <w:noWrap/>
            <w:vAlign w:val="center"/>
          </w:tcPr>
          <w:p w14:paraId="36328B96">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w:t>
            </w:r>
            <w:r>
              <w:rPr>
                <w:rFonts w:hint="default" w:ascii="仿宋" w:hAnsi="仿宋" w:eastAsia="仿宋" w:cs="仿宋"/>
                <w:b w:val="0"/>
                <w:bCs/>
                <w:color w:val="auto"/>
                <w:sz w:val="24"/>
                <w:szCs w:val="24"/>
                <w:highlight w:val="none"/>
                <w:lang w:val="en-US" w:eastAsia="zh-CN"/>
              </w:rPr>
              <w:t>拟派项目负责人具有机械类中级及以上职称的得</w:t>
            </w:r>
            <w:r>
              <w:rPr>
                <w:rFonts w:hint="eastAsia" w:ascii="仿宋" w:hAnsi="仿宋" w:eastAsia="仿宋" w:cs="仿宋"/>
                <w:b w:val="0"/>
                <w:bCs/>
                <w:color w:val="auto"/>
                <w:sz w:val="24"/>
                <w:szCs w:val="24"/>
                <w:highlight w:val="none"/>
                <w:lang w:val="en-US" w:eastAsia="zh-CN"/>
              </w:rPr>
              <w:t>2</w:t>
            </w:r>
            <w:r>
              <w:rPr>
                <w:rFonts w:hint="default" w:ascii="仿宋" w:hAnsi="仿宋" w:eastAsia="仿宋" w:cs="仿宋"/>
                <w:b w:val="0"/>
                <w:bCs/>
                <w:color w:val="auto"/>
                <w:sz w:val="24"/>
                <w:szCs w:val="24"/>
                <w:highlight w:val="none"/>
                <w:lang w:val="en-US" w:eastAsia="zh-CN"/>
              </w:rPr>
              <w:t>分</w:t>
            </w:r>
            <w:r>
              <w:rPr>
                <w:rFonts w:hint="eastAsia" w:ascii="仿宋" w:hAnsi="仿宋" w:eastAsia="仿宋" w:cs="仿宋"/>
                <w:b w:val="0"/>
                <w:bCs/>
                <w:color w:val="auto"/>
                <w:sz w:val="24"/>
                <w:szCs w:val="24"/>
                <w:highlight w:val="none"/>
                <w:lang w:val="en-US" w:eastAsia="zh-CN"/>
              </w:rPr>
              <w:t>。（提供证书扫描件及近三个月在职社保缴纳证明并加盖CA签章）</w:t>
            </w:r>
          </w:p>
        </w:tc>
        <w:tc>
          <w:tcPr>
            <w:tcW w:w="759" w:type="dxa"/>
            <w:tcBorders>
              <w:top w:val="single" w:color="auto" w:sz="4" w:space="0"/>
              <w:left w:val="single" w:color="auto" w:sz="4" w:space="0"/>
            </w:tcBorders>
            <w:noWrap/>
            <w:vAlign w:val="center"/>
          </w:tcPr>
          <w:p w14:paraId="7CBF465C">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2分</w:t>
            </w:r>
          </w:p>
        </w:tc>
      </w:tr>
      <w:tr w14:paraId="3019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2825DCAB">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w:t>
            </w:r>
          </w:p>
        </w:tc>
        <w:tc>
          <w:tcPr>
            <w:tcW w:w="1458" w:type="dxa"/>
            <w:vMerge w:val="continue"/>
            <w:tcBorders>
              <w:left w:val="single" w:color="auto" w:sz="4" w:space="0"/>
              <w:right w:val="single" w:color="auto" w:sz="4" w:space="0"/>
            </w:tcBorders>
            <w:noWrap/>
            <w:vAlign w:val="center"/>
          </w:tcPr>
          <w:p w14:paraId="26FFB452">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p>
        </w:tc>
        <w:tc>
          <w:tcPr>
            <w:tcW w:w="6780" w:type="dxa"/>
            <w:tcBorders>
              <w:top w:val="single" w:color="auto" w:sz="4" w:space="0"/>
              <w:left w:val="single" w:color="auto" w:sz="4" w:space="0"/>
              <w:right w:val="single" w:color="auto" w:sz="4" w:space="0"/>
            </w:tcBorders>
            <w:noWrap/>
            <w:vAlign w:val="center"/>
          </w:tcPr>
          <w:p w14:paraId="5CAA299F">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根据投标人拟派技术人员的资质、岗位配置、工作经验等进行综合打分。</w:t>
            </w:r>
            <w:r>
              <w:rPr>
                <w:rFonts w:hint="eastAsia" w:ascii="仿宋" w:hAnsi="仿宋" w:eastAsia="仿宋" w:cs="仿宋"/>
                <w:b w:val="0"/>
                <w:bCs/>
                <w:color w:val="auto"/>
                <w:kern w:val="2"/>
                <w:sz w:val="24"/>
                <w:szCs w:val="24"/>
                <w:highlight w:val="none"/>
                <w:lang w:val="en-US" w:eastAsia="zh-CN" w:bidi="ar-SA"/>
              </w:rPr>
              <w:t>（满分5分，评分范围5，4.5，4，3.5，3，2.5，2，1.5，1，0.5，0）</w:t>
            </w:r>
            <w:r>
              <w:rPr>
                <w:rFonts w:hint="eastAsia" w:ascii="仿宋" w:hAnsi="仿宋" w:eastAsia="仿宋" w:cs="仿宋"/>
                <w:b w:val="0"/>
                <w:bCs/>
                <w:color w:val="auto"/>
                <w:sz w:val="24"/>
                <w:szCs w:val="24"/>
                <w:highlight w:val="none"/>
                <w:lang w:val="en-US" w:eastAsia="zh-CN"/>
              </w:rPr>
              <w:t>（提供人员清单、相关证明材料及近三个月在职社保缴纳证明并加盖CA签章）。</w:t>
            </w:r>
          </w:p>
        </w:tc>
        <w:tc>
          <w:tcPr>
            <w:tcW w:w="759" w:type="dxa"/>
            <w:tcBorders>
              <w:top w:val="single" w:color="auto" w:sz="4" w:space="0"/>
              <w:left w:val="single" w:color="auto" w:sz="4" w:space="0"/>
            </w:tcBorders>
            <w:noWrap/>
            <w:vAlign w:val="center"/>
          </w:tcPr>
          <w:p w14:paraId="13533E66">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2B29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1" w:type="dxa"/>
            <w:tcBorders>
              <w:left w:val="single" w:color="auto" w:sz="4" w:space="0"/>
              <w:right w:val="single" w:color="auto" w:sz="4" w:space="0"/>
            </w:tcBorders>
            <w:noWrap/>
            <w:vAlign w:val="center"/>
          </w:tcPr>
          <w:p w14:paraId="72B0C84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458" w:type="dxa"/>
            <w:tcBorders>
              <w:left w:val="single" w:color="auto" w:sz="4" w:space="0"/>
              <w:right w:val="single" w:color="auto" w:sz="4" w:space="0"/>
            </w:tcBorders>
            <w:noWrap/>
            <w:vAlign w:val="center"/>
          </w:tcPr>
          <w:p w14:paraId="406D6260">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对本项目的分析及了解</w:t>
            </w:r>
          </w:p>
        </w:tc>
        <w:tc>
          <w:tcPr>
            <w:tcW w:w="6780" w:type="dxa"/>
            <w:tcBorders>
              <w:left w:val="single" w:color="auto" w:sz="4" w:space="0"/>
              <w:right w:val="single" w:color="auto" w:sz="4" w:space="0"/>
            </w:tcBorders>
            <w:noWrap/>
            <w:vAlign w:val="center"/>
          </w:tcPr>
          <w:p w14:paraId="0ECCBC8E">
            <w:pPr>
              <w:pStyle w:val="7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根据投标</w:t>
            </w:r>
            <w:r>
              <w:rPr>
                <w:rFonts w:hint="eastAsia" w:ascii="仿宋" w:hAnsi="仿宋" w:eastAsia="仿宋" w:cs="仿宋"/>
                <w:b w:val="0"/>
                <w:bCs w:val="0"/>
                <w:color w:val="auto"/>
                <w:kern w:val="0"/>
                <w:sz w:val="24"/>
                <w:szCs w:val="24"/>
                <w:highlight w:val="none"/>
                <w:shd w:val="clear" w:color="auto" w:fill="auto"/>
                <w:lang w:val="en-US" w:eastAsia="zh-CN" w:bidi="ar-SA"/>
              </w:rPr>
              <w:t>人对本项目的现状分析和了解程度</w:t>
            </w:r>
            <w:r>
              <w:rPr>
                <w:rFonts w:hint="eastAsia" w:ascii="仿宋" w:hAnsi="仿宋" w:eastAsia="仿宋" w:cs="仿宋"/>
                <w:b w:val="0"/>
                <w:bCs/>
                <w:color w:val="auto"/>
                <w:kern w:val="2"/>
                <w:sz w:val="24"/>
                <w:szCs w:val="24"/>
                <w:highlight w:val="none"/>
                <w:lang w:val="en-US" w:eastAsia="zh-CN" w:bidi="ar-SA"/>
              </w:rPr>
              <w:t>进行综合评分。（满分5分，评分范围5，4.5，4，3.5，3，2.5，2，1.5，1，0.5，0）</w:t>
            </w:r>
          </w:p>
        </w:tc>
        <w:tc>
          <w:tcPr>
            <w:tcW w:w="759" w:type="dxa"/>
            <w:tcBorders>
              <w:top w:val="single" w:color="auto" w:sz="4" w:space="0"/>
              <w:left w:val="single" w:color="auto" w:sz="4" w:space="0"/>
              <w:right w:val="single" w:color="auto" w:sz="4" w:space="0"/>
            </w:tcBorders>
            <w:noWrap/>
            <w:vAlign w:val="center"/>
          </w:tcPr>
          <w:p w14:paraId="467F4F7C">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68AE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6AF204EB">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458" w:type="dxa"/>
            <w:tcBorders>
              <w:left w:val="single" w:color="auto" w:sz="4" w:space="0"/>
              <w:right w:val="single" w:color="auto" w:sz="4" w:space="0"/>
            </w:tcBorders>
            <w:noWrap/>
            <w:vAlign w:val="center"/>
          </w:tcPr>
          <w:p w14:paraId="2E11F3CE">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项目实施方案</w:t>
            </w:r>
          </w:p>
        </w:tc>
        <w:tc>
          <w:tcPr>
            <w:tcW w:w="6780" w:type="dxa"/>
            <w:tcBorders>
              <w:left w:val="single" w:color="auto" w:sz="4" w:space="0"/>
              <w:right w:val="single" w:color="auto" w:sz="4" w:space="0"/>
            </w:tcBorders>
            <w:noWrap/>
            <w:vAlign w:val="center"/>
          </w:tcPr>
          <w:p w14:paraId="00F41AE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根据投标人提供的项目实施方案（包括</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 w:val="0"/>
                <w:bCs w:val="0"/>
                <w:color w:val="auto"/>
                <w:kern w:val="0"/>
                <w:sz w:val="24"/>
                <w:szCs w:val="24"/>
                <w:highlight w:val="none"/>
                <w:shd w:val="clear" w:color="auto" w:fill="auto"/>
                <w:lang w:val="en-US" w:eastAsia="zh-CN" w:bidi="ar-SA"/>
              </w:rPr>
              <w:t>、运输、堆放、垃圾清运、地面平整、工作进度安排、安全文明施工等）进行综合评分：</w:t>
            </w:r>
          </w:p>
          <w:p w14:paraId="048BA4A9">
            <w:pPr>
              <w:pStyle w:val="43"/>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 w:val="0"/>
                <w:bCs w:val="0"/>
                <w:color w:val="auto"/>
                <w:kern w:val="0"/>
                <w:sz w:val="24"/>
                <w:szCs w:val="24"/>
                <w:highlight w:val="none"/>
                <w:shd w:val="clear" w:color="auto" w:fill="auto"/>
                <w:lang w:val="en-US" w:eastAsia="zh-CN" w:bidi="ar-SA"/>
              </w:rPr>
              <w:t>方案（</w:t>
            </w:r>
            <w:r>
              <w:rPr>
                <w:rFonts w:hint="eastAsia" w:ascii="仿宋" w:hAnsi="仿宋" w:eastAsia="仿宋" w:cs="仿宋"/>
                <w:b w:val="0"/>
                <w:bCs/>
                <w:color w:val="auto"/>
                <w:kern w:val="2"/>
                <w:sz w:val="24"/>
                <w:szCs w:val="24"/>
                <w:highlight w:val="none"/>
                <w:lang w:val="en-US" w:eastAsia="zh-CN" w:bidi="ar-SA"/>
              </w:rPr>
              <w:t>评分范围5，4.5，4，3.5，3，2.5，2，1.5，1，0.5，0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p w14:paraId="36A5A988">
            <w:pPr>
              <w:pStyle w:val="43"/>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运输堆放方案（</w:t>
            </w:r>
            <w:r>
              <w:rPr>
                <w:rFonts w:hint="eastAsia" w:ascii="仿宋" w:hAnsi="仿宋" w:eastAsia="仿宋" w:cs="仿宋"/>
                <w:b w:val="0"/>
                <w:bCs/>
                <w:color w:val="auto"/>
                <w:kern w:val="2"/>
                <w:sz w:val="24"/>
                <w:szCs w:val="24"/>
                <w:highlight w:val="none"/>
                <w:lang w:val="en-US" w:eastAsia="zh-CN" w:bidi="ar-SA"/>
              </w:rPr>
              <w:t>评分范围2，1.8，1.6，1.4，1.2，1，0.8，0.6，0.4，0.2，0</w:t>
            </w:r>
            <w:r>
              <w:rPr>
                <w:rFonts w:hint="eastAsia" w:ascii="仿宋" w:hAnsi="仿宋" w:eastAsia="仿宋" w:cs="仿宋"/>
                <w:b w:val="0"/>
                <w:bCs w:val="0"/>
                <w:color w:val="auto"/>
                <w:kern w:val="0"/>
                <w:sz w:val="24"/>
                <w:szCs w:val="24"/>
                <w:highlight w:val="none"/>
                <w:shd w:val="clear" w:color="auto" w:fill="auto"/>
                <w:lang w:val="en-US" w:eastAsia="zh-CN" w:bidi="ar-SA"/>
              </w:rPr>
              <w:t>）；</w:t>
            </w:r>
          </w:p>
          <w:p w14:paraId="11B868AC">
            <w:pPr>
              <w:pStyle w:val="43"/>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垃圾清运方案（</w:t>
            </w:r>
            <w:r>
              <w:rPr>
                <w:rFonts w:hint="eastAsia" w:ascii="仿宋" w:hAnsi="仿宋" w:eastAsia="仿宋" w:cs="仿宋"/>
                <w:b w:val="0"/>
                <w:bCs/>
                <w:color w:val="auto"/>
                <w:kern w:val="2"/>
                <w:sz w:val="24"/>
                <w:szCs w:val="24"/>
                <w:highlight w:val="none"/>
                <w:lang w:val="en-US" w:eastAsia="zh-CN" w:bidi="ar-SA"/>
              </w:rPr>
              <w:t>评分范围2，1.8，1.6，1.4，1.2，1，0.8，0.6，0.4，0.2，0</w:t>
            </w:r>
            <w:r>
              <w:rPr>
                <w:rFonts w:hint="eastAsia" w:ascii="仿宋" w:hAnsi="仿宋" w:eastAsia="仿宋" w:cs="仿宋"/>
                <w:b w:val="0"/>
                <w:bCs w:val="0"/>
                <w:color w:val="auto"/>
                <w:kern w:val="0"/>
                <w:sz w:val="24"/>
                <w:szCs w:val="24"/>
                <w:highlight w:val="none"/>
                <w:shd w:val="clear" w:color="auto" w:fill="auto"/>
                <w:lang w:val="en-US" w:eastAsia="zh-CN" w:bidi="ar-SA"/>
              </w:rPr>
              <w:t>）；</w:t>
            </w:r>
          </w:p>
          <w:p w14:paraId="1E307E2C">
            <w:pPr>
              <w:pStyle w:val="43"/>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地面平整方案（</w:t>
            </w:r>
            <w:r>
              <w:rPr>
                <w:rFonts w:hint="eastAsia" w:ascii="仿宋" w:hAnsi="仿宋" w:eastAsia="仿宋" w:cs="仿宋"/>
                <w:b w:val="0"/>
                <w:bCs/>
                <w:color w:val="auto"/>
                <w:kern w:val="2"/>
                <w:sz w:val="24"/>
                <w:szCs w:val="24"/>
                <w:highlight w:val="none"/>
                <w:lang w:val="en-US" w:eastAsia="zh-CN" w:bidi="ar-SA"/>
              </w:rPr>
              <w:t>评分范围2，1.8，1.6，1.4，1.2，1，0.8，0.6，0.4，0.2，0</w:t>
            </w:r>
            <w:r>
              <w:rPr>
                <w:rFonts w:hint="eastAsia" w:ascii="仿宋" w:hAnsi="仿宋" w:eastAsia="仿宋" w:cs="仿宋"/>
                <w:b w:val="0"/>
                <w:bCs w:val="0"/>
                <w:color w:val="auto"/>
                <w:kern w:val="0"/>
                <w:sz w:val="24"/>
                <w:szCs w:val="24"/>
                <w:highlight w:val="none"/>
                <w:shd w:val="clear" w:color="auto" w:fill="auto"/>
                <w:lang w:val="en-US" w:eastAsia="zh-CN" w:bidi="ar-SA"/>
              </w:rPr>
              <w:t>）；</w:t>
            </w:r>
          </w:p>
          <w:p w14:paraId="08904531">
            <w:pPr>
              <w:pStyle w:val="43"/>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工作进度安排（</w:t>
            </w:r>
            <w:r>
              <w:rPr>
                <w:rFonts w:hint="eastAsia" w:ascii="仿宋" w:hAnsi="仿宋" w:eastAsia="仿宋" w:cs="仿宋"/>
                <w:b w:val="0"/>
                <w:bCs/>
                <w:color w:val="auto"/>
                <w:kern w:val="2"/>
                <w:sz w:val="24"/>
                <w:szCs w:val="24"/>
                <w:highlight w:val="none"/>
                <w:lang w:val="en-US" w:eastAsia="zh-CN" w:bidi="ar-SA"/>
              </w:rPr>
              <w:t>评分范围2，1.8，1.6，1.4，1.2，1，0.8，0.6，0.4，0.2，0</w:t>
            </w:r>
            <w:r>
              <w:rPr>
                <w:rFonts w:hint="eastAsia" w:ascii="仿宋" w:hAnsi="仿宋" w:eastAsia="仿宋" w:cs="仿宋"/>
                <w:b w:val="0"/>
                <w:bCs w:val="0"/>
                <w:color w:val="auto"/>
                <w:kern w:val="0"/>
                <w:sz w:val="24"/>
                <w:szCs w:val="24"/>
                <w:highlight w:val="none"/>
                <w:shd w:val="clear" w:color="auto" w:fill="auto"/>
                <w:lang w:val="en-US" w:eastAsia="zh-CN" w:bidi="ar-SA"/>
              </w:rPr>
              <w:t>）；</w:t>
            </w:r>
          </w:p>
          <w:p w14:paraId="3A1A409E">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（6）安全文明施工（</w:t>
            </w:r>
            <w:r>
              <w:rPr>
                <w:rFonts w:hint="eastAsia" w:ascii="仿宋" w:hAnsi="仿宋" w:eastAsia="仿宋" w:cs="仿宋"/>
                <w:b w:val="0"/>
                <w:bCs/>
                <w:color w:val="auto"/>
                <w:kern w:val="2"/>
                <w:sz w:val="24"/>
                <w:szCs w:val="24"/>
                <w:highlight w:val="none"/>
                <w:lang w:val="en-US" w:eastAsia="zh-CN" w:bidi="ar-SA"/>
              </w:rPr>
              <w:t>评分范围5，4.5，4，3.5，3，2.5，2，1.5，1，0.5，0</w:t>
            </w:r>
            <w:r>
              <w:rPr>
                <w:rFonts w:hint="eastAsia" w:ascii="仿宋" w:hAnsi="仿宋" w:eastAsia="仿宋" w:cs="仿宋"/>
                <w:b w:val="0"/>
                <w:bCs w:val="0"/>
                <w:color w:val="auto"/>
                <w:kern w:val="0"/>
                <w:sz w:val="24"/>
                <w:szCs w:val="24"/>
                <w:highlight w:val="none"/>
                <w:shd w:val="clear" w:color="auto" w:fill="auto"/>
                <w:lang w:val="en-US" w:eastAsia="zh-CN" w:bidi="ar-SA"/>
              </w:rPr>
              <w:t>）。</w:t>
            </w:r>
          </w:p>
        </w:tc>
        <w:tc>
          <w:tcPr>
            <w:tcW w:w="759" w:type="dxa"/>
            <w:tcBorders>
              <w:top w:val="single" w:color="auto" w:sz="4" w:space="0"/>
              <w:left w:val="single" w:color="auto" w:sz="4" w:space="0"/>
              <w:bottom w:val="single" w:color="auto" w:sz="4" w:space="0"/>
              <w:right w:val="single" w:color="auto" w:sz="4" w:space="0"/>
            </w:tcBorders>
            <w:noWrap/>
            <w:vAlign w:val="center"/>
          </w:tcPr>
          <w:p w14:paraId="1792AAB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18分</w:t>
            </w:r>
          </w:p>
        </w:tc>
      </w:tr>
      <w:tr w14:paraId="13E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31" w:type="dxa"/>
            <w:tcBorders>
              <w:left w:val="single" w:color="auto" w:sz="4" w:space="0"/>
              <w:right w:val="single" w:color="auto" w:sz="4" w:space="0"/>
            </w:tcBorders>
            <w:noWrap/>
            <w:vAlign w:val="center"/>
          </w:tcPr>
          <w:p w14:paraId="1C6721E1">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458" w:type="dxa"/>
            <w:tcBorders>
              <w:left w:val="single" w:color="auto" w:sz="4" w:space="0"/>
              <w:right w:val="single" w:color="auto" w:sz="4" w:space="0"/>
            </w:tcBorders>
            <w:noWrap/>
            <w:vAlign w:val="center"/>
          </w:tcPr>
          <w:p w14:paraId="2AABFF20">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内部管理制度</w:t>
            </w:r>
          </w:p>
        </w:tc>
        <w:tc>
          <w:tcPr>
            <w:tcW w:w="6780" w:type="dxa"/>
            <w:tcBorders>
              <w:left w:val="single" w:color="auto" w:sz="4" w:space="0"/>
              <w:right w:val="single" w:color="auto" w:sz="4" w:space="0"/>
            </w:tcBorders>
            <w:noWrap/>
            <w:vAlign w:val="center"/>
          </w:tcPr>
          <w:p w14:paraId="101A260B">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根据投标人提供的各项内部管理制度及工作流程、岗位安全责任制度、人员考核制度及标准、从业人员的业务培训的内容和措施等进行综合打分。</w:t>
            </w:r>
            <w:r>
              <w:rPr>
                <w:rFonts w:hint="eastAsia" w:ascii="仿宋" w:hAnsi="仿宋" w:eastAsia="仿宋" w:cs="仿宋"/>
                <w:b w:val="0"/>
                <w:bCs/>
                <w:color w:val="auto"/>
                <w:kern w:val="2"/>
                <w:sz w:val="24"/>
                <w:szCs w:val="24"/>
                <w:highlight w:val="none"/>
                <w:lang w:val="en-US" w:eastAsia="zh-CN" w:bidi="ar-SA"/>
              </w:rPr>
              <w:t>（满分3分，评分范围3，2.5，2，1.5，1，0.5，0）</w:t>
            </w:r>
          </w:p>
        </w:tc>
        <w:tc>
          <w:tcPr>
            <w:tcW w:w="759" w:type="dxa"/>
            <w:tcBorders>
              <w:top w:val="single" w:color="auto" w:sz="4" w:space="0"/>
              <w:left w:val="single" w:color="auto" w:sz="4" w:space="0"/>
              <w:bottom w:val="single" w:color="auto" w:sz="4" w:space="0"/>
              <w:right w:val="single" w:color="auto" w:sz="4" w:space="0"/>
            </w:tcBorders>
            <w:noWrap/>
            <w:vAlign w:val="center"/>
          </w:tcPr>
          <w:p w14:paraId="7142D60B">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w:t>
            </w:r>
          </w:p>
        </w:tc>
      </w:tr>
      <w:tr w14:paraId="5FFD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00BBF31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458" w:type="dxa"/>
            <w:tcBorders>
              <w:left w:val="single" w:color="auto" w:sz="4" w:space="0"/>
              <w:right w:val="single" w:color="auto" w:sz="4" w:space="0"/>
            </w:tcBorders>
            <w:noWrap/>
            <w:vAlign w:val="center"/>
          </w:tcPr>
          <w:p w14:paraId="11A03296">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质量保证措施</w:t>
            </w:r>
          </w:p>
        </w:tc>
        <w:tc>
          <w:tcPr>
            <w:tcW w:w="6780" w:type="dxa"/>
            <w:tcBorders>
              <w:left w:val="single" w:color="auto" w:sz="4" w:space="0"/>
              <w:right w:val="single" w:color="auto" w:sz="4" w:space="0"/>
            </w:tcBorders>
            <w:noWrap/>
            <w:vAlign w:val="center"/>
          </w:tcPr>
          <w:p w14:paraId="71B42A4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根据投标人提供的质量保证措施进行综合打分。</w:t>
            </w:r>
            <w:r>
              <w:rPr>
                <w:rFonts w:hint="eastAsia" w:ascii="仿宋" w:hAnsi="仿宋" w:eastAsia="仿宋" w:cs="仿宋"/>
                <w:b w:val="0"/>
                <w:bCs/>
                <w:color w:val="auto"/>
                <w:kern w:val="2"/>
                <w:sz w:val="24"/>
                <w:szCs w:val="24"/>
                <w:highlight w:val="none"/>
                <w:lang w:val="en-US" w:eastAsia="zh-CN" w:bidi="ar-SA"/>
              </w:rPr>
              <w:t>（满分2分，评分范围2，1.8，1.6，1.4，1.2，1，0.8，0.6，0.4，0.2，0）</w:t>
            </w:r>
          </w:p>
        </w:tc>
        <w:tc>
          <w:tcPr>
            <w:tcW w:w="759" w:type="dxa"/>
            <w:tcBorders>
              <w:top w:val="single" w:color="auto" w:sz="4" w:space="0"/>
              <w:left w:val="single" w:color="auto" w:sz="4" w:space="0"/>
              <w:bottom w:val="single" w:color="auto" w:sz="4" w:space="0"/>
              <w:right w:val="single" w:color="auto" w:sz="4" w:space="0"/>
            </w:tcBorders>
            <w:noWrap/>
            <w:vAlign w:val="center"/>
          </w:tcPr>
          <w:p w14:paraId="4574188B">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2分</w:t>
            </w:r>
          </w:p>
        </w:tc>
      </w:tr>
      <w:tr w14:paraId="16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01DB9692">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1458" w:type="dxa"/>
            <w:tcBorders>
              <w:left w:val="single" w:color="auto" w:sz="4" w:space="0"/>
              <w:right w:val="single" w:color="auto" w:sz="4" w:space="0"/>
            </w:tcBorders>
            <w:noWrap/>
            <w:vAlign w:val="center"/>
          </w:tcPr>
          <w:p w14:paraId="53BD9228">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设施、设备投入</w:t>
            </w:r>
          </w:p>
        </w:tc>
        <w:tc>
          <w:tcPr>
            <w:tcW w:w="6780" w:type="dxa"/>
            <w:tcBorders>
              <w:left w:val="single" w:color="auto" w:sz="4" w:space="0"/>
              <w:right w:val="single" w:color="auto" w:sz="4" w:space="0"/>
            </w:tcBorders>
            <w:noWrap/>
            <w:vAlign w:val="center"/>
          </w:tcPr>
          <w:p w14:paraId="0F5A8FBA">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根据投标人拟投入本项目的主要机械设备及其他相关设备、工器具等进行综合打分。</w:t>
            </w:r>
            <w:r>
              <w:rPr>
                <w:rFonts w:hint="eastAsia" w:ascii="仿宋" w:hAnsi="仿宋" w:eastAsia="仿宋" w:cs="仿宋"/>
                <w:b w:val="0"/>
                <w:bCs/>
                <w:color w:val="auto"/>
                <w:kern w:val="2"/>
                <w:sz w:val="24"/>
                <w:szCs w:val="24"/>
                <w:highlight w:val="none"/>
                <w:lang w:val="en-US" w:eastAsia="zh-CN" w:bidi="ar-SA"/>
              </w:rPr>
              <w:t>（满分6分，评分范围6，5.5，5，4.5，4，3.5，3，2.5，2，1.5，1，0.5，0）</w:t>
            </w:r>
            <w:r>
              <w:rPr>
                <w:rFonts w:hint="eastAsia" w:ascii="仿宋" w:hAnsi="仿宋" w:eastAsia="仿宋" w:cs="仿宋"/>
                <w:b w:val="0"/>
                <w:bCs w:val="0"/>
                <w:color w:val="auto"/>
                <w:kern w:val="0"/>
                <w:sz w:val="24"/>
                <w:szCs w:val="24"/>
                <w:highlight w:val="none"/>
                <w:shd w:val="clear" w:color="auto" w:fill="auto"/>
                <w:lang w:val="en-US" w:eastAsia="zh-CN" w:bidi="ar-SA"/>
              </w:rPr>
              <w:t>（提供设施、设备照片并加盖CA签章）</w:t>
            </w:r>
          </w:p>
        </w:tc>
        <w:tc>
          <w:tcPr>
            <w:tcW w:w="759" w:type="dxa"/>
            <w:tcBorders>
              <w:top w:val="single" w:color="auto" w:sz="4" w:space="0"/>
              <w:left w:val="single" w:color="auto" w:sz="4" w:space="0"/>
              <w:bottom w:val="single" w:color="auto" w:sz="4" w:space="0"/>
              <w:right w:val="single" w:color="auto" w:sz="4" w:space="0"/>
            </w:tcBorders>
            <w:noWrap/>
            <w:vAlign w:val="center"/>
          </w:tcPr>
          <w:p w14:paraId="6F3C76C8">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r>
      <w:tr w14:paraId="156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1" w:type="dxa"/>
            <w:tcBorders>
              <w:left w:val="single" w:color="auto" w:sz="4" w:space="0"/>
              <w:right w:val="single" w:color="auto" w:sz="4" w:space="0"/>
            </w:tcBorders>
            <w:noWrap/>
            <w:vAlign w:val="center"/>
          </w:tcPr>
          <w:p w14:paraId="62EEAA28">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458" w:type="dxa"/>
            <w:tcBorders>
              <w:left w:val="single" w:color="auto" w:sz="4" w:space="0"/>
              <w:right w:val="single" w:color="auto" w:sz="4" w:space="0"/>
            </w:tcBorders>
            <w:noWrap/>
            <w:vAlign w:val="center"/>
          </w:tcPr>
          <w:p w14:paraId="1459FF54">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430" w:lineRule="exact"/>
              <w:ind w:left="0" w:right="0" w:rightChars="0"/>
              <w:jc w:val="center"/>
              <w:textAlignment w:val="auto"/>
              <w:outlineLvl w:val="9"/>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突发情况应急预案</w:t>
            </w:r>
          </w:p>
        </w:tc>
        <w:tc>
          <w:tcPr>
            <w:tcW w:w="6780" w:type="dxa"/>
            <w:tcBorders>
              <w:left w:val="single" w:color="auto" w:sz="4" w:space="0"/>
              <w:right w:val="single" w:color="auto" w:sz="4" w:space="0"/>
            </w:tcBorders>
            <w:noWrap/>
            <w:vAlign w:val="center"/>
          </w:tcPr>
          <w:p w14:paraId="28A4B7A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outlineLvl w:val="9"/>
              <w:rPr>
                <w:rFonts w:hint="default"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lang w:val="en-US" w:eastAsia="zh-CN" w:bidi="ar-SA"/>
              </w:rPr>
              <w:t>根据投标人提供的针对本项目突发情况的应急预案（包括应急响应时间、应急队伍组建、应急处理流程、应急设施配备等）</w:t>
            </w:r>
            <w:r>
              <w:rPr>
                <w:rFonts w:hint="eastAsia" w:ascii="仿宋" w:hAnsi="仿宋" w:eastAsia="仿宋" w:cs="仿宋"/>
                <w:b w:val="0"/>
                <w:bCs/>
                <w:color w:val="auto"/>
                <w:kern w:val="2"/>
                <w:sz w:val="24"/>
                <w:szCs w:val="24"/>
                <w:highlight w:val="none"/>
                <w:lang w:val="en-US" w:eastAsia="zh-CN" w:bidi="ar-SA"/>
              </w:rPr>
              <w:t>进行综合评分</w:t>
            </w:r>
            <w:r>
              <w:rPr>
                <w:rFonts w:hint="eastAsia" w:ascii="仿宋" w:hAnsi="仿宋" w:eastAsia="仿宋" w:cs="仿宋"/>
                <w:b w:val="0"/>
                <w:bCs w:val="0"/>
                <w:color w:val="auto"/>
                <w:kern w:val="0"/>
                <w:sz w:val="24"/>
                <w:szCs w:val="24"/>
                <w:highlight w:val="none"/>
                <w:shd w:val="clear" w:color="auto" w:fill="auto"/>
                <w:lang w:val="en-US" w:eastAsia="zh-CN" w:bidi="ar-SA"/>
              </w:rPr>
              <w:t>。</w:t>
            </w:r>
            <w:r>
              <w:rPr>
                <w:rFonts w:hint="eastAsia" w:ascii="仿宋" w:hAnsi="仿宋" w:eastAsia="仿宋" w:cs="仿宋"/>
                <w:b w:val="0"/>
                <w:bCs/>
                <w:color w:val="auto"/>
                <w:kern w:val="2"/>
                <w:sz w:val="24"/>
                <w:szCs w:val="24"/>
                <w:highlight w:val="none"/>
                <w:lang w:val="en-US" w:eastAsia="zh-CN" w:bidi="ar-SA"/>
              </w:rPr>
              <w:t>（满分4分，评分范围4，3.5，3，2.5，2，1.5，1，0.5，0）</w:t>
            </w:r>
          </w:p>
        </w:tc>
        <w:tc>
          <w:tcPr>
            <w:tcW w:w="759" w:type="dxa"/>
            <w:tcBorders>
              <w:top w:val="single" w:color="auto" w:sz="4" w:space="0"/>
              <w:left w:val="single" w:color="auto" w:sz="4" w:space="0"/>
              <w:bottom w:val="single" w:color="auto" w:sz="4" w:space="0"/>
              <w:right w:val="single" w:color="auto" w:sz="4" w:space="0"/>
            </w:tcBorders>
            <w:noWrap/>
            <w:vAlign w:val="center"/>
          </w:tcPr>
          <w:p w14:paraId="260C59B5">
            <w:pPr>
              <w:keepNext w:val="0"/>
              <w:keepLines w:val="0"/>
              <w:pageBreakBefore w:val="0"/>
              <w:widowControl w:val="0"/>
              <w:suppressLineNumbers w:val="0"/>
              <w:tabs>
                <w:tab w:val="left" w:pos="517"/>
              </w:tabs>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r>
    </w:tbl>
    <w:p w14:paraId="0E27A5A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价格部分</w:t>
      </w:r>
      <w:r>
        <w:rPr>
          <w:rFonts w:hint="eastAsia" w:ascii="仿宋" w:hAnsi="仿宋" w:eastAsia="仿宋" w:cs="仿宋"/>
          <w:b/>
          <w:color w:val="auto"/>
          <w:sz w:val="24"/>
          <w:szCs w:val="24"/>
          <w:highlight w:val="none"/>
          <w:lang w:val="en-US" w:eastAsia="zh-CN"/>
        </w:rPr>
        <w:t>50</w:t>
      </w:r>
      <w:r>
        <w:rPr>
          <w:rFonts w:hint="eastAsia" w:ascii="仿宋" w:hAnsi="仿宋" w:eastAsia="仿宋" w:cs="仿宋"/>
          <w:b/>
          <w:color w:val="auto"/>
          <w:sz w:val="24"/>
          <w:szCs w:val="24"/>
          <w:highlight w:val="none"/>
        </w:rPr>
        <w:t>分</w:t>
      </w:r>
    </w:p>
    <w:p w14:paraId="4E2FE6B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评标基准价：</w:t>
      </w:r>
      <w:r>
        <w:rPr>
          <w:rFonts w:hint="eastAsia" w:ascii="仿宋" w:hAnsi="仿宋" w:eastAsia="仿宋" w:cs="仿宋"/>
          <w:color w:val="auto"/>
          <w:sz w:val="24"/>
          <w:szCs w:val="24"/>
          <w:highlight w:val="none"/>
        </w:rPr>
        <w:t>价格分采用低价优先法计算，</w:t>
      </w:r>
      <w:r>
        <w:rPr>
          <w:rFonts w:hint="eastAsia" w:ascii="仿宋" w:hAnsi="仿宋" w:eastAsia="仿宋" w:cs="仿宋"/>
          <w:color w:val="auto"/>
          <w:kern w:val="0"/>
          <w:sz w:val="24"/>
          <w:szCs w:val="24"/>
          <w:highlight w:val="none"/>
        </w:rPr>
        <w:t>以有效</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的最低</w:t>
      </w:r>
      <w:r>
        <w:rPr>
          <w:rFonts w:hint="eastAsia" w:ascii="仿宋" w:hAnsi="仿宋" w:eastAsia="仿宋" w:cs="仿宋"/>
          <w:color w:val="auto"/>
          <w:kern w:val="0"/>
          <w:sz w:val="24"/>
          <w:szCs w:val="24"/>
          <w:highlight w:val="none"/>
          <w:lang w:val="en-US" w:eastAsia="zh-CN"/>
        </w:rPr>
        <w:t>投标报价</w:t>
      </w:r>
      <w:r>
        <w:rPr>
          <w:rFonts w:hint="eastAsia" w:ascii="仿宋" w:hAnsi="仿宋" w:eastAsia="仿宋" w:cs="仿宋"/>
          <w:color w:val="auto"/>
          <w:kern w:val="0"/>
          <w:sz w:val="24"/>
          <w:szCs w:val="24"/>
          <w:highlight w:val="none"/>
        </w:rPr>
        <w:t>为评标基准价，其价格分为满分。</w:t>
      </w:r>
    </w:p>
    <w:p w14:paraId="233FEA6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的价格分统一按照下列公式计算：</w:t>
      </w:r>
    </w:p>
    <w:p w14:paraId="40BBB3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%×100</w:t>
      </w:r>
    </w:p>
    <w:p w14:paraId="17E59C9F">
      <w:pPr>
        <w:keepNext w:val="0"/>
        <w:keepLines w:val="0"/>
        <w:pageBreakBefore w:val="0"/>
        <w:widowControl w:val="0"/>
        <w:kinsoku/>
        <w:wordWrap/>
        <w:overflowPunct/>
        <w:topLinePunct w:val="0"/>
        <w:autoSpaceDE/>
        <w:autoSpaceDN/>
        <w:bidi w:val="0"/>
        <w:adjustRightInd/>
        <w:snapToGrid/>
        <w:spacing w:before="157" w:beforeLines="50" w:line="3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预算价为500000元，</w:t>
      </w:r>
      <w:r>
        <w:rPr>
          <w:rFonts w:hint="eastAsia" w:ascii="仿宋" w:hAnsi="仿宋" w:eastAsia="仿宋" w:cs="仿宋"/>
          <w:b/>
          <w:bCs/>
          <w:color w:val="auto"/>
          <w:sz w:val="24"/>
          <w:szCs w:val="24"/>
          <w:highlight w:val="none"/>
        </w:rPr>
        <w:t>风险控制价为</w:t>
      </w:r>
      <w:r>
        <w:rPr>
          <w:rFonts w:hint="eastAsia" w:ascii="仿宋" w:hAnsi="仿宋" w:eastAsia="仿宋" w:cs="仿宋"/>
          <w:b/>
          <w:bCs/>
          <w:color w:val="auto"/>
          <w:sz w:val="24"/>
          <w:szCs w:val="24"/>
          <w:highlight w:val="none"/>
          <w:lang w:val="en-US" w:eastAsia="zh-CN"/>
        </w:rPr>
        <w:t>400000元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预算价的80%</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。凡低于该风险控制价的，中标人应在中标通知书发出后</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个工作日内补交中标价净值与风险控制价之差额，中标人不提交的视为放弃中标。差额保证金待</w:t>
      </w: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bCs/>
          <w:color w:val="auto"/>
          <w:sz w:val="24"/>
          <w:szCs w:val="24"/>
          <w:highlight w:val="none"/>
          <w:lang w:eastAsia="zh-CN"/>
        </w:rPr>
        <w:t>满后</w:t>
      </w:r>
      <w:r>
        <w:rPr>
          <w:rFonts w:hint="eastAsia" w:ascii="仿宋" w:hAnsi="仿宋" w:eastAsia="仿宋" w:cs="仿宋"/>
          <w:b/>
          <w:bCs/>
          <w:color w:val="auto"/>
          <w:sz w:val="24"/>
          <w:szCs w:val="24"/>
          <w:highlight w:val="none"/>
        </w:rPr>
        <w:t>7个工作日内无息退还。（差额保证金应在中标通知书发出后</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个工作日内交至采购单位，以现金、电汇、转账方式交纳</w:t>
      </w:r>
      <w:r>
        <w:rPr>
          <w:rFonts w:hint="eastAsia" w:ascii="仿宋" w:hAnsi="仿宋" w:eastAsia="仿宋" w:cs="仿宋"/>
          <w:b/>
          <w:bCs/>
          <w:color w:val="auto"/>
          <w:sz w:val="24"/>
          <w:szCs w:val="24"/>
          <w:highlight w:val="none"/>
          <w:lang w:eastAsia="zh-CN"/>
        </w:rPr>
        <w:t>，其他方式不接受</w:t>
      </w:r>
      <w:r>
        <w:rPr>
          <w:rFonts w:hint="eastAsia" w:ascii="仿宋" w:hAnsi="仿宋" w:eastAsia="仿宋" w:cs="仿宋"/>
          <w:b/>
          <w:bCs/>
          <w:color w:val="auto"/>
          <w:sz w:val="24"/>
          <w:szCs w:val="24"/>
          <w:highlight w:val="none"/>
          <w:lang w:val="en-US" w:eastAsia="zh-CN"/>
        </w:rPr>
        <w:t>)</w:t>
      </w:r>
    </w:p>
    <w:p w14:paraId="63D1FA6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评标委员会认为</w:t>
      </w:r>
      <w:r>
        <w:rPr>
          <w:rFonts w:hint="eastAsia" w:ascii="仿宋" w:hAnsi="仿宋" w:eastAsia="仿宋" w:cs="仿宋"/>
          <w:b/>
          <w:bCs/>
          <w:color w:val="auto"/>
          <w:kern w:val="0"/>
          <w:sz w:val="24"/>
          <w:szCs w:val="24"/>
          <w:highlight w:val="none"/>
          <w:lang w:val="en-US" w:eastAsia="zh-CN"/>
        </w:rPr>
        <w:t>投标人</w:t>
      </w:r>
      <w:r>
        <w:rPr>
          <w:rFonts w:hint="eastAsia" w:ascii="仿宋" w:hAnsi="仿宋" w:eastAsia="仿宋" w:cs="仿宋"/>
          <w:b/>
          <w:bCs/>
          <w:color w:val="auto"/>
          <w:kern w:val="0"/>
          <w:sz w:val="24"/>
          <w:szCs w:val="24"/>
          <w:highlight w:val="none"/>
        </w:rPr>
        <w:t>的报价明显低于其他通过符合性审查</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的报价，有可能影响产品质量或者不能诚信履约的，应当要求其在评标现场合理的时间内通过</w:t>
      </w:r>
      <w:r>
        <w:rPr>
          <w:rFonts w:hint="eastAsia" w:ascii="仿宋" w:hAnsi="仿宋" w:eastAsia="仿宋" w:cs="仿宋"/>
          <w:b/>
          <w:bCs/>
          <w:color w:val="auto"/>
          <w:kern w:val="0"/>
          <w:sz w:val="24"/>
          <w:szCs w:val="24"/>
          <w:highlight w:val="none"/>
          <w:lang w:eastAsia="zh-CN"/>
        </w:rPr>
        <w:t>乐采云</w:t>
      </w:r>
      <w:r>
        <w:rPr>
          <w:rFonts w:hint="eastAsia" w:ascii="仿宋" w:hAnsi="仿宋" w:eastAsia="仿宋" w:cs="仿宋"/>
          <w:b/>
          <w:bCs/>
          <w:color w:val="auto"/>
          <w:kern w:val="0"/>
          <w:sz w:val="24"/>
          <w:szCs w:val="24"/>
          <w:highlight w:val="none"/>
        </w:rPr>
        <w:t>平台提供线上说明，必要时提交相关证明材料。</w:t>
      </w:r>
      <w:r>
        <w:rPr>
          <w:rFonts w:hint="eastAsia" w:ascii="仿宋" w:hAnsi="仿宋" w:eastAsia="仿宋" w:cs="仿宋"/>
          <w:b/>
          <w:bCs/>
          <w:color w:val="auto"/>
          <w:kern w:val="0"/>
          <w:sz w:val="24"/>
          <w:szCs w:val="24"/>
          <w:highlight w:val="none"/>
          <w:lang w:val="en-US" w:eastAsia="zh-CN"/>
        </w:rPr>
        <w:t>投标人</w:t>
      </w:r>
      <w:r>
        <w:rPr>
          <w:rFonts w:hint="eastAsia" w:ascii="仿宋" w:hAnsi="仿宋" w:eastAsia="仿宋" w:cs="仿宋"/>
          <w:b/>
          <w:bCs/>
          <w:color w:val="auto"/>
          <w:kern w:val="0"/>
          <w:sz w:val="24"/>
          <w:szCs w:val="24"/>
          <w:highlight w:val="none"/>
        </w:rPr>
        <w:t>不能在规定时间内合理说明原因并提供证明材料的，评标委员会应当将该</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的投标文件作无效处理，并在评审报告中说明。</w:t>
      </w:r>
    </w:p>
    <w:p w14:paraId="5D1B334A">
      <w:pPr>
        <w:pStyle w:val="3"/>
        <w:spacing w:line="700" w:lineRule="exact"/>
        <w:rPr>
          <w:rFonts w:hint="eastAsia" w:ascii="仿宋" w:hAnsi="仿宋" w:eastAsia="仿宋" w:cs="仿宋"/>
          <w:bCs/>
          <w:color w:val="auto"/>
          <w:sz w:val="32"/>
          <w:szCs w:val="32"/>
          <w:highlight w:val="none"/>
          <w:lang w:val="en-US" w:eastAsia="zh-CN"/>
        </w:rPr>
      </w:pPr>
      <w:bookmarkStart w:id="129" w:name="_Toc54978900"/>
      <w:r>
        <w:rPr>
          <w:rFonts w:hint="eastAsia" w:ascii="仿宋" w:hAnsi="仿宋" w:eastAsia="仿宋" w:cs="仿宋"/>
          <w:b/>
          <w:bCs/>
          <w:color w:val="auto"/>
          <w:sz w:val="32"/>
          <w:szCs w:val="32"/>
          <w:highlight w:val="none"/>
        </w:rPr>
        <w:t xml:space="preserve">第五部分  </w:t>
      </w:r>
      <w:bookmarkEnd w:id="129"/>
      <w:r>
        <w:rPr>
          <w:rFonts w:hint="eastAsia" w:ascii="仿宋" w:hAnsi="仿宋" w:eastAsia="仿宋" w:cs="仿宋"/>
          <w:b/>
          <w:bCs/>
          <w:color w:val="auto"/>
          <w:sz w:val="32"/>
          <w:szCs w:val="32"/>
          <w:highlight w:val="none"/>
          <w:lang w:val="en-US" w:eastAsia="zh-CN"/>
        </w:rPr>
        <w:t>拟签订合同范本</w:t>
      </w:r>
    </w:p>
    <w:p w14:paraId="6B6E37BD">
      <w:pPr>
        <w:pStyle w:val="75"/>
        <w:widowControl w:val="0"/>
        <w:tabs>
          <w:tab w:val="left" w:pos="180"/>
        </w:tabs>
        <w:snapToGrid w:val="0"/>
        <w:spacing w:before="0" w:beforeAutospacing="0" w:after="0" w:afterAutospacing="0" w:line="460" w:lineRule="exact"/>
        <w:jc w:val="center"/>
        <w:rPr>
          <w:rFonts w:hint="eastAsia" w:ascii="仿宋" w:hAnsi="仿宋" w:eastAsia="仿宋" w:cs="仿宋"/>
          <w:b/>
          <w:color w:val="auto"/>
          <w:sz w:val="24"/>
          <w:szCs w:val="24"/>
          <w:highlight w:val="none"/>
        </w:rPr>
      </w:pPr>
      <w:bookmarkStart w:id="130" w:name="_Toc54978901"/>
      <w:bookmarkStart w:id="131" w:name="_Toc32443"/>
      <w:r>
        <w:rPr>
          <w:rFonts w:hint="eastAsia" w:ascii="仿宋" w:hAnsi="仿宋" w:eastAsia="仿宋" w:cs="仿宋"/>
          <w:b/>
          <w:color w:val="auto"/>
          <w:kern w:val="2"/>
          <w:sz w:val="24"/>
          <w:szCs w:val="24"/>
          <w:highlight w:val="none"/>
          <w:lang w:val="en-US" w:eastAsia="zh-CN" w:bidi="ar"/>
        </w:rPr>
        <w:t xml:space="preserve">                                           </w:t>
      </w:r>
      <w:r>
        <w:rPr>
          <w:rFonts w:hint="eastAsia" w:ascii="仿宋" w:hAnsi="仿宋" w:eastAsia="仿宋" w:cs="仿宋"/>
          <w:b/>
          <w:color w:val="auto"/>
          <w:kern w:val="2"/>
          <w:sz w:val="24"/>
          <w:szCs w:val="24"/>
          <w:highlight w:val="none"/>
          <w:lang w:bidi="ar"/>
        </w:rPr>
        <w:t>合同编号：</w:t>
      </w:r>
    </w:p>
    <w:p w14:paraId="0470C940">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highlight w:val="none"/>
        </w:rPr>
      </w:pPr>
    </w:p>
    <w:p w14:paraId="50B19819">
      <w:pPr>
        <w:keepNext w:val="0"/>
        <w:keepLines w:val="0"/>
        <w:pageBreakBefore w:val="0"/>
        <w:kinsoku/>
        <w:wordWrap/>
        <w:overflowPunct/>
        <w:topLinePunct w:val="0"/>
        <w:autoSpaceDE/>
        <w:autoSpaceDN/>
        <w:bidi w:val="0"/>
        <w:spacing w:line="360" w:lineRule="auto"/>
        <w:contextualSpacing/>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（采购单位） </w:t>
      </w:r>
    </w:p>
    <w:p w14:paraId="7926161C">
      <w:pPr>
        <w:keepNext w:val="0"/>
        <w:keepLines w:val="0"/>
        <w:pageBreakBefore w:val="0"/>
        <w:kinsoku/>
        <w:wordWrap/>
        <w:overflowPunct/>
        <w:topLinePunct w:val="0"/>
        <w:autoSpaceDE/>
        <w:autoSpaceDN/>
        <w:bidi w:val="0"/>
        <w:spacing w:line="360" w:lineRule="auto"/>
        <w:contextualSpacing/>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（供应商）  </w:t>
      </w:r>
    </w:p>
    <w:p w14:paraId="70237AE7">
      <w:pPr>
        <w:keepNext w:val="0"/>
        <w:keepLines w:val="0"/>
        <w:pageBreakBefore w:val="0"/>
        <w:kinsoku/>
        <w:wordWrap/>
        <w:overflowPunct/>
        <w:topLinePunct w:val="0"/>
        <w:autoSpaceDE/>
        <w:autoSpaceDN/>
        <w:bidi w:val="0"/>
        <w:spacing w:line="360" w:lineRule="auto"/>
        <w:ind w:firstLine="480" w:firstLineChars="20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根据</w:t>
      </w:r>
      <w:r>
        <w:rPr>
          <w:rFonts w:hint="eastAsia" w:ascii="仿宋" w:hAnsi="仿宋" w:eastAsia="仿宋" w:cs="仿宋"/>
          <w:snapToGrid w:val="0"/>
          <w:color w:val="auto"/>
          <w:sz w:val="24"/>
          <w:szCs w:val="24"/>
          <w:highlight w:val="none"/>
        </w:rPr>
        <w:t>《中华人民共和国民法典》等有关法律法规精神，甲方经过公开招标采购方式确定乙方为</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eastAsia="zh-CN"/>
        </w:rPr>
        <w:t>嵊州市交投港务有限公司25吨门座起重机拆卸项目（第二次）</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snapToGrid w:val="0"/>
          <w:color w:val="auto"/>
          <w:sz w:val="24"/>
          <w:szCs w:val="24"/>
          <w:highlight w:val="none"/>
        </w:rPr>
        <w:t>的</w:t>
      </w:r>
      <w:r>
        <w:rPr>
          <w:rFonts w:hint="eastAsia" w:ascii="仿宋" w:hAnsi="仿宋" w:eastAsia="仿宋" w:cs="仿宋"/>
          <w:snapToGrid w:val="0"/>
          <w:color w:val="auto"/>
          <w:sz w:val="24"/>
          <w:szCs w:val="24"/>
          <w:highlight w:val="none"/>
          <w:lang w:eastAsia="zh-CN"/>
        </w:rPr>
        <w:t>中标人</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双</w:t>
      </w:r>
      <w:r>
        <w:rPr>
          <w:rFonts w:hint="eastAsia" w:ascii="仿宋" w:hAnsi="仿宋" w:eastAsia="仿宋" w:cs="仿宋"/>
          <w:snapToGrid w:val="0"/>
          <w:color w:val="auto"/>
          <w:sz w:val="24"/>
          <w:szCs w:val="24"/>
          <w:highlight w:val="none"/>
        </w:rPr>
        <w:t>方经协商达成以下条款：</w:t>
      </w:r>
    </w:p>
    <w:p w14:paraId="713C332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仿宋" w:hAnsi="仿宋" w:eastAsia="仿宋" w:cs="仿宋"/>
          <w:color w:val="auto"/>
          <w:sz w:val="24"/>
          <w:highlight w:val="none"/>
        </w:rPr>
      </w:pPr>
      <w:bookmarkStart w:id="132" w:name="_Toc15367"/>
      <w:bookmarkStart w:id="133" w:name="_Toc19273"/>
      <w:bookmarkStart w:id="134" w:name="_Toc22967"/>
      <w:bookmarkStart w:id="135" w:name="_Toc20421"/>
      <w:bookmarkStart w:id="136" w:name="_Toc28855"/>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132"/>
      <w:bookmarkEnd w:id="133"/>
      <w:bookmarkEnd w:id="134"/>
      <w:bookmarkEnd w:id="135"/>
      <w:bookmarkEnd w:id="136"/>
    </w:p>
    <w:p w14:paraId="170CD5A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文件确定的事项的前提下，组成本合同的多个文件的优先适用顺序如下：</w:t>
      </w:r>
    </w:p>
    <w:p w14:paraId="65655CF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778B18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2.中标</w:t>
      </w:r>
      <w:r>
        <w:rPr>
          <w:rFonts w:hint="eastAsia" w:ascii="仿宋" w:hAnsi="仿宋" w:eastAsia="仿宋" w:cs="仿宋"/>
          <w:color w:val="auto"/>
          <w:sz w:val="24"/>
          <w:highlight w:val="none"/>
        </w:rPr>
        <w:t>通知书；</w:t>
      </w:r>
    </w:p>
    <w:p w14:paraId="3ED7206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w:t>
      </w:r>
      <w:r>
        <w:rPr>
          <w:rFonts w:hint="eastAsia" w:ascii="仿宋" w:hAnsi="仿宋" w:eastAsia="仿宋" w:cs="仿宋"/>
          <w:color w:val="auto"/>
          <w:sz w:val="24"/>
          <w:highlight w:val="none"/>
        </w:rPr>
        <w:t>文件（含澄清或者说明文件）；</w:t>
      </w:r>
    </w:p>
    <w:p w14:paraId="07E59FC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4.招标</w:t>
      </w:r>
      <w:r>
        <w:rPr>
          <w:rFonts w:hint="eastAsia" w:ascii="仿宋" w:hAnsi="仿宋" w:eastAsia="仿宋" w:cs="仿宋"/>
          <w:color w:val="auto"/>
          <w:sz w:val="24"/>
          <w:highlight w:val="none"/>
        </w:rPr>
        <w:t>文件（含澄清或者修改文件）；</w:t>
      </w:r>
    </w:p>
    <w:p w14:paraId="364ADDF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0EE8B34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二、合同金额</w:t>
      </w:r>
    </w:p>
    <w:p w14:paraId="2945ECF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本项目合同价为人民币</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color w:val="auto"/>
          <w:sz w:val="24"/>
          <w:szCs w:val="24"/>
          <w:highlight w:val="none"/>
        </w:rPr>
        <w:t>，大写金额为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r>
        <w:rPr>
          <w:rFonts w:hint="eastAsia" w:ascii="仿宋" w:hAnsi="仿宋" w:eastAsia="仿宋" w:cs="仿宋"/>
          <w:color w:val="auto"/>
          <w:sz w:val="24"/>
          <w:szCs w:val="24"/>
          <w:highlight w:val="none"/>
          <w:lang w:eastAsia="zh-CN"/>
        </w:rPr>
        <w:t>。</w:t>
      </w:r>
    </w:p>
    <w:p w14:paraId="2FEF12A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eastAsia="zh-CN"/>
        </w:rPr>
        <w:t>注：该价格已包括提供服务所需的一切人员工资、奖金、法定节假日双休日加班费、夜餐费、各种社会保险、食宿与交通、服装、安全、工具及管理费用、税费、利润、代理服务费、完成合同所需的一切本身和不可或缺的所有工作开支、政策性文件规定计合同包含的所有风险、责任等各项全部费用。</w:t>
      </w:r>
    </w:p>
    <w:p w14:paraId="3CDB6B85">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三、拆卸</w:t>
      </w:r>
      <w:r>
        <w:rPr>
          <w:rFonts w:hint="eastAsia" w:ascii="仿宋" w:hAnsi="仿宋" w:eastAsia="仿宋" w:cs="仿宋"/>
          <w:b/>
          <w:bCs/>
          <w:color w:val="auto"/>
          <w:sz w:val="24"/>
          <w:szCs w:val="24"/>
          <w:highlight w:val="none"/>
        </w:rPr>
        <w:t>清单</w:t>
      </w:r>
    </w:p>
    <w:p w14:paraId="2EB4478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嵊州市交投港务有限公司25吨门座起重机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运输、堆放、</w:t>
      </w:r>
      <w:r>
        <w:rPr>
          <w:rFonts w:hint="eastAsia" w:ascii="仿宋" w:hAnsi="仿宋" w:eastAsia="仿宋" w:cs="仿宋"/>
          <w:color w:val="auto"/>
          <w:kern w:val="0"/>
          <w:sz w:val="24"/>
          <w:szCs w:val="24"/>
          <w:highlight w:val="none"/>
        </w:rPr>
        <w:t>垃圾清运、地面平整等服务</w:t>
      </w:r>
      <w:r>
        <w:rPr>
          <w:rFonts w:hint="eastAsia" w:ascii="仿宋" w:hAnsi="仿宋" w:eastAsia="仿宋" w:cs="仿宋"/>
          <w:bCs/>
          <w:color w:val="auto"/>
          <w:sz w:val="24"/>
          <w:szCs w:val="24"/>
          <w:highlight w:val="none"/>
        </w:rPr>
        <w:t>，具体清单如下：</w:t>
      </w:r>
    </w:p>
    <w:tbl>
      <w:tblPr>
        <w:tblStyle w:val="8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26"/>
        <w:gridCol w:w="2275"/>
        <w:gridCol w:w="2415"/>
        <w:gridCol w:w="892"/>
        <w:gridCol w:w="893"/>
      </w:tblGrid>
      <w:tr w14:paraId="3C52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2" w:type="dxa"/>
            <w:noWrap w:val="0"/>
            <w:vAlign w:val="center"/>
          </w:tcPr>
          <w:p w14:paraId="3BBEEEE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26" w:type="dxa"/>
            <w:noWrap w:val="0"/>
            <w:vAlign w:val="center"/>
          </w:tcPr>
          <w:p w14:paraId="53D68ED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位置</w:t>
            </w:r>
          </w:p>
        </w:tc>
        <w:tc>
          <w:tcPr>
            <w:tcW w:w="2275" w:type="dxa"/>
            <w:noWrap w:val="0"/>
            <w:vAlign w:val="center"/>
          </w:tcPr>
          <w:p w14:paraId="29C98B0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415" w:type="dxa"/>
            <w:noWrap w:val="0"/>
            <w:vAlign w:val="center"/>
          </w:tcPr>
          <w:p w14:paraId="7B4C3D5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2" w:type="dxa"/>
            <w:noWrap w:val="0"/>
            <w:vAlign w:val="center"/>
          </w:tcPr>
          <w:p w14:paraId="54E2C69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93" w:type="dxa"/>
            <w:noWrap w:val="0"/>
            <w:vAlign w:val="center"/>
          </w:tcPr>
          <w:p w14:paraId="34ABD0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14:paraId="1520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2" w:type="dxa"/>
            <w:noWrap w:val="0"/>
            <w:vAlign w:val="center"/>
          </w:tcPr>
          <w:p w14:paraId="3698682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26" w:type="dxa"/>
            <w:tcBorders>
              <w:bottom w:val="single" w:color="auto" w:sz="4" w:space="0"/>
            </w:tcBorders>
            <w:noWrap w:val="0"/>
            <w:vAlign w:val="center"/>
          </w:tcPr>
          <w:p w14:paraId="2D286F6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三界码头B区</w:t>
            </w:r>
          </w:p>
        </w:tc>
        <w:tc>
          <w:tcPr>
            <w:tcW w:w="2275" w:type="dxa"/>
            <w:noWrap w:val="0"/>
            <w:vAlign w:val="center"/>
          </w:tcPr>
          <w:p w14:paraId="7C126B8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门座起重机</w:t>
            </w:r>
          </w:p>
        </w:tc>
        <w:tc>
          <w:tcPr>
            <w:tcW w:w="2415" w:type="dxa"/>
            <w:noWrap w:val="0"/>
            <w:vAlign w:val="center"/>
          </w:tcPr>
          <w:p w14:paraId="43F3CCE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MQ型25t</w:t>
            </w:r>
          </w:p>
        </w:tc>
        <w:tc>
          <w:tcPr>
            <w:tcW w:w="892" w:type="dxa"/>
            <w:noWrap w:val="0"/>
            <w:vAlign w:val="center"/>
          </w:tcPr>
          <w:p w14:paraId="139ECB1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93" w:type="dxa"/>
            <w:noWrap w:val="0"/>
            <w:vAlign w:val="center"/>
          </w:tcPr>
          <w:p w14:paraId="109841F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181EA880">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highlight w:val="none"/>
          <w:lang w:val="en-US" w:eastAsia="zh-CN"/>
        </w:rPr>
        <w:t>四</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szCs w:val="24"/>
          <w:highlight w:val="none"/>
        </w:rPr>
        <w:t>服务要求</w:t>
      </w:r>
    </w:p>
    <w:p w14:paraId="486986E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1、服务范围：清单内</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委托</w:t>
      </w:r>
      <w:r>
        <w:rPr>
          <w:rFonts w:hint="eastAsia" w:ascii="仿宋" w:hAnsi="仿宋" w:eastAsia="仿宋" w:cs="仿宋"/>
          <w:color w:val="auto"/>
          <w:kern w:val="0"/>
          <w:sz w:val="24"/>
          <w:szCs w:val="24"/>
          <w:highlight w:val="none"/>
        </w:rPr>
        <w:t>起重设备的</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运输、堆放、</w:t>
      </w:r>
      <w:r>
        <w:rPr>
          <w:rFonts w:hint="eastAsia" w:ascii="仿宋" w:hAnsi="仿宋" w:eastAsia="仿宋" w:cs="仿宋"/>
          <w:color w:val="auto"/>
          <w:kern w:val="0"/>
          <w:sz w:val="24"/>
          <w:szCs w:val="24"/>
          <w:highlight w:val="none"/>
        </w:rPr>
        <w:t>垃圾清运、地面平整等服务</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所得归</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所有。</w:t>
      </w:r>
    </w:p>
    <w:p w14:paraId="3F3321E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2、人员最低要求</w:t>
      </w:r>
    </w:p>
    <w:p w14:paraId="7417105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2.1本项目至少配备项目负责人1名、负责整个项目协调沟通，把控安全和进度；</w:t>
      </w:r>
    </w:p>
    <w:p w14:paraId="2CBCD3D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2.2专职安全员1名，负责检查现场安全制度的执行；</w:t>
      </w:r>
    </w:p>
    <w:p w14:paraId="5499D15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2.3电气工程师1名，负责电气元器件的拆解方案制定；</w:t>
      </w:r>
    </w:p>
    <w:p w14:paraId="0F11F1D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2.4机械工程师1名，负责钢结构拆解方案制定；</w:t>
      </w:r>
    </w:p>
    <w:p w14:paraId="254102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2.5叉车司机、吊车司机若干，持证上岗；</w:t>
      </w:r>
    </w:p>
    <w:p w14:paraId="554BEA2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2.6其他相关人员1批，</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根据项目实际情况配备；</w:t>
      </w:r>
    </w:p>
    <w:p w14:paraId="6C2E1F4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2.7人员配备情况须经</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确认，在项目实施期间应保证人员相对固定，如有变更，需提前通知</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并经</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同意后方可更换；</w:t>
      </w:r>
    </w:p>
    <w:p w14:paraId="5B46B0F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必须为每位符合国家规定社保（基本养老、基本医疗、工伤、生育、失业保险）条件的职工参加保险，并对所有符合参加人身意外伤害保险条件的人员统一进行参保（社会保险参保人员除外）。如发生安全生产责任事故或交通事故或其他劳动纠纷，由</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承担一切责任及损失，与</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无</w:t>
      </w:r>
      <w:r>
        <w:rPr>
          <w:rFonts w:hint="eastAsia" w:ascii="仿宋" w:hAnsi="仿宋" w:eastAsia="仿宋" w:cs="仿宋"/>
          <w:bCs/>
          <w:color w:val="auto"/>
          <w:sz w:val="24"/>
          <w:szCs w:val="24"/>
          <w:highlight w:val="none"/>
          <w:lang w:val="en-US" w:eastAsia="zh-CN"/>
        </w:rPr>
        <w:t>关</w:t>
      </w:r>
      <w:r>
        <w:rPr>
          <w:rFonts w:hint="eastAsia" w:ascii="仿宋" w:hAnsi="仿宋" w:eastAsia="仿宋" w:cs="仿宋"/>
          <w:bCs/>
          <w:color w:val="auto"/>
          <w:sz w:val="24"/>
          <w:szCs w:val="24"/>
          <w:highlight w:val="none"/>
        </w:rPr>
        <w:t>。</w:t>
      </w:r>
    </w:p>
    <w:p w14:paraId="609F9E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要求，起重设备</w:t>
      </w:r>
      <w:r>
        <w:rPr>
          <w:rFonts w:hint="eastAsia" w:ascii="仿宋" w:hAnsi="仿宋" w:eastAsia="仿宋" w:cs="仿宋"/>
          <w:bCs/>
          <w:color w:val="auto"/>
          <w:sz w:val="24"/>
          <w:szCs w:val="24"/>
          <w:highlight w:val="none"/>
          <w:lang w:val="en-US" w:eastAsia="zh-CN"/>
        </w:rPr>
        <w:t>拆卸</w:t>
      </w:r>
      <w:r>
        <w:rPr>
          <w:rFonts w:hint="eastAsia" w:ascii="仿宋" w:hAnsi="仿宋" w:eastAsia="仿宋" w:cs="仿宋"/>
          <w:bCs/>
          <w:color w:val="auto"/>
          <w:sz w:val="24"/>
          <w:szCs w:val="24"/>
          <w:highlight w:val="none"/>
        </w:rPr>
        <w:t>后运至</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指定地点</w:t>
      </w:r>
      <w:r>
        <w:rPr>
          <w:rFonts w:hint="eastAsia" w:ascii="仿宋" w:hAnsi="仿宋" w:eastAsia="仿宋" w:cs="仿宋"/>
          <w:bCs/>
          <w:color w:val="auto"/>
          <w:sz w:val="24"/>
          <w:szCs w:val="24"/>
          <w:highlight w:val="none"/>
          <w:lang w:val="en-US" w:eastAsia="zh-CN"/>
        </w:rPr>
        <w:t>摆放整齐，并提供围挡雨布遮盖，</w:t>
      </w:r>
      <w:r>
        <w:rPr>
          <w:rFonts w:hint="eastAsia" w:ascii="仿宋" w:hAnsi="仿宋" w:eastAsia="仿宋" w:cs="仿宋"/>
          <w:bCs/>
          <w:color w:val="auto"/>
          <w:sz w:val="24"/>
          <w:szCs w:val="24"/>
          <w:highlight w:val="none"/>
        </w:rPr>
        <w:t>不得损坏遗失确保可二次使用，否则</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可要求</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原价赔偿。</w:t>
      </w:r>
    </w:p>
    <w:p w14:paraId="25ED4F6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4、拆卸的设备堆放时底部必须做好防潮防雨水浸泡方面的工作，设备堆放离地面不少于15cm的高度。</w:t>
      </w:r>
    </w:p>
    <w:p w14:paraId="00D59C7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作业时供应商必须遵守国家、浙江省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绍兴市</w:t>
      </w:r>
      <w:r>
        <w:rPr>
          <w:rFonts w:hint="eastAsia" w:ascii="仿宋" w:hAnsi="仿宋" w:eastAsia="仿宋" w:cs="仿宋"/>
          <w:bCs/>
          <w:color w:val="auto"/>
          <w:sz w:val="24"/>
          <w:szCs w:val="24"/>
          <w:highlight w:val="none"/>
        </w:rPr>
        <w:t>现行的《建筑物、构筑物拆除技术规程》及《建筑工程安全生产管理条例》等法律法规及行业规范。</w:t>
      </w:r>
    </w:p>
    <w:p w14:paraId="24A79D4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必须派有经验的专职安全员进场做好安全生产的监督、管理工作，严格按照国家、浙江省、</w:t>
      </w:r>
      <w:r>
        <w:rPr>
          <w:rFonts w:hint="eastAsia" w:ascii="仿宋" w:hAnsi="仿宋" w:eastAsia="仿宋" w:cs="仿宋"/>
          <w:bCs/>
          <w:color w:val="auto"/>
          <w:sz w:val="24"/>
          <w:szCs w:val="24"/>
          <w:highlight w:val="none"/>
          <w:lang w:val="en-US" w:eastAsia="zh-CN"/>
        </w:rPr>
        <w:t>绍兴市</w:t>
      </w:r>
      <w:r>
        <w:rPr>
          <w:rFonts w:hint="eastAsia" w:ascii="仿宋" w:hAnsi="仿宋" w:eastAsia="仿宋" w:cs="仿宋"/>
          <w:bCs/>
          <w:color w:val="auto"/>
          <w:sz w:val="24"/>
          <w:szCs w:val="24"/>
          <w:highlight w:val="none"/>
        </w:rPr>
        <w:t>的有关安全法律法规开展</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施工，完善安全管理体系，针对本项目的特点制定安全保证措施，建立应急救援预案，确保</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施工在安全的状态下进行。</w:t>
      </w:r>
    </w:p>
    <w:p w14:paraId="391AF9A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、在</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、清运、地面平整过程中，需满足环保（如粉尘、噪音等）、安监等的管理要求，负责协调施工现场与周边安全防护，如因此造成工期延误，</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应承担相应的责任。如施工过程中采取的任何保证措施所增加的费用，以及出现任何投诉和安全事故，均由</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负全部责任。</w:t>
      </w:r>
    </w:p>
    <w:p w14:paraId="1A80373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、相关</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从业人员需持有上岗证书，且必须统一容易识别的服饰。</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过程中须注意施工现场安全，做好安全防护措施，确保人员安全。</w:t>
      </w:r>
    </w:p>
    <w:p w14:paraId="52551A3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、在项目实施区域应做好安全防范措施、设置安全生产所采取的必要措施及设施，实行封闭式管理，不得影响、损坏周围建筑物及路面，不得让非工作人员进入施工现场；做好对邻近设施、建筑物等的防护。</w:t>
      </w:r>
    </w:p>
    <w:p w14:paraId="3E10D73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垃圾的清理外运过程中，确保运输车辆车容整洁，运输过程中无扬、撒、拖、挂等现象，不得超重、超高运输，确保市政运输道路的整洁等。</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bCs/>
          <w:color w:val="auto"/>
          <w:sz w:val="24"/>
          <w:szCs w:val="24"/>
          <w:highlight w:val="none"/>
        </w:rPr>
        <w:t>垃圾的处理符合环保等要求，不得乱倒、乱卸、乱抛，更不得直接倾倒入</w:t>
      </w:r>
      <w:r>
        <w:rPr>
          <w:rFonts w:hint="eastAsia" w:ascii="仿宋" w:hAnsi="仿宋" w:eastAsia="仿宋" w:cs="仿宋"/>
          <w:bCs/>
          <w:color w:val="auto"/>
          <w:sz w:val="24"/>
          <w:szCs w:val="24"/>
          <w:highlight w:val="none"/>
          <w:lang w:val="en-US" w:eastAsia="zh-CN"/>
        </w:rPr>
        <w:t>江</w:t>
      </w:r>
      <w:r>
        <w:rPr>
          <w:rFonts w:hint="eastAsia" w:ascii="仿宋" w:hAnsi="仿宋" w:eastAsia="仿宋" w:cs="仿宋"/>
          <w:bCs/>
          <w:color w:val="auto"/>
          <w:sz w:val="24"/>
          <w:szCs w:val="24"/>
          <w:highlight w:val="none"/>
        </w:rPr>
        <w:t>。</w:t>
      </w:r>
    </w:p>
    <w:p w14:paraId="5BE2DE4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11、</w:t>
      </w:r>
      <w:r>
        <w:rPr>
          <w:rFonts w:hint="default" w:ascii="仿宋" w:hAnsi="仿宋" w:eastAsia="仿宋" w:cs="仿宋"/>
          <w:color w:val="auto"/>
          <w:kern w:val="0"/>
          <w:sz w:val="24"/>
          <w:szCs w:val="24"/>
          <w:highlight w:val="none"/>
          <w:shd w:val="clear" w:color="auto" w:fill="FFFFFF"/>
          <w:lang w:val="en-US" w:eastAsia="zh-CN"/>
        </w:rPr>
        <w:t>合同签订前，如需报备拆卸专项方案等</w:t>
      </w:r>
      <w:r>
        <w:rPr>
          <w:rFonts w:hint="eastAsia" w:ascii="仿宋" w:hAnsi="仿宋" w:eastAsia="仿宋" w:cs="仿宋"/>
          <w:color w:val="auto"/>
          <w:kern w:val="0"/>
          <w:sz w:val="24"/>
          <w:szCs w:val="24"/>
          <w:highlight w:val="none"/>
          <w:shd w:val="clear" w:color="auto" w:fill="FFFFFF"/>
          <w:lang w:val="en-US" w:eastAsia="zh-CN"/>
        </w:rPr>
        <w:t>工作</w:t>
      </w:r>
      <w:r>
        <w:rPr>
          <w:rFonts w:hint="default" w:ascii="仿宋" w:hAnsi="仿宋" w:eastAsia="仿宋" w:cs="仿宋"/>
          <w:color w:val="auto"/>
          <w:kern w:val="0"/>
          <w:sz w:val="24"/>
          <w:szCs w:val="24"/>
          <w:highlight w:val="none"/>
          <w:shd w:val="clear" w:color="auto" w:fill="FFFFFF"/>
          <w:lang w:val="en-US" w:eastAsia="zh-CN"/>
        </w:rPr>
        <w:t>，由</w:t>
      </w:r>
      <w:r>
        <w:rPr>
          <w:rFonts w:hint="eastAsia" w:ascii="仿宋" w:hAnsi="仿宋" w:eastAsia="仿宋" w:cs="仿宋"/>
          <w:color w:val="auto"/>
          <w:kern w:val="0"/>
          <w:sz w:val="24"/>
          <w:szCs w:val="24"/>
          <w:highlight w:val="none"/>
          <w:shd w:val="clear" w:color="auto" w:fill="FFFFFF"/>
          <w:lang w:val="en-US" w:eastAsia="zh-CN"/>
        </w:rPr>
        <w:t>乙方</w:t>
      </w:r>
      <w:r>
        <w:rPr>
          <w:rFonts w:hint="default" w:ascii="仿宋" w:hAnsi="仿宋" w:eastAsia="仿宋" w:cs="仿宋"/>
          <w:color w:val="auto"/>
          <w:kern w:val="0"/>
          <w:sz w:val="24"/>
          <w:szCs w:val="24"/>
          <w:highlight w:val="none"/>
          <w:shd w:val="clear" w:color="auto" w:fill="FFFFFF"/>
          <w:lang w:val="en-US" w:eastAsia="zh-CN"/>
        </w:rPr>
        <w:t>做好相关部门的报备工作。</w:t>
      </w:r>
    </w:p>
    <w:p w14:paraId="408EDF8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五、服务期限及地点</w:t>
      </w:r>
    </w:p>
    <w:p w14:paraId="7C3E7A8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1.服务期限：</w:t>
      </w:r>
      <w:r>
        <w:rPr>
          <w:rFonts w:hint="eastAsia" w:ascii="仿宋" w:hAnsi="仿宋" w:eastAsia="仿宋" w:cs="仿宋"/>
          <w:color w:val="auto"/>
          <w:kern w:val="0"/>
          <w:sz w:val="24"/>
          <w:szCs w:val="24"/>
          <w:highlight w:val="none"/>
        </w:rPr>
        <w:t>合同签订生效之日起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天内完成</w:t>
      </w:r>
      <w:r>
        <w:rPr>
          <w:rFonts w:hint="eastAsia" w:ascii="仿宋" w:hAnsi="仿宋" w:eastAsia="仿宋" w:cs="仿宋"/>
          <w:color w:val="auto"/>
          <w:kern w:val="0"/>
          <w:sz w:val="24"/>
          <w:szCs w:val="24"/>
          <w:highlight w:val="none"/>
          <w:lang w:val="en-US" w:eastAsia="zh-CN"/>
        </w:rPr>
        <w:t>拆卸</w:t>
      </w:r>
      <w:r>
        <w:rPr>
          <w:rFonts w:hint="eastAsia" w:ascii="仿宋" w:hAnsi="仿宋" w:eastAsia="仿宋" w:cs="仿宋"/>
          <w:color w:val="auto"/>
          <w:kern w:val="0"/>
          <w:sz w:val="24"/>
          <w:szCs w:val="24"/>
          <w:highlight w:val="none"/>
        </w:rPr>
        <w:t>及固废处理、建筑垃圾清运等全部内容</w:t>
      </w:r>
      <w:r>
        <w:rPr>
          <w:rFonts w:hint="eastAsia" w:ascii="仿宋" w:hAnsi="仿宋" w:eastAsia="仿宋" w:cs="仿宋"/>
          <w:b w:val="0"/>
          <w:bCs/>
          <w:color w:val="auto"/>
          <w:sz w:val="24"/>
          <w:szCs w:val="24"/>
          <w:highlight w:val="none"/>
          <w:lang w:val="en-US" w:eastAsia="zh-CN"/>
        </w:rPr>
        <w:t>。</w:t>
      </w:r>
    </w:p>
    <w:p w14:paraId="20B67F3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2.服务地点：甲方指定地点。</w:t>
      </w:r>
    </w:p>
    <w:p w14:paraId="0D432DBB">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六、履约保证金</w:t>
      </w:r>
    </w:p>
    <w:p w14:paraId="6F8C854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乙方向甲方缴纳合同价的1%作为履约保证金，服务期满后无服务质量问题15个工作日内无息退还。（乙方应当以银行转账、支票、汇票、本票或者金融机构、保险公司出具的保函等形式提交）</w:t>
      </w:r>
    </w:p>
    <w:p w14:paraId="4F0365F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七、付款方式</w:t>
      </w:r>
    </w:p>
    <w:p w14:paraId="2E7F6FA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color w:val="auto"/>
          <w:szCs w:val="21"/>
          <w:highlight w:val="none"/>
          <w:lang w:val="en-US" w:eastAsia="zh-CN"/>
        </w:rPr>
        <w:t>拆卸、堆放完成并验收合格后一次性付清。</w:t>
      </w:r>
      <w:r>
        <w:rPr>
          <w:rFonts w:hint="eastAsia" w:ascii="仿宋" w:hAnsi="仿宋" w:eastAsia="仿宋" w:cs="仿宋"/>
          <w:b w:val="0"/>
          <w:bCs w:val="0"/>
          <w:color w:val="auto"/>
          <w:kern w:val="0"/>
          <w:sz w:val="24"/>
          <w:highlight w:val="none"/>
          <w:lang w:val="en-US" w:eastAsia="zh-CN"/>
        </w:rPr>
        <w:t>（乙方须提供甲方认可的正规财务发票）。</w:t>
      </w:r>
    </w:p>
    <w:p w14:paraId="1174019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八、安全责任</w:t>
      </w:r>
    </w:p>
    <w:p w14:paraId="398B678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项目</w:t>
      </w:r>
      <w:r>
        <w:rPr>
          <w:rFonts w:hint="eastAsia" w:ascii="仿宋" w:hAnsi="仿宋" w:eastAsia="仿宋" w:cs="仿宋"/>
          <w:color w:val="auto"/>
          <w:kern w:val="0"/>
          <w:sz w:val="24"/>
          <w:szCs w:val="24"/>
          <w:highlight w:val="none"/>
          <w:shd w:val="clear" w:color="auto" w:fill="FFFFFF"/>
          <w:lang w:val="en-US" w:eastAsia="zh-CN"/>
        </w:rPr>
        <w:t>服务</w:t>
      </w:r>
      <w:r>
        <w:rPr>
          <w:rFonts w:hint="eastAsia" w:ascii="仿宋" w:hAnsi="仿宋" w:eastAsia="仿宋" w:cs="仿宋"/>
          <w:color w:val="auto"/>
          <w:kern w:val="0"/>
          <w:sz w:val="24"/>
          <w:szCs w:val="24"/>
          <w:highlight w:val="none"/>
          <w:shd w:val="clear" w:color="auto" w:fill="FFFFFF"/>
        </w:rPr>
        <w:t>过程中做好安全措施，杜绝一切安全事故的发生</w:t>
      </w:r>
      <w:r>
        <w:rPr>
          <w:rFonts w:hint="eastAsia" w:ascii="仿宋" w:hAnsi="仿宋" w:eastAsia="仿宋" w:cs="仿宋"/>
          <w:color w:val="auto"/>
          <w:sz w:val="24"/>
          <w:szCs w:val="24"/>
          <w:highlight w:val="none"/>
        </w:rPr>
        <w:t>，服务期内如发生意外伤亡事故的，</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不承担任何经济及法律责任，所有的责任由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740A8E65">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九</w:t>
      </w:r>
      <w:r>
        <w:rPr>
          <w:rFonts w:hint="eastAsia" w:ascii="仿宋" w:hAnsi="仿宋" w:eastAsia="仿宋" w:cs="仿宋"/>
          <w:b/>
          <w:bCs/>
          <w:color w:val="auto"/>
          <w:kern w:val="0"/>
          <w:sz w:val="24"/>
          <w:highlight w:val="none"/>
        </w:rPr>
        <w:t>、转包或分包</w:t>
      </w:r>
    </w:p>
    <w:p w14:paraId="58E3E67C">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1.本合同范围的服务，应由乙方直接供应，不得全部转让他人供应；</w:t>
      </w:r>
    </w:p>
    <w:p w14:paraId="70C0ED01">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2.除非得到甲方的书面同意，乙方不得将本合同范围的服务全部或部分分包给他人供应</w:t>
      </w:r>
      <w:r>
        <w:rPr>
          <w:rFonts w:hint="eastAsia" w:ascii="仿宋" w:hAnsi="仿宋" w:eastAsia="仿宋" w:cs="仿宋"/>
          <w:color w:val="auto"/>
          <w:sz w:val="24"/>
          <w:szCs w:val="24"/>
          <w:highlight w:val="none"/>
          <w:lang w:eastAsia="zh-CN"/>
        </w:rPr>
        <w:t>。</w:t>
      </w:r>
    </w:p>
    <w:p w14:paraId="05174C46">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十、违约责任</w:t>
      </w:r>
    </w:p>
    <w:p w14:paraId="4A6528E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color w:val="auto"/>
          <w:kern w:val="0"/>
          <w:sz w:val="24"/>
          <w:highlight w:val="none"/>
        </w:rPr>
      </w:pPr>
      <w:r>
        <w:rPr>
          <w:rFonts w:hint="eastAsia" w:ascii="仿宋" w:hAnsi="仿宋" w:eastAsia="仿宋" w:cs="仿宋"/>
          <w:bCs/>
          <w:color w:val="auto"/>
          <w:sz w:val="24"/>
          <w:szCs w:val="24"/>
          <w:highlight w:val="none"/>
          <w:lang w:val="en-US" w:eastAsia="zh-CN"/>
        </w:rPr>
        <w:t>1.乙方</w:t>
      </w:r>
      <w:r>
        <w:rPr>
          <w:rFonts w:hint="eastAsia" w:ascii="仿宋" w:hAnsi="仿宋" w:eastAsia="仿宋" w:cs="仿宋"/>
          <w:bCs/>
          <w:color w:val="auto"/>
          <w:sz w:val="24"/>
          <w:szCs w:val="24"/>
          <w:highlight w:val="none"/>
        </w:rPr>
        <w:t>如未在约定限期内</w:t>
      </w:r>
      <w:r>
        <w:rPr>
          <w:rFonts w:hint="eastAsia" w:ascii="仿宋" w:hAnsi="仿宋" w:eastAsia="仿宋" w:cs="仿宋"/>
          <w:bCs/>
          <w:color w:val="auto"/>
          <w:sz w:val="24"/>
          <w:szCs w:val="24"/>
          <w:highlight w:val="none"/>
          <w:lang w:val="en-US" w:eastAsia="zh-CN"/>
        </w:rPr>
        <w:t>完成拆卸</w:t>
      </w:r>
      <w:r>
        <w:rPr>
          <w:rFonts w:hint="eastAsia" w:ascii="仿宋" w:hAnsi="仿宋" w:eastAsia="仿宋" w:cs="仿宋"/>
          <w:bCs/>
          <w:color w:val="auto"/>
          <w:sz w:val="24"/>
          <w:szCs w:val="24"/>
          <w:highlight w:val="none"/>
        </w:rPr>
        <w:t>及固废处理、建筑垃圾清运等全部内容，</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须每天按人民币</w:t>
      </w:r>
      <w:r>
        <w:rPr>
          <w:rFonts w:hint="eastAsia" w:ascii="仿宋" w:hAnsi="仿宋" w:eastAsia="仿宋" w:cs="仿宋"/>
          <w:bCs/>
          <w:color w:val="auto"/>
          <w:sz w:val="24"/>
          <w:szCs w:val="24"/>
          <w:highlight w:val="none"/>
          <w:lang w:val="en-US" w:eastAsia="zh-CN"/>
        </w:rPr>
        <w:t>5000</w:t>
      </w:r>
      <w:r>
        <w:rPr>
          <w:rFonts w:hint="eastAsia" w:ascii="仿宋" w:hAnsi="仿宋" w:eastAsia="仿宋" w:cs="仿宋"/>
          <w:bCs/>
          <w:color w:val="auto"/>
          <w:sz w:val="24"/>
          <w:szCs w:val="24"/>
          <w:highlight w:val="none"/>
        </w:rPr>
        <w:t>元作为拖延完成时限</w:t>
      </w:r>
      <w:r>
        <w:rPr>
          <w:rFonts w:hint="eastAsia" w:ascii="仿宋" w:hAnsi="仿宋" w:eastAsia="仿宋" w:cs="仿宋"/>
          <w:bCs/>
          <w:color w:val="auto"/>
          <w:sz w:val="24"/>
          <w:szCs w:val="24"/>
          <w:highlight w:val="none"/>
          <w:lang w:val="en-US" w:eastAsia="zh-CN"/>
        </w:rPr>
        <w:t>违约金</w:t>
      </w:r>
      <w:r>
        <w:rPr>
          <w:rFonts w:hint="eastAsia" w:ascii="仿宋" w:hAnsi="仿宋" w:eastAsia="仿宋" w:cs="仿宋"/>
          <w:bCs/>
          <w:color w:val="auto"/>
          <w:sz w:val="24"/>
          <w:szCs w:val="24"/>
          <w:highlight w:val="none"/>
        </w:rPr>
        <w:t>交付给</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lang w:val="en-US" w:eastAsia="zh-CN"/>
        </w:rPr>
        <w:t>拆卸</w:t>
      </w:r>
      <w:r>
        <w:rPr>
          <w:rFonts w:hint="eastAsia" w:ascii="仿宋" w:hAnsi="仿宋" w:eastAsia="仿宋" w:cs="仿宋"/>
          <w:bCs/>
          <w:color w:val="auto"/>
          <w:sz w:val="24"/>
          <w:szCs w:val="24"/>
          <w:highlight w:val="none"/>
        </w:rPr>
        <w:t>任务完成验收合格为止，如遇实际特殊情况不能按期完成，需征</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rPr>
        <w:t>同意方可顺延完成时限。</w:t>
      </w:r>
    </w:p>
    <w:p w14:paraId="1864408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 w:val="0"/>
          <w:bCs w:val="0"/>
          <w:color w:val="auto"/>
          <w:kern w:val="0"/>
          <w:sz w:val="24"/>
          <w:highlight w:val="none"/>
        </w:rPr>
        <w:t>甲方未能如期支付款项，每日向乙方支付合同款项的千分之二作为违约金。甲方超过 10 个工作日仍不能支付款项的，乙方有权单方解除本合同。甲方因未能如期支付款项或因其他违约行为导致乙方解除合同的，甲方应向乙方支付合同</w:t>
      </w:r>
      <w:r>
        <w:rPr>
          <w:rFonts w:hint="eastAsia" w:ascii="仿宋" w:hAnsi="仿宋" w:eastAsia="仿宋" w:cs="仿宋"/>
          <w:b w:val="0"/>
          <w:bCs w:val="0"/>
          <w:color w:val="auto"/>
          <w:kern w:val="0"/>
          <w:sz w:val="24"/>
          <w:highlight w:val="none"/>
          <w:lang w:val="en-US" w:eastAsia="zh-CN"/>
        </w:rPr>
        <w:t>金额</w:t>
      </w:r>
      <w:r>
        <w:rPr>
          <w:rFonts w:hint="eastAsia" w:ascii="仿宋" w:hAnsi="仿宋" w:eastAsia="仿宋" w:cs="仿宋"/>
          <w:b w:val="0"/>
          <w:bCs w:val="0"/>
          <w:color w:val="auto"/>
          <w:kern w:val="0"/>
          <w:sz w:val="24"/>
          <w:highlight w:val="none"/>
        </w:rPr>
        <w:t>的百分之五作为违约金，总违约金不超过</w:t>
      </w:r>
      <w:r>
        <w:rPr>
          <w:rFonts w:hint="eastAsia" w:ascii="仿宋" w:hAnsi="仿宋" w:eastAsia="仿宋" w:cs="仿宋"/>
          <w:b w:val="0"/>
          <w:bCs w:val="0"/>
          <w:color w:val="auto"/>
          <w:kern w:val="0"/>
          <w:sz w:val="24"/>
          <w:highlight w:val="none"/>
          <w:lang w:val="en-US" w:eastAsia="zh-CN"/>
        </w:rPr>
        <w:t>合同金额</w:t>
      </w:r>
      <w:r>
        <w:rPr>
          <w:rFonts w:hint="eastAsia" w:ascii="仿宋" w:hAnsi="仿宋" w:eastAsia="仿宋" w:cs="仿宋"/>
          <w:b w:val="0"/>
          <w:bCs w:val="0"/>
          <w:color w:val="auto"/>
          <w:kern w:val="0"/>
          <w:sz w:val="24"/>
          <w:highlight w:val="none"/>
        </w:rPr>
        <w:t xml:space="preserve">的10%。 </w:t>
      </w:r>
    </w:p>
    <w:p w14:paraId="3F182C5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rPr>
        <w:t>、不可抗力事件处理</w:t>
      </w:r>
    </w:p>
    <w:p w14:paraId="7B0ABD3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3FCD5F1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43D7BDA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65AE2C7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十二</w:t>
      </w:r>
      <w:r>
        <w:rPr>
          <w:rFonts w:hint="eastAsia" w:ascii="仿宋" w:hAnsi="仿宋" w:eastAsia="仿宋" w:cs="仿宋"/>
          <w:b/>
          <w:bCs/>
          <w:color w:val="auto"/>
          <w:kern w:val="0"/>
          <w:sz w:val="24"/>
          <w:highlight w:val="none"/>
        </w:rPr>
        <w:t>、税费</w:t>
      </w:r>
    </w:p>
    <w:p w14:paraId="1E026FE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0F2CFA1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十三</w:t>
      </w:r>
      <w:r>
        <w:rPr>
          <w:rFonts w:hint="eastAsia" w:ascii="仿宋" w:hAnsi="仿宋" w:eastAsia="仿宋" w:cs="仿宋"/>
          <w:b/>
          <w:bCs/>
          <w:color w:val="auto"/>
          <w:kern w:val="0"/>
          <w:sz w:val="24"/>
          <w:highlight w:val="none"/>
        </w:rPr>
        <w:t>、诉讼</w:t>
      </w:r>
    </w:p>
    <w:p w14:paraId="43A2972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w:t>
      </w:r>
      <w:r>
        <w:rPr>
          <w:rFonts w:hint="eastAsia" w:ascii="仿宋" w:hAnsi="仿宋" w:eastAsia="仿宋" w:cs="仿宋"/>
          <w:color w:val="auto"/>
          <w:sz w:val="24"/>
          <w:szCs w:val="24"/>
          <w:highlight w:val="none"/>
        </w:rPr>
        <w:t>绍兴仲裁委员会</w:t>
      </w:r>
      <w:r>
        <w:rPr>
          <w:rFonts w:hint="eastAsia" w:ascii="仿宋" w:hAnsi="仿宋" w:eastAsia="仿宋" w:cs="仿宋"/>
          <w:color w:val="auto"/>
          <w:sz w:val="24"/>
          <w:szCs w:val="24"/>
          <w:highlight w:val="none"/>
          <w:lang w:val="en-US" w:eastAsia="zh-CN"/>
        </w:rPr>
        <w:t>提起</w:t>
      </w:r>
      <w:r>
        <w:rPr>
          <w:rFonts w:hint="eastAsia" w:ascii="仿宋" w:hAnsi="仿宋" w:eastAsia="仿宋" w:cs="仿宋"/>
          <w:color w:val="auto"/>
          <w:sz w:val="24"/>
          <w:szCs w:val="24"/>
          <w:highlight w:val="none"/>
        </w:rPr>
        <w:t>仲裁</w:t>
      </w:r>
      <w:r>
        <w:rPr>
          <w:rFonts w:hint="eastAsia" w:ascii="仿宋" w:hAnsi="仿宋" w:eastAsia="仿宋" w:cs="仿宋"/>
          <w:color w:val="auto"/>
          <w:kern w:val="0"/>
          <w:sz w:val="24"/>
          <w:highlight w:val="none"/>
        </w:rPr>
        <w:t>。</w:t>
      </w:r>
    </w:p>
    <w:p w14:paraId="476C3A6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lang w:val="en-US" w:eastAsia="zh-CN"/>
        </w:rPr>
        <w:t>十四</w:t>
      </w:r>
      <w:r>
        <w:rPr>
          <w:rFonts w:hint="eastAsia" w:ascii="仿宋" w:hAnsi="仿宋" w:eastAsia="仿宋" w:cs="仿宋"/>
          <w:b/>
          <w:bCs/>
          <w:color w:val="auto"/>
          <w:kern w:val="0"/>
          <w:sz w:val="24"/>
          <w:highlight w:val="none"/>
        </w:rPr>
        <w:t>、合同生效</w:t>
      </w:r>
    </w:p>
    <w:p w14:paraId="6C4B3C6D">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rPr>
        <w:t>合同经双方法定代表人或授权代表签字并加盖单位公章后生效。</w:t>
      </w:r>
    </w:p>
    <w:p w14:paraId="70D8627B">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2.合同执行中涉及采购资金和采购内容修改或补充的，须经</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部门审批，并签书面补充协议报采购监督管理部门备案，方可作为主合同不可分割的一部分。</w:t>
      </w:r>
    </w:p>
    <w:p w14:paraId="4499FB9B">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3.本合同未尽事宜，遵照《民法典》有关条文执行。</w:t>
      </w:r>
    </w:p>
    <w:p w14:paraId="0FCF4121">
      <w:pPr>
        <w:keepNext w:val="0"/>
        <w:keepLines w:val="0"/>
        <w:pageBreakBefore w:val="0"/>
        <w:widowControl/>
        <w:kinsoku/>
        <w:wordWrap/>
        <w:overflowPunct/>
        <w:topLinePunct w:val="0"/>
        <w:autoSpaceDE/>
        <w:autoSpaceDN/>
        <w:bidi w:val="0"/>
        <w:snapToGrid w:val="0"/>
        <w:spacing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.本合同</w:t>
      </w:r>
      <w:r>
        <w:rPr>
          <w:rFonts w:hint="eastAsia" w:ascii="仿宋" w:hAnsi="仿宋" w:eastAsia="仿宋" w:cs="仿宋"/>
          <w:b w:val="0"/>
          <w:bCs w:val="0"/>
          <w:color w:val="auto"/>
          <w:kern w:val="0"/>
          <w:sz w:val="24"/>
          <w:highlight w:val="none"/>
          <w:lang w:val="en-US" w:eastAsia="zh-CN"/>
        </w:rPr>
        <w:t>一式五份</w:t>
      </w:r>
      <w:r>
        <w:rPr>
          <w:rFonts w:hint="eastAsia" w:ascii="仿宋" w:hAnsi="仿宋" w:eastAsia="仿宋" w:cs="仿宋"/>
          <w:b w:val="0"/>
          <w:bCs w:val="0"/>
          <w:color w:val="auto"/>
          <w:kern w:val="0"/>
          <w:sz w:val="24"/>
          <w:highlight w:val="none"/>
        </w:rPr>
        <w:t>，具有同等法律效力，甲乙双方各执</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份，代理机构一份。</w:t>
      </w:r>
    </w:p>
    <w:p w14:paraId="3006D200">
      <w:pPr>
        <w:pStyle w:val="34"/>
        <w:spacing w:line="460" w:lineRule="exact"/>
        <w:ind w:firstLine="420"/>
        <w:contextualSpacing/>
        <w:rPr>
          <w:rFonts w:hint="eastAsia" w:ascii="仿宋" w:hAnsi="仿宋" w:eastAsia="仿宋" w:cs="仿宋"/>
          <w:color w:val="auto"/>
          <w:sz w:val="24"/>
          <w:szCs w:val="24"/>
          <w:highlight w:val="none"/>
        </w:rPr>
      </w:pPr>
    </w:p>
    <w:p w14:paraId="696A82B4">
      <w:pPr>
        <w:pStyle w:val="34"/>
        <w:spacing w:line="460" w:lineRule="exact"/>
        <w:ind w:firstLine="42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甲方：                                   乙方： </w:t>
      </w:r>
      <w:r>
        <w:rPr>
          <w:rFonts w:hint="eastAsia" w:ascii="仿宋" w:hAnsi="仿宋" w:eastAsia="仿宋" w:cs="仿宋"/>
          <w:color w:val="auto"/>
          <w:sz w:val="24"/>
          <w:szCs w:val="24"/>
          <w:highlight w:val="none"/>
          <w:lang w:val="en-US" w:eastAsia="zh-CN"/>
        </w:rPr>
        <w:t xml:space="preserve">                                 </w:t>
      </w:r>
    </w:p>
    <w:p w14:paraId="1DE0C2B1">
      <w:pPr>
        <w:pStyle w:val="34"/>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44FC788C">
      <w:pPr>
        <w:pStyle w:val="34"/>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                     法定（授权）代表人：</w:t>
      </w:r>
    </w:p>
    <w:p w14:paraId="4F9F4422">
      <w:pPr>
        <w:pStyle w:val="34"/>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2E903BA9">
      <w:pPr>
        <w:pStyle w:val="34"/>
        <w:spacing w:line="460" w:lineRule="exact"/>
        <w:ind w:firstLine="42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D382982">
      <w:pPr>
        <w:pStyle w:val="34"/>
        <w:spacing w:line="4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14:paraId="5DA77A93">
      <w:pPr>
        <w:pStyle w:val="34"/>
        <w:spacing w:line="46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5DB39BB9">
      <w:pPr>
        <w:keepNext w:val="0"/>
        <w:keepLines w:val="0"/>
        <w:pageBreakBefore w:val="0"/>
        <w:widowControl w:val="0"/>
        <w:kinsoku/>
        <w:wordWrap/>
        <w:overflowPunct/>
        <w:topLinePunct w:val="0"/>
        <w:autoSpaceDE/>
        <w:autoSpaceDN/>
        <w:bidi w:val="0"/>
        <w:adjustRightInd/>
        <w:snapToGrid/>
        <w:spacing w:line="400" w:lineRule="exact"/>
        <w:textAlignment w:val="auto"/>
        <w:rPr>
          <w:rStyle w:val="485"/>
          <w:rFonts w:hint="eastAsia" w:ascii="仿宋" w:hAnsi="仿宋" w:eastAsia="仿宋" w:cs="仿宋"/>
          <w:b/>
          <w:bCs/>
          <w:color w:val="auto"/>
          <w:sz w:val="36"/>
          <w:szCs w:val="36"/>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注：具体以</w:t>
      </w:r>
      <w:r>
        <w:rPr>
          <w:rFonts w:hint="eastAsia" w:ascii="仿宋" w:hAnsi="仿宋" w:eastAsia="仿宋" w:cs="仿宋"/>
          <w:b/>
          <w:bCs/>
          <w:color w:val="auto"/>
          <w:sz w:val="24"/>
          <w:szCs w:val="24"/>
          <w:highlight w:val="none"/>
          <w:lang w:val="en-US" w:eastAsia="zh-CN"/>
        </w:rPr>
        <w:t>双</w:t>
      </w:r>
      <w:r>
        <w:rPr>
          <w:rFonts w:hint="eastAsia" w:ascii="仿宋" w:hAnsi="仿宋" w:eastAsia="仿宋" w:cs="仿宋"/>
          <w:b/>
          <w:bCs/>
          <w:color w:val="auto"/>
          <w:sz w:val="24"/>
          <w:szCs w:val="24"/>
          <w:highlight w:val="none"/>
        </w:rPr>
        <w:t>方签定的正式合同为准，合同内容不得违背本招标文件实质性要求。</w:t>
      </w:r>
    </w:p>
    <w:p w14:paraId="32F6907C">
      <w:pPr>
        <w:rPr>
          <w:rStyle w:val="485"/>
          <w:rFonts w:hint="eastAsia" w:ascii="仿宋" w:hAnsi="仿宋" w:eastAsia="仿宋" w:cs="仿宋"/>
          <w:b/>
          <w:bCs/>
          <w:color w:val="auto"/>
          <w:sz w:val="36"/>
          <w:szCs w:val="36"/>
          <w:highlight w:val="none"/>
          <w:lang w:eastAsia="zh-CN"/>
        </w:rPr>
      </w:pPr>
      <w:r>
        <w:rPr>
          <w:rStyle w:val="485"/>
          <w:rFonts w:hint="eastAsia" w:ascii="仿宋" w:hAnsi="仿宋" w:eastAsia="仿宋" w:cs="仿宋"/>
          <w:b/>
          <w:bCs/>
          <w:color w:val="auto"/>
          <w:sz w:val="36"/>
          <w:szCs w:val="36"/>
          <w:highlight w:val="none"/>
          <w:lang w:eastAsia="zh-CN"/>
        </w:rPr>
        <w:br w:type="page"/>
      </w:r>
    </w:p>
    <w:p w14:paraId="30311F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rPr>
      </w:pPr>
      <w:r>
        <w:rPr>
          <w:rStyle w:val="485"/>
          <w:rFonts w:hint="eastAsia" w:ascii="仿宋" w:hAnsi="仿宋" w:eastAsia="仿宋" w:cs="仿宋"/>
          <w:b/>
          <w:bCs/>
          <w:color w:val="auto"/>
          <w:sz w:val="36"/>
          <w:szCs w:val="36"/>
          <w:highlight w:val="none"/>
          <w:lang w:eastAsia="zh-CN"/>
        </w:rPr>
        <w:t>第六部分</w:t>
      </w:r>
      <w:r>
        <w:rPr>
          <w:rStyle w:val="485"/>
          <w:rFonts w:hint="eastAsia" w:ascii="仿宋" w:hAnsi="仿宋" w:eastAsia="仿宋" w:cs="仿宋"/>
          <w:b/>
          <w:bCs/>
          <w:color w:val="auto"/>
          <w:sz w:val="36"/>
          <w:szCs w:val="36"/>
          <w:highlight w:val="none"/>
          <w:lang w:val="en-US" w:eastAsia="zh-CN"/>
        </w:rPr>
        <w:t xml:space="preserve">  </w:t>
      </w:r>
      <w:r>
        <w:rPr>
          <w:rStyle w:val="485"/>
          <w:rFonts w:hint="eastAsia" w:ascii="仿宋" w:hAnsi="仿宋" w:eastAsia="仿宋" w:cs="仿宋"/>
          <w:b/>
          <w:bCs/>
          <w:color w:val="auto"/>
          <w:sz w:val="36"/>
          <w:szCs w:val="36"/>
          <w:highlight w:val="none"/>
        </w:rPr>
        <w:t>投标文件格式</w:t>
      </w:r>
      <w:r>
        <w:rPr>
          <w:rStyle w:val="485"/>
          <w:rFonts w:hint="eastAsia" w:ascii="仿宋" w:hAnsi="仿宋" w:eastAsia="仿宋" w:cs="仿宋"/>
          <w:b/>
          <w:bCs/>
          <w:color w:val="auto"/>
          <w:sz w:val="36"/>
          <w:szCs w:val="36"/>
          <w:highlight w:val="none"/>
          <w:lang w:val="en-US" w:eastAsia="zh-CN"/>
        </w:rPr>
        <w:t>及其附件</w:t>
      </w:r>
      <w:r>
        <w:rPr>
          <w:rStyle w:val="485"/>
          <w:rFonts w:hint="eastAsia" w:ascii="仿宋" w:hAnsi="仿宋" w:eastAsia="仿宋" w:cs="仿宋"/>
          <w:b/>
          <w:bCs/>
          <w:color w:val="auto"/>
          <w:sz w:val="36"/>
          <w:szCs w:val="36"/>
          <w:highlight w:val="none"/>
        </w:rPr>
        <w:t>格式</w:t>
      </w:r>
    </w:p>
    <w:p w14:paraId="7ADF9D5B">
      <w:pPr>
        <w:pStyle w:val="43"/>
        <w:rPr>
          <w:rStyle w:val="485"/>
          <w:rFonts w:hint="eastAsia" w:ascii="仿宋" w:hAnsi="仿宋" w:eastAsia="仿宋" w:cs="仿宋"/>
          <w:b/>
          <w:bCs/>
          <w:color w:val="auto"/>
          <w:sz w:val="32"/>
          <w:szCs w:val="32"/>
          <w:highlight w:val="none"/>
          <w:lang w:val="en-US" w:eastAsia="zh-CN"/>
        </w:rPr>
      </w:pPr>
    </w:p>
    <w:p w14:paraId="2B25AD09">
      <w:pPr>
        <w:pStyle w:val="43"/>
        <w:rPr>
          <w:rStyle w:val="485"/>
          <w:rFonts w:hint="eastAsia" w:ascii="仿宋" w:hAnsi="仿宋" w:eastAsia="仿宋" w:cs="仿宋"/>
          <w:b/>
          <w:bCs/>
          <w:color w:val="auto"/>
          <w:sz w:val="32"/>
          <w:szCs w:val="32"/>
          <w:highlight w:val="none"/>
          <w:lang w:val="en-US" w:eastAsia="zh-CN"/>
        </w:rPr>
      </w:pPr>
    </w:p>
    <w:p w14:paraId="4AF6DDAD">
      <w:pPr>
        <w:pStyle w:val="43"/>
        <w:rPr>
          <w:rFonts w:hint="eastAsia" w:ascii="仿宋" w:hAnsi="仿宋" w:eastAsia="仿宋" w:cs="仿宋"/>
          <w:b/>
          <w:bCs/>
          <w:color w:val="auto"/>
          <w:kern w:val="2"/>
          <w:sz w:val="36"/>
          <w:szCs w:val="36"/>
          <w:highlight w:val="none"/>
          <w:lang w:val="en-US" w:eastAsia="zh-CN" w:bidi="ar-SA"/>
        </w:rPr>
      </w:pPr>
    </w:p>
    <w:p w14:paraId="1F778B67">
      <w:pPr>
        <w:pStyle w:val="43"/>
        <w:rPr>
          <w:rFonts w:hint="eastAsia" w:ascii="仿宋" w:hAnsi="仿宋" w:eastAsia="仿宋" w:cs="仿宋"/>
          <w:color w:val="auto"/>
          <w:sz w:val="44"/>
          <w:szCs w:val="44"/>
          <w:highlight w:val="none"/>
        </w:rPr>
      </w:pPr>
      <w:r>
        <w:rPr>
          <w:rFonts w:hint="eastAsia" w:ascii="仿宋" w:hAnsi="仿宋" w:eastAsia="仿宋" w:cs="仿宋"/>
          <w:b/>
          <w:bCs/>
          <w:color w:val="auto"/>
          <w:kern w:val="2"/>
          <w:sz w:val="36"/>
          <w:szCs w:val="36"/>
          <w:highlight w:val="none"/>
          <w:lang w:val="en-US" w:eastAsia="zh-CN" w:bidi="ar-SA"/>
        </w:rPr>
        <w:t>投标文件封面</w:t>
      </w: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szCs w:val="22"/>
          <w:highlight w:val="none"/>
          <w:lang w:val="en-US" w:eastAsia="zh-CN"/>
        </w:rPr>
        <w:t xml:space="preserve">       </w:t>
      </w:r>
      <w:r>
        <w:rPr>
          <w:rFonts w:hint="eastAsia" w:ascii="仿宋" w:hAnsi="仿宋" w:eastAsia="仿宋" w:cs="仿宋"/>
          <w:color w:val="auto"/>
          <w:sz w:val="24"/>
          <w:szCs w:val="22"/>
          <w:highlight w:val="none"/>
        </w:rPr>
        <w:t xml:space="preserve">  </w:t>
      </w:r>
    </w:p>
    <w:p w14:paraId="427461A7">
      <w:pPr>
        <w:rPr>
          <w:rFonts w:hint="eastAsia" w:ascii="仿宋" w:hAnsi="仿宋" w:eastAsia="仿宋" w:cs="仿宋"/>
          <w:color w:val="auto"/>
          <w:sz w:val="44"/>
          <w:szCs w:val="44"/>
          <w:highlight w:val="none"/>
        </w:rPr>
      </w:pPr>
    </w:p>
    <w:p w14:paraId="03339CF1">
      <w:pPr>
        <w:jc w:val="center"/>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8"/>
          <w:szCs w:val="48"/>
          <w:highlight w:val="none"/>
          <w:lang w:val="en-US" w:eastAsia="zh-CN"/>
        </w:rPr>
        <w:t xml:space="preserve"> </w:t>
      </w:r>
      <w:r>
        <w:rPr>
          <w:rFonts w:hint="eastAsia" w:ascii="仿宋" w:hAnsi="仿宋" w:eastAsia="仿宋" w:cs="仿宋"/>
          <w:color w:val="auto"/>
          <w:sz w:val="40"/>
          <w:szCs w:val="40"/>
          <w:highlight w:val="none"/>
          <w:lang w:val="en-US" w:eastAsia="zh-CN"/>
        </w:rPr>
        <w:t>(项目名称)项目</w:t>
      </w:r>
    </w:p>
    <w:p w14:paraId="1F48C5EF">
      <w:pPr>
        <w:jc w:val="center"/>
        <w:rPr>
          <w:rFonts w:hint="eastAsia" w:ascii="仿宋" w:hAnsi="仿宋" w:eastAsia="仿宋" w:cs="仿宋"/>
          <w:color w:val="auto"/>
          <w:sz w:val="32"/>
          <w:szCs w:val="32"/>
          <w:highlight w:val="none"/>
          <w:lang w:val="en-US" w:eastAsia="zh-CN"/>
        </w:rPr>
      </w:pPr>
    </w:p>
    <w:p w14:paraId="62FCD07E">
      <w:pPr>
        <w:jc w:val="center"/>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2"/>
          <w:szCs w:val="32"/>
          <w:highlight w:val="none"/>
          <w:lang w:val="en-US" w:eastAsia="zh-CN"/>
        </w:rPr>
        <w:t>项目编号：SXWH2025-4-3（2）</w:t>
      </w:r>
    </w:p>
    <w:p w14:paraId="62BF5487">
      <w:pPr>
        <w:spacing w:line="240" w:lineRule="auto"/>
        <w:jc w:val="center"/>
        <w:rPr>
          <w:rFonts w:hint="eastAsia" w:ascii="仿宋" w:hAnsi="仿宋" w:eastAsia="仿宋" w:cs="仿宋"/>
          <w:b/>
          <w:bCs/>
          <w:color w:val="auto"/>
          <w:sz w:val="48"/>
          <w:szCs w:val="48"/>
          <w:highlight w:val="none"/>
          <w:lang w:eastAsia="zh-CN"/>
        </w:rPr>
      </w:pPr>
    </w:p>
    <w:p w14:paraId="5EEAAFDD">
      <w:pPr>
        <w:spacing w:line="240" w:lineRule="auto"/>
        <w:jc w:val="center"/>
        <w:rPr>
          <w:rFonts w:hint="eastAsia" w:ascii="仿宋" w:hAnsi="仿宋" w:eastAsia="仿宋" w:cs="仿宋"/>
          <w:b/>
          <w:bCs/>
          <w:color w:val="auto"/>
          <w:sz w:val="48"/>
          <w:szCs w:val="48"/>
          <w:highlight w:val="none"/>
          <w:lang w:eastAsia="zh-CN"/>
        </w:rPr>
      </w:pPr>
    </w:p>
    <w:p w14:paraId="2CD3FE05">
      <w:pPr>
        <w:spacing w:line="240" w:lineRule="auto"/>
        <w:jc w:val="center"/>
        <w:rPr>
          <w:rFonts w:hint="eastAsia" w:ascii="仿宋" w:hAnsi="仿宋" w:eastAsia="仿宋" w:cs="仿宋"/>
          <w:b/>
          <w:bCs/>
          <w:color w:val="auto"/>
          <w:sz w:val="48"/>
          <w:szCs w:val="48"/>
          <w:highlight w:val="none"/>
          <w:lang w:eastAsia="zh-CN"/>
        </w:rPr>
      </w:pPr>
    </w:p>
    <w:p w14:paraId="0060230F">
      <w:pPr>
        <w:spacing w:line="240" w:lineRule="auto"/>
        <w:jc w:val="center"/>
        <w:rPr>
          <w:rFonts w:hint="eastAsia" w:ascii="仿宋" w:hAnsi="仿宋" w:eastAsia="仿宋" w:cs="仿宋"/>
          <w:b/>
          <w:bCs/>
          <w:color w:val="auto"/>
          <w:sz w:val="48"/>
          <w:szCs w:val="48"/>
          <w:highlight w:val="none"/>
          <w:lang w:eastAsia="zh-CN"/>
        </w:rPr>
      </w:pPr>
    </w:p>
    <w:p w14:paraId="28CE5684">
      <w:pPr>
        <w:spacing w:line="240" w:lineRule="auto"/>
        <w:jc w:val="center"/>
        <w:rPr>
          <w:rFonts w:hint="eastAsia" w:ascii="仿宋" w:hAnsi="仿宋" w:eastAsia="仿宋" w:cs="仿宋"/>
          <w:b/>
          <w:bCs/>
          <w:color w:val="auto"/>
          <w:sz w:val="48"/>
          <w:szCs w:val="48"/>
          <w:highlight w:val="none"/>
          <w:lang w:eastAsia="zh-CN"/>
        </w:rPr>
      </w:pPr>
    </w:p>
    <w:p w14:paraId="01D0E450">
      <w:pPr>
        <w:spacing w:line="24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lang w:eastAsia="zh-CN"/>
        </w:rPr>
        <w:t>资格证明文件</w:t>
      </w:r>
      <w:r>
        <w:rPr>
          <w:rFonts w:hint="eastAsia" w:ascii="仿宋" w:hAnsi="仿宋" w:eastAsia="仿宋" w:cs="仿宋"/>
          <w:b/>
          <w:bCs/>
          <w:color w:val="auto"/>
          <w:sz w:val="44"/>
          <w:szCs w:val="44"/>
          <w:highlight w:val="none"/>
        </w:rPr>
        <w:t>/</w:t>
      </w:r>
      <w:r>
        <w:rPr>
          <w:rFonts w:hint="eastAsia" w:ascii="仿宋" w:hAnsi="仿宋" w:eastAsia="仿宋" w:cs="仿宋"/>
          <w:b/>
          <w:bCs/>
          <w:color w:val="auto"/>
          <w:sz w:val="44"/>
          <w:szCs w:val="44"/>
          <w:highlight w:val="none"/>
          <w:lang w:val="en-US" w:eastAsia="zh-CN"/>
        </w:rPr>
        <w:t>商务</w:t>
      </w:r>
      <w:r>
        <w:rPr>
          <w:rFonts w:hint="eastAsia" w:ascii="仿宋" w:hAnsi="仿宋" w:eastAsia="仿宋" w:cs="仿宋"/>
          <w:b/>
          <w:bCs/>
          <w:color w:val="auto"/>
          <w:sz w:val="44"/>
          <w:szCs w:val="44"/>
          <w:highlight w:val="none"/>
        </w:rPr>
        <w:t>技术文件/报价文件</w:t>
      </w:r>
    </w:p>
    <w:p w14:paraId="10C8A053">
      <w:pPr>
        <w:ind w:firstLine="0" w:firstLineChars="0"/>
        <w:rPr>
          <w:rFonts w:hint="eastAsia" w:ascii="仿宋" w:hAnsi="仿宋" w:eastAsia="仿宋" w:cs="仿宋"/>
          <w:color w:val="auto"/>
          <w:highlight w:val="none"/>
        </w:rPr>
      </w:pPr>
    </w:p>
    <w:p w14:paraId="43AD47C7">
      <w:pPr>
        <w:ind w:firstLine="0" w:firstLineChars="0"/>
        <w:rPr>
          <w:rFonts w:hint="eastAsia" w:ascii="仿宋" w:hAnsi="仿宋" w:eastAsia="仿宋" w:cs="仿宋"/>
          <w:color w:val="auto"/>
          <w:highlight w:val="none"/>
        </w:rPr>
      </w:pPr>
    </w:p>
    <w:p w14:paraId="1C69A332">
      <w:pPr>
        <w:ind w:firstLine="0" w:firstLineChars="0"/>
        <w:rPr>
          <w:rFonts w:hint="eastAsia" w:ascii="仿宋" w:hAnsi="仿宋" w:eastAsia="仿宋" w:cs="仿宋"/>
          <w:color w:val="auto"/>
          <w:highlight w:val="none"/>
        </w:rPr>
      </w:pPr>
    </w:p>
    <w:p w14:paraId="0A99FF11">
      <w:pPr>
        <w:pStyle w:val="122"/>
        <w:rPr>
          <w:rFonts w:hint="eastAsia" w:ascii="仿宋" w:hAnsi="仿宋" w:eastAsia="仿宋" w:cs="仿宋"/>
          <w:color w:val="auto"/>
          <w:highlight w:val="none"/>
        </w:rPr>
      </w:pPr>
    </w:p>
    <w:p w14:paraId="4718B777">
      <w:pPr>
        <w:pStyle w:val="122"/>
        <w:rPr>
          <w:rFonts w:hint="eastAsia" w:ascii="仿宋" w:hAnsi="仿宋" w:eastAsia="仿宋" w:cs="仿宋"/>
          <w:color w:val="auto"/>
          <w:highlight w:val="none"/>
        </w:rPr>
      </w:pPr>
    </w:p>
    <w:p w14:paraId="0A9641F7">
      <w:pPr>
        <w:pStyle w:val="122"/>
        <w:rPr>
          <w:rFonts w:hint="eastAsia" w:ascii="仿宋" w:hAnsi="仿宋" w:eastAsia="仿宋" w:cs="仿宋"/>
          <w:color w:val="auto"/>
          <w:highlight w:val="none"/>
        </w:rPr>
      </w:pPr>
    </w:p>
    <w:p w14:paraId="3A87B982">
      <w:pPr>
        <w:pStyle w:val="122"/>
        <w:rPr>
          <w:rFonts w:hint="eastAsia" w:ascii="仿宋" w:hAnsi="仿宋" w:eastAsia="仿宋" w:cs="仿宋"/>
          <w:color w:val="auto"/>
          <w:highlight w:val="none"/>
        </w:rPr>
      </w:pPr>
    </w:p>
    <w:p w14:paraId="42D513C2">
      <w:pPr>
        <w:rPr>
          <w:rFonts w:hint="eastAsia" w:ascii="仿宋" w:hAnsi="仿宋" w:eastAsia="仿宋" w:cs="仿宋"/>
          <w:color w:val="auto"/>
          <w:highlight w:val="none"/>
        </w:rPr>
      </w:pPr>
    </w:p>
    <w:p w14:paraId="088F9A12">
      <w:pPr>
        <w:ind w:firstLine="480"/>
        <w:rPr>
          <w:rFonts w:hint="eastAsia" w:ascii="仿宋" w:hAnsi="仿宋" w:eastAsia="仿宋" w:cs="仿宋"/>
          <w:color w:val="auto"/>
          <w:highlight w:val="none"/>
        </w:rPr>
      </w:pPr>
    </w:p>
    <w:p w14:paraId="2CB7B6E5">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0DC49E94">
      <w:pPr>
        <w:keepNext w:val="0"/>
        <w:keepLines w:val="0"/>
        <w:pageBreakBefore w:val="0"/>
        <w:widowControl/>
        <w:kinsoku/>
        <w:wordWrap/>
        <w:overflowPunct/>
        <w:topLinePunct w:val="0"/>
        <w:autoSpaceDE/>
        <w:autoSpaceDN/>
        <w:bidi w:val="0"/>
        <w:adjustRightInd/>
        <w:snapToGrid/>
        <w:spacing w:line="720" w:lineRule="exact"/>
        <w:ind w:firstLine="640" w:firstLineChars="200"/>
        <w:jc w:val="both"/>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32"/>
          <w:highlight w:val="none"/>
          <w:lang w:eastAsia="zh-CN"/>
        </w:rPr>
        <w:t>供应商</w:t>
      </w:r>
      <w:r>
        <w:rPr>
          <w:rFonts w:hint="eastAsia" w:ascii="仿宋" w:hAnsi="仿宋" w:eastAsia="仿宋" w:cs="仿宋"/>
          <w:color w:val="auto"/>
          <w:sz w:val="32"/>
          <w:highlight w:val="none"/>
        </w:rPr>
        <w:t>地址：</w:t>
      </w:r>
      <w:r>
        <w:rPr>
          <w:rFonts w:hint="eastAsia" w:ascii="仿宋" w:hAnsi="仿宋" w:eastAsia="仿宋" w:cs="仿宋"/>
          <w:color w:val="auto"/>
          <w:sz w:val="32"/>
          <w:highlight w:val="none"/>
          <w:u w:val="single"/>
          <w:lang w:val="en-US" w:eastAsia="zh-CN"/>
        </w:rPr>
        <w:t xml:space="preserve">                           </w:t>
      </w:r>
    </w:p>
    <w:p w14:paraId="61E2C519">
      <w:pPr>
        <w:keepNext w:val="0"/>
        <w:keepLines w:val="0"/>
        <w:pageBreakBefore w:val="0"/>
        <w:kinsoku/>
        <w:wordWrap/>
        <w:overflowPunct/>
        <w:topLinePunct w:val="0"/>
        <w:autoSpaceDE/>
        <w:autoSpaceDN/>
        <w:bidi w:val="0"/>
        <w:adjustRightInd/>
        <w:snapToGrid/>
        <w:spacing w:line="720" w:lineRule="exact"/>
        <w:ind w:firstLine="640"/>
        <w:textAlignment w:val="auto"/>
        <w:rPr>
          <w:rFonts w:hint="default"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lang w:val="zh-CN"/>
        </w:rPr>
        <w:t>日</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lang w:val="zh-CN"/>
        </w:rPr>
        <w:t>期：</w:t>
      </w:r>
      <w:r>
        <w:rPr>
          <w:rFonts w:hint="eastAsia" w:ascii="仿宋" w:hAnsi="仿宋" w:eastAsia="仿宋" w:cs="仿宋"/>
          <w:color w:val="auto"/>
          <w:sz w:val="32"/>
          <w:highlight w:val="none"/>
          <w:u w:val="single"/>
          <w:lang w:val="en-US" w:eastAsia="zh-CN"/>
        </w:rPr>
        <w:t xml:space="preserve">                            </w:t>
      </w:r>
    </w:p>
    <w:p w14:paraId="4F41D2E3">
      <w:pPr>
        <w:widowControl/>
        <w:adjustRightInd/>
        <w:jc w:val="center"/>
        <w:rPr>
          <w:rFonts w:hint="eastAsia" w:ascii="仿宋" w:hAnsi="仿宋" w:eastAsia="仿宋" w:cs="仿宋"/>
          <w:b/>
          <w:color w:val="auto"/>
          <w:kern w:val="0"/>
          <w:sz w:val="24"/>
          <w:szCs w:val="24"/>
          <w:highlight w:val="none"/>
          <w:lang w:val="zh-CN"/>
        </w:rPr>
      </w:pPr>
    </w:p>
    <w:p w14:paraId="636D6A36">
      <w:pPr>
        <w:widowControl/>
        <w:adjustRightInd/>
        <w:jc w:val="center"/>
        <w:rPr>
          <w:rFonts w:hint="eastAsia" w:ascii="仿宋" w:hAnsi="仿宋" w:eastAsia="仿宋" w:cs="仿宋"/>
          <w:b/>
          <w:color w:val="auto"/>
          <w:kern w:val="0"/>
          <w:sz w:val="24"/>
          <w:szCs w:val="24"/>
          <w:highlight w:val="none"/>
          <w:lang w:val="zh-CN"/>
        </w:rPr>
      </w:pPr>
    </w:p>
    <w:p w14:paraId="11D2DA02">
      <w:pPr>
        <w:widowControl/>
        <w:adjustRightInd/>
        <w:jc w:val="center"/>
        <w:rPr>
          <w:rFonts w:hint="eastAsia" w:ascii="仿宋" w:hAnsi="仿宋" w:eastAsia="仿宋" w:cs="仿宋"/>
          <w:b/>
          <w:color w:val="auto"/>
          <w:kern w:val="0"/>
          <w:sz w:val="32"/>
          <w:szCs w:val="32"/>
          <w:highlight w:val="none"/>
          <w:lang w:val="zh-CN"/>
        </w:rPr>
      </w:pPr>
    </w:p>
    <w:p w14:paraId="501ED701">
      <w:pPr>
        <w:widowControl/>
        <w:adjustRightInd/>
        <w:jc w:val="center"/>
        <w:rPr>
          <w:rFonts w:hint="eastAsia" w:ascii="仿宋" w:hAnsi="仿宋" w:eastAsia="仿宋" w:cs="仿宋"/>
          <w:b/>
          <w:color w:val="auto"/>
          <w:kern w:val="0"/>
          <w:sz w:val="32"/>
          <w:szCs w:val="32"/>
          <w:highlight w:val="none"/>
          <w:lang w:val="zh-CN"/>
        </w:rPr>
      </w:pPr>
    </w:p>
    <w:p w14:paraId="185D36BE">
      <w:pPr>
        <w:widowControl/>
        <w:adjustRightInd/>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一、</w:t>
      </w:r>
      <w:r>
        <w:rPr>
          <w:rFonts w:hint="eastAsia" w:ascii="仿宋" w:hAnsi="仿宋" w:eastAsia="仿宋" w:cs="仿宋"/>
          <w:b/>
          <w:bCs/>
          <w:color w:val="auto"/>
          <w:sz w:val="32"/>
          <w:szCs w:val="32"/>
          <w:highlight w:val="none"/>
          <w:lang w:eastAsia="zh-CN"/>
        </w:rPr>
        <w:t>资格证明文件</w:t>
      </w:r>
      <w:r>
        <w:rPr>
          <w:rFonts w:hint="eastAsia" w:ascii="仿宋" w:hAnsi="仿宋" w:eastAsia="仿宋" w:cs="仿宋"/>
          <w:b/>
          <w:color w:val="auto"/>
          <w:sz w:val="32"/>
          <w:szCs w:val="32"/>
          <w:highlight w:val="none"/>
        </w:rPr>
        <w:t>目录</w:t>
      </w:r>
    </w:p>
    <w:p w14:paraId="1E54DCB6">
      <w:pPr>
        <w:pStyle w:val="43"/>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p>
    <w:p w14:paraId="0370B559">
      <w:pPr>
        <w:pStyle w:val="43"/>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（1）营业执照扫描件；</w:t>
      </w:r>
    </w:p>
    <w:p w14:paraId="56A0DBFD">
      <w:pPr>
        <w:pStyle w:val="43"/>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（2）符合参加政企采购活动应当具备的一般条件的承诺函【格式附后】；</w:t>
      </w:r>
    </w:p>
    <w:p w14:paraId="14DE736D">
      <w:pPr>
        <w:pStyle w:val="43"/>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（3）符合特定资格要求的相关证明材料（如有，提供扫描件）。</w:t>
      </w:r>
    </w:p>
    <w:p w14:paraId="6B3EEB6E">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CC7AB56">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283A575">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02A0246">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DC13247">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49E560E">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87E8B6B">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2E9FF00">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8CA5F02">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83C9D77">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C10F8C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7295DAC">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10517E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0F93288">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7E88420">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0363EC6">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AD652A8">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C0E66D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2434E25">
      <w:pPr>
        <w:snapToGrid w:val="0"/>
        <w:spacing w:line="360" w:lineRule="auto"/>
        <w:ind w:right="480"/>
        <w:jc w:val="both"/>
        <w:rPr>
          <w:rFonts w:hint="eastAsia" w:ascii="仿宋" w:hAnsi="仿宋" w:eastAsia="仿宋" w:cs="仿宋"/>
          <w:b/>
          <w:color w:val="auto"/>
          <w:kern w:val="0"/>
          <w:sz w:val="24"/>
          <w:szCs w:val="24"/>
          <w:highlight w:val="none"/>
          <w:lang w:eastAsia="zh-CN"/>
        </w:rPr>
      </w:pPr>
    </w:p>
    <w:p w14:paraId="1986B653">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2130A7E">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D39393B">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9300EF5">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BD2927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77D119E">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122CEA5">
      <w:pPr>
        <w:snapToGrid w:val="0"/>
        <w:spacing w:line="360" w:lineRule="auto"/>
        <w:ind w:right="48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（一）营业执照扫描件</w:t>
      </w:r>
    </w:p>
    <w:p w14:paraId="2E099373">
      <w:pPr>
        <w:pStyle w:val="67"/>
        <w:ind w:left="0" w:leftChars="0" w:firstLine="0" w:firstLineChars="0"/>
        <w:rPr>
          <w:rFonts w:hint="eastAsia" w:ascii="仿宋" w:hAnsi="仿宋" w:eastAsia="仿宋" w:cs="仿宋"/>
          <w:color w:val="auto"/>
          <w:sz w:val="32"/>
          <w:szCs w:val="32"/>
          <w:highlight w:val="none"/>
          <w:lang w:eastAsia="zh-CN"/>
        </w:rPr>
      </w:pPr>
    </w:p>
    <w:p w14:paraId="60D1B503">
      <w:pPr>
        <w:pStyle w:val="33"/>
        <w:ind w:left="0" w:leftChars="0" w:firstLine="0" w:firstLineChars="0"/>
        <w:rPr>
          <w:rFonts w:hint="eastAsia" w:ascii="仿宋" w:hAnsi="仿宋" w:eastAsia="仿宋" w:cs="仿宋"/>
          <w:color w:val="auto"/>
          <w:sz w:val="32"/>
          <w:szCs w:val="32"/>
          <w:highlight w:val="none"/>
          <w:lang w:eastAsia="zh-CN"/>
        </w:rPr>
      </w:pPr>
    </w:p>
    <w:p w14:paraId="4D53D1D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符合参加政</w:t>
      </w:r>
      <w:r>
        <w:rPr>
          <w:rFonts w:hint="eastAsia" w:ascii="仿宋" w:hAnsi="仿宋" w:eastAsia="仿宋" w:cs="仿宋"/>
          <w:b/>
          <w:color w:val="auto"/>
          <w:kern w:val="0"/>
          <w:sz w:val="32"/>
          <w:szCs w:val="32"/>
          <w:highlight w:val="none"/>
          <w:lang w:eastAsia="zh-CN"/>
        </w:rPr>
        <w:t>企</w:t>
      </w:r>
      <w:r>
        <w:rPr>
          <w:rFonts w:hint="eastAsia" w:ascii="仿宋" w:hAnsi="仿宋" w:eastAsia="仿宋" w:cs="仿宋"/>
          <w:b/>
          <w:color w:val="auto"/>
          <w:kern w:val="0"/>
          <w:sz w:val="32"/>
          <w:szCs w:val="32"/>
          <w:highlight w:val="none"/>
        </w:rPr>
        <w:t>采购活动应当具备的一般条件的承诺函</w:t>
      </w:r>
    </w:p>
    <w:p w14:paraId="43F9F185">
      <w:pPr>
        <w:snapToGrid w:val="0"/>
        <w:spacing w:line="360" w:lineRule="auto"/>
        <w:rPr>
          <w:rFonts w:hint="eastAsia" w:ascii="仿宋" w:hAnsi="仿宋" w:eastAsia="仿宋" w:cs="仿宋"/>
          <w:color w:val="auto"/>
          <w:sz w:val="24"/>
          <w:szCs w:val="24"/>
          <w:highlight w:val="none"/>
          <w:u w:val="single"/>
        </w:rPr>
      </w:pPr>
    </w:p>
    <w:p w14:paraId="533EBD6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r>
        <w:rPr>
          <w:rFonts w:hint="eastAsia" w:ascii="仿宋" w:hAnsi="仿宋" w:eastAsia="仿宋" w:cs="仿宋"/>
          <w:color w:val="auto"/>
          <w:sz w:val="24"/>
          <w:szCs w:val="24"/>
          <w:highlight w:val="none"/>
        </w:rPr>
        <w:t>：</w:t>
      </w:r>
    </w:p>
    <w:p w14:paraId="4ED61C1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kern w:val="0"/>
          <w:sz w:val="24"/>
          <w:szCs w:val="24"/>
          <w:highlight w:val="none"/>
          <w:lang w:val="zh-CN"/>
        </w:rPr>
        <w:t>【项目编号：】</w:t>
      </w:r>
      <w:r>
        <w:rPr>
          <w:rFonts w:hint="eastAsia" w:ascii="仿宋" w:hAnsi="仿宋" w:eastAsia="仿宋" w:cs="仿宋"/>
          <w:color w:val="auto"/>
          <w:sz w:val="24"/>
          <w:szCs w:val="24"/>
          <w:highlight w:val="none"/>
        </w:rPr>
        <w:t>政</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rPr>
        <w:t>采购活动，郑重承诺：</w:t>
      </w:r>
    </w:p>
    <w:p w14:paraId="4E4E0457">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嵊州市市属国有企业货物和服务采购管理办法（试行）</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十七</w:t>
      </w:r>
      <w:r>
        <w:rPr>
          <w:rFonts w:hint="eastAsia" w:ascii="仿宋" w:hAnsi="仿宋" w:eastAsia="仿宋" w:cs="仿宋"/>
          <w:color w:val="auto"/>
          <w:sz w:val="24"/>
          <w:szCs w:val="24"/>
          <w:highlight w:val="none"/>
        </w:rPr>
        <w:t>条规定的条件：</w:t>
      </w:r>
    </w:p>
    <w:p w14:paraId="49CFB4D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5EE462A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310A32D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A7109F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B60FAD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2FFF35C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2469AA1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6F8653D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51B667E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743ECAF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01C2C9F0">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sz w:val="24"/>
          <w:szCs w:val="24"/>
          <w:highlight w:val="none"/>
        </w:rPr>
        <w:t>以上承诺如有虚假或隐瞒，采购人可取消我方任何资格（投标/中标/签订合同），我方对此无任何异议，并愿意承担一切后果和责任。</w:t>
      </w:r>
    </w:p>
    <w:p w14:paraId="42BAAF07">
      <w:pPr>
        <w:snapToGrid w:val="0"/>
        <w:spacing w:line="360" w:lineRule="auto"/>
        <w:rPr>
          <w:rFonts w:hint="eastAsia" w:ascii="仿宋" w:hAnsi="仿宋" w:eastAsia="仿宋" w:cs="仿宋"/>
          <w:color w:val="auto"/>
          <w:kern w:val="0"/>
          <w:sz w:val="24"/>
          <w:szCs w:val="24"/>
          <w:highlight w:val="none"/>
          <w:lang w:val="zh-CN"/>
        </w:rPr>
      </w:pPr>
    </w:p>
    <w:p w14:paraId="1BAA7E6B">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14:paraId="404A6A1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3FF97662">
      <w:pPr>
        <w:spacing w:line="360" w:lineRule="auto"/>
        <w:jc w:val="both"/>
        <w:rPr>
          <w:rFonts w:hint="eastAsia" w:ascii="仿宋" w:hAnsi="仿宋" w:eastAsia="仿宋" w:cs="仿宋"/>
          <w:b/>
          <w:color w:val="auto"/>
          <w:sz w:val="32"/>
          <w:szCs w:val="32"/>
          <w:highlight w:val="none"/>
          <w:lang w:eastAsia="zh-CN"/>
        </w:rPr>
      </w:pPr>
    </w:p>
    <w:p w14:paraId="7677A84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rPr>
        <w:t>）</w:t>
      </w:r>
    </w:p>
    <w:p w14:paraId="1B0B536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文件第一部分”中“合格的供应商应具备的特定资格要求”编制；如果本项目没有设置特定资格条件，则不需要提供）</w:t>
      </w:r>
    </w:p>
    <w:p w14:paraId="7BAED916">
      <w:pPr>
        <w:widowControl/>
        <w:spacing w:line="360" w:lineRule="auto"/>
        <w:ind w:firstLine="480" w:firstLineChars="200"/>
        <w:jc w:val="left"/>
        <w:rPr>
          <w:rFonts w:hint="eastAsia" w:ascii="仿宋" w:hAnsi="仿宋" w:eastAsia="仿宋" w:cs="仿宋"/>
          <w:color w:val="auto"/>
          <w:sz w:val="24"/>
          <w:szCs w:val="24"/>
          <w:highlight w:val="none"/>
        </w:rPr>
      </w:pPr>
    </w:p>
    <w:p w14:paraId="68E66F4D">
      <w:pPr>
        <w:pStyle w:val="32"/>
        <w:rPr>
          <w:rFonts w:hint="eastAsia" w:ascii="仿宋" w:hAnsi="仿宋" w:eastAsia="仿宋" w:cs="仿宋"/>
          <w:color w:val="auto"/>
          <w:sz w:val="24"/>
          <w:szCs w:val="24"/>
          <w:highlight w:val="none"/>
        </w:rPr>
      </w:pPr>
    </w:p>
    <w:p w14:paraId="3C392EAF">
      <w:pPr>
        <w:pStyle w:val="33"/>
        <w:rPr>
          <w:rFonts w:hint="eastAsia" w:ascii="仿宋" w:hAnsi="仿宋" w:eastAsia="仿宋" w:cs="仿宋"/>
          <w:color w:val="auto"/>
          <w:sz w:val="24"/>
          <w:szCs w:val="24"/>
          <w:highlight w:val="none"/>
        </w:rPr>
      </w:pPr>
    </w:p>
    <w:p w14:paraId="0722FB2D">
      <w:pPr>
        <w:snapToGrid w:val="0"/>
        <w:spacing w:line="360" w:lineRule="auto"/>
        <w:ind w:firstLine="5880" w:firstLineChars="2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14:paraId="116A8579">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2A402D27">
      <w:pPr>
        <w:snapToGrid w:val="0"/>
        <w:spacing w:line="360" w:lineRule="auto"/>
        <w:rPr>
          <w:rFonts w:hint="eastAsia" w:ascii="仿宋" w:hAnsi="仿宋" w:eastAsia="仿宋" w:cs="仿宋"/>
          <w:color w:val="auto"/>
          <w:kern w:val="0"/>
          <w:sz w:val="24"/>
          <w:szCs w:val="24"/>
          <w:highlight w:val="none"/>
          <w:lang w:val="zh-CN"/>
        </w:rPr>
      </w:pPr>
    </w:p>
    <w:p w14:paraId="0F8C77A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3CA64D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EA36DB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2E83A41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EFAB00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7E0FFE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EE86A9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77B19F5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EF6DEE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7935FC0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C7F66A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9D4E74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11DA10C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1BCCD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88E878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FFD78D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3CBF1C5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2B4DC2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color w:val="auto"/>
          <w:sz w:val="32"/>
          <w:szCs w:val="32"/>
          <w:highlight w:val="none"/>
        </w:rPr>
        <w:t>资信文件</w:t>
      </w:r>
      <w:r>
        <w:rPr>
          <w:rFonts w:hint="eastAsia" w:ascii="仿宋" w:hAnsi="仿宋" w:eastAsia="仿宋" w:cs="仿宋"/>
          <w:b/>
          <w:color w:val="auto"/>
          <w:sz w:val="32"/>
          <w:szCs w:val="32"/>
          <w:highlight w:val="none"/>
          <w:lang w:eastAsia="zh-CN"/>
        </w:rPr>
        <w:t>目录</w:t>
      </w:r>
    </w:p>
    <w:p w14:paraId="7DD21D2A">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1B62695A">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（1）评分索引表【格式附后】；</w:t>
      </w:r>
    </w:p>
    <w:p w14:paraId="33B8224A">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（2）营业执照扫描件；</w:t>
      </w:r>
    </w:p>
    <w:p w14:paraId="20883C6A">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（3）投标响应函【格式附后】；</w:t>
      </w:r>
    </w:p>
    <w:p w14:paraId="3C4513C7">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（4）授权委托书或法定代表人（单位负责人、自然人本人）身份证明【格式附后】；</w:t>
      </w:r>
    </w:p>
    <w:p w14:paraId="3A3EB7B4">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（5）主要业绩证明【格式附后】；</w:t>
      </w:r>
    </w:p>
    <w:p w14:paraId="04C27997">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（6）项目小组人员名单【格式附后】；</w:t>
      </w:r>
    </w:p>
    <w:p w14:paraId="2E7DCE3C">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（7）商务资信响应表、技术偏离表【格式附后】；</w:t>
      </w:r>
    </w:p>
    <w:p w14:paraId="64FFB937">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（8）设备配置清单（如果有）【格式附后】；</w:t>
      </w:r>
    </w:p>
    <w:p w14:paraId="076130CF">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（9）评标标准相应的商务技术资料；</w:t>
      </w:r>
    </w:p>
    <w:p w14:paraId="51832536">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（10）供应商廉洁自律承诺书【格式附后】；</w:t>
      </w:r>
    </w:p>
    <w:p w14:paraId="6A9604E4">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（11）供应商认为需要提供的与本项目其他相关资料。</w:t>
      </w:r>
    </w:p>
    <w:p w14:paraId="173A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485"/>
          <w:rFonts w:hint="eastAsia" w:ascii="仿宋" w:hAnsi="仿宋" w:eastAsia="仿宋" w:cs="仿宋"/>
          <w:b/>
          <w:bCs/>
          <w:color w:val="auto"/>
          <w:sz w:val="32"/>
          <w:szCs w:val="32"/>
          <w:highlight w:val="none"/>
        </w:rPr>
      </w:pPr>
      <w:r>
        <w:rPr>
          <w:rFonts w:hint="eastAsia" w:ascii="仿宋" w:hAnsi="仿宋" w:eastAsia="仿宋" w:cs="仿宋"/>
          <w:b/>
          <w:color w:val="auto"/>
          <w:spacing w:val="20"/>
          <w:sz w:val="24"/>
          <w:szCs w:val="24"/>
          <w:highlight w:val="none"/>
        </w:rPr>
        <w:t>注：以上目录是编制</w:t>
      </w:r>
      <w:r>
        <w:rPr>
          <w:rFonts w:hint="eastAsia" w:ascii="仿宋" w:hAnsi="仿宋" w:eastAsia="仿宋" w:cs="仿宋"/>
          <w:b/>
          <w:color w:val="auto"/>
          <w:spacing w:val="20"/>
          <w:sz w:val="24"/>
          <w:szCs w:val="24"/>
          <w:highlight w:val="none"/>
          <w:lang w:val="en-US" w:eastAsia="zh-CN"/>
        </w:rPr>
        <w:t>投标</w:t>
      </w:r>
      <w:r>
        <w:rPr>
          <w:rFonts w:hint="eastAsia" w:ascii="仿宋" w:hAnsi="仿宋" w:eastAsia="仿宋" w:cs="仿宋"/>
          <w:b/>
          <w:color w:val="auto"/>
          <w:spacing w:val="20"/>
          <w:sz w:val="24"/>
          <w:szCs w:val="24"/>
          <w:highlight w:val="none"/>
        </w:rPr>
        <w:t>文件</w:t>
      </w:r>
      <w:r>
        <w:rPr>
          <w:rFonts w:hint="eastAsia" w:ascii="仿宋" w:hAnsi="仿宋" w:eastAsia="仿宋" w:cs="仿宋"/>
          <w:b/>
          <w:color w:val="auto"/>
          <w:spacing w:val="20"/>
          <w:sz w:val="24"/>
          <w:szCs w:val="24"/>
          <w:highlight w:val="none"/>
          <w:lang w:eastAsia="zh-CN"/>
        </w:rPr>
        <w:t>商务技术文件部分</w:t>
      </w:r>
      <w:r>
        <w:rPr>
          <w:rFonts w:hint="eastAsia" w:ascii="仿宋" w:hAnsi="仿宋" w:eastAsia="仿宋" w:cs="仿宋"/>
          <w:b/>
          <w:color w:val="auto"/>
          <w:spacing w:val="20"/>
          <w:sz w:val="24"/>
          <w:szCs w:val="24"/>
          <w:highlight w:val="none"/>
        </w:rPr>
        <w:t>的基本格式要求，各</w:t>
      </w:r>
      <w:r>
        <w:rPr>
          <w:rFonts w:hint="eastAsia" w:ascii="仿宋" w:hAnsi="仿宋" w:eastAsia="仿宋" w:cs="仿宋"/>
          <w:b/>
          <w:color w:val="auto"/>
          <w:spacing w:val="20"/>
          <w:sz w:val="24"/>
          <w:szCs w:val="24"/>
          <w:highlight w:val="none"/>
          <w:lang w:val="en-US" w:eastAsia="zh-CN"/>
        </w:rPr>
        <w:t>供应商</w:t>
      </w:r>
      <w:r>
        <w:rPr>
          <w:rFonts w:hint="eastAsia" w:ascii="仿宋" w:hAnsi="仿宋" w:eastAsia="仿宋" w:cs="仿宋"/>
          <w:b/>
          <w:color w:val="auto"/>
          <w:spacing w:val="20"/>
          <w:sz w:val="24"/>
          <w:szCs w:val="24"/>
          <w:highlight w:val="none"/>
        </w:rPr>
        <w:t>可根据自身情况进一步细化（关联）。</w:t>
      </w:r>
      <w:r>
        <w:rPr>
          <w:rStyle w:val="485"/>
          <w:rFonts w:hint="eastAsia" w:ascii="仿宋" w:hAnsi="仿宋" w:eastAsia="仿宋" w:cs="仿宋"/>
          <w:b/>
          <w:bCs/>
          <w:color w:val="auto"/>
          <w:sz w:val="32"/>
          <w:szCs w:val="32"/>
          <w:highlight w:val="none"/>
        </w:rPr>
        <w:t xml:space="preserve"> </w:t>
      </w:r>
    </w:p>
    <w:p w14:paraId="310EA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lang w:val="en-US" w:eastAsia="zh-CN"/>
        </w:rPr>
      </w:pPr>
    </w:p>
    <w:p w14:paraId="01A589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5"/>
          <w:rFonts w:hint="eastAsia" w:ascii="仿宋" w:hAnsi="仿宋" w:eastAsia="仿宋" w:cs="仿宋"/>
          <w:b/>
          <w:bCs/>
          <w:color w:val="auto"/>
          <w:sz w:val="32"/>
          <w:szCs w:val="32"/>
          <w:highlight w:val="none"/>
          <w:lang w:val="en-US" w:eastAsia="zh-CN"/>
        </w:rPr>
      </w:pPr>
    </w:p>
    <w:bookmarkEnd w:id="116"/>
    <w:bookmarkEnd w:id="117"/>
    <w:bookmarkEnd w:id="118"/>
    <w:bookmarkEnd w:id="119"/>
    <w:bookmarkEnd w:id="120"/>
    <w:bookmarkEnd w:id="121"/>
    <w:bookmarkEnd w:id="130"/>
    <w:bookmarkEnd w:id="131"/>
    <w:p w14:paraId="364DB736">
      <w:pPr>
        <w:widowControl/>
        <w:rPr>
          <w:rFonts w:hint="eastAsia" w:ascii="仿宋" w:hAnsi="仿宋" w:eastAsia="仿宋" w:cs="仿宋"/>
          <w:color w:val="auto"/>
          <w:kern w:val="0"/>
          <w:sz w:val="24"/>
          <w:szCs w:val="24"/>
          <w:highlight w:val="none"/>
        </w:rPr>
      </w:pPr>
      <w:bookmarkStart w:id="137" w:name="_Toc339302147"/>
      <w:bookmarkStart w:id="138" w:name="_Toc32609"/>
      <w:bookmarkStart w:id="139" w:name="_Toc489481899"/>
      <w:bookmarkStart w:id="140" w:name="_Toc340322186"/>
      <w:bookmarkStart w:id="141" w:name="_Toc180555954"/>
      <w:bookmarkStart w:id="142" w:name="_Toc340321931"/>
    </w:p>
    <w:p w14:paraId="5C8656E7">
      <w:pPr>
        <w:widowControl/>
        <w:rPr>
          <w:rFonts w:hint="eastAsia" w:ascii="仿宋" w:hAnsi="仿宋" w:eastAsia="仿宋" w:cs="仿宋"/>
          <w:color w:val="auto"/>
          <w:kern w:val="0"/>
          <w:sz w:val="24"/>
          <w:szCs w:val="24"/>
          <w:highlight w:val="none"/>
        </w:rPr>
      </w:pPr>
    </w:p>
    <w:p w14:paraId="615F5E75">
      <w:pPr>
        <w:widowControl/>
        <w:rPr>
          <w:rFonts w:hint="eastAsia" w:ascii="仿宋" w:hAnsi="仿宋" w:eastAsia="仿宋" w:cs="仿宋"/>
          <w:color w:val="auto"/>
          <w:kern w:val="0"/>
          <w:sz w:val="24"/>
          <w:szCs w:val="24"/>
          <w:highlight w:val="none"/>
        </w:rPr>
      </w:pPr>
    </w:p>
    <w:p w14:paraId="6859E57E">
      <w:pPr>
        <w:widowControl/>
        <w:rPr>
          <w:rFonts w:hint="eastAsia" w:ascii="仿宋" w:hAnsi="仿宋" w:eastAsia="仿宋" w:cs="仿宋"/>
          <w:color w:val="auto"/>
          <w:kern w:val="0"/>
          <w:sz w:val="24"/>
          <w:szCs w:val="24"/>
          <w:highlight w:val="none"/>
        </w:rPr>
      </w:pPr>
    </w:p>
    <w:p w14:paraId="153C2D15">
      <w:pPr>
        <w:widowControl/>
        <w:rPr>
          <w:rFonts w:hint="eastAsia" w:ascii="仿宋" w:hAnsi="仿宋" w:eastAsia="仿宋" w:cs="仿宋"/>
          <w:color w:val="auto"/>
          <w:kern w:val="0"/>
          <w:sz w:val="24"/>
          <w:szCs w:val="24"/>
          <w:highlight w:val="none"/>
        </w:rPr>
      </w:pPr>
    </w:p>
    <w:p w14:paraId="2C7610BD">
      <w:pPr>
        <w:widowControl/>
        <w:rPr>
          <w:rFonts w:hint="eastAsia" w:ascii="仿宋" w:hAnsi="仿宋" w:eastAsia="仿宋" w:cs="仿宋"/>
          <w:color w:val="auto"/>
          <w:kern w:val="0"/>
          <w:sz w:val="24"/>
          <w:szCs w:val="24"/>
          <w:highlight w:val="none"/>
        </w:rPr>
      </w:pPr>
    </w:p>
    <w:p w14:paraId="08160886">
      <w:pPr>
        <w:widowControl/>
        <w:rPr>
          <w:rFonts w:hint="eastAsia" w:ascii="仿宋" w:hAnsi="仿宋" w:eastAsia="仿宋" w:cs="仿宋"/>
          <w:color w:val="auto"/>
          <w:kern w:val="0"/>
          <w:sz w:val="24"/>
          <w:szCs w:val="24"/>
          <w:highlight w:val="none"/>
        </w:rPr>
      </w:pPr>
    </w:p>
    <w:p w14:paraId="2D047A96">
      <w:pPr>
        <w:widowControl/>
        <w:rPr>
          <w:rFonts w:hint="eastAsia" w:ascii="仿宋" w:hAnsi="仿宋" w:eastAsia="仿宋" w:cs="仿宋"/>
          <w:color w:val="auto"/>
          <w:kern w:val="0"/>
          <w:sz w:val="24"/>
          <w:szCs w:val="24"/>
          <w:highlight w:val="none"/>
        </w:rPr>
      </w:pPr>
    </w:p>
    <w:p w14:paraId="56F442C6">
      <w:pPr>
        <w:widowControl/>
        <w:rPr>
          <w:rFonts w:hint="eastAsia" w:ascii="仿宋" w:hAnsi="仿宋" w:eastAsia="仿宋" w:cs="仿宋"/>
          <w:color w:val="auto"/>
          <w:kern w:val="0"/>
          <w:sz w:val="24"/>
          <w:szCs w:val="24"/>
          <w:highlight w:val="none"/>
        </w:rPr>
      </w:pPr>
    </w:p>
    <w:p w14:paraId="4F584BCA">
      <w:pPr>
        <w:widowControl/>
        <w:rPr>
          <w:rFonts w:hint="eastAsia" w:ascii="仿宋" w:hAnsi="仿宋" w:eastAsia="仿宋" w:cs="仿宋"/>
          <w:color w:val="auto"/>
          <w:kern w:val="0"/>
          <w:sz w:val="24"/>
          <w:szCs w:val="24"/>
          <w:highlight w:val="none"/>
        </w:rPr>
      </w:pPr>
    </w:p>
    <w:p w14:paraId="1D0D8D70">
      <w:pPr>
        <w:widowControl/>
        <w:rPr>
          <w:rFonts w:hint="eastAsia" w:ascii="仿宋" w:hAnsi="仿宋" w:eastAsia="仿宋" w:cs="仿宋"/>
          <w:color w:val="auto"/>
          <w:kern w:val="0"/>
          <w:sz w:val="24"/>
          <w:szCs w:val="24"/>
          <w:highlight w:val="none"/>
        </w:rPr>
      </w:pPr>
    </w:p>
    <w:p w14:paraId="4F788F03">
      <w:pPr>
        <w:widowControl/>
        <w:rPr>
          <w:rFonts w:hint="eastAsia" w:ascii="仿宋" w:hAnsi="仿宋" w:eastAsia="仿宋" w:cs="仿宋"/>
          <w:color w:val="auto"/>
          <w:kern w:val="0"/>
          <w:sz w:val="24"/>
          <w:szCs w:val="24"/>
          <w:highlight w:val="none"/>
        </w:rPr>
      </w:pPr>
    </w:p>
    <w:p w14:paraId="3ED84B2B">
      <w:pPr>
        <w:widowControl/>
        <w:rPr>
          <w:rFonts w:hint="eastAsia" w:ascii="仿宋" w:hAnsi="仿宋" w:eastAsia="仿宋" w:cs="仿宋"/>
          <w:color w:val="auto"/>
          <w:kern w:val="0"/>
          <w:sz w:val="24"/>
          <w:szCs w:val="24"/>
          <w:highlight w:val="none"/>
        </w:rPr>
      </w:pPr>
    </w:p>
    <w:p w14:paraId="005FF113">
      <w:pPr>
        <w:widowControl/>
        <w:rPr>
          <w:rFonts w:hint="eastAsia" w:ascii="仿宋" w:hAnsi="仿宋" w:eastAsia="仿宋" w:cs="仿宋"/>
          <w:color w:val="auto"/>
          <w:kern w:val="0"/>
          <w:sz w:val="24"/>
          <w:szCs w:val="24"/>
          <w:highlight w:val="none"/>
        </w:rPr>
      </w:pPr>
    </w:p>
    <w:p w14:paraId="17523FFA">
      <w:pPr>
        <w:widowControl/>
        <w:rPr>
          <w:rFonts w:hint="eastAsia" w:ascii="仿宋" w:hAnsi="仿宋" w:eastAsia="仿宋" w:cs="仿宋"/>
          <w:color w:val="auto"/>
          <w:kern w:val="0"/>
          <w:sz w:val="24"/>
          <w:szCs w:val="24"/>
          <w:highlight w:val="none"/>
        </w:rPr>
      </w:pPr>
    </w:p>
    <w:p w14:paraId="1F59436B">
      <w:pPr>
        <w:widowControl/>
        <w:rPr>
          <w:rFonts w:hint="eastAsia" w:ascii="仿宋" w:hAnsi="仿宋" w:eastAsia="仿宋" w:cs="仿宋"/>
          <w:color w:val="auto"/>
          <w:kern w:val="0"/>
          <w:sz w:val="24"/>
          <w:szCs w:val="24"/>
          <w:highlight w:val="none"/>
        </w:rPr>
      </w:pPr>
    </w:p>
    <w:p w14:paraId="612CE3E9">
      <w:pPr>
        <w:widowControl/>
        <w:rPr>
          <w:rFonts w:hint="eastAsia" w:ascii="仿宋" w:hAnsi="仿宋" w:eastAsia="仿宋" w:cs="仿宋"/>
          <w:color w:val="auto"/>
          <w:kern w:val="0"/>
          <w:sz w:val="24"/>
          <w:szCs w:val="24"/>
          <w:highlight w:val="none"/>
        </w:rPr>
      </w:pPr>
    </w:p>
    <w:p w14:paraId="2CE4AF06">
      <w:pPr>
        <w:widowControl/>
        <w:rPr>
          <w:rFonts w:hint="eastAsia" w:ascii="仿宋" w:hAnsi="仿宋" w:eastAsia="仿宋" w:cs="仿宋"/>
          <w:color w:val="auto"/>
          <w:kern w:val="0"/>
          <w:sz w:val="24"/>
          <w:szCs w:val="24"/>
          <w:highlight w:val="none"/>
        </w:rPr>
      </w:pPr>
    </w:p>
    <w:p w14:paraId="561DBE16">
      <w:pPr>
        <w:spacing w:line="500" w:lineRule="exact"/>
        <w:jc w:val="center"/>
        <w:textAlignment w:val="baseline"/>
        <w:rPr>
          <w:rStyle w:val="504"/>
          <w:rFonts w:hint="eastAsia" w:ascii="仿宋" w:hAnsi="仿宋" w:eastAsia="仿宋" w:cs="仿宋"/>
          <w:b/>
          <w:bCs/>
          <w:color w:val="auto"/>
          <w:sz w:val="32"/>
          <w:szCs w:val="32"/>
          <w:highlight w:val="none"/>
        </w:rPr>
      </w:pPr>
      <w:r>
        <w:rPr>
          <w:rStyle w:val="504"/>
          <w:rFonts w:hint="eastAsia" w:ascii="仿宋" w:hAnsi="仿宋" w:eastAsia="仿宋" w:cs="仿宋"/>
          <w:b/>
          <w:bCs/>
          <w:color w:val="auto"/>
          <w:sz w:val="32"/>
          <w:szCs w:val="32"/>
          <w:highlight w:val="none"/>
          <w:lang w:eastAsia="zh-CN"/>
        </w:rPr>
        <w:t>（</w:t>
      </w:r>
      <w:r>
        <w:rPr>
          <w:rStyle w:val="504"/>
          <w:rFonts w:hint="eastAsia" w:ascii="仿宋" w:hAnsi="仿宋" w:eastAsia="仿宋" w:cs="仿宋"/>
          <w:b/>
          <w:bCs/>
          <w:color w:val="auto"/>
          <w:sz w:val="32"/>
          <w:szCs w:val="32"/>
          <w:highlight w:val="none"/>
          <w:lang w:val="en-US" w:eastAsia="zh-CN"/>
        </w:rPr>
        <w:t>一</w:t>
      </w:r>
      <w:r>
        <w:rPr>
          <w:rStyle w:val="504"/>
          <w:rFonts w:hint="eastAsia" w:ascii="仿宋" w:hAnsi="仿宋" w:eastAsia="仿宋" w:cs="仿宋"/>
          <w:b/>
          <w:bCs/>
          <w:color w:val="auto"/>
          <w:sz w:val="32"/>
          <w:szCs w:val="32"/>
          <w:highlight w:val="none"/>
          <w:lang w:eastAsia="zh-CN"/>
        </w:rPr>
        <w:t>）</w:t>
      </w:r>
      <w:r>
        <w:rPr>
          <w:rStyle w:val="504"/>
          <w:rFonts w:hint="eastAsia" w:ascii="仿宋" w:hAnsi="仿宋" w:eastAsia="仿宋" w:cs="仿宋"/>
          <w:b/>
          <w:bCs/>
          <w:color w:val="auto"/>
          <w:sz w:val="32"/>
          <w:szCs w:val="32"/>
          <w:highlight w:val="none"/>
        </w:rPr>
        <w:t>评分索引表</w:t>
      </w:r>
    </w:p>
    <w:tbl>
      <w:tblPr>
        <w:tblStyle w:val="80"/>
        <w:tblW w:w="9143" w:type="dxa"/>
        <w:jc w:val="center"/>
        <w:tblLayout w:type="fixed"/>
        <w:tblCellMar>
          <w:top w:w="0" w:type="dxa"/>
          <w:left w:w="0" w:type="dxa"/>
          <w:bottom w:w="0" w:type="dxa"/>
          <w:right w:w="0" w:type="dxa"/>
        </w:tblCellMar>
      </w:tblPr>
      <w:tblGrid>
        <w:gridCol w:w="733"/>
        <w:gridCol w:w="1723"/>
        <w:gridCol w:w="4551"/>
        <w:gridCol w:w="1114"/>
        <w:gridCol w:w="1022"/>
      </w:tblGrid>
      <w:tr w14:paraId="3200E01A">
        <w:tblPrEx>
          <w:tblCellMar>
            <w:top w:w="0" w:type="dxa"/>
            <w:left w:w="0" w:type="dxa"/>
            <w:bottom w:w="0" w:type="dxa"/>
            <w:right w:w="0" w:type="dxa"/>
          </w:tblCellMar>
        </w:tblPrEx>
        <w:trPr>
          <w:trHeight w:val="863"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A5C9A18">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lang w:eastAsia="zh-CN"/>
              </w:rPr>
            </w:pPr>
            <w:r>
              <w:rPr>
                <w:rStyle w:val="504"/>
                <w:rFonts w:hint="eastAsia" w:ascii="仿宋" w:hAnsi="仿宋" w:eastAsia="仿宋" w:cs="仿宋"/>
                <w:b/>
                <w:bCs/>
                <w:color w:val="auto"/>
                <w:sz w:val="24"/>
                <w:szCs w:val="24"/>
                <w:highlight w:val="none"/>
                <w:lang w:eastAsia="zh-CN"/>
              </w:rPr>
              <w:t>序号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17CFAC5">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评审内容</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5190AAA">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评分标准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AE2713D">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rPr>
            </w:pPr>
            <w:r>
              <w:rPr>
                <w:rStyle w:val="504"/>
                <w:rFonts w:hint="eastAsia" w:ascii="仿宋" w:hAnsi="仿宋" w:eastAsia="仿宋" w:cs="仿宋"/>
                <w:b/>
                <w:bCs/>
                <w:color w:val="auto"/>
                <w:sz w:val="24"/>
                <w:szCs w:val="24"/>
                <w:highlight w:val="none"/>
              </w:rPr>
              <w:t>分值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4557BEA">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b/>
                <w:bCs/>
                <w:color w:val="auto"/>
                <w:sz w:val="24"/>
                <w:szCs w:val="24"/>
                <w:highlight w:val="none"/>
                <w:lang w:eastAsia="zh-CN"/>
              </w:rPr>
            </w:pPr>
            <w:r>
              <w:rPr>
                <w:rStyle w:val="504"/>
                <w:rFonts w:hint="eastAsia" w:ascii="仿宋" w:hAnsi="仿宋" w:eastAsia="仿宋" w:cs="仿宋"/>
                <w:b/>
                <w:bCs/>
                <w:color w:val="auto"/>
                <w:sz w:val="24"/>
                <w:szCs w:val="24"/>
                <w:highlight w:val="none"/>
              </w:rPr>
              <w:t>评分对应页码</w:t>
            </w:r>
          </w:p>
        </w:tc>
      </w:tr>
      <w:tr w14:paraId="7B870F2B">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77CAE5F">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63B89F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9325D7F">
            <w:pPr>
              <w:keepNext w:val="0"/>
              <w:keepLines w:val="0"/>
              <w:widowControl/>
              <w:suppressLineNumbers w:val="0"/>
              <w:spacing w:before="0" w:beforeAutospacing="0" w:after="0" w:afterAutospacing="0" w:line="360" w:lineRule="auto"/>
              <w:ind w:left="0" w:right="0"/>
              <w:jc w:val="left"/>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7CD9903">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6AAD27B">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r>
      <w:tr w14:paraId="6679EF13">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558DBF1">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4DA63B1">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E910246">
            <w:pPr>
              <w:keepNext w:val="0"/>
              <w:keepLines w:val="0"/>
              <w:widowControl/>
              <w:suppressLineNumbers w:val="0"/>
              <w:spacing w:before="0" w:beforeAutospacing="0" w:after="0" w:afterAutospacing="0" w:line="360" w:lineRule="auto"/>
              <w:ind w:left="0" w:right="0"/>
              <w:jc w:val="left"/>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867F61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DF1DD83">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679369FD">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276ED56">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F0E46F0">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C9AF7C2">
            <w:pPr>
              <w:keepNext w:val="0"/>
              <w:keepLines w:val="0"/>
              <w:widowControl/>
              <w:suppressLineNumbers w:val="0"/>
              <w:spacing w:before="0" w:beforeAutospacing="0" w:after="0" w:afterAutospacing="0" w:line="360" w:lineRule="auto"/>
              <w:ind w:left="0" w:right="0"/>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1EC77F6">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63AADC8">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5617BA32">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768A6C39">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1D0E60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1D9EBA9">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3FA836">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6789A15">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4EBC9644">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054355E2">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r>
              <w:rPr>
                <w:rStyle w:val="504"/>
                <w:rFonts w:hint="eastAsia" w:ascii="仿宋" w:hAnsi="仿宋" w:eastAsia="仿宋" w:cs="仿宋"/>
                <w:color w:val="auto"/>
                <w:sz w:val="24"/>
                <w:szCs w:val="24"/>
                <w:highlight w:val="none"/>
                <w:lang w:val="en-US" w:eastAsia="zh-CN"/>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A668B6D">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5BD57B0">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AC413E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6B81B9B">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3A7F3CB3">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2871AD2D">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24096B5">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CCBAE17">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8065F3E">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3379C4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21312EB5">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11A2537">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837E57D">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1BB252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8F1228">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C88F1AD">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7B5CF3AF">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01E2920E">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6222A8B">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55F3CE24">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4812687">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72146FC">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6744536E">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CFE5075">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BB33B60">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15F59270">
            <w:pPr>
              <w:keepNext w:val="0"/>
              <w:keepLines w:val="0"/>
              <w:widowControl/>
              <w:suppressLineNumbers w:val="0"/>
              <w:spacing w:before="0" w:beforeAutospacing="0" w:after="0" w:afterAutospacing="0" w:line="380" w:lineRule="exact"/>
              <w:ind w:left="0" w:right="0"/>
              <w:jc w:val="left"/>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CEC0EFB">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E48A3EB">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r w14:paraId="3BF699FA">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DA7A7DC">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71CDE4C">
            <w:pPr>
              <w:keepNext w:val="0"/>
              <w:keepLines w:val="0"/>
              <w:widowControl/>
              <w:suppressLineNumbers w:val="0"/>
              <w:spacing w:before="0" w:beforeAutospacing="0" w:after="0" w:afterAutospacing="0" w:line="360" w:lineRule="auto"/>
              <w:ind w:left="0" w:right="0"/>
              <w:jc w:val="center"/>
              <w:textAlignment w:val="baseline"/>
              <w:rPr>
                <w:rStyle w:val="504"/>
                <w:rFonts w:hint="eastAsia" w:ascii="仿宋" w:hAnsi="仿宋" w:eastAsia="仿宋" w:cs="仿宋"/>
                <w:color w:val="auto"/>
                <w:sz w:val="24"/>
                <w:szCs w:val="24"/>
                <w:highlight w:val="none"/>
                <w:lang w:val="en-US" w:eastAsia="zh-CN"/>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9573653">
            <w:pPr>
              <w:keepNext w:val="0"/>
              <w:keepLines w:val="0"/>
              <w:widowControl/>
              <w:suppressLineNumbers w:val="0"/>
              <w:spacing w:before="0" w:beforeAutospacing="0" w:after="0" w:afterAutospacing="0" w:line="380" w:lineRule="exact"/>
              <w:ind w:left="0" w:right="0"/>
              <w:jc w:val="left"/>
              <w:textAlignment w:val="baseline"/>
              <w:rPr>
                <w:rStyle w:val="504"/>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17A7D3">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2522431">
            <w:pPr>
              <w:keepNext w:val="0"/>
              <w:keepLines w:val="0"/>
              <w:widowControl/>
              <w:suppressLineNumbers w:val="0"/>
              <w:spacing w:before="0" w:beforeAutospacing="0" w:after="0" w:afterAutospacing="0" w:line="360" w:lineRule="auto"/>
              <w:ind w:left="0" w:right="0"/>
              <w:jc w:val="center"/>
              <w:textAlignment w:val="center"/>
              <w:rPr>
                <w:rStyle w:val="504"/>
                <w:rFonts w:hint="eastAsia" w:ascii="仿宋" w:hAnsi="仿宋" w:eastAsia="仿宋" w:cs="仿宋"/>
                <w:color w:val="auto"/>
                <w:sz w:val="24"/>
                <w:szCs w:val="24"/>
                <w:highlight w:val="none"/>
              </w:rPr>
            </w:pPr>
          </w:p>
        </w:tc>
      </w:tr>
    </w:tbl>
    <w:p w14:paraId="1BA1DBE2">
      <w:pPr>
        <w:widowControl/>
        <w:rPr>
          <w:rFonts w:hint="eastAsia" w:ascii="仿宋" w:hAnsi="仿宋" w:eastAsia="仿宋" w:cs="仿宋"/>
          <w:color w:val="auto"/>
          <w:kern w:val="0"/>
          <w:sz w:val="24"/>
          <w:szCs w:val="24"/>
          <w:highlight w:val="none"/>
        </w:rPr>
      </w:pPr>
      <w:r>
        <w:rPr>
          <w:rStyle w:val="504"/>
          <w:rFonts w:hint="eastAsia" w:ascii="仿宋" w:hAnsi="仿宋" w:eastAsia="仿宋" w:cs="仿宋"/>
          <w:b/>
          <w:bCs/>
          <w:color w:val="auto"/>
          <w:sz w:val="24"/>
          <w:szCs w:val="24"/>
          <w:highlight w:val="none"/>
        </w:rPr>
        <w:t>注：评审</w:t>
      </w:r>
      <w:r>
        <w:rPr>
          <w:rStyle w:val="504"/>
          <w:rFonts w:hint="eastAsia" w:ascii="仿宋" w:hAnsi="仿宋" w:eastAsia="仿宋" w:cs="仿宋"/>
          <w:b/>
          <w:bCs/>
          <w:color w:val="auto"/>
          <w:sz w:val="24"/>
          <w:szCs w:val="24"/>
          <w:highlight w:val="none"/>
          <w:lang w:eastAsia="zh-CN"/>
        </w:rPr>
        <w:t>内容</w:t>
      </w:r>
      <w:r>
        <w:rPr>
          <w:rStyle w:val="504"/>
          <w:rFonts w:hint="eastAsia" w:ascii="仿宋" w:hAnsi="仿宋" w:eastAsia="仿宋" w:cs="仿宋"/>
          <w:b/>
          <w:bCs/>
          <w:color w:val="auto"/>
          <w:sz w:val="24"/>
          <w:szCs w:val="24"/>
          <w:highlight w:val="none"/>
        </w:rPr>
        <w:t>、评分标准、分值对应“评审标准”内容。</w:t>
      </w:r>
    </w:p>
    <w:p w14:paraId="1BD929AD">
      <w:pPr>
        <w:widowControl/>
        <w:rPr>
          <w:rFonts w:hint="eastAsia" w:ascii="仿宋" w:hAnsi="仿宋" w:eastAsia="仿宋" w:cs="仿宋"/>
          <w:color w:val="auto"/>
          <w:kern w:val="0"/>
          <w:sz w:val="24"/>
          <w:szCs w:val="24"/>
          <w:highlight w:val="none"/>
        </w:rPr>
      </w:pPr>
    </w:p>
    <w:p w14:paraId="2B773A71">
      <w:pPr>
        <w:widowControl/>
        <w:rPr>
          <w:rFonts w:hint="eastAsia" w:ascii="仿宋" w:hAnsi="仿宋" w:eastAsia="仿宋" w:cs="仿宋"/>
          <w:color w:val="auto"/>
          <w:kern w:val="0"/>
          <w:sz w:val="24"/>
          <w:szCs w:val="24"/>
          <w:highlight w:val="none"/>
        </w:rPr>
      </w:pPr>
    </w:p>
    <w:p w14:paraId="08D46E0B">
      <w:pPr>
        <w:widowControl/>
        <w:rPr>
          <w:rFonts w:hint="eastAsia" w:ascii="仿宋" w:hAnsi="仿宋" w:eastAsia="仿宋" w:cs="仿宋"/>
          <w:color w:val="auto"/>
          <w:kern w:val="0"/>
          <w:sz w:val="24"/>
          <w:szCs w:val="24"/>
          <w:highlight w:val="none"/>
        </w:rPr>
      </w:pPr>
    </w:p>
    <w:p w14:paraId="45FE124E">
      <w:pPr>
        <w:widowControl/>
        <w:rPr>
          <w:rFonts w:hint="eastAsia" w:ascii="仿宋" w:hAnsi="仿宋" w:eastAsia="仿宋" w:cs="仿宋"/>
          <w:color w:val="auto"/>
          <w:kern w:val="0"/>
          <w:sz w:val="24"/>
          <w:szCs w:val="24"/>
          <w:highlight w:val="none"/>
        </w:rPr>
      </w:pPr>
    </w:p>
    <w:p w14:paraId="4D5C1F8A">
      <w:pPr>
        <w:widowControl/>
        <w:rPr>
          <w:rFonts w:hint="eastAsia" w:ascii="仿宋" w:hAnsi="仿宋" w:eastAsia="仿宋" w:cs="仿宋"/>
          <w:color w:val="auto"/>
          <w:kern w:val="0"/>
          <w:sz w:val="24"/>
          <w:szCs w:val="24"/>
          <w:highlight w:val="none"/>
        </w:rPr>
      </w:pPr>
    </w:p>
    <w:p w14:paraId="6CD393D5">
      <w:pPr>
        <w:widowControl/>
        <w:rPr>
          <w:rFonts w:hint="eastAsia" w:ascii="仿宋" w:hAnsi="仿宋" w:eastAsia="仿宋" w:cs="仿宋"/>
          <w:color w:val="auto"/>
          <w:kern w:val="0"/>
          <w:sz w:val="24"/>
          <w:szCs w:val="24"/>
          <w:highlight w:val="none"/>
        </w:rPr>
      </w:pPr>
    </w:p>
    <w:p w14:paraId="1395E3E3">
      <w:pPr>
        <w:widowControl/>
        <w:rPr>
          <w:rFonts w:hint="eastAsia" w:ascii="仿宋" w:hAnsi="仿宋" w:eastAsia="仿宋" w:cs="仿宋"/>
          <w:color w:val="auto"/>
          <w:kern w:val="0"/>
          <w:sz w:val="24"/>
          <w:szCs w:val="24"/>
          <w:highlight w:val="none"/>
        </w:rPr>
      </w:pPr>
    </w:p>
    <w:p w14:paraId="62E3A9F0">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106C6A9A">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eastAsia="zh-CN"/>
        </w:rPr>
        <w:t>）营业执照扫描件</w:t>
      </w:r>
    </w:p>
    <w:p w14:paraId="5D57640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24"/>
          <w:szCs w:val="24"/>
          <w:highlight w:val="none"/>
          <w:lang w:eastAsia="zh-CN"/>
        </w:rPr>
      </w:pPr>
    </w:p>
    <w:p w14:paraId="131BD29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lang w:eastAsia="zh-CN"/>
        </w:rPr>
      </w:pPr>
    </w:p>
    <w:p w14:paraId="1256B0D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响应函</w:t>
      </w:r>
    </w:p>
    <w:p w14:paraId="72D5A0A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lang w:eastAsia="zh-CN"/>
        </w:rPr>
        <w:t>致（采购人）、（采购代理机构）</w:t>
      </w:r>
      <w:r>
        <w:rPr>
          <w:rFonts w:hint="eastAsia" w:ascii="仿宋" w:hAnsi="仿宋" w:eastAsia="仿宋" w:cs="仿宋"/>
          <w:b/>
          <w:color w:val="auto"/>
          <w:sz w:val="24"/>
          <w:szCs w:val="24"/>
          <w:highlight w:val="none"/>
        </w:rPr>
        <w:t>：</w:t>
      </w:r>
    </w:p>
    <w:p w14:paraId="4157F0F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eastAsia="zh-CN"/>
        </w:rPr>
        <w:t>项目</w:t>
      </w:r>
      <w:r>
        <w:rPr>
          <w:rFonts w:hint="eastAsia" w:ascii="仿宋" w:hAnsi="仿宋" w:eastAsia="仿宋" w:cs="仿宋"/>
          <w:i w:val="0"/>
          <w:iCs w:val="0"/>
          <w:color w:val="auto"/>
          <w:sz w:val="24"/>
          <w:szCs w:val="24"/>
          <w:highlight w:val="none"/>
          <w:u w:val="singl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14:paraId="50BA27E6">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我方同意在编制和提交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日期起遵守本</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文件中的承诺且在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 xml:space="preserve">有效期满之前均具有约束力。                 </w:t>
      </w:r>
    </w:p>
    <w:p w14:paraId="2D366149">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我方承诺已经具备供应商应当具备的条件：</w:t>
      </w:r>
    </w:p>
    <w:p w14:paraId="0380CA6F">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4864B7B8">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遵守国家法律、行政法规，具有良好的信誉和商业道德；</w:t>
      </w:r>
    </w:p>
    <w:p w14:paraId="46BB9A68">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具有履行合同的能力和良好的履行合同记录；</w:t>
      </w:r>
    </w:p>
    <w:p w14:paraId="7C284DC3">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良好的资金、财务状况；</w:t>
      </w:r>
    </w:p>
    <w:p w14:paraId="2C09F375">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没有发生重大经济纠纷和走私犯罪记录；</w:t>
      </w:r>
    </w:p>
    <w:p w14:paraId="3F422697">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文件须知规定的全部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文件。具体内容为：</w:t>
      </w:r>
    </w:p>
    <w:p w14:paraId="3A8F728D">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资格证明文件；</w:t>
      </w:r>
    </w:p>
    <w:p w14:paraId="6F2FAFB0">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商务技术文件；</w:t>
      </w:r>
    </w:p>
    <w:p w14:paraId="11745885">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w:t>
      </w:r>
    </w:p>
    <w:p w14:paraId="498F3785">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提交的全部文件。</w:t>
      </w:r>
    </w:p>
    <w:p w14:paraId="0EDB5152">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文件要求提供服务的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p>
    <w:p w14:paraId="20DA6388">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保证忠实地执行双方所签订的合同，并承担合同规定的责任和义务。</w:t>
      </w:r>
    </w:p>
    <w:p w14:paraId="4F9B5BCD">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保证遵守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文件中的其他有关规定。如果我单位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，我方将按照《</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通知书》要求与贵方签订合同，严格履行合同义务。</w:t>
      </w:r>
    </w:p>
    <w:p w14:paraId="66911CAE">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后规定的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有效期内撤回</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我方同意贵方上报上级监管部门，列入不良行为名单，并给予通报。</w:t>
      </w:r>
    </w:p>
    <w:p w14:paraId="211F5F45">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我方愿意向贵方提供任何与该项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有关的数据、情况和技术资料。若贵方需要，我方愿意提供我方作出的一切承诺的证明材料。</w:t>
      </w:r>
    </w:p>
    <w:p w14:paraId="529C300D">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我方已详细审阅和理解全部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文件，包括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文件修改书（如有的话）、参考资料及有关附件，确认无误。</w:t>
      </w:r>
    </w:p>
    <w:p w14:paraId="20CC1722">
      <w:pPr>
        <w:keepNext w:val="0"/>
        <w:keepLines w:val="0"/>
        <w:pageBreakBefore w:val="0"/>
        <w:widowControl w:val="0"/>
        <w:kinsoku/>
        <w:wordWrap/>
        <w:overflowPunct/>
        <w:topLinePunct w:val="0"/>
        <w:autoSpaceDE/>
        <w:autoSpaceDN/>
        <w:bidi w:val="0"/>
        <w:adjustRightInd/>
        <w:snapToGrid/>
        <w:spacing w:line="440" w:lineRule="exact"/>
        <w:ind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 xml:space="preserve">（电子签名）：                          </w:t>
      </w:r>
    </w:p>
    <w:p w14:paraId="3DB3C228">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  年   月   日</w:t>
      </w:r>
    </w:p>
    <w:p w14:paraId="5F5D335F">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05E264DD">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2BF43D96">
      <w:pPr>
        <w:spacing w:line="500" w:lineRule="exact"/>
        <w:jc w:val="center"/>
        <w:rPr>
          <w:rFonts w:hint="eastAsia" w:ascii="仿宋" w:hAnsi="仿宋" w:eastAsia="仿宋" w:cs="仿宋"/>
          <w:b/>
          <w:bCs/>
          <w:color w:val="auto"/>
          <w:sz w:val="24"/>
          <w:szCs w:val="24"/>
          <w:highlight w:val="none"/>
          <w:lang w:eastAsia="zh-CN"/>
        </w:rPr>
      </w:pPr>
    </w:p>
    <w:p w14:paraId="23AD21D0">
      <w:pPr>
        <w:spacing w:line="500" w:lineRule="exact"/>
        <w:jc w:val="center"/>
        <w:rPr>
          <w:rFonts w:hint="eastAsia" w:ascii="仿宋" w:hAnsi="仿宋" w:eastAsia="仿宋" w:cs="仿宋"/>
          <w:b/>
          <w:bCs/>
          <w:color w:val="auto"/>
          <w:sz w:val="24"/>
          <w:szCs w:val="24"/>
          <w:highlight w:val="none"/>
          <w:lang w:eastAsia="zh-CN"/>
        </w:rPr>
      </w:pPr>
    </w:p>
    <w:p w14:paraId="39E6D17D">
      <w:pPr>
        <w:spacing w:line="500" w:lineRule="exact"/>
        <w:jc w:val="center"/>
        <w:rPr>
          <w:rFonts w:hint="eastAsia" w:ascii="仿宋" w:hAnsi="仿宋" w:eastAsia="仿宋" w:cs="仿宋"/>
          <w:b/>
          <w:bCs/>
          <w:color w:val="auto"/>
          <w:sz w:val="24"/>
          <w:szCs w:val="24"/>
          <w:highlight w:val="none"/>
          <w:lang w:eastAsia="zh-CN"/>
        </w:rPr>
      </w:pPr>
    </w:p>
    <w:p w14:paraId="6A4AF419">
      <w:pPr>
        <w:spacing w:line="500" w:lineRule="exact"/>
        <w:jc w:val="center"/>
        <w:rPr>
          <w:rFonts w:hint="eastAsia" w:ascii="仿宋" w:hAnsi="仿宋" w:eastAsia="仿宋" w:cs="仿宋"/>
          <w:b/>
          <w:bCs/>
          <w:color w:val="auto"/>
          <w:sz w:val="24"/>
          <w:szCs w:val="24"/>
          <w:highlight w:val="none"/>
          <w:lang w:eastAsia="zh-CN"/>
        </w:rPr>
      </w:pPr>
    </w:p>
    <w:p w14:paraId="22C84A23">
      <w:pPr>
        <w:spacing w:line="500" w:lineRule="exact"/>
        <w:jc w:val="center"/>
        <w:rPr>
          <w:rFonts w:hint="eastAsia" w:ascii="仿宋" w:hAnsi="仿宋" w:eastAsia="仿宋" w:cs="仿宋"/>
          <w:b/>
          <w:bCs/>
          <w:color w:val="auto"/>
          <w:sz w:val="24"/>
          <w:szCs w:val="24"/>
          <w:highlight w:val="none"/>
          <w:lang w:eastAsia="zh-CN"/>
        </w:rPr>
      </w:pPr>
    </w:p>
    <w:p w14:paraId="4E73AF3A">
      <w:pPr>
        <w:spacing w:line="500" w:lineRule="exact"/>
        <w:jc w:val="center"/>
        <w:rPr>
          <w:rFonts w:hint="eastAsia" w:ascii="仿宋" w:hAnsi="仿宋" w:eastAsia="仿宋" w:cs="仿宋"/>
          <w:b/>
          <w:bCs/>
          <w:color w:val="auto"/>
          <w:sz w:val="24"/>
          <w:szCs w:val="24"/>
          <w:highlight w:val="none"/>
          <w:lang w:eastAsia="zh-CN"/>
        </w:rPr>
      </w:pPr>
    </w:p>
    <w:p w14:paraId="72434A36">
      <w:pPr>
        <w:spacing w:line="500" w:lineRule="exact"/>
        <w:jc w:val="center"/>
        <w:rPr>
          <w:rFonts w:hint="eastAsia" w:ascii="仿宋" w:hAnsi="仿宋" w:eastAsia="仿宋" w:cs="仿宋"/>
          <w:b/>
          <w:bCs/>
          <w:color w:val="auto"/>
          <w:sz w:val="24"/>
          <w:szCs w:val="24"/>
          <w:highlight w:val="none"/>
          <w:lang w:eastAsia="zh-CN"/>
        </w:rPr>
      </w:pPr>
    </w:p>
    <w:p w14:paraId="67E9A015">
      <w:pPr>
        <w:spacing w:line="500" w:lineRule="exact"/>
        <w:jc w:val="center"/>
        <w:rPr>
          <w:rFonts w:hint="eastAsia" w:ascii="仿宋" w:hAnsi="仿宋" w:eastAsia="仿宋" w:cs="仿宋"/>
          <w:b/>
          <w:bCs/>
          <w:color w:val="auto"/>
          <w:sz w:val="24"/>
          <w:szCs w:val="24"/>
          <w:highlight w:val="none"/>
          <w:lang w:eastAsia="zh-CN"/>
        </w:rPr>
      </w:pPr>
    </w:p>
    <w:p w14:paraId="689D3101">
      <w:pPr>
        <w:spacing w:line="500" w:lineRule="exact"/>
        <w:jc w:val="center"/>
        <w:rPr>
          <w:rFonts w:hint="eastAsia" w:ascii="仿宋" w:hAnsi="仿宋" w:eastAsia="仿宋" w:cs="仿宋"/>
          <w:b/>
          <w:bCs/>
          <w:color w:val="auto"/>
          <w:sz w:val="24"/>
          <w:szCs w:val="24"/>
          <w:highlight w:val="none"/>
          <w:lang w:eastAsia="zh-CN"/>
        </w:rPr>
      </w:pPr>
    </w:p>
    <w:p w14:paraId="2DC0345D">
      <w:pPr>
        <w:spacing w:line="500" w:lineRule="exact"/>
        <w:jc w:val="center"/>
        <w:rPr>
          <w:rFonts w:hint="eastAsia" w:ascii="仿宋" w:hAnsi="仿宋" w:eastAsia="仿宋" w:cs="仿宋"/>
          <w:b/>
          <w:bCs/>
          <w:color w:val="auto"/>
          <w:sz w:val="24"/>
          <w:szCs w:val="24"/>
          <w:highlight w:val="none"/>
          <w:lang w:eastAsia="zh-CN"/>
        </w:rPr>
      </w:pPr>
    </w:p>
    <w:p w14:paraId="60ABF295">
      <w:pPr>
        <w:spacing w:line="500" w:lineRule="exact"/>
        <w:jc w:val="center"/>
        <w:rPr>
          <w:rFonts w:hint="eastAsia" w:ascii="仿宋" w:hAnsi="仿宋" w:eastAsia="仿宋" w:cs="仿宋"/>
          <w:b/>
          <w:bCs/>
          <w:color w:val="auto"/>
          <w:sz w:val="24"/>
          <w:szCs w:val="24"/>
          <w:highlight w:val="none"/>
          <w:lang w:eastAsia="zh-CN"/>
        </w:rPr>
      </w:pPr>
    </w:p>
    <w:p w14:paraId="3357AA19">
      <w:pPr>
        <w:spacing w:line="500" w:lineRule="exact"/>
        <w:jc w:val="center"/>
        <w:rPr>
          <w:rFonts w:hint="eastAsia" w:ascii="仿宋" w:hAnsi="仿宋" w:eastAsia="仿宋" w:cs="仿宋"/>
          <w:b/>
          <w:bCs/>
          <w:color w:val="auto"/>
          <w:sz w:val="24"/>
          <w:szCs w:val="24"/>
          <w:highlight w:val="none"/>
          <w:lang w:eastAsia="zh-CN"/>
        </w:rPr>
      </w:pPr>
    </w:p>
    <w:p w14:paraId="6AE55268">
      <w:pPr>
        <w:spacing w:line="500" w:lineRule="exact"/>
        <w:jc w:val="center"/>
        <w:rPr>
          <w:rFonts w:hint="eastAsia" w:ascii="仿宋" w:hAnsi="仿宋" w:eastAsia="仿宋" w:cs="仿宋"/>
          <w:b/>
          <w:bCs/>
          <w:color w:val="auto"/>
          <w:sz w:val="24"/>
          <w:szCs w:val="24"/>
          <w:highlight w:val="none"/>
          <w:lang w:eastAsia="zh-CN"/>
        </w:rPr>
      </w:pPr>
    </w:p>
    <w:p w14:paraId="56878594">
      <w:pPr>
        <w:spacing w:line="500" w:lineRule="exact"/>
        <w:jc w:val="center"/>
        <w:rPr>
          <w:rFonts w:hint="eastAsia" w:ascii="仿宋" w:hAnsi="仿宋" w:eastAsia="仿宋" w:cs="仿宋"/>
          <w:b/>
          <w:bCs/>
          <w:color w:val="auto"/>
          <w:sz w:val="24"/>
          <w:szCs w:val="24"/>
          <w:highlight w:val="none"/>
          <w:lang w:eastAsia="zh-CN"/>
        </w:rPr>
      </w:pPr>
    </w:p>
    <w:p w14:paraId="5DE61EF8">
      <w:pPr>
        <w:spacing w:line="500" w:lineRule="exact"/>
        <w:jc w:val="center"/>
        <w:rPr>
          <w:rFonts w:hint="eastAsia" w:ascii="仿宋" w:hAnsi="仿宋" w:eastAsia="仿宋" w:cs="仿宋"/>
          <w:b/>
          <w:bCs/>
          <w:color w:val="auto"/>
          <w:sz w:val="24"/>
          <w:szCs w:val="24"/>
          <w:highlight w:val="none"/>
          <w:lang w:eastAsia="zh-CN"/>
        </w:rPr>
      </w:pPr>
    </w:p>
    <w:p w14:paraId="10864823">
      <w:pPr>
        <w:spacing w:line="500" w:lineRule="exact"/>
        <w:jc w:val="center"/>
        <w:rPr>
          <w:rFonts w:hint="eastAsia" w:ascii="仿宋" w:hAnsi="仿宋" w:eastAsia="仿宋" w:cs="仿宋"/>
          <w:b/>
          <w:bCs/>
          <w:color w:val="auto"/>
          <w:sz w:val="24"/>
          <w:szCs w:val="24"/>
          <w:highlight w:val="none"/>
          <w:lang w:eastAsia="zh-CN"/>
        </w:rPr>
      </w:pPr>
    </w:p>
    <w:p w14:paraId="334DEF98">
      <w:pPr>
        <w:spacing w:line="500" w:lineRule="exact"/>
        <w:jc w:val="center"/>
        <w:rPr>
          <w:rFonts w:hint="eastAsia" w:ascii="仿宋" w:hAnsi="仿宋" w:eastAsia="仿宋" w:cs="仿宋"/>
          <w:b/>
          <w:bCs/>
          <w:color w:val="auto"/>
          <w:sz w:val="24"/>
          <w:szCs w:val="24"/>
          <w:highlight w:val="none"/>
          <w:lang w:eastAsia="zh-CN"/>
        </w:rPr>
      </w:pPr>
    </w:p>
    <w:p w14:paraId="15E55628">
      <w:pPr>
        <w:spacing w:line="500" w:lineRule="exact"/>
        <w:jc w:val="center"/>
        <w:rPr>
          <w:rFonts w:hint="eastAsia" w:ascii="仿宋" w:hAnsi="仿宋" w:eastAsia="仿宋" w:cs="仿宋"/>
          <w:b/>
          <w:bCs/>
          <w:color w:val="auto"/>
          <w:sz w:val="24"/>
          <w:szCs w:val="24"/>
          <w:highlight w:val="none"/>
          <w:lang w:eastAsia="zh-CN"/>
        </w:rPr>
      </w:pPr>
    </w:p>
    <w:p w14:paraId="01FFEF8A">
      <w:pPr>
        <w:spacing w:line="500" w:lineRule="exact"/>
        <w:jc w:val="center"/>
        <w:rPr>
          <w:rFonts w:hint="eastAsia" w:ascii="仿宋" w:hAnsi="仿宋" w:eastAsia="仿宋" w:cs="仿宋"/>
          <w:b/>
          <w:bCs/>
          <w:color w:val="auto"/>
          <w:sz w:val="24"/>
          <w:szCs w:val="24"/>
          <w:highlight w:val="none"/>
          <w:lang w:eastAsia="zh-CN"/>
        </w:rPr>
      </w:pPr>
    </w:p>
    <w:p w14:paraId="40F424A1">
      <w:pPr>
        <w:spacing w:line="500" w:lineRule="exact"/>
        <w:jc w:val="both"/>
        <w:rPr>
          <w:rFonts w:hint="eastAsia" w:ascii="仿宋" w:hAnsi="仿宋" w:eastAsia="仿宋" w:cs="仿宋"/>
          <w:b/>
          <w:bCs/>
          <w:color w:val="auto"/>
          <w:sz w:val="24"/>
          <w:szCs w:val="24"/>
          <w:highlight w:val="none"/>
          <w:lang w:eastAsia="zh-CN"/>
        </w:rPr>
      </w:pPr>
    </w:p>
    <w:p w14:paraId="61B29C98">
      <w:pPr>
        <w:spacing w:line="500" w:lineRule="exact"/>
        <w:jc w:val="center"/>
        <w:rPr>
          <w:rFonts w:hint="eastAsia" w:ascii="仿宋" w:hAnsi="仿宋" w:eastAsia="仿宋" w:cs="仿宋"/>
          <w:b/>
          <w:bCs/>
          <w:color w:val="auto"/>
          <w:sz w:val="24"/>
          <w:szCs w:val="24"/>
          <w:highlight w:val="none"/>
          <w:lang w:eastAsia="zh-CN"/>
        </w:rPr>
      </w:pPr>
    </w:p>
    <w:p w14:paraId="0D999F34">
      <w:pPr>
        <w:spacing w:line="500" w:lineRule="exact"/>
        <w:jc w:val="center"/>
        <w:rPr>
          <w:rFonts w:hint="eastAsia" w:ascii="仿宋" w:hAnsi="仿宋" w:eastAsia="仿宋" w:cs="仿宋"/>
          <w:b/>
          <w:bCs/>
          <w:color w:val="auto"/>
          <w:sz w:val="24"/>
          <w:szCs w:val="24"/>
          <w:highlight w:val="none"/>
          <w:lang w:eastAsia="zh-CN"/>
        </w:rPr>
      </w:pPr>
    </w:p>
    <w:p w14:paraId="2BD01AEF">
      <w:pPr>
        <w:spacing w:line="500" w:lineRule="exact"/>
        <w:jc w:val="center"/>
        <w:rPr>
          <w:rFonts w:hint="eastAsia" w:ascii="仿宋" w:hAnsi="仿宋" w:eastAsia="仿宋" w:cs="仿宋"/>
          <w:b/>
          <w:bCs/>
          <w:color w:val="auto"/>
          <w:sz w:val="32"/>
          <w:szCs w:val="32"/>
          <w:highlight w:val="none"/>
          <w:lang w:eastAsia="zh-CN"/>
        </w:rPr>
      </w:pPr>
    </w:p>
    <w:p w14:paraId="1A15D71F">
      <w:pPr>
        <w:spacing w:line="500" w:lineRule="exact"/>
        <w:jc w:val="center"/>
        <w:rPr>
          <w:rFonts w:hint="eastAsia" w:ascii="仿宋" w:hAnsi="仿宋" w:eastAsia="仿宋" w:cs="仿宋"/>
          <w:b/>
          <w:bCs/>
          <w:color w:val="auto"/>
          <w:sz w:val="32"/>
          <w:szCs w:val="32"/>
          <w:highlight w:val="none"/>
          <w:lang w:eastAsia="zh-CN"/>
        </w:rPr>
      </w:pPr>
    </w:p>
    <w:p w14:paraId="066EBEEA">
      <w:pPr>
        <w:spacing w:line="50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zh-CN" w:eastAsia="zh-CN"/>
        </w:rPr>
        <w:t>授权委托书或法定代表人（单位负责人、自然人本人）身份证明</w:t>
      </w:r>
    </w:p>
    <w:p w14:paraId="2D09BA7D">
      <w:pPr>
        <w:spacing w:line="50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法定代表人身份证明</w:t>
      </w:r>
    </w:p>
    <w:p w14:paraId="1C065B99">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2953CC37">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6C71EA74">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1E26095C">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37CBEBFE">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7C8459DC">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B81BBF8">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5333A09F">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7D0559BD">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3833D06A">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供应商名称）的法定代表人。</w:t>
      </w:r>
    </w:p>
    <w:p w14:paraId="61DA75DF">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208D798F">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538EE5FE">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568B3304">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供应商名称(电子签名)：</w:t>
      </w:r>
    </w:p>
    <w:p w14:paraId="517181DF">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14:paraId="5F259560">
      <w:pPr>
        <w:keepNext w:val="0"/>
        <w:keepLines w:val="0"/>
        <w:pageBreakBefore w:val="0"/>
        <w:widowControl/>
        <w:kinsoku/>
        <w:wordWrap/>
        <w:overflowPunct/>
        <w:topLinePunct w:val="0"/>
        <w:autoSpaceDE/>
        <w:autoSpaceDN/>
        <w:bidi w:val="0"/>
        <w:adjustRightInd/>
        <w:snapToGrid/>
        <w:spacing w:line="360" w:lineRule="auto"/>
        <w:ind w:right="0" w:firstLine="6120" w:firstLineChars="25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日 </w:t>
      </w:r>
    </w:p>
    <w:p w14:paraId="63363746">
      <w:pPr>
        <w:pStyle w:val="43"/>
        <w:spacing w:line="440" w:lineRule="atLeast"/>
        <w:jc w:val="center"/>
        <w:rPr>
          <w:rFonts w:hint="eastAsia" w:ascii="仿宋" w:hAnsi="仿宋" w:eastAsia="仿宋" w:cs="仿宋"/>
          <w:b/>
          <w:color w:val="auto"/>
          <w:kern w:val="2"/>
          <w:sz w:val="24"/>
          <w:szCs w:val="24"/>
          <w:highlight w:val="none"/>
        </w:rPr>
      </w:pPr>
    </w:p>
    <w:p w14:paraId="1E74D086">
      <w:pPr>
        <w:pStyle w:val="43"/>
        <w:spacing w:line="440" w:lineRule="atLeas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8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2F20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17BB724A">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506C2FDD">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49F33567">
      <w:pPr>
        <w:pStyle w:val="43"/>
        <w:spacing w:line="440" w:lineRule="atLeast"/>
        <w:jc w:val="left"/>
        <w:rPr>
          <w:rFonts w:hint="eastAsia" w:ascii="仿宋" w:hAnsi="仿宋" w:eastAsia="仿宋" w:cs="仿宋"/>
          <w:bCs/>
          <w:color w:val="auto"/>
          <w:kern w:val="2"/>
          <w:sz w:val="24"/>
          <w:szCs w:val="24"/>
          <w:highlight w:val="none"/>
          <w:lang w:val="en-US" w:eastAsia="zh-CN" w:bidi="ar-SA"/>
        </w:rPr>
      </w:pPr>
    </w:p>
    <w:p w14:paraId="551BC17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val="0"/>
          <w:bCs w:val="0"/>
          <w:color w:val="auto"/>
          <w:sz w:val="24"/>
          <w:szCs w:val="24"/>
          <w:highlight w:val="none"/>
          <w:lang w:val="en-US" w:eastAsia="zh-CN"/>
        </w:rPr>
      </w:pPr>
    </w:p>
    <w:p w14:paraId="31350A0B">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kern w:val="2"/>
          <w:sz w:val="32"/>
          <w:szCs w:val="32"/>
          <w:highlight w:val="none"/>
        </w:rPr>
        <w:t>法定代表人授权委托书</w:t>
      </w:r>
    </w:p>
    <w:p w14:paraId="1135320E">
      <w:pPr>
        <w:pStyle w:val="32"/>
        <w:rPr>
          <w:rFonts w:hint="eastAsia" w:ascii="仿宋" w:hAnsi="仿宋" w:eastAsia="仿宋" w:cs="仿宋"/>
          <w:color w:val="auto"/>
          <w:sz w:val="24"/>
          <w:szCs w:val="24"/>
          <w:highlight w:val="none"/>
        </w:rPr>
      </w:pPr>
    </w:p>
    <w:p w14:paraId="6A2804C6">
      <w:pPr>
        <w:jc w:val="center"/>
        <w:rPr>
          <w:rFonts w:hint="eastAsia" w:ascii="仿宋" w:hAnsi="仿宋" w:eastAsia="仿宋" w:cs="仿宋"/>
          <w:color w:val="auto"/>
          <w:sz w:val="24"/>
          <w:szCs w:val="24"/>
          <w:highlight w:val="none"/>
        </w:rPr>
      </w:pPr>
    </w:p>
    <w:p w14:paraId="485287A1">
      <w:pPr>
        <w:rPr>
          <w:rFonts w:hint="eastAsia" w:ascii="仿宋" w:hAnsi="仿宋" w:eastAsia="仿宋" w:cs="仿宋"/>
          <w:color w:val="auto"/>
          <w:sz w:val="24"/>
          <w:szCs w:val="24"/>
          <w:highlight w:val="none"/>
        </w:rPr>
      </w:pPr>
    </w:p>
    <w:p w14:paraId="74C71E9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致（采购人）、（采购代理机构）</w:t>
      </w:r>
      <w:r>
        <w:rPr>
          <w:rFonts w:hint="eastAsia" w:ascii="仿宋" w:hAnsi="仿宋" w:eastAsia="仿宋" w:cs="仿宋"/>
          <w:color w:val="auto"/>
          <w:kern w:val="0"/>
          <w:sz w:val="24"/>
          <w:szCs w:val="24"/>
          <w:highlight w:val="none"/>
          <w:lang w:val="zh-CN"/>
        </w:rPr>
        <w:t>：</w:t>
      </w:r>
    </w:p>
    <w:p w14:paraId="6D23396E">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兹委派我公司</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先生/女士(其在本公司的职务是：</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 xml:space="preserve"> ，联系电话：</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传真：</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)，代表我公司全权处理</w:t>
      </w:r>
      <w:r>
        <w:rPr>
          <w:rFonts w:hint="eastAsia" w:ascii="仿宋" w:hAnsi="仿宋" w:eastAsia="仿宋" w:cs="仿宋"/>
          <w:color w:val="auto"/>
          <w:sz w:val="24"/>
          <w:szCs w:val="24"/>
          <w:highlight w:val="none"/>
        </w:rPr>
        <w:t>（项目名称）【项目编号：（采购编号）】</w:t>
      </w:r>
      <w:r>
        <w:rPr>
          <w:rFonts w:hint="eastAsia" w:ascii="仿宋" w:hAnsi="仿宋" w:eastAsia="仿宋" w:cs="仿宋"/>
          <w:color w:val="auto"/>
          <w:kern w:val="0"/>
          <w:sz w:val="24"/>
          <w:szCs w:val="24"/>
          <w:highlight w:val="none"/>
          <w:lang w:val="zh-CN"/>
        </w:rPr>
        <w:t>政府采购响应的一切事项，若</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val="zh-CN"/>
        </w:rPr>
        <w:t>则全权代表本公司签订相关合同，并负责处理合同履行等事宜。</w:t>
      </w:r>
    </w:p>
    <w:p w14:paraId="61BF06BF">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本委托书有效期：自    年 月  日起至    年  月  日止。</w:t>
      </w:r>
    </w:p>
    <w:p w14:paraId="334ECC3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特此告知。</w:t>
      </w:r>
    </w:p>
    <w:p w14:paraId="4C4B7316">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p>
    <w:p w14:paraId="559D2CE0">
      <w:pPr>
        <w:snapToGrid w:val="0"/>
        <w:spacing w:line="360" w:lineRule="auto"/>
        <w:rPr>
          <w:rFonts w:hint="eastAsia" w:ascii="仿宋" w:hAnsi="仿宋" w:eastAsia="仿宋" w:cs="仿宋"/>
          <w:color w:val="auto"/>
          <w:kern w:val="0"/>
          <w:sz w:val="24"/>
          <w:szCs w:val="24"/>
          <w:highlight w:val="none"/>
          <w:lang w:val="en-US" w:eastAsia="zh-CN"/>
        </w:rPr>
      </w:pPr>
    </w:p>
    <w:p w14:paraId="00B5B145">
      <w:pPr>
        <w:snapToGrid w:val="0"/>
        <w:spacing w:line="360" w:lineRule="auto"/>
        <w:ind w:firstLine="4800" w:firstLineChars="20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供应商名称(电子签名)：</w:t>
      </w:r>
    </w:p>
    <w:p w14:paraId="3EA6B14F">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签发日期：  年  月   日</w:t>
      </w:r>
    </w:p>
    <w:p w14:paraId="425B5300">
      <w:pPr>
        <w:snapToGrid w:val="0"/>
        <w:spacing w:line="360" w:lineRule="auto"/>
        <w:rPr>
          <w:rFonts w:hint="eastAsia" w:ascii="仿宋" w:hAnsi="仿宋" w:eastAsia="仿宋" w:cs="仿宋"/>
          <w:color w:val="auto"/>
          <w:kern w:val="0"/>
          <w:sz w:val="24"/>
          <w:szCs w:val="24"/>
          <w:highlight w:val="none"/>
          <w:lang w:val="zh-CN"/>
        </w:rPr>
      </w:pPr>
    </w:p>
    <w:p w14:paraId="7FBFEE5B">
      <w:pPr>
        <w:autoSpaceDE w:val="0"/>
        <w:autoSpaceDN w:val="0"/>
        <w:spacing w:line="360" w:lineRule="auto"/>
        <w:jc w:val="center"/>
        <w:rPr>
          <w:rFonts w:hint="eastAsia" w:ascii="仿宋" w:hAnsi="仿宋" w:eastAsia="仿宋" w:cs="仿宋"/>
          <w:color w:val="auto"/>
          <w:sz w:val="24"/>
          <w:szCs w:val="24"/>
          <w:highlight w:val="none"/>
        </w:rPr>
      </w:pPr>
    </w:p>
    <w:p w14:paraId="20B38413">
      <w:pPr>
        <w:pStyle w:val="559"/>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附：</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授权代表身份证件扫描件：</w:t>
      </w:r>
    </w:p>
    <w:tbl>
      <w:tblPr>
        <w:tblStyle w:val="8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056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noWrap w:val="0"/>
            <w:vAlign w:val="top"/>
          </w:tcPr>
          <w:p w14:paraId="3E965F47">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7AFD7D9">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c>
          <w:tcPr>
            <w:tcW w:w="4320" w:type="dxa"/>
            <w:noWrap w:val="0"/>
            <w:vAlign w:val="top"/>
          </w:tcPr>
          <w:p w14:paraId="06A28535">
            <w:pPr>
              <w:pStyle w:val="559"/>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27269FDC">
            <w:pPr>
              <w:pStyle w:val="559"/>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0BE71CCD">
      <w:pPr>
        <w:snapToGrid w:val="0"/>
        <w:spacing w:line="360" w:lineRule="auto"/>
        <w:ind w:firstLine="576"/>
        <w:jc w:val="right"/>
        <w:rPr>
          <w:rFonts w:hint="eastAsia" w:ascii="仿宋" w:hAnsi="仿宋" w:eastAsia="仿宋" w:cs="仿宋"/>
          <w:color w:val="auto"/>
          <w:kern w:val="0"/>
          <w:sz w:val="24"/>
          <w:szCs w:val="24"/>
          <w:highlight w:val="none"/>
          <w:lang w:val="zh-CN"/>
        </w:rPr>
      </w:pPr>
    </w:p>
    <w:p w14:paraId="2033D2F2">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CC9ADDF">
      <w:pPr>
        <w:snapToGrid w:val="0"/>
        <w:spacing w:line="360" w:lineRule="auto"/>
        <w:ind w:firstLine="576"/>
        <w:jc w:val="center"/>
        <w:rPr>
          <w:rFonts w:hint="eastAsia" w:ascii="仿宋" w:hAnsi="仿宋" w:eastAsia="仿宋" w:cs="仿宋"/>
          <w:color w:val="auto"/>
          <w:kern w:val="0"/>
          <w:sz w:val="24"/>
          <w:szCs w:val="24"/>
          <w:highlight w:val="none"/>
          <w:lang w:val="zh-CN"/>
        </w:rPr>
      </w:pPr>
    </w:p>
    <w:p w14:paraId="0208587E">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供应商名称(电子签名)：                              </w:t>
      </w:r>
    </w:p>
    <w:p w14:paraId="1B237C8D">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lang w:val="en-US" w:eastAsia="zh-CN"/>
        </w:rPr>
        <w:t xml:space="preserve">  日</w:t>
      </w:r>
    </w:p>
    <w:p w14:paraId="6AD14820">
      <w:pPr>
        <w:spacing w:line="360" w:lineRule="auto"/>
        <w:jc w:val="center"/>
        <w:rPr>
          <w:rFonts w:hint="eastAsia" w:ascii="仿宋" w:hAnsi="仿宋" w:eastAsia="仿宋" w:cs="仿宋"/>
          <w:b/>
          <w:bCs/>
          <w:color w:val="auto"/>
          <w:kern w:val="44"/>
          <w:sz w:val="24"/>
          <w:szCs w:val="24"/>
          <w:highlight w:val="none"/>
          <w:lang w:val="zh-CN" w:eastAsia="zh-CN" w:bidi="ar-SA"/>
        </w:rPr>
      </w:pPr>
    </w:p>
    <w:p w14:paraId="1F0FF62F">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44"/>
          <w:sz w:val="32"/>
          <w:szCs w:val="32"/>
          <w:highlight w:val="none"/>
          <w:lang w:val="zh-CN" w:eastAsia="zh-CN" w:bidi="ar-SA"/>
        </w:rPr>
        <w:t>（五）主要业绩证明</w:t>
      </w:r>
    </w:p>
    <w:tbl>
      <w:tblPr>
        <w:tblStyle w:val="80"/>
        <w:tblW w:w="9156" w:type="dxa"/>
        <w:tblInd w:w="108" w:type="dxa"/>
        <w:tblLayout w:type="fixed"/>
        <w:tblCellMar>
          <w:top w:w="0" w:type="dxa"/>
          <w:left w:w="108" w:type="dxa"/>
          <w:bottom w:w="0" w:type="dxa"/>
          <w:right w:w="108" w:type="dxa"/>
        </w:tblCellMar>
      </w:tblPr>
      <w:tblGrid>
        <w:gridCol w:w="1800"/>
        <w:gridCol w:w="986"/>
        <w:gridCol w:w="1200"/>
        <w:gridCol w:w="1260"/>
        <w:gridCol w:w="1124"/>
        <w:gridCol w:w="1921"/>
        <w:gridCol w:w="865"/>
      </w:tblGrid>
      <w:tr w14:paraId="1131317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23BA76D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07AC8EB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168C7E0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7B07A7D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D5C3FE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5707FA22">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w:t>
            </w:r>
          </w:p>
          <w:p w14:paraId="252F7B9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24" w:type="dxa"/>
            <w:tcBorders>
              <w:top w:val="single" w:color="auto" w:sz="6" w:space="0"/>
              <w:left w:val="single" w:color="auto" w:sz="6" w:space="0"/>
              <w:bottom w:val="single" w:color="auto" w:sz="6" w:space="0"/>
              <w:right w:val="single" w:color="auto" w:sz="6" w:space="0"/>
            </w:tcBorders>
            <w:noWrap w:val="0"/>
            <w:vAlign w:val="center"/>
          </w:tcPr>
          <w:p w14:paraId="3F51BB2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日期</w:t>
            </w:r>
          </w:p>
        </w:tc>
        <w:tc>
          <w:tcPr>
            <w:tcW w:w="1921" w:type="dxa"/>
            <w:tcBorders>
              <w:top w:val="single" w:color="auto" w:sz="6" w:space="0"/>
              <w:left w:val="single" w:color="auto" w:sz="6" w:space="0"/>
              <w:bottom w:val="single" w:color="auto" w:sz="6" w:space="0"/>
              <w:right w:val="single" w:color="auto" w:sz="6" w:space="0"/>
            </w:tcBorders>
            <w:noWrap w:val="0"/>
            <w:vAlign w:val="center"/>
          </w:tcPr>
          <w:p w14:paraId="76AD13B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项目地址与建设单位联系电话</w:t>
            </w:r>
          </w:p>
        </w:tc>
        <w:tc>
          <w:tcPr>
            <w:tcW w:w="865" w:type="dxa"/>
            <w:tcBorders>
              <w:top w:val="single" w:color="auto" w:sz="6" w:space="0"/>
              <w:left w:val="single" w:color="auto" w:sz="6" w:space="0"/>
              <w:bottom w:val="single" w:color="auto" w:sz="6" w:space="0"/>
              <w:right w:val="single" w:color="auto" w:sz="6" w:space="0"/>
            </w:tcBorders>
            <w:noWrap w:val="0"/>
            <w:vAlign w:val="center"/>
          </w:tcPr>
          <w:p w14:paraId="2D2F442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所在页码</w:t>
            </w:r>
          </w:p>
        </w:tc>
      </w:tr>
      <w:tr w14:paraId="4EDC0CA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7DA2883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5275D86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849F6D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D4055B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318FBC9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CE78B8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7B1D012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78BF96A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4C44F7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8F5F68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E4D2E2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48DE8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51863F5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730A44F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51F7391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32F4C19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6EB052A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E7F62F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E333B5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1EE58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7AAFDCD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5FFAAEB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5BCF7E9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536059D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62F2564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1EECF17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77DE99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85AB19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43DF85F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4F2686B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766B608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2948140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75277A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641A75D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6A47CB7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63BB20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629857C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44B997B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217D08A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bl>
    <w:p w14:paraId="50CB1A47">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注：供应商可按上述的格式自行编制，须随表提交相应的合同</w:t>
      </w:r>
      <w:r>
        <w:rPr>
          <w:rFonts w:hint="eastAsia" w:ascii="仿宋" w:hAnsi="仿宋" w:eastAsia="仿宋" w:cs="仿宋"/>
          <w:b/>
          <w:color w:val="auto"/>
          <w:sz w:val="24"/>
          <w:szCs w:val="24"/>
          <w:highlight w:val="none"/>
          <w:lang w:val="en-US" w:eastAsia="zh-CN"/>
        </w:rPr>
        <w:t>扫描</w:t>
      </w:r>
      <w:r>
        <w:rPr>
          <w:rFonts w:hint="eastAsia" w:ascii="仿宋" w:hAnsi="仿宋" w:eastAsia="仿宋" w:cs="仿宋"/>
          <w:b/>
          <w:color w:val="auto"/>
          <w:sz w:val="24"/>
          <w:szCs w:val="24"/>
          <w:highlight w:val="none"/>
        </w:rPr>
        <w:t>件并注明所在文件页码。</w:t>
      </w:r>
    </w:p>
    <w:p w14:paraId="3D0CDEEE">
      <w:pPr>
        <w:autoSpaceDE w:val="0"/>
        <w:autoSpaceDN w:val="0"/>
        <w:spacing w:line="360" w:lineRule="auto"/>
        <w:rPr>
          <w:rFonts w:hint="eastAsia" w:ascii="仿宋" w:hAnsi="仿宋" w:eastAsia="仿宋" w:cs="仿宋"/>
          <w:color w:val="auto"/>
          <w:sz w:val="24"/>
          <w:szCs w:val="24"/>
          <w:highlight w:val="none"/>
        </w:rPr>
      </w:pPr>
    </w:p>
    <w:p w14:paraId="3C1D3896">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0CA90009">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2DD67CF3">
      <w:pPr>
        <w:spacing w:line="360" w:lineRule="auto"/>
        <w:jc w:val="both"/>
        <w:rPr>
          <w:rFonts w:hint="eastAsia" w:ascii="仿宋" w:hAnsi="仿宋" w:eastAsia="仿宋" w:cs="仿宋"/>
          <w:b/>
          <w:bCs/>
          <w:color w:val="auto"/>
          <w:sz w:val="24"/>
          <w:szCs w:val="24"/>
          <w:highlight w:val="none"/>
          <w:lang w:eastAsia="zh-CN"/>
        </w:rPr>
      </w:pPr>
    </w:p>
    <w:p w14:paraId="22B47FB6">
      <w:pPr>
        <w:spacing w:line="360" w:lineRule="auto"/>
        <w:jc w:val="center"/>
        <w:rPr>
          <w:rFonts w:hint="eastAsia" w:ascii="仿宋" w:hAnsi="仿宋" w:eastAsia="仿宋" w:cs="仿宋"/>
          <w:b/>
          <w:bCs/>
          <w:color w:val="auto"/>
          <w:sz w:val="24"/>
          <w:szCs w:val="24"/>
          <w:highlight w:val="none"/>
          <w:lang w:eastAsia="zh-CN"/>
        </w:rPr>
      </w:pPr>
    </w:p>
    <w:p w14:paraId="5CA1212C">
      <w:pPr>
        <w:spacing w:line="360" w:lineRule="auto"/>
        <w:jc w:val="center"/>
        <w:rPr>
          <w:rFonts w:hint="eastAsia" w:ascii="仿宋" w:hAnsi="仿宋" w:eastAsia="仿宋" w:cs="仿宋"/>
          <w:b/>
          <w:bCs/>
          <w:color w:val="auto"/>
          <w:sz w:val="24"/>
          <w:szCs w:val="24"/>
          <w:highlight w:val="none"/>
          <w:lang w:eastAsia="zh-CN"/>
        </w:rPr>
      </w:pPr>
    </w:p>
    <w:p w14:paraId="2E0BCA02">
      <w:pPr>
        <w:spacing w:line="360" w:lineRule="auto"/>
        <w:jc w:val="center"/>
        <w:rPr>
          <w:rFonts w:hint="eastAsia" w:ascii="仿宋" w:hAnsi="仿宋" w:eastAsia="仿宋" w:cs="仿宋"/>
          <w:b/>
          <w:bCs/>
          <w:color w:val="auto"/>
          <w:sz w:val="24"/>
          <w:szCs w:val="24"/>
          <w:highlight w:val="none"/>
          <w:lang w:eastAsia="zh-CN"/>
        </w:rPr>
      </w:pPr>
    </w:p>
    <w:p w14:paraId="2020117A">
      <w:pPr>
        <w:spacing w:line="360" w:lineRule="auto"/>
        <w:jc w:val="center"/>
        <w:rPr>
          <w:rFonts w:hint="eastAsia" w:ascii="仿宋" w:hAnsi="仿宋" w:eastAsia="仿宋" w:cs="仿宋"/>
          <w:b/>
          <w:bCs/>
          <w:color w:val="auto"/>
          <w:sz w:val="24"/>
          <w:szCs w:val="24"/>
          <w:highlight w:val="none"/>
          <w:lang w:eastAsia="zh-CN"/>
        </w:rPr>
      </w:pPr>
    </w:p>
    <w:p w14:paraId="38FCA38B">
      <w:pPr>
        <w:spacing w:line="360" w:lineRule="auto"/>
        <w:jc w:val="center"/>
        <w:rPr>
          <w:rFonts w:hint="eastAsia" w:ascii="仿宋" w:hAnsi="仿宋" w:eastAsia="仿宋" w:cs="仿宋"/>
          <w:b/>
          <w:bCs/>
          <w:color w:val="auto"/>
          <w:sz w:val="24"/>
          <w:szCs w:val="24"/>
          <w:highlight w:val="none"/>
          <w:lang w:eastAsia="zh-CN"/>
        </w:rPr>
      </w:pPr>
    </w:p>
    <w:p w14:paraId="58C4859F">
      <w:pPr>
        <w:spacing w:line="360" w:lineRule="auto"/>
        <w:jc w:val="center"/>
        <w:rPr>
          <w:rFonts w:hint="eastAsia" w:ascii="仿宋" w:hAnsi="仿宋" w:eastAsia="仿宋" w:cs="仿宋"/>
          <w:b/>
          <w:bCs/>
          <w:color w:val="auto"/>
          <w:sz w:val="24"/>
          <w:szCs w:val="24"/>
          <w:highlight w:val="none"/>
          <w:lang w:eastAsia="zh-CN"/>
        </w:rPr>
      </w:pPr>
    </w:p>
    <w:p w14:paraId="6E5B047C">
      <w:pPr>
        <w:spacing w:line="360" w:lineRule="auto"/>
        <w:jc w:val="center"/>
        <w:rPr>
          <w:rFonts w:hint="eastAsia" w:ascii="仿宋" w:hAnsi="仿宋" w:eastAsia="仿宋" w:cs="仿宋"/>
          <w:b/>
          <w:bCs/>
          <w:color w:val="auto"/>
          <w:sz w:val="24"/>
          <w:szCs w:val="24"/>
          <w:highlight w:val="none"/>
          <w:lang w:eastAsia="zh-CN"/>
        </w:rPr>
      </w:pPr>
    </w:p>
    <w:p w14:paraId="17EC1F17">
      <w:pPr>
        <w:spacing w:line="360" w:lineRule="auto"/>
        <w:jc w:val="center"/>
        <w:rPr>
          <w:rFonts w:hint="eastAsia" w:ascii="仿宋" w:hAnsi="仿宋" w:eastAsia="仿宋" w:cs="仿宋"/>
          <w:b/>
          <w:bCs/>
          <w:color w:val="auto"/>
          <w:sz w:val="24"/>
          <w:szCs w:val="24"/>
          <w:highlight w:val="none"/>
          <w:lang w:eastAsia="zh-CN"/>
        </w:rPr>
      </w:pPr>
    </w:p>
    <w:p w14:paraId="14A3460B">
      <w:pPr>
        <w:spacing w:line="360" w:lineRule="auto"/>
        <w:jc w:val="center"/>
        <w:rPr>
          <w:rFonts w:hint="eastAsia" w:ascii="仿宋" w:hAnsi="仿宋" w:eastAsia="仿宋" w:cs="仿宋"/>
          <w:b/>
          <w:bCs/>
          <w:color w:val="auto"/>
          <w:sz w:val="24"/>
          <w:szCs w:val="24"/>
          <w:highlight w:val="none"/>
          <w:lang w:eastAsia="zh-CN"/>
        </w:rPr>
      </w:pPr>
    </w:p>
    <w:p w14:paraId="724EFD7A">
      <w:pPr>
        <w:spacing w:line="360" w:lineRule="auto"/>
        <w:jc w:val="center"/>
        <w:rPr>
          <w:rFonts w:hint="eastAsia" w:ascii="仿宋" w:hAnsi="仿宋" w:eastAsia="仿宋" w:cs="仿宋"/>
          <w:b/>
          <w:bCs/>
          <w:color w:val="auto"/>
          <w:sz w:val="24"/>
          <w:szCs w:val="24"/>
          <w:highlight w:val="none"/>
          <w:lang w:eastAsia="zh-CN"/>
        </w:rPr>
      </w:pPr>
    </w:p>
    <w:p w14:paraId="3446A4EE">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项目小组人员名单</w:t>
      </w:r>
    </w:p>
    <w:p w14:paraId="6909F4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（由供应商根据采购需求及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文件要求编制）</w:t>
      </w:r>
    </w:p>
    <w:p w14:paraId="4559B27D">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A：</w:t>
      </w:r>
      <w:r>
        <w:rPr>
          <w:rFonts w:hint="eastAsia" w:ascii="仿宋" w:hAnsi="仿宋" w:eastAsia="仿宋" w:cs="仿宋"/>
          <w:b/>
          <w:color w:val="auto"/>
          <w:sz w:val="24"/>
          <w:szCs w:val="24"/>
          <w:highlight w:val="none"/>
        </w:rPr>
        <w:t>本项目的项目经理情况表</w:t>
      </w:r>
    </w:p>
    <w:tbl>
      <w:tblPr>
        <w:tblStyle w:val="80"/>
        <w:tblW w:w="9521" w:type="dxa"/>
        <w:tblInd w:w="0" w:type="dxa"/>
        <w:tblLayout w:type="fixed"/>
        <w:tblCellMar>
          <w:top w:w="0" w:type="dxa"/>
          <w:left w:w="108" w:type="dxa"/>
          <w:bottom w:w="0" w:type="dxa"/>
          <w:right w:w="108" w:type="dxa"/>
        </w:tblCellMar>
      </w:tblPr>
      <w:tblGrid>
        <w:gridCol w:w="2554"/>
        <w:gridCol w:w="1787"/>
        <w:gridCol w:w="5180"/>
      </w:tblGrid>
      <w:tr w14:paraId="3FDF9B3F">
        <w:tblPrEx>
          <w:tblCellMar>
            <w:top w:w="0" w:type="dxa"/>
            <w:left w:w="108" w:type="dxa"/>
            <w:bottom w:w="0" w:type="dxa"/>
            <w:right w:w="108" w:type="dxa"/>
          </w:tblCellMar>
        </w:tblPrEx>
        <w:trPr>
          <w:trHeight w:val="1035" w:hRule="atLeast"/>
        </w:trPr>
        <w:tc>
          <w:tcPr>
            <w:tcW w:w="255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482756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7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EB09A6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tcBorders>
              <w:top w:val="single" w:color="auto" w:sz="6" w:space="0"/>
              <w:left w:val="single" w:color="auto" w:sz="6" w:space="0"/>
              <w:bottom w:val="single" w:color="auto" w:sz="6" w:space="0"/>
              <w:right w:val="single" w:color="auto" w:sz="6" w:space="0"/>
            </w:tcBorders>
            <w:noWrap w:val="0"/>
            <w:vAlign w:val="center"/>
          </w:tcPr>
          <w:p w14:paraId="6660920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6F5C156E">
        <w:tblPrEx>
          <w:tblCellMar>
            <w:top w:w="0" w:type="dxa"/>
            <w:left w:w="108" w:type="dxa"/>
            <w:bottom w:w="0" w:type="dxa"/>
            <w:right w:w="108" w:type="dxa"/>
          </w:tblCellMar>
        </w:tblPrEx>
        <w:trPr>
          <w:cantSplit/>
          <w:trHeight w:val="49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9EBB2F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3B901F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restart"/>
            <w:tcBorders>
              <w:top w:val="single" w:color="auto" w:sz="6" w:space="0"/>
              <w:left w:val="single" w:color="auto" w:sz="6" w:space="0"/>
              <w:bottom w:val="single" w:color="auto" w:sz="6" w:space="0"/>
              <w:right w:val="single" w:color="auto" w:sz="6" w:space="0"/>
            </w:tcBorders>
            <w:noWrap w:val="0"/>
            <w:vAlign w:val="center"/>
          </w:tcPr>
          <w:p w14:paraId="76990D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54E152A9">
        <w:tblPrEx>
          <w:tblCellMar>
            <w:top w:w="0" w:type="dxa"/>
            <w:left w:w="108" w:type="dxa"/>
            <w:bottom w:w="0" w:type="dxa"/>
            <w:right w:w="108" w:type="dxa"/>
          </w:tblCellMar>
        </w:tblPrEx>
        <w:trPr>
          <w:cantSplit/>
          <w:trHeight w:val="49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703CAC9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2E3E95D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63F775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15808EFC">
        <w:tblPrEx>
          <w:tblCellMar>
            <w:top w:w="0" w:type="dxa"/>
            <w:left w:w="108" w:type="dxa"/>
            <w:bottom w:w="0" w:type="dxa"/>
            <w:right w:w="108" w:type="dxa"/>
          </w:tblCellMar>
        </w:tblPrEx>
        <w:trPr>
          <w:cantSplit/>
          <w:trHeight w:val="48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2CAF99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131640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1617044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1ABBC77">
        <w:tblPrEx>
          <w:tblCellMar>
            <w:top w:w="0" w:type="dxa"/>
            <w:left w:w="108" w:type="dxa"/>
            <w:bottom w:w="0" w:type="dxa"/>
            <w:right w:w="108" w:type="dxa"/>
          </w:tblCellMar>
        </w:tblPrEx>
        <w:trPr>
          <w:cantSplit/>
          <w:trHeight w:val="519"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2D10525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3EA6AE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7B9C18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4EBD6830">
        <w:tblPrEx>
          <w:tblCellMar>
            <w:top w:w="0" w:type="dxa"/>
            <w:left w:w="108" w:type="dxa"/>
            <w:bottom w:w="0" w:type="dxa"/>
            <w:right w:w="108" w:type="dxa"/>
          </w:tblCellMar>
        </w:tblPrEx>
        <w:trPr>
          <w:cantSplit/>
          <w:trHeight w:val="51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7416E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所学专业</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5A84A35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6AF71BF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6D3C13F5">
        <w:tblPrEx>
          <w:tblCellMar>
            <w:top w:w="0" w:type="dxa"/>
            <w:left w:w="108" w:type="dxa"/>
            <w:bottom w:w="0" w:type="dxa"/>
            <w:right w:w="108" w:type="dxa"/>
          </w:tblCellMar>
        </w:tblPrEx>
        <w:trPr>
          <w:cantSplit/>
          <w:trHeight w:val="48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2E7212D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3B1E9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42995EE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4BF06C32">
        <w:tblPrEx>
          <w:tblCellMar>
            <w:top w:w="0" w:type="dxa"/>
            <w:left w:w="108" w:type="dxa"/>
            <w:bottom w:w="0" w:type="dxa"/>
            <w:right w:w="108" w:type="dxa"/>
          </w:tblCellMar>
        </w:tblPrEx>
        <w:trPr>
          <w:cantSplit/>
          <w:trHeight w:val="533"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00BFC8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45662E0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C42D3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50A457D3">
        <w:tblPrEx>
          <w:tblCellMar>
            <w:top w:w="0" w:type="dxa"/>
            <w:left w:w="108" w:type="dxa"/>
            <w:bottom w:w="0" w:type="dxa"/>
            <w:right w:w="108" w:type="dxa"/>
          </w:tblCellMar>
        </w:tblPrEx>
        <w:trPr>
          <w:cantSplit/>
          <w:trHeight w:val="52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4488CD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其他资质情况</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1530BC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00CA9E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2DCB8EE5">
        <w:tblPrEx>
          <w:tblCellMar>
            <w:top w:w="0" w:type="dxa"/>
            <w:left w:w="108" w:type="dxa"/>
            <w:bottom w:w="0" w:type="dxa"/>
            <w:right w:w="108" w:type="dxa"/>
          </w:tblCellMar>
        </w:tblPrEx>
        <w:trPr>
          <w:cantSplit/>
          <w:trHeight w:val="56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255146F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00701C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19297D0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14:paraId="138A70B0">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注：随表提交相</w:t>
      </w:r>
      <w:r>
        <w:rPr>
          <w:rFonts w:hint="eastAsia" w:ascii="仿宋" w:hAnsi="仿宋" w:eastAsia="仿宋" w:cs="仿宋"/>
          <w:b/>
          <w:color w:val="auto"/>
          <w:sz w:val="24"/>
          <w:szCs w:val="24"/>
          <w:highlight w:val="none"/>
          <w:lang w:eastAsia="zh-CN"/>
        </w:rPr>
        <w:t>关证明材料。</w:t>
      </w:r>
    </w:p>
    <w:p w14:paraId="371F4055">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p>
    <w:p w14:paraId="4619F56D">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B：</w:t>
      </w:r>
      <w:r>
        <w:rPr>
          <w:rFonts w:hint="eastAsia" w:ascii="仿宋" w:hAnsi="仿宋" w:eastAsia="仿宋" w:cs="仿宋"/>
          <w:b/>
          <w:color w:val="auto"/>
          <w:sz w:val="24"/>
          <w:szCs w:val="24"/>
          <w:highlight w:val="none"/>
        </w:rPr>
        <w:t>本项目的项目小组人员情况表</w:t>
      </w:r>
      <w:r>
        <w:rPr>
          <w:rFonts w:hint="eastAsia" w:ascii="仿宋" w:hAnsi="仿宋" w:eastAsia="仿宋" w:cs="仿宋"/>
          <w:color w:val="auto"/>
          <w:sz w:val="24"/>
          <w:szCs w:val="24"/>
          <w:highlight w:val="none"/>
        </w:rPr>
        <w:t>（按此格式自制）</w:t>
      </w:r>
    </w:p>
    <w:tbl>
      <w:tblPr>
        <w:tblStyle w:val="80"/>
        <w:tblW w:w="9546" w:type="dxa"/>
        <w:tblInd w:w="7" w:type="dxa"/>
        <w:tblLayout w:type="fixed"/>
        <w:tblCellMar>
          <w:top w:w="0" w:type="dxa"/>
          <w:left w:w="108" w:type="dxa"/>
          <w:bottom w:w="0" w:type="dxa"/>
          <w:right w:w="108" w:type="dxa"/>
        </w:tblCellMar>
      </w:tblPr>
      <w:tblGrid>
        <w:gridCol w:w="609"/>
        <w:gridCol w:w="862"/>
        <w:gridCol w:w="725"/>
        <w:gridCol w:w="638"/>
        <w:gridCol w:w="1000"/>
        <w:gridCol w:w="875"/>
        <w:gridCol w:w="1076"/>
        <w:gridCol w:w="1186"/>
        <w:gridCol w:w="1200"/>
        <w:gridCol w:w="1375"/>
      </w:tblGrid>
      <w:tr w14:paraId="1A0B3167">
        <w:tblPrEx>
          <w:tblCellMar>
            <w:top w:w="0" w:type="dxa"/>
            <w:left w:w="108" w:type="dxa"/>
            <w:bottom w:w="0" w:type="dxa"/>
            <w:right w:w="108" w:type="dxa"/>
          </w:tblCellMar>
        </w:tblPrEx>
        <w:trPr>
          <w:trHeight w:val="910" w:hRule="atLeast"/>
        </w:trPr>
        <w:tc>
          <w:tcPr>
            <w:tcW w:w="609" w:type="dxa"/>
            <w:tcBorders>
              <w:top w:val="single" w:color="auto" w:sz="6" w:space="0"/>
              <w:left w:val="single" w:color="auto" w:sz="6" w:space="0"/>
              <w:bottom w:val="single" w:color="auto" w:sz="6" w:space="0"/>
              <w:right w:val="single" w:color="auto" w:sz="6" w:space="0"/>
            </w:tcBorders>
            <w:noWrap w:val="0"/>
            <w:vAlign w:val="center"/>
          </w:tcPr>
          <w:p w14:paraId="2D48B8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62" w:type="dxa"/>
            <w:tcBorders>
              <w:top w:val="single" w:color="auto" w:sz="6" w:space="0"/>
              <w:left w:val="single" w:color="auto" w:sz="6" w:space="0"/>
              <w:bottom w:val="single" w:color="auto" w:sz="6" w:space="0"/>
              <w:right w:val="single" w:color="auto" w:sz="6" w:space="0"/>
            </w:tcBorders>
            <w:noWrap w:val="0"/>
            <w:vAlign w:val="center"/>
          </w:tcPr>
          <w:p w14:paraId="43F350B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5" w:type="dxa"/>
            <w:tcBorders>
              <w:top w:val="single" w:color="auto" w:sz="6" w:space="0"/>
              <w:left w:val="single" w:color="auto" w:sz="6" w:space="0"/>
              <w:bottom w:val="single" w:color="auto" w:sz="6" w:space="0"/>
              <w:right w:val="single" w:color="auto" w:sz="6" w:space="0"/>
            </w:tcBorders>
            <w:noWrap w:val="0"/>
            <w:vAlign w:val="center"/>
          </w:tcPr>
          <w:p w14:paraId="5A72C0C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638" w:type="dxa"/>
            <w:tcBorders>
              <w:top w:val="single" w:color="auto" w:sz="6" w:space="0"/>
              <w:left w:val="single" w:color="auto" w:sz="6" w:space="0"/>
              <w:bottom w:val="single" w:color="auto" w:sz="6" w:space="0"/>
              <w:right w:val="single" w:color="auto" w:sz="6" w:space="0"/>
            </w:tcBorders>
            <w:noWrap w:val="0"/>
            <w:vAlign w:val="center"/>
          </w:tcPr>
          <w:p w14:paraId="1B4571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000" w:type="dxa"/>
            <w:tcBorders>
              <w:top w:val="single" w:color="auto" w:sz="6" w:space="0"/>
              <w:left w:val="single" w:color="auto" w:sz="6" w:space="0"/>
              <w:bottom w:val="single" w:color="auto" w:sz="6" w:space="0"/>
              <w:right w:val="single" w:color="auto" w:sz="6" w:space="0"/>
            </w:tcBorders>
            <w:noWrap w:val="0"/>
            <w:vAlign w:val="center"/>
          </w:tcPr>
          <w:p w14:paraId="5737D77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p w14:paraId="3E8036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875" w:type="dxa"/>
            <w:tcBorders>
              <w:top w:val="single" w:color="auto" w:sz="6" w:space="0"/>
              <w:left w:val="single" w:color="auto" w:sz="6" w:space="0"/>
              <w:bottom w:val="single" w:color="auto" w:sz="6" w:space="0"/>
              <w:right w:val="single" w:color="auto" w:sz="6" w:space="0"/>
            </w:tcBorders>
            <w:noWrap w:val="0"/>
            <w:vAlign w:val="center"/>
          </w:tcPr>
          <w:p w14:paraId="7064457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6B7901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076" w:type="dxa"/>
            <w:tcBorders>
              <w:top w:val="single" w:color="auto" w:sz="6" w:space="0"/>
              <w:left w:val="single" w:color="auto" w:sz="6" w:space="0"/>
              <w:bottom w:val="single" w:color="auto" w:sz="6" w:space="0"/>
              <w:right w:val="single" w:color="auto" w:sz="6" w:space="0"/>
            </w:tcBorders>
            <w:noWrap w:val="0"/>
            <w:vAlign w:val="center"/>
          </w:tcPr>
          <w:p w14:paraId="06ED74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p w14:paraId="3E18917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(页码)</w:t>
            </w:r>
          </w:p>
        </w:tc>
        <w:tc>
          <w:tcPr>
            <w:tcW w:w="1186" w:type="dxa"/>
            <w:tcBorders>
              <w:top w:val="single" w:color="auto" w:sz="6" w:space="0"/>
              <w:left w:val="single" w:color="auto" w:sz="6" w:space="0"/>
              <w:bottom w:val="single" w:color="auto" w:sz="6" w:space="0"/>
              <w:right w:val="single" w:color="auto" w:sz="6" w:space="0"/>
            </w:tcBorders>
            <w:noWrap w:val="0"/>
            <w:vAlign w:val="center"/>
          </w:tcPr>
          <w:p w14:paraId="0A22EBD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50FE1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项目经历</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69268A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r>
      <w:tr w14:paraId="49DF6136">
        <w:tblPrEx>
          <w:tblCellMar>
            <w:top w:w="0" w:type="dxa"/>
            <w:left w:w="108" w:type="dxa"/>
            <w:bottom w:w="0" w:type="dxa"/>
            <w:right w:w="108" w:type="dxa"/>
          </w:tblCellMar>
        </w:tblPrEx>
        <w:trPr>
          <w:trHeight w:val="639"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56BC773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4046C9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43289CB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5A5F3FE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1AF5F6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3ABDCB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694B2F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395561C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5FAA74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334DD7D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7D51F83F">
        <w:tblPrEx>
          <w:tblCellMar>
            <w:top w:w="0" w:type="dxa"/>
            <w:left w:w="108" w:type="dxa"/>
            <w:bottom w:w="0" w:type="dxa"/>
            <w:right w:w="108" w:type="dxa"/>
          </w:tblCellMar>
        </w:tblPrEx>
        <w:trPr>
          <w:trHeight w:val="621"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2253381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4AE4C18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666A8E4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76EFB4C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6FA4266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31735D1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3E6217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3E062C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44B8F3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CFA79E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3598AE2E">
        <w:tblPrEx>
          <w:tblCellMar>
            <w:top w:w="0" w:type="dxa"/>
            <w:left w:w="108" w:type="dxa"/>
            <w:bottom w:w="0" w:type="dxa"/>
            <w:right w:w="108" w:type="dxa"/>
          </w:tblCellMar>
        </w:tblPrEx>
        <w:trPr>
          <w:trHeight w:val="512"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3777B2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7E75758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7C898D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638" w:type="dxa"/>
            <w:tcBorders>
              <w:top w:val="single" w:color="auto" w:sz="6" w:space="0"/>
              <w:left w:val="single" w:color="auto" w:sz="6" w:space="0"/>
              <w:bottom w:val="single" w:color="auto" w:sz="6" w:space="0"/>
              <w:right w:val="single" w:color="auto" w:sz="6" w:space="0"/>
            </w:tcBorders>
            <w:noWrap w:val="0"/>
            <w:vAlign w:val="top"/>
          </w:tcPr>
          <w:p w14:paraId="6BEE0F9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0AC71D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3CD6CB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049353C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2AB38D8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7ED313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6E5BF3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bl>
    <w:p w14:paraId="61979FD3">
      <w:pPr>
        <w:keepLines w:val="0"/>
        <w:pageBreakBefore w:val="0"/>
        <w:widowControl w:val="0"/>
        <w:kinsoku/>
        <w:wordWrap/>
        <w:overflowPunct/>
        <w:topLinePunct w:val="0"/>
        <w:bidi w:val="0"/>
        <w:adjustRightInd/>
        <w:snapToGrid/>
        <w:spacing w:line="400" w:lineRule="exact"/>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注：供应商可按上述的格式自行编制，须随表提交</w:t>
      </w:r>
      <w:r>
        <w:rPr>
          <w:rFonts w:hint="eastAsia" w:ascii="仿宋" w:hAnsi="仿宋" w:eastAsia="仿宋" w:cs="仿宋"/>
          <w:b/>
          <w:color w:val="auto"/>
          <w:sz w:val="24"/>
          <w:szCs w:val="24"/>
          <w:highlight w:val="none"/>
          <w:lang w:eastAsia="zh-CN"/>
        </w:rPr>
        <w:t>相关证明材料。</w:t>
      </w:r>
    </w:p>
    <w:p w14:paraId="2FABB62C">
      <w:pPr>
        <w:spacing w:line="360" w:lineRule="auto"/>
        <w:jc w:val="center"/>
        <w:rPr>
          <w:rFonts w:hint="eastAsia" w:ascii="仿宋" w:hAnsi="仿宋" w:eastAsia="仿宋" w:cs="仿宋"/>
          <w:b/>
          <w:color w:val="auto"/>
          <w:kern w:val="0"/>
          <w:sz w:val="24"/>
          <w:szCs w:val="24"/>
          <w:highlight w:val="none"/>
          <w:lang w:val="zh-CN"/>
        </w:rPr>
      </w:pPr>
    </w:p>
    <w:p w14:paraId="0FC83E37">
      <w:pPr>
        <w:spacing w:line="360" w:lineRule="auto"/>
        <w:jc w:val="center"/>
        <w:rPr>
          <w:rFonts w:hint="eastAsia" w:ascii="仿宋" w:hAnsi="仿宋" w:eastAsia="仿宋" w:cs="仿宋"/>
          <w:b/>
          <w:color w:val="auto"/>
          <w:kern w:val="0"/>
          <w:sz w:val="24"/>
          <w:szCs w:val="24"/>
          <w:highlight w:val="none"/>
          <w:lang w:val="zh-CN"/>
        </w:rPr>
      </w:pPr>
    </w:p>
    <w:p w14:paraId="683904D3">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C8C224B">
      <w:pPr>
        <w:rPr>
          <w:rFonts w:hint="eastAsia" w:ascii="仿宋" w:hAnsi="仿宋" w:eastAsia="仿宋" w:cs="仿宋"/>
          <w:b/>
          <w:bCs/>
          <w:color w:val="auto"/>
          <w:sz w:val="24"/>
          <w:szCs w:val="24"/>
          <w:highlight w:val="none"/>
          <w:lang w:val="zh-CN"/>
        </w:rPr>
      </w:pPr>
    </w:p>
    <w:p w14:paraId="3077B0E1">
      <w:pPr>
        <w:pStyle w:val="67"/>
        <w:rPr>
          <w:rFonts w:hint="eastAsia" w:ascii="仿宋" w:hAnsi="仿宋" w:eastAsia="仿宋" w:cs="仿宋"/>
          <w:color w:val="auto"/>
          <w:sz w:val="24"/>
          <w:szCs w:val="24"/>
          <w:highlight w:val="none"/>
          <w:lang w:val="zh-CN"/>
        </w:rPr>
      </w:pPr>
    </w:p>
    <w:p w14:paraId="5446C4EF">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zh-CN"/>
        </w:rPr>
        <w:t>）商务资信响应表</w:t>
      </w:r>
    </w:p>
    <w:p w14:paraId="6A46BE74">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80"/>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528D3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0DF0F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D2AA7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55117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AFFF3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14:paraId="5F6810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752A8A9D">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928C37E">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36FC145">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1D130D7">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r>
      <w:tr w14:paraId="1AABC4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C1690D3">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9D618C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DC24BDC">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6185B55">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79785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E1A395A">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4394318">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D0FC32E">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A4ADB57">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70B2A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E857C42">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DF7E3B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67E13631">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61A211E">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6E8347D2">
      <w:pPr>
        <w:snapToGrid w:val="0"/>
        <w:spacing w:before="50" w:after="50" w:line="600" w:lineRule="exact"/>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注：如未填写，视为完全响应。</w:t>
      </w:r>
    </w:p>
    <w:p w14:paraId="00018266">
      <w:pPr>
        <w:snapToGrid w:val="0"/>
        <w:spacing w:before="50" w:after="50" w:line="600" w:lineRule="exact"/>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5EFE080A">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76132E0E">
      <w:pPr>
        <w:pStyle w:val="34"/>
        <w:jc w:val="center"/>
        <w:rPr>
          <w:rFonts w:hint="eastAsia" w:ascii="仿宋" w:hAnsi="仿宋" w:eastAsia="仿宋" w:cs="仿宋"/>
          <w:b/>
          <w:bCs/>
          <w:color w:val="auto"/>
          <w:kern w:val="2"/>
          <w:sz w:val="32"/>
          <w:szCs w:val="32"/>
          <w:highlight w:val="none"/>
          <w:lang w:val="en-US" w:eastAsia="zh-CN" w:bidi="ar-SA"/>
        </w:rPr>
      </w:pPr>
    </w:p>
    <w:p w14:paraId="69FD50FB">
      <w:pPr>
        <w:pStyle w:val="34"/>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（八）技术</w:t>
      </w:r>
      <w:r>
        <w:rPr>
          <w:rFonts w:hint="eastAsia" w:ascii="仿宋" w:hAnsi="仿宋" w:eastAsia="仿宋" w:cs="仿宋"/>
          <w:b/>
          <w:bCs/>
          <w:color w:val="auto"/>
          <w:kern w:val="2"/>
          <w:sz w:val="32"/>
          <w:szCs w:val="32"/>
          <w:highlight w:val="none"/>
          <w:lang w:val="zh-CN" w:eastAsia="zh-CN" w:bidi="ar-SA"/>
        </w:rPr>
        <w:t>偏离表</w:t>
      </w:r>
    </w:p>
    <w:p w14:paraId="3D43565E">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80"/>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2F8B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3E8729E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79028B22">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D69D5B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3571236E">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4489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63FA15B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12DDB1DA">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A5DCAB9">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12037E7">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14EA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C425DE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2B3D491A">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F9F9577">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E826F2D">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6512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6274970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70D4356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04B608F">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9A06BB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2D8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18AF7AC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18DAA8A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6409615">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32EA696">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3982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0D68DB2">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441A3E2E">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1C50185">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E5F58B3">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bl>
    <w:p w14:paraId="4B597398">
      <w:pPr>
        <w:tabs>
          <w:tab w:val="left" w:pos="570"/>
        </w:tabs>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保证：除技术偏离表列出的偏离外，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响应招标文件的全部要求。</w:t>
      </w:r>
    </w:p>
    <w:p w14:paraId="463585B1">
      <w:pPr>
        <w:snapToGrid w:val="0"/>
        <w:spacing w:before="50" w:after="50" w:line="600" w:lineRule="exact"/>
        <w:ind w:firstLine="4320" w:firstLineChars="18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3F5522FF">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2D8F9A3C">
      <w:pPr>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1F9A82E9">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设备配置清单</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如有</w:t>
      </w:r>
      <w:r>
        <w:rPr>
          <w:rFonts w:hint="eastAsia" w:ascii="仿宋" w:hAnsi="仿宋" w:eastAsia="仿宋" w:cs="仿宋"/>
          <w:b/>
          <w:bCs/>
          <w:color w:val="auto"/>
          <w:sz w:val="32"/>
          <w:szCs w:val="32"/>
          <w:highlight w:val="none"/>
          <w:lang w:eastAsia="zh-CN"/>
        </w:rPr>
        <w:t>）</w:t>
      </w:r>
    </w:p>
    <w:tbl>
      <w:tblPr>
        <w:tblStyle w:val="8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EB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14:paraId="5B4B370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31" w:type="dxa"/>
            <w:noWrap w:val="0"/>
            <w:vAlign w:val="center"/>
          </w:tcPr>
          <w:p w14:paraId="337DD0F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2160" w:type="dxa"/>
            <w:noWrap w:val="0"/>
            <w:vAlign w:val="center"/>
          </w:tcPr>
          <w:p w14:paraId="29E438E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投标品牌及型号</w:t>
            </w:r>
          </w:p>
        </w:tc>
        <w:tc>
          <w:tcPr>
            <w:tcW w:w="2340" w:type="dxa"/>
            <w:noWrap w:val="0"/>
            <w:vAlign w:val="center"/>
          </w:tcPr>
          <w:p w14:paraId="10091EB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规格配置详细说明</w:t>
            </w:r>
          </w:p>
        </w:tc>
        <w:tc>
          <w:tcPr>
            <w:tcW w:w="1080" w:type="dxa"/>
            <w:noWrap w:val="0"/>
            <w:vAlign w:val="center"/>
          </w:tcPr>
          <w:p w14:paraId="13EBB6F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32" w:type="dxa"/>
            <w:noWrap w:val="0"/>
            <w:vAlign w:val="center"/>
          </w:tcPr>
          <w:p w14:paraId="0620BA2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357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53F6512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6D24661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148B1BF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C80A32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291F0EC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D23500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265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423E2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77ADD60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1A22A36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7D44EF0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3615754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8DA18F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2D8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2ABE093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02C5F02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42BBBCE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3D3AF73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5B9B68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2A5E1B3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CDC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64B614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5D263877">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21ABBCE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1FBFD3C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7919530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29CAA9C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BD5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214779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68C147F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4098AAC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79DC33B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414290C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1B6476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204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08717E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04EBB0D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6E4873D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7ED6EA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153A9DF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7D98FB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78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587191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4C4E219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5F252DD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3279025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5C4B090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6905BE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F9A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2AFF87F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0461930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21B16091">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162A8B0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0CEF6C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15755A1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2D09DF14">
      <w:pPr>
        <w:autoSpaceDE w:val="0"/>
        <w:autoSpaceDN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sz w:val="24"/>
          <w:szCs w:val="24"/>
          <w:highlight w:val="none"/>
        </w:rPr>
        <w:t>如果本项目涉及硬件设备采购，须在技术文件中提供此配置清单，提供主要投标产品的技术参数证明材料（如检测报告、官网截图、产品彩页、原厂技术说明等）。</w:t>
      </w:r>
    </w:p>
    <w:p w14:paraId="32E30EF8">
      <w:pPr>
        <w:jc w:val="center"/>
        <w:rPr>
          <w:rFonts w:hint="eastAsia" w:ascii="仿宋" w:hAnsi="仿宋" w:eastAsia="仿宋" w:cs="仿宋"/>
          <w:b/>
          <w:bCs/>
          <w:color w:val="auto"/>
          <w:sz w:val="24"/>
          <w:szCs w:val="24"/>
          <w:highlight w:val="none"/>
          <w:lang w:val="zh-CN"/>
        </w:rPr>
      </w:pPr>
    </w:p>
    <w:p w14:paraId="11B1D0EA">
      <w:pPr>
        <w:jc w:val="center"/>
        <w:rPr>
          <w:rFonts w:hint="eastAsia" w:ascii="仿宋" w:hAnsi="仿宋" w:eastAsia="仿宋" w:cs="仿宋"/>
          <w:b/>
          <w:bCs/>
          <w:color w:val="auto"/>
          <w:sz w:val="24"/>
          <w:szCs w:val="24"/>
          <w:highlight w:val="none"/>
          <w:lang w:val="zh-CN"/>
        </w:rPr>
      </w:pPr>
    </w:p>
    <w:p w14:paraId="43C03A12">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470CC93B">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4EA39243">
      <w:pPr>
        <w:jc w:val="both"/>
        <w:rPr>
          <w:rFonts w:hint="eastAsia" w:ascii="仿宋" w:hAnsi="仿宋" w:eastAsia="仿宋" w:cs="仿宋"/>
          <w:b/>
          <w:bCs/>
          <w:color w:val="auto"/>
          <w:sz w:val="24"/>
          <w:szCs w:val="24"/>
          <w:highlight w:val="none"/>
          <w:lang w:val="zh-CN"/>
        </w:rPr>
      </w:pPr>
    </w:p>
    <w:p w14:paraId="14B5A14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7B75A499">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30F7104A">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AB5ABA6">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3EC7EFA">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81E306F">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165D85AE">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4568DCE6">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53399BD8">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4BEBBAB7">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2D0516C7">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74D7B6DA">
      <w:pPr>
        <w:tabs>
          <w:tab w:val="left" w:pos="0"/>
        </w:tabs>
        <w:autoSpaceDE w:val="0"/>
        <w:autoSpaceDN w:val="0"/>
        <w:spacing w:line="360" w:lineRule="auto"/>
        <w:jc w:val="both"/>
        <w:rPr>
          <w:rFonts w:hint="eastAsia" w:ascii="仿宋" w:hAnsi="仿宋" w:eastAsia="仿宋" w:cs="仿宋"/>
          <w:b/>
          <w:bCs/>
          <w:color w:val="auto"/>
          <w:sz w:val="24"/>
          <w:szCs w:val="24"/>
          <w:highlight w:val="none"/>
          <w:lang w:eastAsia="zh-CN"/>
        </w:rPr>
      </w:pPr>
    </w:p>
    <w:p w14:paraId="3B3EA516">
      <w:pPr>
        <w:tabs>
          <w:tab w:val="left" w:pos="0"/>
        </w:tabs>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lang w:eastAsia="zh-CN"/>
        </w:rPr>
        <w:t>）</w:t>
      </w:r>
      <w:r>
        <w:rPr>
          <w:rFonts w:hint="eastAsia" w:ascii="仿宋" w:hAnsi="仿宋" w:eastAsia="仿宋" w:cs="仿宋"/>
          <w:b/>
          <w:color w:val="auto"/>
          <w:kern w:val="0"/>
          <w:sz w:val="32"/>
          <w:szCs w:val="32"/>
          <w:highlight w:val="none"/>
          <w:lang w:val="zh-CN"/>
        </w:rPr>
        <w:t>供应商廉洁自律承诺书</w:t>
      </w:r>
    </w:p>
    <w:p w14:paraId="785D1D1B">
      <w:pPr>
        <w:autoSpaceDE w:val="0"/>
        <w:autoSpaceDN w:val="0"/>
        <w:spacing w:line="360" w:lineRule="auto"/>
        <w:jc w:val="left"/>
        <w:rPr>
          <w:rFonts w:hint="eastAsia" w:ascii="仿宋" w:hAnsi="仿宋" w:eastAsia="仿宋" w:cs="仿宋"/>
          <w:color w:val="auto"/>
          <w:sz w:val="24"/>
          <w:szCs w:val="24"/>
          <w:highlight w:val="none"/>
        </w:rPr>
      </w:pPr>
    </w:p>
    <w:p w14:paraId="37846DAD">
      <w:pPr>
        <w:autoSpaceDE w:val="0"/>
        <w:autoSpaceDN w:val="0"/>
        <w:spacing w:line="360" w:lineRule="auto"/>
        <w:ind w:left="2"/>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lang w:eastAsia="zh-CN"/>
        </w:rPr>
        <w:t>嵊州市交投港务有限公司</w:t>
      </w:r>
      <w:r>
        <w:rPr>
          <w:rFonts w:hint="eastAsia" w:ascii="仿宋" w:hAnsi="仿宋" w:eastAsia="仿宋" w:cs="仿宋"/>
          <w:color w:val="auto"/>
          <w:kern w:val="0"/>
          <w:sz w:val="24"/>
          <w:szCs w:val="24"/>
          <w:highlight w:val="none"/>
          <w:u w:val="none"/>
          <w:lang w:val="zh-CN"/>
        </w:rPr>
        <w:t xml:space="preserve">： </w:t>
      </w:r>
      <w:r>
        <w:rPr>
          <w:rFonts w:hint="eastAsia" w:ascii="仿宋" w:hAnsi="仿宋" w:eastAsia="仿宋" w:cs="仿宋"/>
          <w:color w:val="auto"/>
          <w:kern w:val="0"/>
          <w:sz w:val="24"/>
          <w:szCs w:val="24"/>
          <w:highlight w:val="none"/>
          <w:lang w:val="zh-CN"/>
        </w:rPr>
        <w:t xml:space="preserve">   </w:t>
      </w:r>
    </w:p>
    <w:p w14:paraId="0282DF35">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 xml:space="preserve">项目招标要求参加投标。在这次投标过程中和中标后，我们将严格遵守国家法律法规要求，并郑重承诺：    </w:t>
      </w:r>
    </w:p>
    <w:p w14:paraId="15FF1135">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02FAD0D2">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602A05AC">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3B00216B">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四、不为项目有关人员及部门出国（境）、旅游等提供方便；    </w:t>
      </w:r>
    </w:p>
    <w:p w14:paraId="7DA164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五、不为项目有关人员个人装修住房、婚丧嫁娶、配偶子女工作安排等提供好处；    </w:t>
      </w:r>
    </w:p>
    <w:p w14:paraId="21C9E033">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六、严格遵守政府采购法、合同法等法律，诚实守信，合法经营，坚决抵制各种违法违纪行为。    </w:t>
      </w:r>
    </w:p>
    <w:p w14:paraId="74E623D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进行项目建设或其他经营活动，并通报上级主管部门。由此引起的相应损失均由我单位承担。</w:t>
      </w:r>
    </w:p>
    <w:p w14:paraId="2E964950">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09D7A157">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02F94605">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2032060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2FB85BAF">
      <w:pPr>
        <w:keepNext w:val="0"/>
        <w:keepLines w:val="0"/>
        <w:pageBreakBefore w:val="0"/>
        <w:widowControl w:val="0"/>
        <w:kinsoku/>
        <w:wordWrap/>
        <w:overflowPunct/>
        <w:topLinePunct w:val="0"/>
        <w:bidi w:val="0"/>
        <w:adjustRightInd/>
        <w:snapToGrid/>
        <w:spacing w:line="500" w:lineRule="exact"/>
        <w:ind w:right="0" w:firstLine="6240" w:firstLineChars="26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F908F1A">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5AAD8DD3">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7F8D569E">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59609236">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24C04C37">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4C6B1F25">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12BE330F">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67A0991D">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宋体" w:hAnsi="宋体" w:eastAsia="宋体" w:cs="宋体"/>
          <w:b/>
          <w:color w:val="auto"/>
          <w:kern w:val="2"/>
          <w:sz w:val="21"/>
          <w:szCs w:val="21"/>
          <w:highlight w:val="none"/>
          <w:lang w:val="en-US" w:eastAsia="zh-CN" w:bidi="ar-SA"/>
        </w:rPr>
      </w:pPr>
    </w:p>
    <w:p w14:paraId="74730DAE">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color w:val="auto"/>
          <w:kern w:val="2"/>
          <w:sz w:val="21"/>
          <w:szCs w:val="21"/>
          <w:highlight w:val="none"/>
          <w:lang w:val="en-US" w:eastAsia="zh-CN" w:bidi="ar-SA"/>
        </w:rPr>
      </w:pPr>
    </w:p>
    <w:p w14:paraId="72AC4FB4">
      <w:pPr>
        <w:spacing w:line="360" w:lineRule="auto"/>
        <w:jc w:val="center"/>
        <w:rPr>
          <w:rFonts w:hint="eastAsia" w:ascii="仿宋_GB2312" w:hAnsi="仿宋_GB2312" w:eastAsia="仿宋_GB2312" w:cs="仿宋_GB2312"/>
          <w:b/>
          <w:bCs/>
          <w:color w:val="auto"/>
          <w:sz w:val="32"/>
          <w:szCs w:val="32"/>
          <w:highlight w:val="none"/>
          <w:lang w:val="en-US" w:eastAsia="zh-CN"/>
        </w:rPr>
      </w:pPr>
    </w:p>
    <w:p w14:paraId="1E980EED">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（十一）认为需要提供的与本项目其他相关资料</w:t>
      </w:r>
    </w:p>
    <w:p w14:paraId="739360B5">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根据采购需求自行编制）</w:t>
      </w:r>
    </w:p>
    <w:p w14:paraId="51D25D09">
      <w:pPr>
        <w:spacing w:line="360" w:lineRule="auto"/>
        <w:rPr>
          <w:rFonts w:ascii="仿宋_GB2312" w:hAnsi="仿宋_GB2312" w:eastAsia="仿宋_GB2312" w:cs="仿宋_GB2312"/>
          <w:color w:val="auto"/>
          <w:sz w:val="24"/>
          <w:highlight w:val="none"/>
        </w:rPr>
      </w:pPr>
    </w:p>
    <w:p w14:paraId="187F2F1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供应商名称</w:t>
      </w:r>
      <w:r>
        <w:rPr>
          <w:rFonts w:hint="eastAsia" w:ascii="仿宋" w:hAnsi="仿宋" w:eastAsia="仿宋" w:cs="仿宋"/>
          <w:color w:val="auto"/>
          <w:sz w:val="24"/>
          <w:highlight w:val="none"/>
        </w:rPr>
        <w:t xml:space="preserve">（电子签名）：                          </w:t>
      </w:r>
    </w:p>
    <w:p w14:paraId="1779A38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B01576">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023EB5F9">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32"/>
          <w:szCs w:val="32"/>
          <w:highlight w:val="none"/>
          <w:lang w:val="en-US" w:eastAsia="zh-CN" w:bidi="ar-SA"/>
        </w:rPr>
      </w:pPr>
    </w:p>
    <w:p w14:paraId="44B470F0">
      <w:pPr>
        <w:pStyle w:val="43"/>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2"/>
          <w:sz w:val="32"/>
          <w:szCs w:val="32"/>
          <w:highlight w:val="none"/>
          <w:lang w:val="en-US" w:eastAsia="zh-CN" w:bidi="ar-SA"/>
        </w:rPr>
        <w:t>三、报价文件目录</w:t>
      </w:r>
    </w:p>
    <w:p w14:paraId="5684AA70">
      <w:pPr>
        <w:pStyle w:val="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14:paraId="47DD3CFA">
      <w:pPr>
        <w:pStyle w:val="43"/>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r>
        <w:rPr>
          <w:rFonts w:hint="eastAsia" w:ascii="仿宋" w:hAnsi="仿宋" w:eastAsia="仿宋" w:cs="仿宋"/>
          <w:color w:val="auto"/>
          <w:sz w:val="24"/>
          <w:szCs w:val="24"/>
          <w:highlight w:val="none"/>
          <w:lang w:val="en-US" w:eastAsia="zh-CN"/>
        </w:rPr>
        <w:t>【格式附后】</w:t>
      </w:r>
      <w:r>
        <w:rPr>
          <w:rFonts w:hint="eastAsia" w:ascii="仿宋" w:hAnsi="仿宋" w:eastAsia="仿宋" w:cs="仿宋"/>
          <w:color w:val="auto"/>
          <w:sz w:val="24"/>
          <w:szCs w:val="24"/>
          <w:highlight w:val="none"/>
        </w:rPr>
        <w:t>；</w:t>
      </w:r>
    </w:p>
    <w:p w14:paraId="12B4E5C2">
      <w:pPr>
        <w:pStyle w:val="43"/>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投标报价明细表【格式附后】</w:t>
      </w:r>
      <w:r>
        <w:rPr>
          <w:rFonts w:hint="eastAsia" w:ascii="仿宋" w:hAnsi="仿宋" w:eastAsia="仿宋" w:cs="仿宋"/>
          <w:color w:val="auto"/>
          <w:sz w:val="24"/>
          <w:szCs w:val="24"/>
          <w:highlight w:val="none"/>
        </w:rPr>
        <w:t>；</w:t>
      </w:r>
    </w:p>
    <w:p w14:paraId="69E87867">
      <w:pPr>
        <w:pStyle w:val="43"/>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sectPr>
          <w:headerReference r:id="rId7" w:type="default"/>
          <w:footerReference r:id="rId8" w:type="default"/>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认为需要提供的</w:t>
      </w:r>
      <w:r>
        <w:rPr>
          <w:rFonts w:hint="eastAsia" w:ascii="仿宋" w:hAnsi="仿宋" w:eastAsia="仿宋" w:cs="仿宋"/>
          <w:color w:val="auto"/>
          <w:sz w:val="24"/>
          <w:szCs w:val="24"/>
          <w:highlight w:val="none"/>
          <w:lang w:eastAsia="zh-CN"/>
        </w:rPr>
        <w:t>其他文件或说明</w:t>
      </w:r>
      <w:r>
        <w:rPr>
          <w:rFonts w:hint="eastAsia" w:ascii="仿宋" w:hAnsi="仿宋" w:eastAsia="仿宋" w:cs="仿宋"/>
          <w:color w:val="auto"/>
          <w:sz w:val="24"/>
          <w:szCs w:val="24"/>
          <w:highlight w:val="none"/>
        </w:rPr>
        <w:t>。</w:t>
      </w:r>
    </w:p>
    <w:p w14:paraId="121231D8">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开标一览表</w:t>
      </w:r>
    </w:p>
    <w:p w14:paraId="6E1E7219">
      <w:pPr>
        <w:spacing w:line="360" w:lineRule="auto"/>
        <w:rPr>
          <w:rFonts w:hint="eastAsia" w:ascii="仿宋" w:hAnsi="仿宋" w:eastAsia="仿宋" w:cs="仿宋"/>
          <w:color w:val="auto"/>
          <w:sz w:val="24"/>
          <w:szCs w:val="24"/>
          <w:highlight w:val="none"/>
        </w:rPr>
      </w:pPr>
    </w:p>
    <w:p w14:paraId="0FD631B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43FCAE3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p>
    <w:p w14:paraId="0D36B94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价格单位：（人民币）元</w:t>
      </w:r>
    </w:p>
    <w:tbl>
      <w:tblPr>
        <w:tblStyle w:val="80"/>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28"/>
        <w:gridCol w:w="1249"/>
        <w:gridCol w:w="2232"/>
        <w:gridCol w:w="1363"/>
      </w:tblGrid>
      <w:tr w14:paraId="5FD4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6" w:type="dxa"/>
            <w:noWrap w:val="0"/>
            <w:vAlign w:val="center"/>
          </w:tcPr>
          <w:p w14:paraId="5E6D7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628" w:type="dxa"/>
            <w:noWrap w:val="0"/>
            <w:vAlign w:val="center"/>
          </w:tcPr>
          <w:p w14:paraId="17535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1249" w:type="dxa"/>
            <w:noWrap w:val="0"/>
            <w:vAlign w:val="center"/>
          </w:tcPr>
          <w:p w14:paraId="4CB72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2232" w:type="dxa"/>
            <w:noWrap w:val="0"/>
            <w:vAlign w:val="center"/>
          </w:tcPr>
          <w:p w14:paraId="2D376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lang w:eastAsia="zh-CN"/>
              </w:rPr>
              <w:t>（元）</w:t>
            </w:r>
          </w:p>
        </w:tc>
        <w:tc>
          <w:tcPr>
            <w:tcW w:w="1363" w:type="dxa"/>
            <w:noWrap w:val="0"/>
            <w:vAlign w:val="center"/>
          </w:tcPr>
          <w:p w14:paraId="20FEA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41BD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86" w:type="dxa"/>
            <w:noWrap w:val="0"/>
            <w:vAlign w:val="center"/>
          </w:tcPr>
          <w:p w14:paraId="7C566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3628" w:type="dxa"/>
            <w:noWrap w:val="0"/>
            <w:vAlign w:val="center"/>
          </w:tcPr>
          <w:p w14:paraId="6198A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嵊州市交投港务有限公司25吨门座起重机拆卸项目（第二次）</w:t>
            </w:r>
          </w:p>
        </w:tc>
        <w:tc>
          <w:tcPr>
            <w:tcW w:w="1249" w:type="dxa"/>
            <w:noWrap w:val="0"/>
            <w:vAlign w:val="center"/>
          </w:tcPr>
          <w:p w14:paraId="03CCB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232" w:type="dxa"/>
            <w:noWrap w:val="0"/>
            <w:vAlign w:val="center"/>
          </w:tcPr>
          <w:p w14:paraId="252C0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lang w:val="en-US" w:eastAsia="zh-CN"/>
              </w:rPr>
            </w:pPr>
          </w:p>
        </w:tc>
        <w:tc>
          <w:tcPr>
            <w:tcW w:w="1363" w:type="dxa"/>
            <w:noWrap w:val="0"/>
            <w:vAlign w:val="center"/>
          </w:tcPr>
          <w:p w14:paraId="289D7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highlight w:val="none"/>
                <w:lang w:eastAsia="zh-CN"/>
              </w:rPr>
            </w:pPr>
          </w:p>
        </w:tc>
      </w:tr>
      <w:tr w14:paraId="5A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58" w:type="dxa"/>
            <w:gridSpan w:val="5"/>
            <w:noWrap w:val="0"/>
            <w:vAlign w:val="center"/>
          </w:tcPr>
          <w:p w14:paraId="2F93F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                                   元整</w:t>
            </w:r>
          </w:p>
        </w:tc>
      </w:tr>
    </w:tbl>
    <w:p w14:paraId="40A6A009">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240" w:firstLineChars="1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sz w:val="24"/>
          <w:szCs w:val="24"/>
          <w:highlight w:val="none"/>
          <w:lang w:eastAsia="zh-CN"/>
        </w:rPr>
        <w:t>1.</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eastAsia="zh-CN"/>
        </w:rPr>
        <w:t>报</w:t>
      </w:r>
      <w:r>
        <w:rPr>
          <w:rFonts w:hint="eastAsia" w:ascii="仿宋" w:hAnsi="仿宋" w:eastAsia="仿宋" w:cs="仿宋"/>
          <w:color w:val="auto"/>
          <w:kern w:val="0"/>
          <w:sz w:val="24"/>
          <w:szCs w:val="24"/>
          <w:highlight w:val="none"/>
        </w:rPr>
        <w:t>价</w:t>
      </w:r>
      <w:r>
        <w:rPr>
          <w:rFonts w:hint="eastAsia" w:ascii="仿宋" w:hAnsi="仿宋" w:eastAsia="仿宋" w:cs="仿宋"/>
          <w:color w:val="auto"/>
          <w:kern w:val="0"/>
          <w:sz w:val="24"/>
          <w:szCs w:val="24"/>
          <w:highlight w:val="none"/>
          <w:lang w:val="en-US" w:eastAsia="zh-CN"/>
        </w:rPr>
        <w:t>包含货款、运输、包装、税费、保险、保修及相关服务等</w:t>
      </w:r>
      <w:r>
        <w:rPr>
          <w:rFonts w:hint="eastAsia" w:ascii="仿宋" w:hAnsi="仿宋" w:eastAsia="仿宋" w:cs="仿宋"/>
          <w:color w:val="auto"/>
          <w:kern w:val="0"/>
          <w:sz w:val="24"/>
          <w:highlight w:val="none"/>
          <w:lang w:val="zh-CN"/>
        </w:rPr>
        <w:t>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w:t>
      </w:r>
      <w:r>
        <w:rPr>
          <w:rFonts w:hint="eastAsia" w:ascii="仿宋" w:hAnsi="仿宋" w:eastAsia="仿宋" w:cs="仿宋"/>
          <w:b/>
          <w:bCs/>
          <w:color w:val="auto"/>
          <w:sz w:val="24"/>
          <w:szCs w:val="24"/>
          <w:highlight w:val="none"/>
          <w:lang w:val="en-US" w:eastAsia="zh-CN"/>
        </w:rPr>
        <w:t>不接受供应商给予的赠品、回扣或者与采购无关的其他商品、服务，不得出现“0元”、“免费赠送”等形式的无偿报价</w:t>
      </w:r>
      <w:r>
        <w:rPr>
          <w:rFonts w:hint="eastAsia" w:ascii="仿宋" w:hAnsi="仿宋" w:eastAsia="仿宋" w:cs="仿宋"/>
          <w:b w:val="0"/>
          <w:bCs w:val="0"/>
          <w:color w:val="auto"/>
          <w:sz w:val="24"/>
          <w:szCs w:val="24"/>
          <w:highlight w:val="none"/>
          <w:lang w:val="en-US" w:eastAsia="zh-CN"/>
        </w:rPr>
        <w:t>，否则视为投标文件含有采购人不能接受的附加条件，投标无效</w:t>
      </w:r>
      <w:r>
        <w:rPr>
          <w:rFonts w:hint="eastAsia" w:ascii="仿宋" w:hAnsi="仿宋" w:eastAsia="仿宋" w:cs="仿宋"/>
          <w:color w:val="auto"/>
          <w:sz w:val="24"/>
          <w:szCs w:val="24"/>
          <w:highlight w:val="none"/>
          <w:lang w:eastAsia="zh-CN"/>
        </w:rPr>
        <w:t>。</w:t>
      </w:r>
    </w:p>
    <w:p w14:paraId="54A441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2.</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4F2E0302">
      <w:pPr>
        <w:keepNext w:val="0"/>
        <w:keepLines w:val="0"/>
        <w:pageBreakBefore w:val="0"/>
        <w:widowControl w:val="0"/>
        <w:kinsoku/>
        <w:wordWrap/>
        <w:overflowPunct/>
        <w:topLinePunct w:val="0"/>
        <w:autoSpaceDE/>
        <w:autoSpaceDN/>
        <w:bidi w:val="0"/>
        <w:adjustRightInd/>
        <w:snapToGrid/>
        <w:spacing w:line="540" w:lineRule="exact"/>
        <w:ind w:firstLine="10080" w:firstLineChars="4200"/>
        <w:textAlignment w:val="auto"/>
        <w:rPr>
          <w:rFonts w:hint="eastAsia" w:ascii="仿宋" w:hAnsi="仿宋" w:eastAsia="仿宋" w:cs="仿宋"/>
          <w:color w:val="auto"/>
          <w:sz w:val="24"/>
          <w:szCs w:val="24"/>
          <w:highlight w:val="none"/>
          <w:lang w:eastAsia="zh-CN"/>
        </w:rPr>
      </w:pPr>
    </w:p>
    <w:p w14:paraId="408633D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zh-CN"/>
        </w:rPr>
        <w:t>名称(电子签名)：</w:t>
      </w:r>
    </w:p>
    <w:p w14:paraId="32BABEE9">
      <w:pPr>
        <w:keepNext w:val="0"/>
        <w:keepLines w:val="0"/>
        <w:pageBreakBefore w:val="0"/>
        <w:widowControl w:val="0"/>
        <w:kinsoku/>
        <w:wordWrap/>
        <w:overflowPunct/>
        <w:topLinePunct w:val="0"/>
        <w:autoSpaceDE/>
        <w:autoSpaceDN/>
        <w:bidi w:val="0"/>
        <w:adjustRightInd/>
        <w:snapToGrid/>
        <w:spacing w:line="540" w:lineRule="exact"/>
        <w:ind w:firstLine="4080" w:firstLineChars="1700"/>
        <w:jc w:val="right"/>
        <w:textAlignment w:val="auto"/>
        <w:rPr>
          <w:rFonts w:hint="eastAsia"/>
          <w:color w:val="auto"/>
          <w:highlight w:val="none"/>
        </w:rPr>
        <w:sectPr>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bookmarkEnd w:id="137"/>
    <w:bookmarkEnd w:id="138"/>
    <w:bookmarkEnd w:id="139"/>
    <w:bookmarkEnd w:id="140"/>
    <w:bookmarkEnd w:id="141"/>
    <w:bookmarkEnd w:id="142"/>
    <w:p w14:paraId="4570A47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（二）投标</w:t>
      </w:r>
      <w:r>
        <w:rPr>
          <w:rFonts w:hint="eastAsia" w:ascii="仿宋" w:hAnsi="仿宋" w:eastAsia="仿宋" w:cs="仿宋"/>
          <w:b/>
          <w:bCs/>
          <w:color w:val="auto"/>
          <w:sz w:val="28"/>
          <w:szCs w:val="28"/>
          <w:highlight w:val="none"/>
        </w:rPr>
        <w:t>报价明细表</w:t>
      </w:r>
    </w:p>
    <w:p w14:paraId="27B14A80">
      <w:pPr>
        <w:snapToGrid w:val="0"/>
        <w:spacing w:line="400" w:lineRule="exact"/>
        <w:rPr>
          <w:rFonts w:hint="eastAsia" w:ascii="仿宋" w:hAnsi="仿宋" w:eastAsia="仿宋" w:cs="仿宋"/>
          <w:color w:val="auto"/>
          <w:sz w:val="24"/>
          <w:szCs w:val="24"/>
          <w:highlight w:val="none"/>
        </w:rPr>
      </w:pPr>
    </w:p>
    <w:p w14:paraId="7AD00161">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6870268B">
      <w:pPr>
        <w:snapToGrid w:val="0"/>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14:paraId="6C02A0E3">
      <w:pPr>
        <w:snapToGrid w:val="0"/>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单位：人民币（元）</w:t>
      </w:r>
    </w:p>
    <w:tbl>
      <w:tblPr>
        <w:tblStyle w:val="80"/>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855"/>
        <w:gridCol w:w="907"/>
        <w:gridCol w:w="1686"/>
        <w:gridCol w:w="1229"/>
        <w:gridCol w:w="1546"/>
        <w:gridCol w:w="1384"/>
      </w:tblGrid>
      <w:tr w14:paraId="2EA7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14:paraId="79AD8451">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序号</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14:paraId="058F5F08">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DBC1CEF">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数量</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D2EB44B">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lang w:eastAsia="zh-CN"/>
              </w:rPr>
            </w:pPr>
            <w:r>
              <w:rPr>
                <w:rStyle w:val="504"/>
                <w:rFonts w:hint="eastAsia" w:ascii="仿宋" w:hAnsi="仿宋" w:eastAsia="仿宋" w:cs="仿宋"/>
                <w:color w:val="auto"/>
                <w:sz w:val="24"/>
                <w:szCs w:val="24"/>
                <w:highlight w:val="none"/>
              </w:rPr>
              <w:t>品牌</w:t>
            </w:r>
            <w:r>
              <w:rPr>
                <w:rStyle w:val="504"/>
                <w:rFonts w:hint="eastAsia" w:ascii="仿宋" w:hAnsi="仿宋" w:eastAsia="仿宋" w:cs="仿宋"/>
                <w:color w:val="auto"/>
                <w:sz w:val="24"/>
                <w:szCs w:val="24"/>
                <w:highlight w:val="none"/>
                <w:lang w:eastAsia="zh-CN"/>
              </w:rPr>
              <w:t>（</w:t>
            </w:r>
            <w:r>
              <w:rPr>
                <w:rStyle w:val="504"/>
                <w:rFonts w:hint="eastAsia" w:ascii="仿宋" w:hAnsi="仿宋" w:eastAsia="仿宋" w:cs="仿宋"/>
                <w:color w:val="auto"/>
                <w:sz w:val="24"/>
                <w:szCs w:val="24"/>
                <w:highlight w:val="none"/>
                <w:lang w:val="en-US" w:eastAsia="zh-CN"/>
              </w:rPr>
              <w:t>如有</w:t>
            </w:r>
            <w:r>
              <w:rPr>
                <w:rStyle w:val="504"/>
                <w:rFonts w:hint="eastAsia" w:ascii="仿宋" w:hAnsi="仿宋" w:eastAsia="仿宋" w:cs="仿宋"/>
                <w:color w:val="auto"/>
                <w:sz w:val="24"/>
                <w:szCs w:val="24"/>
                <w:highlight w:val="none"/>
                <w:lang w:eastAsia="zh-CN"/>
              </w:rPr>
              <w:t>）</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0037C4E">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lang w:eastAsia="zh-CN"/>
              </w:rPr>
            </w:pPr>
            <w:r>
              <w:rPr>
                <w:rStyle w:val="504"/>
                <w:rFonts w:hint="eastAsia" w:ascii="仿宋" w:hAnsi="仿宋" w:eastAsia="仿宋" w:cs="仿宋"/>
                <w:color w:val="auto"/>
                <w:sz w:val="24"/>
                <w:szCs w:val="24"/>
                <w:highlight w:val="none"/>
              </w:rPr>
              <w:t>规格型号</w:t>
            </w:r>
            <w:r>
              <w:rPr>
                <w:rStyle w:val="504"/>
                <w:rFonts w:hint="eastAsia" w:ascii="仿宋" w:hAnsi="仿宋" w:eastAsia="仿宋" w:cs="仿宋"/>
                <w:color w:val="auto"/>
                <w:sz w:val="24"/>
                <w:szCs w:val="24"/>
                <w:highlight w:val="none"/>
                <w:lang w:eastAsia="zh-CN"/>
              </w:rPr>
              <w:t>（</w:t>
            </w:r>
            <w:r>
              <w:rPr>
                <w:rStyle w:val="504"/>
                <w:rFonts w:hint="eastAsia" w:ascii="仿宋" w:hAnsi="仿宋" w:eastAsia="仿宋" w:cs="仿宋"/>
                <w:color w:val="auto"/>
                <w:sz w:val="24"/>
                <w:szCs w:val="24"/>
                <w:highlight w:val="none"/>
                <w:lang w:val="en-US" w:eastAsia="zh-CN"/>
              </w:rPr>
              <w:t>或具体服务</w:t>
            </w:r>
            <w:r>
              <w:rPr>
                <w:rStyle w:val="504"/>
                <w:rFonts w:hint="eastAsia" w:ascii="仿宋" w:hAnsi="仿宋" w:eastAsia="仿宋" w:cs="仿宋"/>
                <w:color w:val="auto"/>
                <w:sz w:val="24"/>
                <w:szCs w:val="24"/>
                <w:highlight w:val="none"/>
                <w:lang w:eastAsia="zh-CN"/>
              </w:rPr>
              <w:t>）</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4CE11E0">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单价</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2CA8EF6">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小计</w:t>
            </w:r>
          </w:p>
        </w:tc>
      </w:tr>
      <w:tr w14:paraId="08BB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14:paraId="184DEB7A">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1</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14:paraId="3C58A697">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318A782">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D2AFE11">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948333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BB92228">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59C2501">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14:paraId="7B9D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14:paraId="04BF402A">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2</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14:paraId="060CEA19">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E0DE97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D6F7449">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671B26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2E6E99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44BA7BD">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14:paraId="1DCA7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14:paraId="6EFD30AF">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3</w:t>
            </w:r>
          </w:p>
        </w:tc>
        <w:tc>
          <w:tcPr>
            <w:tcW w:w="1855" w:type="dxa"/>
            <w:tcBorders>
              <w:top w:val="single" w:color="000000" w:sz="4" w:space="0"/>
              <w:left w:val="single" w:color="000000" w:sz="4" w:space="0"/>
              <w:bottom w:val="single" w:color="000000" w:sz="4" w:space="0"/>
              <w:right w:val="single" w:color="000000" w:sz="4" w:space="0"/>
            </w:tcBorders>
            <w:noWrap w:val="0"/>
            <w:vAlign w:val="center"/>
          </w:tcPr>
          <w:p w14:paraId="58B99109">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32DFEE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A70CAE0">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E2D3BC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2BEC33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2732855">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14:paraId="3348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14:paraId="4724A768">
            <w:pPr>
              <w:keepNext w:val="0"/>
              <w:keepLines w:val="0"/>
              <w:suppressLineNumbers w:val="0"/>
              <w:tabs>
                <w:tab w:val="left" w:pos="0"/>
              </w:tabs>
              <w:snapToGrid w:val="0"/>
              <w:spacing w:before="0" w:beforeAutospacing="0" w:after="0" w:afterAutospacing="0" w:line="500" w:lineRule="exact"/>
              <w:ind w:left="0" w:right="0"/>
              <w:jc w:val="center"/>
              <w:rPr>
                <w:rStyle w:val="504"/>
                <w:rFonts w:hint="eastAsia" w:ascii="仿宋" w:hAnsi="仿宋" w:eastAsia="仿宋" w:cs="仿宋"/>
                <w:color w:val="auto"/>
                <w:sz w:val="24"/>
                <w:szCs w:val="24"/>
                <w:highlight w:val="none"/>
              </w:rPr>
            </w:pPr>
          </w:p>
        </w:tc>
        <w:tc>
          <w:tcPr>
            <w:tcW w:w="1855" w:type="dxa"/>
            <w:tcBorders>
              <w:top w:val="single" w:color="000000" w:sz="4" w:space="0"/>
              <w:left w:val="single" w:color="000000" w:sz="4" w:space="0"/>
              <w:bottom w:val="single" w:color="000000" w:sz="4" w:space="0"/>
              <w:right w:val="single" w:color="000000" w:sz="4" w:space="0"/>
            </w:tcBorders>
            <w:noWrap w:val="0"/>
            <w:vAlign w:val="center"/>
          </w:tcPr>
          <w:p w14:paraId="117D94A0">
            <w:pPr>
              <w:keepNext w:val="0"/>
              <w:keepLines w:val="0"/>
              <w:suppressLineNumbers w:val="0"/>
              <w:tabs>
                <w:tab w:val="left" w:pos="0"/>
              </w:tabs>
              <w:snapToGrid w:val="0"/>
              <w:spacing w:before="0" w:beforeAutospacing="0" w:after="0" w:afterAutospacing="0" w:line="500" w:lineRule="exact"/>
              <w:ind w:left="0" w:right="0"/>
              <w:rPr>
                <w:rStyle w:val="504"/>
                <w:rFonts w:hint="eastAsia" w:ascii="仿宋" w:hAnsi="仿宋" w:eastAsia="仿宋" w:cs="仿宋"/>
                <w:color w:val="auto"/>
                <w:sz w:val="24"/>
                <w:szCs w:val="24"/>
                <w:highlight w:val="none"/>
              </w:rPr>
            </w:pPr>
            <w:r>
              <w:rPr>
                <w:rStyle w:val="504"/>
                <w:rFonts w:hint="eastAsia" w:ascii="仿宋" w:hAnsi="仿宋" w:eastAsia="仿宋" w:cs="仿宋"/>
                <w:b/>
                <w:bCs/>
                <w:color w:val="auto"/>
                <w:sz w:val="24"/>
                <w:szCs w:val="24"/>
                <w:highlight w:val="none"/>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3420422">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D3066F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E4B8E2">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231254A">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5F97EA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4"/>
                <w:rFonts w:hint="eastAsia" w:ascii="仿宋" w:hAnsi="仿宋" w:eastAsia="仿宋" w:cs="仿宋"/>
                <w:color w:val="auto"/>
                <w:sz w:val="24"/>
                <w:szCs w:val="24"/>
                <w:highlight w:val="none"/>
              </w:rPr>
            </w:pPr>
          </w:p>
        </w:tc>
      </w:tr>
      <w:tr w14:paraId="47A5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34" w:type="dxa"/>
            <w:gridSpan w:val="7"/>
            <w:tcBorders>
              <w:top w:val="single" w:color="000000" w:sz="4" w:space="0"/>
              <w:left w:val="single" w:color="000000" w:sz="4" w:space="0"/>
              <w:bottom w:val="single" w:color="000000" w:sz="4" w:space="0"/>
              <w:right w:val="single" w:color="000000" w:sz="4" w:space="0"/>
            </w:tcBorders>
            <w:noWrap w:val="0"/>
            <w:vAlign w:val="center"/>
          </w:tcPr>
          <w:p w14:paraId="7B874B76">
            <w:pPr>
              <w:keepNext w:val="0"/>
              <w:keepLines w:val="0"/>
              <w:suppressLineNumbers w:val="0"/>
              <w:tabs>
                <w:tab w:val="left" w:pos="0"/>
              </w:tabs>
              <w:snapToGrid w:val="0"/>
              <w:spacing w:before="0" w:beforeAutospacing="0" w:after="0" w:afterAutospacing="0" w:line="500" w:lineRule="exact"/>
              <w:ind w:left="0" w:right="0"/>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rPr>
              <w:t>投标总报价（小写）：             元；大写：</w:t>
            </w:r>
          </w:p>
        </w:tc>
      </w:tr>
    </w:tbl>
    <w:p w14:paraId="289BEC0D">
      <w:pPr>
        <w:keepNext w:val="0"/>
        <w:keepLines w:val="0"/>
        <w:pageBreakBefore w:val="0"/>
        <w:widowControl w:val="0"/>
        <w:kinsoku/>
        <w:wordWrap/>
        <w:overflowPunct/>
        <w:topLinePunct w:val="0"/>
        <w:autoSpaceDE/>
        <w:autoSpaceDN/>
        <w:bidi w:val="0"/>
        <w:adjustRightInd/>
        <w:snapToGrid w:val="0"/>
        <w:spacing w:line="400" w:lineRule="exact"/>
        <w:textAlignment w:val="auto"/>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注：1.投标总报价包括但不限于人工费（含工资、加班、保险等全部费用）、管理费、工具、保险、交通、利润、验收、税金、其他辅助工作等完成本项目的所有费用</w:t>
      </w:r>
      <w:r>
        <w:rPr>
          <w:rStyle w:val="504"/>
          <w:rFonts w:hint="eastAsia" w:ascii="仿宋" w:hAnsi="仿宋" w:eastAsia="仿宋" w:cs="仿宋"/>
          <w:color w:val="auto"/>
          <w:sz w:val="24"/>
          <w:szCs w:val="24"/>
          <w:highlight w:val="none"/>
        </w:rPr>
        <w:t>。</w:t>
      </w:r>
    </w:p>
    <w:p w14:paraId="67872CED">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6CB814A0">
      <w:pPr>
        <w:keepNext w:val="0"/>
        <w:keepLines w:val="0"/>
        <w:pageBreakBefore w:val="0"/>
        <w:widowControl w:val="0"/>
        <w:kinsoku/>
        <w:wordWrap/>
        <w:overflowPunct/>
        <w:topLinePunct w:val="0"/>
        <w:autoSpaceDE/>
        <w:autoSpaceDN/>
        <w:bidi w:val="0"/>
        <w:adjustRightInd/>
        <w:spacing w:line="400" w:lineRule="exact"/>
        <w:ind w:firstLine="48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以合同形式有偿取得货物或服务，不接受投标供应商给予的赠品、回扣或者与采购无关的其他商品、服务，不得出现“0元”、“免费赠送”等形式的无偿报价，否则视为投标文件含有采购人不能接受的附加条件，投标无效。</w:t>
      </w:r>
    </w:p>
    <w:p w14:paraId="74978866">
      <w:pPr>
        <w:pStyle w:val="337"/>
        <w:keepNext w:val="0"/>
        <w:keepLines w:val="0"/>
        <w:pageBreakBefore w:val="0"/>
        <w:widowControl w:val="0"/>
        <w:kinsoku/>
        <w:wordWrap/>
        <w:overflowPunct/>
        <w:topLinePunct w:val="0"/>
        <w:autoSpaceDE/>
        <w:autoSpaceDN/>
        <w:bidi w:val="0"/>
        <w:adjustRightInd/>
        <w:snapToGrid w:val="0"/>
        <w:spacing w:before="120" w:after="120" w:line="400" w:lineRule="exact"/>
        <w:ind w:firstLine="720" w:firstLineChars="300"/>
        <w:textAlignment w:val="auto"/>
        <w:rPr>
          <w:rStyle w:val="504"/>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4.</w:t>
      </w:r>
      <w:r>
        <w:rPr>
          <w:rStyle w:val="504"/>
          <w:rFonts w:hint="eastAsia" w:ascii="仿宋" w:hAnsi="仿宋" w:eastAsia="仿宋" w:cs="仿宋"/>
          <w:color w:val="auto"/>
          <w:sz w:val="24"/>
          <w:szCs w:val="24"/>
          <w:highlight w:val="none"/>
        </w:rPr>
        <w:t>名称按不同采购内容分别填写，</w:t>
      </w:r>
      <w:r>
        <w:rPr>
          <w:rStyle w:val="504"/>
          <w:rFonts w:hint="eastAsia" w:ascii="仿宋" w:hAnsi="仿宋" w:eastAsia="仿宋" w:cs="仿宋"/>
          <w:color w:val="auto"/>
          <w:sz w:val="24"/>
          <w:szCs w:val="24"/>
          <w:highlight w:val="none"/>
          <w:lang w:eastAsia="zh-CN"/>
        </w:rPr>
        <w:t>投标总报价</w:t>
      </w:r>
      <w:r>
        <w:rPr>
          <w:rStyle w:val="504"/>
          <w:rFonts w:hint="eastAsia" w:ascii="仿宋" w:hAnsi="仿宋" w:eastAsia="仿宋" w:cs="仿宋"/>
          <w:color w:val="auto"/>
          <w:sz w:val="24"/>
          <w:szCs w:val="24"/>
          <w:highlight w:val="none"/>
        </w:rPr>
        <w:t>应与开标一览表</w:t>
      </w:r>
      <w:r>
        <w:rPr>
          <w:rStyle w:val="504"/>
          <w:rFonts w:hint="eastAsia" w:ascii="仿宋" w:hAnsi="仿宋" w:eastAsia="仿宋" w:cs="仿宋"/>
          <w:color w:val="auto"/>
          <w:sz w:val="24"/>
          <w:szCs w:val="24"/>
          <w:highlight w:val="none"/>
          <w:lang w:eastAsia="zh-CN"/>
        </w:rPr>
        <w:t>（报价表）</w:t>
      </w:r>
      <w:r>
        <w:rPr>
          <w:rStyle w:val="504"/>
          <w:rFonts w:hint="eastAsia" w:ascii="仿宋" w:hAnsi="仿宋" w:eastAsia="仿宋" w:cs="仿宋"/>
          <w:color w:val="auto"/>
          <w:sz w:val="24"/>
          <w:szCs w:val="24"/>
          <w:highlight w:val="none"/>
        </w:rPr>
        <w:t>中</w:t>
      </w:r>
      <w:r>
        <w:rPr>
          <w:rStyle w:val="504"/>
          <w:rFonts w:hint="eastAsia" w:ascii="仿宋" w:hAnsi="仿宋" w:eastAsia="仿宋" w:cs="仿宋"/>
          <w:color w:val="auto"/>
          <w:sz w:val="24"/>
          <w:szCs w:val="24"/>
          <w:highlight w:val="none"/>
          <w:lang w:eastAsia="zh-CN"/>
        </w:rPr>
        <w:t>金额</w:t>
      </w:r>
      <w:r>
        <w:rPr>
          <w:rStyle w:val="504"/>
          <w:rFonts w:hint="eastAsia" w:ascii="仿宋" w:hAnsi="仿宋" w:eastAsia="仿宋" w:cs="仿宋"/>
          <w:color w:val="auto"/>
          <w:sz w:val="24"/>
          <w:szCs w:val="24"/>
          <w:highlight w:val="none"/>
        </w:rPr>
        <w:t>的相一致。</w:t>
      </w:r>
    </w:p>
    <w:p w14:paraId="2972EECB">
      <w:pPr>
        <w:keepNext w:val="0"/>
        <w:keepLines w:val="0"/>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仿宋"/>
          <w:color w:val="auto"/>
          <w:sz w:val="24"/>
          <w:szCs w:val="24"/>
          <w:highlight w:val="none"/>
        </w:rPr>
      </w:pPr>
      <w:r>
        <w:rPr>
          <w:rStyle w:val="504"/>
          <w:rFonts w:hint="eastAsia" w:ascii="仿宋" w:hAnsi="仿宋" w:eastAsia="仿宋" w:cs="仿宋"/>
          <w:color w:val="auto"/>
          <w:sz w:val="24"/>
          <w:szCs w:val="24"/>
          <w:highlight w:val="none"/>
          <w:lang w:val="en-US" w:eastAsia="zh-CN"/>
        </w:rPr>
        <w:t>5.</w:t>
      </w:r>
      <w:r>
        <w:rPr>
          <w:rStyle w:val="504"/>
          <w:rFonts w:hint="eastAsia" w:ascii="仿宋" w:hAnsi="仿宋" w:eastAsia="仿宋" w:cs="仿宋"/>
          <w:color w:val="auto"/>
          <w:sz w:val="24"/>
          <w:szCs w:val="24"/>
          <w:highlight w:val="none"/>
        </w:rPr>
        <w:t>此表仅提供了表格形式，</w:t>
      </w:r>
      <w:r>
        <w:rPr>
          <w:rStyle w:val="504"/>
          <w:rFonts w:hint="eastAsia" w:ascii="仿宋" w:hAnsi="仿宋" w:eastAsia="仿宋" w:cs="仿宋"/>
          <w:color w:val="auto"/>
          <w:sz w:val="24"/>
          <w:szCs w:val="24"/>
          <w:highlight w:val="none"/>
          <w:lang w:eastAsia="zh-CN"/>
        </w:rPr>
        <w:t>投标供应商</w:t>
      </w:r>
      <w:r>
        <w:rPr>
          <w:rStyle w:val="504"/>
          <w:rFonts w:hint="eastAsia" w:ascii="仿宋" w:hAnsi="仿宋" w:eastAsia="仿宋" w:cs="仿宋"/>
          <w:color w:val="auto"/>
          <w:sz w:val="24"/>
          <w:szCs w:val="24"/>
          <w:highlight w:val="none"/>
        </w:rPr>
        <w:t>可按此表格格式进行扩展。</w:t>
      </w:r>
    </w:p>
    <w:p w14:paraId="44C36BF0">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highlight w:val="none"/>
        </w:rPr>
      </w:pPr>
    </w:p>
    <w:p w14:paraId="2ED5758B">
      <w:pPr>
        <w:keepNext w:val="0"/>
        <w:keepLines w:val="0"/>
        <w:pageBreakBefore w:val="0"/>
        <w:widowControl w:val="0"/>
        <w:kinsoku/>
        <w:wordWrap/>
        <w:overflowPunct/>
        <w:topLinePunct w:val="0"/>
        <w:autoSpaceDE/>
        <w:autoSpaceDN/>
        <w:bidi w:val="0"/>
        <w:adjustRightInd/>
        <w:snapToGrid/>
        <w:spacing w:line="540" w:lineRule="exact"/>
        <w:ind w:firstLine="6000" w:firstLineChars="2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rPr>
        <w:t>名称(电子签名)：</w:t>
      </w:r>
    </w:p>
    <w:p w14:paraId="54BC2DD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14:paraId="317A4F22">
      <w:pPr>
        <w:rPr>
          <w:rFonts w:hint="eastAsia" w:ascii="仿宋" w:hAnsi="仿宋" w:eastAsia="仿宋" w:cs="仿宋"/>
          <w:b/>
          <w:bCs/>
          <w:color w:val="auto"/>
          <w:sz w:val="24"/>
          <w:szCs w:val="24"/>
          <w:highlight w:val="none"/>
          <w:lang w:eastAsia="zh-CN"/>
        </w:rPr>
      </w:pPr>
    </w:p>
    <w:p w14:paraId="25483B21">
      <w:pPr>
        <w:rPr>
          <w:rFonts w:hint="eastAsia" w:ascii="仿宋" w:hAnsi="仿宋" w:eastAsia="仿宋" w:cs="仿宋"/>
          <w:b/>
          <w:bCs/>
          <w:color w:val="auto"/>
          <w:sz w:val="24"/>
          <w:szCs w:val="24"/>
          <w:highlight w:val="none"/>
          <w:lang w:eastAsia="zh-CN"/>
        </w:rPr>
      </w:pPr>
    </w:p>
    <w:p w14:paraId="66C55BFB">
      <w:pPr>
        <w:rPr>
          <w:rFonts w:hint="eastAsia" w:ascii="仿宋" w:hAnsi="仿宋" w:eastAsia="仿宋" w:cs="仿宋"/>
          <w:b/>
          <w:bCs/>
          <w:color w:val="auto"/>
          <w:sz w:val="24"/>
          <w:szCs w:val="24"/>
          <w:highlight w:val="none"/>
          <w:lang w:eastAsia="zh-CN"/>
        </w:rPr>
      </w:pPr>
    </w:p>
    <w:p w14:paraId="694B8B8A">
      <w:pPr>
        <w:rPr>
          <w:rFonts w:hint="eastAsia" w:ascii="仿宋" w:hAnsi="仿宋" w:eastAsia="仿宋" w:cs="仿宋"/>
          <w:b/>
          <w:bCs/>
          <w:color w:val="auto"/>
          <w:sz w:val="24"/>
          <w:szCs w:val="24"/>
          <w:highlight w:val="none"/>
          <w:lang w:eastAsia="zh-CN"/>
        </w:rPr>
      </w:pPr>
    </w:p>
    <w:p w14:paraId="6C5AAD1C">
      <w:pPr>
        <w:rPr>
          <w:rFonts w:hint="eastAsia" w:ascii="仿宋" w:hAnsi="仿宋" w:eastAsia="仿宋" w:cs="仿宋"/>
          <w:b/>
          <w:bCs/>
          <w:color w:val="auto"/>
          <w:sz w:val="24"/>
          <w:szCs w:val="24"/>
          <w:highlight w:val="none"/>
          <w:lang w:eastAsia="zh-CN"/>
        </w:rPr>
      </w:pPr>
    </w:p>
    <w:p w14:paraId="56FBC5C8">
      <w:pP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各投标供应商：</w:t>
      </w:r>
    </w:p>
    <w:p w14:paraId="0E182A21">
      <w:pPr>
        <w:pStyle w:val="339"/>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请</w:t>
      </w:r>
      <w:r>
        <w:rPr>
          <w:rFonts w:hint="eastAsia" w:ascii="仿宋" w:hAnsi="仿宋" w:eastAsia="仿宋" w:cs="仿宋"/>
          <w:b/>
          <w:bCs/>
          <w:color w:val="auto"/>
          <w:sz w:val="24"/>
          <w:szCs w:val="24"/>
          <w:highlight w:val="none"/>
        </w:rPr>
        <w:t>在投标文件解密后半小时内如实填写</w:t>
      </w:r>
      <w:r>
        <w:rPr>
          <w:rFonts w:hint="eastAsia" w:ascii="仿宋" w:hAnsi="仿宋" w:eastAsia="仿宋" w:cs="仿宋"/>
          <w:b/>
          <w:bCs/>
          <w:color w:val="auto"/>
          <w:sz w:val="24"/>
          <w:szCs w:val="24"/>
          <w:highlight w:val="none"/>
          <w:lang w:val="en-US" w:eastAsia="zh-CN"/>
        </w:rPr>
        <w:t>政企</w:t>
      </w:r>
      <w:r>
        <w:rPr>
          <w:rFonts w:hint="eastAsia" w:ascii="仿宋" w:hAnsi="仿宋" w:eastAsia="仿宋" w:cs="仿宋"/>
          <w:b/>
          <w:bCs/>
          <w:color w:val="auto"/>
          <w:sz w:val="24"/>
          <w:szCs w:val="24"/>
          <w:highlight w:val="none"/>
        </w:rPr>
        <w:t>采购活动现场确认声明书，并以扫描件形式发送至</w:t>
      </w:r>
      <w:r>
        <w:rPr>
          <w:rFonts w:hint="eastAsia" w:ascii="仿宋" w:hAnsi="仿宋" w:eastAsia="仿宋" w:cs="仿宋"/>
          <w:b/>
          <w:bCs/>
          <w:color w:val="auto"/>
          <w:sz w:val="24"/>
          <w:szCs w:val="24"/>
          <w:highlight w:val="none"/>
          <w:lang w:val="en-US" w:eastAsia="zh-CN"/>
        </w:rPr>
        <w:t>984537027</w:t>
      </w:r>
      <w:r>
        <w:rPr>
          <w:rFonts w:hint="eastAsia" w:ascii="仿宋" w:hAnsi="仿宋" w:eastAsia="仿宋" w:cs="仿宋"/>
          <w:b/>
          <w:bCs/>
          <w:color w:val="auto"/>
          <w:sz w:val="24"/>
          <w:szCs w:val="24"/>
          <w:highlight w:val="none"/>
        </w:rPr>
        <w:t>@qq.com邮箱，如未如实填写，将有可能影响你的投标文件评审（</w:t>
      </w:r>
      <w:r>
        <w:rPr>
          <w:rFonts w:hint="eastAsia" w:ascii="仿宋" w:hAnsi="仿宋" w:eastAsia="仿宋" w:cs="仿宋"/>
          <w:b/>
          <w:bCs/>
          <w:color w:val="auto"/>
          <w:sz w:val="24"/>
          <w:szCs w:val="24"/>
          <w:highlight w:val="none"/>
          <w:lang w:eastAsia="zh-CN"/>
        </w:rPr>
        <w:t>政企</w:t>
      </w:r>
      <w:r>
        <w:rPr>
          <w:rFonts w:hint="eastAsia" w:ascii="仿宋" w:hAnsi="仿宋" w:eastAsia="仿宋" w:cs="仿宋"/>
          <w:b/>
          <w:bCs/>
          <w:color w:val="auto"/>
          <w:sz w:val="24"/>
          <w:szCs w:val="24"/>
          <w:highlight w:val="none"/>
        </w:rPr>
        <w:t>采购活动现场确认声明书格式见附表）。</w:t>
      </w:r>
    </w:p>
    <w:p w14:paraId="6CC2B236">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5DA86806">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07CE1A2">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5F20D0C">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3471A492">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462A5A64">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08F6447">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3CE4D6EB">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0F20D09">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BA67036">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5153F978">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12008E8">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3FF65DFB">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7EAFC752">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42A76A89">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76519CD2">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2CEE8359">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B8F35C1">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4F36D693">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13B77048">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3CB3DEC8">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4EA6946">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6C4ADAB3">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486DD3C9">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0A4EE638">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7C14D74E">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p>
    <w:p w14:paraId="18F13797">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附表：               </w:t>
      </w:r>
    </w:p>
    <w:p w14:paraId="58A9CDF9">
      <w:pPr>
        <w:pStyle w:val="339"/>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政企</w:t>
      </w:r>
      <w:r>
        <w:rPr>
          <w:rFonts w:hint="eastAsia" w:ascii="仿宋" w:hAnsi="仿宋" w:eastAsia="仿宋" w:cs="仿宋"/>
          <w:b/>
          <w:bCs/>
          <w:color w:val="auto"/>
          <w:sz w:val="24"/>
          <w:szCs w:val="24"/>
          <w:highlight w:val="none"/>
        </w:rPr>
        <w:t>采购活动现场确认声明书</w:t>
      </w:r>
    </w:p>
    <w:p w14:paraId="646A0DB2">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绍兴市文汇项目管理有限公司</w:t>
      </w:r>
      <w:r>
        <w:rPr>
          <w:rFonts w:hint="eastAsia" w:ascii="仿宋" w:hAnsi="仿宋" w:eastAsia="仿宋" w:cs="仿宋"/>
          <w:color w:val="auto"/>
          <w:kern w:val="0"/>
          <w:sz w:val="24"/>
          <w:szCs w:val="24"/>
          <w:highlight w:val="none"/>
        </w:rPr>
        <w:t>：</w:t>
      </w:r>
    </w:p>
    <w:p w14:paraId="763091DF">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政企</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48BBFD7F">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0B69CB36">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8E16A12">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957A66E">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08C5531A">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0306B29">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42B6B4EB">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5A0A947F">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3D1A886">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A.法定代表人或负责人或实际控制人是同一人</w:t>
      </w:r>
    </w:p>
    <w:p w14:paraId="6308725F">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B.法定代表人或负责人或实际控制人是夫妻关系</w:t>
      </w:r>
    </w:p>
    <w:p w14:paraId="2D97670A">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C.法定代表人或负责人或实际控制人是直系血亲关系</w:t>
      </w:r>
    </w:p>
    <w:p w14:paraId="686DD488">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D.法定代表人或负责人或实际控制人存在三代以内旁系血亲关系</w:t>
      </w:r>
    </w:p>
    <w:p w14:paraId="76623E46">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31228168">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F.法定代表人或负责人或实际控制人存在股份控制或实际控制关系</w:t>
      </w:r>
      <w:bookmarkStart w:id="143" w:name="_Toc11926"/>
    </w:p>
    <w:p w14:paraId="266367E8">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G.存在共同直接或间接投资设立子公司、联营企业和合营企业情况</w:t>
      </w:r>
      <w:bookmarkEnd w:id="143"/>
    </w:p>
    <w:p w14:paraId="52DC9676">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2C53824">
      <w:pPr>
        <w:pStyle w:val="339"/>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E308AF9">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严格遵守采购</w:t>
      </w:r>
      <w:r>
        <w:rPr>
          <w:rFonts w:hint="eastAsia" w:ascii="仿宋" w:hAnsi="仿宋" w:eastAsia="仿宋" w:cs="仿宋"/>
          <w:color w:val="auto"/>
          <w:kern w:val="0"/>
          <w:sz w:val="24"/>
          <w:szCs w:val="24"/>
          <w:highlight w:val="none"/>
          <w:lang w:eastAsia="zh-CN"/>
        </w:rPr>
        <w:t>相关</w:t>
      </w:r>
      <w:r>
        <w:rPr>
          <w:rFonts w:hint="eastAsia" w:ascii="仿宋" w:hAnsi="仿宋" w:eastAsia="仿宋" w:cs="仿宋"/>
          <w:color w:val="auto"/>
          <w:kern w:val="0"/>
          <w:sz w:val="24"/>
          <w:szCs w:val="24"/>
          <w:highlight w:val="none"/>
        </w:rPr>
        <w:t>法律法规和现场纪律。</w:t>
      </w:r>
    </w:p>
    <w:p w14:paraId="30534306">
      <w:pPr>
        <w:pStyle w:val="142"/>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0BE637E">
      <w:pPr>
        <w:spacing w:line="240" w:lineRule="auto"/>
        <w:rPr>
          <w:rFonts w:hint="eastAsia" w:ascii="仿宋" w:hAnsi="仿宋" w:eastAsia="仿宋" w:cs="仿宋"/>
          <w:color w:val="auto"/>
          <w:sz w:val="24"/>
          <w:szCs w:val="24"/>
          <w:highlight w:val="none"/>
        </w:rPr>
      </w:pPr>
    </w:p>
    <w:p w14:paraId="12FEEBE6">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（供应商代表签名）：                                  </w:t>
      </w:r>
      <w:r>
        <w:rPr>
          <w:rFonts w:hint="eastAsia" w:ascii="仿宋" w:hAnsi="仿宋" w:eastAsia="仿宋" w:cs="仿宋"/>
          <w:color w:val="auto"/>
          <w:sz w:val="24"/>
          <w:szCs w:val="24"/>
          <w:highlight w:val="none"/>
          <w:lang w:val="en-US" w:eastAsia="zh-CN"/>
        </w:rPr>
        <w:t xml:space="preserve">   </w:t>
      </w:r>
    </w:p>
    <w:p w14:paraId="41E5E7A1">
      <w:pPr>
        <w:spacing w:line="24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年  月</w:t>
      </w:r>
      <w:r>
        <w:rPr>
          <w:rFonts w:hint="eastAsia" w:ascii="仿宋" w:hAnsi="仿宋" w:eastAsia="仿宋" w:cs="仿宋"/>
          <w:color w:val="auto"/>
          <w:sz w:val="24"/>
          <w:szCs w:val="24"/>
          <w:highlight w:val="none"/>
          <w:lang w:val="en-US" w:eastAsia="zh-CN"/>
        </w:rPr>
        <w:t xml:space="preserve">  日</w:t>
      </w:r>
    </w:p>
    <w:sectPr>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52B9">
    <w:pPr>
      <w:pStyle w:val="5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4F013">
                          <w:pPr>
                            <w:pStyle w:val="5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DsfOIBAADDAwAADgAA&#10;AAAAAAABACAAAAAeAQAAZHJzL2Uyb0RvYy54bWxQSwUGAAAAAAYABgBZAQAAcgUAAAAA&#10;">
              <v:fill on="f" focussize="0,0"/>
              <v:stroke on="f"/>
              <v:imagedata o:title=""/>
              <o:lock v:ext="edit" aspectratio="f"/>
              <v:textbox inset="0mm,0mm,0mm,0mm" style="mso-fit-shape-to-text:t;">
                <w:txbxContent>
                  <w:p w14:paraId="4E44F013">
                    <w:pPr>
                      <w:pStyle w:val="5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F1B2">
    <w:pPr>
      <w:pStyle w:val="51"/>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67BD1">
                          <w:pPr>
                            <w:pStyle w:val="5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PW/yO4QEAAMMDAAAOAAAA&#10;AAAAAAEAIAAAAB4BAABkcnMvZTJvRG9jLnhtbFBLBQYAAAAABgAGAFkBAABxBQAAAAA=&#10;">
              <v:fill on="f" focussize="0,0"/>
              <v:stroke on="f"/>
              <v:imagedata o:title=""/>
              <o:lock v:ext="edit" aspectratio="f"/>
              <v:textbox inset="0mm,0mm,0mm,0mm" style="mso-fit-shape-to-text:t;">
                <w:txbxContent>
                  <w:p w14:paraId="5C467BD1">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3A24">
    <w:pPr>
      <w:pStyle w:val="5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75DE92">
                          <w:pPr>
                            <w:pStyle w:val="51"/>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cxqnOIBAADDAwAADgAA&#10;AAAAAAABACAAAAAeAQAAZHJzL2Uyb0RvYy54bWxQSwUGAAAAAAYABgBZAQAAcgUAAAAA&#10;">
              <v:fill on="f" focussize="0,0"/>
              <v:stroke on="f"/>
              <v:imagedata o:title=""/>
              <o:lock v:ext="edit" aspectratio="f"/>
              <v:textbox inset="0mm,0mm,0mm,0mm" style="mso-fit-shape-to-text:t;">
                <w:txbxContent>
                  <w:p w14:paraId="0075DE92">
                    <w:pPr>
                      <w:pStyle w:val="5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29BB">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eastAsia="zh-CN"/>
      </w:rPr>
      <w:t>嵊州市交投港务有限公司25吨门座起重机拆卸项目（第二次）</w:t>
    </w:r>
    <w:r>
      <w:rPr>
        <w:rFonts w:hint="eastAsia" w:ascii="仿宋" w:hAnsi="仿宋" w:eastAsia="仿宋" w:cs="仿宋"/>
        <w:sz w:val="18"/>
        <w:szCs w:val="18"/>
        <w:lang w:val="en-US" w:eastAsia="zh-CN"/>
      </w:rPr>
      <w:t xml:space="preserve">                  项目编号：SXWH2025-4-3（2）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0493">
    <w:pPr>
      <w:pStyle w:val="53"/>
      <w:jc w:val="left"/>
      <w:rPr>
        <w:rFonts w:hint="default" w:ascii="仿宋" w:hAnsi="仿宋" w:eastAsia="仿宋" w:cs="仿宋"/>
        <w:lang w:val="en-US" w:eastAsia="zh-CN"/>
      </w:rPr>
    </w:pPr>
    <w:r>
      <w:rPr>
        <w:rFonts w:hint="eastAsia" w:ascii="仿宋" w:hAnsi="仿宋" w:eastAsia="仿宋" w:cs="仿宋"/>
        <w:lang w:eastAsia="zh-CN"/>
      </w:rPr>
      <w:t>　嵊州市交投港务有限公司25吨门座起重机拆卸项目（第二次）</w:t>
    </w:r>
    <w:r>
      <w:rPr>
        <w:rFonts w:hint="eastAsia" w:ascii="仿宋" w:hAnsi="仿宋" w:eastAsia="仿宋" w:cs="仿宋"/>
        <w:lang w:val="en-US" w:eastAsia="zh-CN"/>
      </w:rPr>
      <w:t xml:space="preserve">                项目编号：SXWH2025-4-3（2）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D0FE">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eastAsia="zh-CN"/>
      </w:rPr>
      <w:t>嵊州市交投港务有限公司25吨门座起重机拆卸项目（第二次）</w:t>
    </w:r>
    <w:r>
      <w:rPr>
        <w:rFonts w:hint="eastAsia" w:ascii="仿宋" w:hAnsi="仿宋" w:eastAsia="仿宋" w:cs="仿宋"/>
        <w:sz w:val="18"/>
        <w:szCs w:val="18"/>
        <w:lang w:val="en-US" w:eastAsia="zh-CN"/>
      </w:rPr>
      <w:t xml:space="preserve">               项目编号：SXWH2025-4-3（2）</w:t>
    </w:r>
  </w:p>
  <w:p w14:paraId="393ACC80">
    <w:pPr>
      <w:pStyle w:val="53"/>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134"/>
      <w:suff w:val="nothing"/>
      <w:lvlText w:val="%1"/>
      <w:lvlJc w:val="left"/>
      <w:pPr>
        <w:ind w:left="0" w:firstLine="0"/>
      </w:pPr>
      <w:rPr>
        <w:rFonts w:hint="default" w:ascii="Times New Roman" w:hAnsi="Times New Roman"/>
        <w:b/>
        <w:i w:val="0"/>
        <w:sz w:val="21"/>
      </w:rPr>
    </w:lvl>
    <w:lvl w:ilvl="1" w:tentative="0">
      <w:start w:val="1"/>
      <w:numFmt w:val="decimal"/>
      <w:pStyle w:val="209"/>
      <w:suff w:val="nothing"/>
      <w:lvlText w:val="%1%2　"/>
      <w:lvlJc w:val="left"/>
      <w:pPr>
        <w:ind w:left="0" w:firstLine="0"/>
      </w:pPr>
      <w:rPr>
        <w:rFonts w:hint="eastAsia" w:ascii="黑体" w:hAnsi="Times New Roman" w:eastAsia="黑体"/>
        <w:b w:val="0"/>
        <w:i w:val="0"/>
        <w:sz w:val="21"/>
      </w:rPr>
    </w:lvl>
    <w:lvl w:ilvl="2" w:tentative="0">
      <w:start w:val="1"/>
      <w:numFmt w:val="decimal"/>
      <w:pStyle w:val="199"/>
      <w:suff w:val="nothing"/>
      <w:lvlText w:val="%1%2.%3　"/>
      <w:lvlJc w:val="left"/>
      <w:pPr>
        <w:ind w:left="3675" w:firstLine="0"/>
      </w:pPr>
      <w:rPr>
        <w:rFonts w:hint="eastAsia" w:ascii="黑体" w:hAnsi="Times New Roman" w:eastAsia="黑体"/>
        <w:b w:val="0"/>
        <w:i w:val="0"/>
        <w:sz w:val="21"/>
      </w:rPr>
    </w:lvl>
    <w:lvl w:ilvl="3" w:tentative="0">
      <w:start w:val="1"/>
      <w:numFmt w:val="decimal"/>
      <w:pStyle w:val="198"/>
      <w:suff w:val="nothing"/>
      <w:lvlText w:val="%1%2.%3.%4　"/>
      <w:lvlJc w:val="left"/>
      <w:pPr>
        <w:ind w:left="0" w:firstLine="0"/>
      </w:pPr>
      <w:rPr>
        <w:rFonts w:hint="eastAsia" w:ascii="黑体" w:hAnsi="Times New Roman" w:eastAsia="黑体"/>
        <w:b w:val="0"/>
        <w:i w:val="0"/>
        <w:sz w:val="21"/>
      </w:rPr>
    </w:lvl>
    <w:lvl w:ilvl="4" w:tentative="0">
      <w:start w:val="1"/>
      <w:numFmt w:val="decimal"/>
      <w:pStyle w:val="197"/>
      <w:suff w:val="nothing"/>
      <w:lvlText w:val="%1%2.%3.%4.%5　"/>
      <w:lvlJc w:val="left"/>
      <w:pPr>
        <w:ind w:left="0" w:firstLine="0"/>
      </w:pPr>
      <w:rPr>
        <w:rFonts w:hint="eastAsia" w:ascii="黑体" w:hAnsi="Times New Roman" w:eastAsia="黑体"/>
        <w:b w:val="0"/>
        <w:i w:val="0"/>
        <w:sz w:val="21"/>
      </w:rPr>
    </w:lvl>
    <w:lvl w:ilvl="5" w:tentative="0">
      <w:start w:val="1"/>
      <w:numFmt w:val="decimal"/>
      <w:pStyle w:val="196"/>
      <w:suff w:val="nothing"/>
      <w:lvlText w:val="%1%2.%3.%4.%5.%6　"/>
      <w:lvlJc w:val="left"/>
      <w:pPr>
        <w:ind w:left="0" w:firstLine="0"/>
      </w:pPr>
      <w:rPr>
        <w:rFonts w:hint="eastAsia" w:ascii="黑体" w:hAnsi="Times New Roman" w:eastAsia="黑体"/>
        <w:b w:val="0"/>
        <w:i w:val="0"/>
        <w:sz w:val="21"/>
      </w:rPr>
    </w:lvl>
    <w:lvl w:ilvl="6" w:tentative="0">
      <w:start w:val="1"/>
      <w:numFmt w:val="decimal"/>
      <w:pStyle w:val="1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decimal"/>
      <w:pStyle w:val="19"/>
      <w:lvlText w:val="%1)"/>
      <w:lvlJc w:val="left"/>
      <w:pPr>
        <w:tabs>
          <w:tab w:val="left" w:pos="900"/>
        </w:tabs>
        <w:ind w:left="900" w:hanging="420"/>
      </w:pPr>
    </w:lvl>
    <w:lvl w:ilvl="1" w:tentative="0">
      <w:start w:val="1"/>
      <w:numFmt w:val="lowerLetter"/>
      <w:pStyle w:val="116"/>
      <w:lvlText w:val="%2)"/>
      <w:lvlJc w:val="left"/>
      <w:pPr>
        <w:tabs>
          <w:tab w:val="left" w:pos="1320"/>
        </w:tabs>
        <w:ind w:left="1320" w:hanging="420"/>
      </w:pPr>
    </w:lvl>
    <w:lvl w:ilvl="2" w:tentative="0">
      <w:start w:val="1"/>
      <w:numFmt w:val="lowerRoman"/>
      <w:pStyle w:val="117"/>
      <w:lvlText w:val="%3."/>
      <w:lvlJc w:val="right"/>
      <w:pPr>
        <w:tabs>
          <w:tab w:val="left" w:pos="1740"/>
        </w:tabs>
        <w:ind w:left="1740" w:hanging="420"/>
      </w:pPr>
    </w:lvl>
    <w:lvl w:ilvl="3" w:tentative="0">
      <w:start w:val="1"/>
      <w:numFmt w:val="decimal"/>
      <w:pStyle w:val="145"/>
      <w:lvlText w:val="%4."/>
      <w:lvlJc w:val="left"/>
      <w:pPr>
        <w:tabs>
          <w:tab w:val="left" w:pos="2160"/>
        </w:tabs>
        <w:ind w:left="2160" w:hanging="420"/>
      </w:pPr>
    </w:lvl>
    <w:lvl w:ilvl="4" w:tentative="0">
      <w:start w:val="1"/>
      <w:numFmt w:val="lowerLetter"/>
      <w:pStyle w:val="171"/>
      <w:lvlText w:val="%5)"/>
      <w:lvlJc w:val="left"/>
      <w:pPr>
        <w:tabs>
          <w:tab w:val="left" w:pos="2580"/>
        </w:tabs>
        <w:ind w:left="2580" w:hanging="420"/>
      </w:pPr>
    </w:lvl>
    <w:lvl w:ilvl="5" w:tentative="0">
      <w:start w:val="1"/>
      <w:numFmt w:val="lowerRoman"/>
      <w:pStyle w:val="238"/>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0"/>
    <w:multiLevelType w:val="multilevel"/>
    <w:tmpl w:val="00000010"/>
    <w:lvl w:ilvl="0" w:tentative="0">
      <w:start w:val="1"/>
      <w:numFmt w:val="bullet"/>
      <w:pStyle w:val="17"/>
      <w:lvlText w:val=""/>
      <w:lvlJc w:val="left"/>
      <w:pPr>
        <w:tabs>
          <w:tab w:val="left" w:pos="780"/>
        </w:tabs>
        <w:ind w:left="780" w:hanging="360"/>
      </w:pPr>
      <w:rPr>
        <w:rFonts w:hint="default" w:ascii="Wingdings" w:hAnsi="Wingdings"/>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00000011"/>
    <w:multiLevelType w:val="multilevel"/>
    <w:tmpl w:val="00000011"/>
    <w:lvl w:ilvl="0" w:tentative="0">
      <w:start w:val="1"/>
      <w:numFmt w:val="japaneseCounting"/>
      <w:pStyle w:val="389"/>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4">
    <w:nsid w:val="00000012"/>
    <w:multiLevelType w:val="multilevel"/>
    <w:tmpl w:val="00000012"/>
    <w:lvl w:ilvl="0" w:tentative="0">
      <w:start w:val="1"/>
      <w:numFmt w:val="decimal"/>
      <w:pStyle w:val="15"/>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5"/>
    <w:multiLevelType w:val="multilevel"/>
    <w:tmpl w:val="00000015"/>
    <w:lvl w:ilvl="0" w:tentative="0">
      <w:start w:val="1"/>
      <w:numFmt w:val="bullet"/>
      <w:pStyle w:val="31"/>
      <w:lvlText w:val=""/>
      <w:lvlJc w:val="left"/>
      <w:pPr>
        <w:tabs>
          <w:tab w:val="left" w:pos="360"/>
        </w:tabs>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00000017"/>
    <w:multiLevelType w:val="multilevel"/>
    <w:tmpl w:val="00000017"/>
    <w:lvl w:ilvl="0" w:tentative="0">
      <w:start w:val="1"/>
      <w:numFmt w:val="decimal"/>
      <w:pStyle w:val="45"/>
      <w:lvlText w:val="%1."/>
      <w:lvlJc w:val="left"/>
      <w:pPr>
        <w:tabs>
          <w:tab w:val="left" w:pos="780"/>
        </w:tabs>
        <w:ind w:left="780" w:hanging="360"/>
      </w:p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00000019"/>
    <w:multiLevelType w:val="multilevel"/>
    <w:tmpl w:val="00000019"/>
    <w:lvl w:ilvl="0" w:tentative="0">
      <w:start w:val="1"/>
      <w:numFmt w:val="decimal"/>
      <w:pStyle w:val="281"/>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singleLevel"/>
    <w:tmpl w:val="0000001B"/>
    <w:lvl w:ilvl="0" w:tentative="0">
      <w:start w:val="1"/>
      <w:numFmt w:val="decimal"/>
      <w:pStyle w:val="35"/>
      <w:lvlText w:val="%1."/>
      <w:lvlJc w:val="left"/>
      <w:pPr>
        <w:tabs>
          <w:tab w:val="left" w:pos="1200"/>
        </w:tabs>
        <w:ind w:left="1200" w:hanging="360"/>
      </w:pPr>
    </w:lvl>
  </w:abstractNum>
  <w:abstractNum w:abstractNumId="9">
    <w:nsid w:val="545A512C"/>
    <w:multiLevelType w:val="multilevel"/>
    <w:tmpl w:val="545A512C"/>
    <w:lvl w:ilvl="0" w:tentative="0">
      <w:start w:val="1"/>
      <w:numFmt w:val="chineseCountingThousand"/>
      <w:pStyle w:val="3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79C781F"/>
    <w:multiLevelType w:val="singleLevel"/>
    <w:tmpl w:val="579C781F"/>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8"/>
  </w:num>
  <w:num w:numId="6">
    <w:abstractNumId w:val="6"/>
  </w:num>
  <w:num w:numId="7">
    <w:abstractNumId w:val="0"/>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zUzMDhkNWUyMmFkNzJkYTkyMDkxYThlMGIwOTg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595"/>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77672"/>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39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430"/>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639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395"/>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7E2E02"/>
    <w:rsid w:val="018124EE"/>
    <w:rsid w:val="01914DAF"/>
    <w:rsid w:val="0194620D"/>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5FF0"/>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B505A"/>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437501"/>
    <w:rsid w:val="034E3918"/>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060B6"/>
    <w:rsid w:val="03A24BCC"/>
    <w:rsid w:val="03A403E0"/>
    <w:rsid w:val="03A43CA1"/>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3FA1576"/>
    <w:rsid w:val="03FE4DF0"/>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62845"/>
    <w:rsid w:val="046E0986"/>
    <w:rsid w:val="04701466"/>
    <w:rsid w:val="04726F99"/>
    <w:rsid w:val="04742319"/>
    <w:rsid w:val="04762F3E"/>
    <w:rsid w:val="04767D24"/>
    <w:rsid w:val="04784D20"/>
    <w:rsid w:val="047C35A8"/>
    <w:rsid w:val="048374D1"/>
    <w:rsid w:val="04930183"/>
    <w:rsid w:val="04945DB3"/>
    <w:rsid w:val="049832CF"/>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50B44"/>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72669"/>
    <w:rsid w:val="051901D4"/>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94EBA"/>
    <w:rsid w:val="063B2D93"/>
    <w:rsid w:val="063C0382"/>
    <w:rsid w:val="063E3598"/>
    <w:rsid w:val="063E540D"/>
    <w:rsid w:val="064743B9"/>
    <w:rsid w:val="064B3BC7"/>
    <w:rsid w:val="065038DE"/>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9A278A"/>
    <w:rsid w:val="06A2562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6FF562D"/>
    <w:rsid w:val="070359A0"/>
    <w:rsid w:val="0705063B"/>
    <w:rsid w:val="070A0F55"/>
    <w:rsid w:val="070A77F4"/>
    <w:rsid w:val="070B5CB0"/>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450C"/>
    <w:rsid w:val="07837D71"/>
    <w:rsid w:val="07854B87"/>
    <w:rsid w:val="078564AD"/>
    <w:rsid w:val="07886872"/>
    <w:rsid w:val="0788733F"/>
    <w:rsid w:val="078F1D07"/>
    <w:rsid w:val="07983F1F"/>
    <w:rsid w:val="07987CC9"/>
    <w:rsid w:val="079A1B2D"/>
    <w:rsid w:val="079A1C0F"/>
    <w:rsid w:val="079B05D9"/>
    <w:rsid w:val="079C1B35"/>
    <w:rsid w:val="079C4EB2"/>
    <w:rsid w:val="07A25163"/>
    <w:rsid w:val="07A5330F"/>
    <w:rsid w:val="07A86AAB"/>
    <w:rsid w:val="07AB36BB"/>
    <w:rsid w:val="07AF1602"/>
    <w:rsid w:val="07AF55A6"/>
    <w:rsid w:val="07B02E43"/>
    <w:rsid w:val="07B80AC0"/>
    <w:rsid w:val="07BA45BD"/>
    <w:rsid w:val="07C05E24"/>
    <w:rsid w:val="07C55AF8"/>
    <w:rsid w:val="07C6632A"/>
    <w:rsid w:val="07C824BF"/>
    <w:rsid w:val="07C91479"/>
    <w:rsid w:val="07C92B05"/>
    <w:rsid w:val="07CA7201"/>
    <w:rsid w:val="07D826A0"/>
    <w:rsid w:val="07DC3D2D"/>
    <w:rsid w:val="07E45910"/>
    <w:rsid w:val="07F32076"/>
    <w:rsid w:val="07F93F23"/>
    <w:rsid w:val="08057A19"/>
    <w:rsid w:val="08057FCF"/>
    <w:rsid w:val="080B5BA7"/>
    <w:rsid w:val="080C7184"/>
    <w:rsid w:val="081606E4"/>
    <w:rsid w:val="081D240C"/>
    <w:rsid w:val="081E519A"/>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52E8C"/>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60B0C"/>
    <w:rsid w:val="08B61B14"/>
    <w:rsid w:val="08B83A84"/>
    <w:rsid w:val="08BB49DB"/>
    <w:rsid w:val="08BF2E10"/>
    <w:rsid w:val="08BF343B"/>
    <w:rsid w:val="08C71B2A"/>
    <w:rsid w:val="08C8150C"/>
    <w:rsid w:val="08CA0085"/>
    <w:rsid w:val="08CA64F5"/>
    <w:rsid w:val="08CB65E7"/>
    <w:rsid w:val="08CE410F"/>
    <w:rsid w:val="08DD0FEC"/>
    <w:rsid w:val="08DE150D"/>
    <w:rsid w:val="08ED70A2"/>
    <w:rsid w:val="08EF501B"/>
    <w:rsid w:val="08F27CFF"/>
    <w:rsid w:val="08F564D7"/>
    <w:rsid w:val="08F6589F"/>
    <w:rsid w:val="08F66C43"/>
    <w:rsid w:val="08FB720C"/>
    <w:rsid w:val="090075D2"/>
    <w:rsid w:val="09076668"/>
    <w:rsid w:val="09095B18"/>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16F12"/>
    <w:rsid w:val="09627899"/>
    <w:rsid w:val="096A0964"/>
    <w:rsid w:val="09876078"/>
    <w:rsid w:val="09895F17"/>
    <w:rsid w:val="098A3838"/>
    <w:rsid w:val="098C3D2F"/>
    <w:rsid w:val="098C7E25"/>
    <w:rsid w:val="099866AB"/>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C5969"/>
    <w:rsid w:val="0A7E2714"/>
    <w:rsid w:val="0A801BC2"/>
    <w:rsid w:val="0A8A3386"/>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92E13"/>
    <w:rsid w:val="0AF2551F"/>
    <w:rsid w:val="0AFA287C"/>
    <w:rsid w:val="0B0667C0"/>
    <w:rsid w:val="0B0A64FA"/>
    <w:rsid w:val="0B0C292D"/>
    <w:rsid w:val="0B0D7F04"/>
    <w:rsid w:val="0B124CC5"/>
    <w:rsid w:val="0B175B42"/>
    <w:rsid w:val="0B201170"/>
    <w:rsid w:val="0B2366D2"/>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32BF1"/>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5237F"/>
    <w:rsid w:val="0C9C64B3"/>
    <w:rsid w:val="0C9D0879"/>
    <w:rsid w:val="0CA72E90"/>
    <w:rsid w:val="0CB82705"/>
    <w:rsid w:val="0CB918D0"/>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83779"/>
    <w:rsid w:val="0D19318C"/>
    <w:rsid w:val="0D1A4BA1"/>
    <w:rsid w:val="0D1A524F"/>
    <w:rsid w:val="0D1C7266"/>
    <w:rsid w:val="0D1D3A97"/>
    <w:rsid w:val="0D1E6EE6"/>
    <w:rsid w:val="0D237BBD"/>
    <w:rsid w:val="0D254BE8"/>
    <w:rsid w:val="0D2571D0"/>
    <w:rsid w:val="0D293161"/>
    <w:rsid w:val="0D29575A"/>
    <w:rsid w:val="0D2D34F1"/>
    <w:rsid w:val="0D313C31"/>
    <w:rsid w:val="0D3926FF"/>
    <w:rsid w:val="0D4030C9"/>
    <w:rsid w:val="0D40776D"/>
    <w:rsid w:val="0D4117E2"/>
    <w:rsid w:val="0D450FB6"/>
    <w:rsid w:val="0D461B3E"/>
    <w:rsid w:val="0D507873"/>
    <w:rsid w:val="0D5579A4"/>
    <w:rsid w:val="0D5B6219"/>
    <w:rsid w:val="0D624C38"/>
    <w:rsid w:val="0D63174A"/>
    <w:rsid w:val="0D785F02"/>
    <w:rsid w:val="0D7E2B70"/>
    <w:rsid w:val="0D824108"/>
    <w:rsid w:val="0D85034C"/>
    <w:rsid w:val="0D876A5A"/>
    <w:rsid w:val="0D882F99"/>
    <w:rsid w:val="0D891097"/>
    <w:rsid w:val="0D8977B0"/>
    <w:rsid w:val="0D8A4E4C"/>
    <w:rsid w:val="0D8C777D"/>
    <w:rsid w:val="0D902D83"/>
    <w:rsid w:val="0D917179"/>
    <w:rsid w:val="0D962483"/>
    <w:rsid w:val="0D9715F3"/>
    <w:rsid w:val="0D9C2C84"/>
    <w:rsid w:val="0DA02847"/>
    <w:rsid w:val="0DA14E40"/>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1521C"/>
    <w:rsid w:val="0E283C6C"/>
    <w:rsid w:val="0E2A68D3"/>
    <w:rsid w:val="0E2B30FB"/>
    <w:rsid w:val="0E336584"/>
    <w:rsid w:val="0E346BDA"/>
    <w:rsid w:val="0E407D57"/>
    <w:rsid w:val="0E4107CB"/>
    <w:rsid w:val="0E434A84"/>
    <w:rsid w:val="0E487C96"/>
    <w:rsid w:val="0E49681C"/>
    <w:rsid w:val="0E4E7770"/>
    <w:rsid w:val="0E50535B"/>
    <w:rsid w:val="0E506063"/>
    <w:rsid w:val="0E51538E"/>
    <w:rsid w:val="0E55138B"/>
    <w:rsid w:val="0E616D2A"/>
    <w:rsid w:val="0E6170B3"/>
    <w:rsid w:val="0E6211F6"/>
    <w:rsid w:val="0E625048"/>
    <w:rsid w:val="0E631330"/>
    <w:rsid w:val="0E634069"/>
    <w:rsid w:val="0E677751"/>
    <w:rsid w:val="0E786AD5"/>
    <w:rsid w:val="0E7B180B"/>
    <w:rsid w:val="0E7D2A40"/>
    <w:rsid w:val="0E81394B"/>
    <w:rsid w:val="0E82150E"/>
    <w:rsid w:val="0E861EFB"/>
    <w:rsid w:val="0E864F87"/>
    <w:rsid w:val="0E8B7EEA"/>
    <w:rsid w:val="0E900680"/>
    <w:rsid w:val="0E983080"/>
    <w:rsid w:val="0E9D1BA9"/>
    <w:rsid w:val="0E9E348B"/>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4F57A4"/>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0FFF7C9F"/>
    <w:rsid w:val="10010759"/>
    <w:rsid w:val="10022D54"/>
    <w:rsid w:val="10076E23"/>
    <w:rsid w:val="100C77CE"/>
    <w:rsid w:val="100F3816"/>
    <w:rsid w:val="10111110"/>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A6773"/>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047CB"/>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1168F"/>
    <w:rsid w:val="11182F80"/>
    <w:rsid w:val="112A1F76"/>
    <w:rsid w:val="11327AE3"/>
    <w:rsid w:val="113A1401"/>
    <w:rsid w:val="114723E8"/>
    <w:rsid w:val="115A0DDF"/>
    <w:rsid w:val="1164099A"/>
    <w:rsid w:val="1164141F"/>
    <w:rsid w:val="116E313B"/>
    <w:rsid w:val="117079B7"/>
    <w:rsid w:val="11733D65"/>
    <w:rsid w:val="117A0A1C"/>
    <w:rsid w:val="11864A33"/>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146B5"/>
    <w:rsid w:val="11B248F1"/>
    <w:rsid w:val="11B474FF"/>
    <w:rsid w:val="11BA4E90"/>
    <w:rsid w:val="11BF541C"/>
    <w:rsid w:val="11C133E6"/>
    <w:rsid w:val="11DC3064"/>
    <w:rsid w:val="11E555E4"/>
    <w:rsid w:val="11E74C0F"/>
    <w:rsid w:val="11ED1B1E"/>
    <w:rsid w:val="11F367F6"/>
    <w:rsid w:val="11F77D54"/>
    <w:rsid w:val="11FB709A"/>
    <w:rsid w:val="11FB7A4C"/>
    <w:rsid w:val="11FD6F6D"/>
    <w:rsid w:val="11FF2C94"/>
    <w:rsid w:val="12002EE0"/>
    <w:rsid w:val="12043E75"/>
    <w:rsid w:val="1205712C"/>
    <w:rsid w:val="121A092D"/>
    <w:rsid w:val="121A74A0"/>
    <w:rsid w:val="12200542"/>
    <w:rsid w:val="122345BF"/>
    <w:rsid w:val="12342962"/>
    <w:rsid w:val="123511DC"/>
    <w:rsid w:val="123962D9"/>
    <w:rsid w:val="123D7CB4"/>
    <w:rsid w:val="12447690"/>
    <w:rsid w:val="12465F37"/>
    <w:rsid w:val="12474EEC"/>
    <w:rsid w:val="124A08B3"/>
    <w:rsid w:val="124F3D6A"/>
    <w:rsid w:val="125A1202"/>
    <w:rsid w:val="126153A9"/>
    <w:rsid w:val="12621B35"/>
    <w:rsid w:val="1264373A"/>
    <w:rsid w:val="126C700F"/>
    <w:rsid w:val="127559BD"/>
    <w:rsid w:val="12767ED2"/>
    <w:rsid w:val="127717E9"/>
    <w:rsid w:val="127844D1"/>
    <w:rsid w:val="127B2F1C"/>
    <w:rsid w:val="127F5B3A"/>
    <w:rsid w:val="128119A8"/>
    <w:rsid w:val="12837389"/>
    <w:rsid w:val="12843C5A"/>
    <w:rsid w:val="12844A19"/>
    <w:rsid w:val="12846B63"/>
    <w:rsid w:val="12857CC4"/>
    <w:rsid w:val="128C07ED"/>
    <w:rsid w:val="128E7EA4"/>
    <w:rsid w:val="128F4AEF"/>
    <w:rsid w:val="129B2CA7"/>
    <w:rsid w:val="12A1017B"/>
    <w:rsid w:val="12A173AA"/>
    <w:rsid w:val="12BD69E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A95"/>
    <w:rsid w:val="134C5DD0"/>
    <w:rsid w:val="135C4761"/>
    <w:rsid w:val="13600267"/>
    <w:rsid w:val="136700DF"/>
    <w:rsid w:val="136A741A"/>
    <w:rsid w:val="13743603"/>
    <w:rsid w:val="13774B97"/>
    <w:rsid w:val="137C0DE8"/>
    <w:rsid w:val="137C3849"/>
    <w:rsid w:val="13800070"/>
    <w:rsid w:val="13822977"/>
    <w:rsid w:val="13863C70"/>
    <w:rsid w:val="13867147"/>
    <w:rsid w:val="13880FE5"/>
    <w:rsid w:val="138A6F97"/>
    <w:rsid w:val="138E1AC0"/>
    <w:rsid w:val="139529A7"/>
    <w:rsid w:val="139B31F8"/>
    <w:rsid w:val="13AA62A7"/>
    <w:rsid w:val="13AE2E8D"/>
    <w:rsid w:val="13AF1F18"/>
    <w:rsid w:val="13AF5266"/>
    <w:rsid w:val="13B638B0"/>
    <w:rsid w:val="13B64644"/>
    <w:rsid w:val="13B67D2A"/>
    <w:rsid w:val="13B72CBA"/>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D6AB6"/>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87604"/>
    <w:rsid w:val="155C2C83"/>
    <w:rsid w:val="15676159"/>
    <w:rsid w:val="156D072A"/>
    <w:rsid w:val="1572500A"/>
    <w:rsid w:val="15764F39"/>
    <w:rsid w:val="157934AF"/>
    <w:rsid w:val="157B43F0"/>
    <w:rsid w:val="15893110"/>
    <w:rsid w:val="15960D8B"/>
    <w:rsid w:val="15961A62"/>
    <w:rsid w:val="15973CD3"/>
    <w:rsid w:val="159913E2"/>
    <w:rsid w:val="159F0758"/>
    <w:rsid w:val="15A11605"/>
    <w:rsid w:val="15A51684"/>
    <w:rsid w:val="15AE23A7"/>
    <w:rsid w:val="15AE5A2A"/>
    <w:rsid w:val="15B2391F"/>
    <w:rsid w:val="15B57024"/>
    <w:rsid w:val="15B8186D"/>
    <w:rsid w:val="15BD4BC7"/>
    <w:rsid w:val="15C606C3"/>
    <w:rsid w:val="15D01D2E"/>
    <w:rsid w:val="15D12EEA"/>
    <w:rsid w:val="15D53223"/>
    <w:rsid w:val="15D93973"/>
    <w:rsid w:val="15DB6BA7"/>
    <w:rsid w:val="15E64B1E"/>
    <w:rsid w:val="15E77A08"/>
    <w:rsid w:val="15E80D2A"/>
    <w:rsid w:val="15EC072E"/>
    <w:rsid w:val="15ED5A4B"/>
    <w:rsid w:val="15FC0BC0"/>
    <w:rsid w:val="15FC2C1D"/>
    <w:rsid w:val="160173A4"/>
    <w:rsid w:val="16023110"/>
    <w:rsid w:val="160231E4"/>
    <w:rsid w:val="16034249"/>
    <w:rsid w:val="16036B03"/>
    <w:rsid w:val="16043418"/>
    <w:rsid w:val="1607182E"/>
    <w:rsid w:val="160918FD"/>
    <w:rsid w:val="160A4E20"/>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538DD"/>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9116E2"/>
    <w:rsid w:val="16A663EC"/>
    <w:rsid w:val="16A95CC6"/>
    <w:rsid w:val="16B76558"/>
    <w:rsid w:val="16BB623C"/>
    <w:rsid w:val="16BD0BEB"/>
    <w:rsid w:val="16C040BD"/>
    <w:rsid w:val="16C25222"/>
    <w:rsid w:val="16C3383F"/>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71721"/>
    <w:rsid w:val="173C3268"/>
    <w:rsid w:val="17413469"/>
    <w:rsid w:val="174719FA"/>
    <w:rsid w:val="1747470D"/>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558CF"/>
    <w:rsid w:val="179B27E2"/>
    <w:rsid w:val="17A33720"/>
    <w:rsid w:val="17A44F3D"/>
    <w:rsid w:val="17A7396B"/>
    <w:rsid w:val="17AA44B3"/>
    <w:rsid w:val="17B10281"/>
    <w:rsid w:val="17B224BB"/>
    <w:rsid w:val="17BB6763"/>
    <w:rsid w:val="17C92CD3"/>
    <w:rsid w:val="17D463A1"/>
    <w:rsid w:val="17D92D6F"/>
    <w:rsid w:val="17DA2322"/>
    <w:rsid w:val="17E2320F"/>
    <w:rsid w:val="17E56FCB"/>
    <w:rsid w:val="17F035C1"/>
    <w:rsid w:val="17F3078A"/>
    <w:rsid w:val="17F30D69"/>
    <w:rsid w:val="17F31453"/>
    <w:rsid w:val="17F91B6A"/>
    <w:rsid w:val="1800360E"/>
    <w:rsid w:val="1801741B"/>
    <w:rsid w:val="180756D2"/>
    <w:rsid w:val="180B5EBB"/>
    <w:rsid w:val="180D56E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36913"/>
    <w:rsid w:val="1865226A"/>
    <w:rsid w:val="18686458"/>
    <w:rsid w:val="1869295F"/>
    <w:rsid w:val="186C5590"/>
    <w:rsid w:val="18772B90"/>
    <w:rsid w:val="187757C3"/>
    <w:rsid w:val="187E6D43"/>
    <w:rsid w:val="188A61A6"/>
    <w:rsid w:val="188D2D4C"/>
    <w:rsid w:val="188F2A34"/>
    <w:rsid w:val="1891695B"/>
    <w:rsid w:val="18941CDC"/>
    <w:rsid w:val="189A11A7"/>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B1699"/>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72D2F"/>
    <w:rsid w:val="19BA400D"/>
    <w:rsid w:val="19BB4A16"/>
    <w:rsid w:val="19C305FD"/>
    <w:rsid w:val="19C45ED3"/>
    <w:rsid w:val="19C5080C"/>
    <w:rsid w:val="19C67F5E"/>
    <w:rsid w:val="19CF3BF0"/>
    <w:rsid w:val="19D66D6A"/>
    <w:rsid w:val="19D90B53"/>
    <w:rsid w:val="19DF4B45"/>
    <w:rsid w:val="19E569C0"/>
    <w:rsid w:val="19EA6C77"/>
    <w:rsid w:val="19F66BED"/>
    <w:rsid w:val="19FD114C"/>
    <w:rsid w:val="19FD4AD2"/>
    <w:rsid w:val="19FE6544"/>
    <w:rsid w:val="1A007445"/>
    <w:rsid w:val="1A10460D"/>
    <w:rsid w:val="1A2417BC"/>
    <w:rsid w:val="1A2E1080"/>
    <w:rsid w:val="1A2E496A"/>
    <w:rsid w:val="1A39483E"/>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9D40A3"/>
    <w:rsid w:val="1AA53750"/>
    <w:rsid w:val="1AAB0107"/>
    <w:rsid w:val="1AB34EE9"/>
    <w:rsid w:val="1AB55270"/>
    <w:rsid w:val="1ABD4834"/>
    <w:rsid w:val="1ACA6D52"/>
    <w:rsid w:val="1AD06A20"/>
    <w:rsid w:val="1ADA1A31"/>
    <w:rsid w:val="1AE152DF"/>
    <w:rsid w:val="1AE23F35"/>
    <w:rsid w:val="1AEE322F"/>
    <w:rsid w:val="1AF17105"/>
    <w:rsid w:val="1AF24FA9"/>
    <w:rsid w:val="1AF26C51"/>
    <w:rsid w:val="1AFE2123"/>
    <w:rsid w:val="1B026A6B"/>
    <w:rsid w:val="1B03074C"/>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D4190"/>
    <w:rsid w:val="1B837461"/>
    <w:rsid w:val="1B9263BB"/>
    <w:rsid w:val="1B942014"/>
    <w:rsid w:val="1BA263B5"/>
    <w:rsid w:val="1BA611B3"/>
    <w:rsid w:val="1BA63671"/>
    <w:rsid w:val="1BA63A99"/>
    <w:rsid w:val="1BAC2EB7"/>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D14E9"/>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CFC474A"/>
    <w:rsid w:val="1D03270B"/>
    <w:rsid w:val="1D0702DD"/>
    <w:rsid w:val="1D0A1B9E"/>
    <w:rsid w:val="1D0B1F78"/>
    <w:rsid w:val="1D0D48FC"/>
    <w:rsid w:val="1D112AF3"/>
    <w:rsid w:val="1D1A06C8"/>
    <w:rsid w:val="1D1A579C"/>
    <w:rsid w:val="1D31174A"/>
    <w:rsid w:val="1D372040"/>
    <w:rsid w:val="1D3745A1"/>
    <w:rsid w:val="1D384BE7"/>
    <w:rsid w:val="1D3C792F"/>
    <w:rsid w:val="1D501ED4"/>
    <w:rsid w:val="1D6209BA"/>
    <w:rsid w:val="1D670B11"/>
    <w:rsid w:val="1D674387"/>
    <w:rsid w:val="1D691F1B"/>
    <w:rsid w:val="1D6928C0"/>
    <w:rsid w:val="1D6B25A8"/>
    <w:rsid w:val="1D6B7EFC"/>
    <w:rsid w:val="1D6C6DDD"/>
    <w:rsid w:val="1D7136CB"/>
    <w:rsid w:val="1D741834"/>
    <w:rsid w:val="1D764ACE"/>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4315F"/>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266A"/>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079E2"/>
    <w:rsid w:val="1E8248F5"/>
    <w:rsid w:val="1E883C10"/>
    <w:rsid w:val="1E9033DB"/>
    <w:rsid w:val="1E9035AB"/>
    <w:rsid w:val="1E947935"/>
    <w:rsid w:val="1E9A2A82"/>
    <w:rsid w:val="1E9C6AF6"/>
    <w:rsid w:val="1EA05330"/>
    <w:rsid w:val="1EA21727"/>
    <w:rsid w:val="1EA71D10"/>
    <w:rsid w:val="1EB01A6C"/>
    <w:rsid w:val="1EB67F37"/>
    <w:rsid w:val="1EBE6D30"/>
    <w:rsid w:val="1EBF675C"/>
    <w:rsid w:val="1ED008C9"/>
    <w:rsid w:val="1ED14F66"/>
    <w:rsid w:val="1ED25487"/>
    <w:rsid w:val="1ED76B7F"/>
    <w:rsid w:val="1EDF0126"/>
    <w:rsid w:val="1EEB4E7D"/>
    <w:rsid w:val="1EEC15D2"/>
    <w:rsid w:val="1EEF63AC"/>
    <w:rsid w:val="1EF05338"/>
    <w:rsid w:val="1EF20898"/>
    <w:rsid w:val="1EF56BBD"/>
    <w:rsid w:val="1F0472DF"/>
    <w:rsid w:val="1F082B91"/>
    <w:rsid w:val="1F0975C3"/>
    <w:rsid w:val="1F0A0660"/>
    <w:rsid w:val="1F1E5ADC"/>
    <w:rsid w:val="1F255F5A"/>
    <w:rsid w:val="1F3219DB"/>
    <w:rsid w:val="1F331A4B"/>
    <w:rsid w:val="1F3726CC"/>
    <w:rsid w:val="1F395447"/>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0D40C9"/>
    <w:rsid w:val="211665CA"/>
    <w:rsid w:val="211929D2"/>
    <w:rsid w:val="211974E9"/>
    <w:rsid w:val="211C15B2"/>
    <w:rsid w:val="211E1FFD"/>
    <w:rsid w:val="21224076"/>
    <w:rsid w:val="212757D9"/>
    <w:rsid w:val="212A03E1"/>
    <w:rsid w:val="212A29BC"/>
    <w:rsid w:val="212D5300"/>
    <w:rsid w:val="212F0781"/>
    <w:rsid w:val="213610F7"/>
    <w:rsid w:val="213A22DB"/>
    <w:rsid w:val="213D1395"/>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07C49"/>
    <w:rsid w:val="2182135D"/>
    <w:rsid w:val="218477E9"/>
    <w:rsid w:val="219367DB"/>
    <w:rsid w:val="21976786"/>
    <w:rsid w:val="219945A5"/>
    <w:rsid w:val="219F60BB"/>
    <w:rsid w:val="21A200B5"/>
    <w:rsid w:val="21A53649"/>
    <w:rsid w:val="21A64EFE"/>
    <w:rsid w:val="21B648D6"/>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4304E"/>
    <w:rsid w:val="22090841"/>
    <w:rsid w:val="220A5F40"/>
    <w:rsid w:val="220D0D94"/>
    <w:rsid w:val="220E0B12"/>
    <w:rsid w:val="221768AF"/>
    <w:rsid w:val="22210861"/>
    <w:rsid w:val="222155FF"/>
    <w:rsid w:val="22234E00"/>
    <w:rsid w:val="22284E63"/>
    <w:rsid w:val="22293A5E"/>
    <w:rsid w:val="22330863"/>
    <w:rsid w:val="22371A51"/>
    <w:rsid w:val="22384994"/>
    <w:rsid w:val="224C1FC3"/>
    <w:rsid w:val="224D701B"/>
    <w:rsid w:val="225C00DC"/>
    <w:rsid w:val="2262204C"/>
    <w:rsid w:val="22627DAF"/>
    <w:rsid w:val="22670177"/>
    <w:rsid w:val="226A285B"/>
    <w:rsid w:val="227061CA"/>
    <w:rsid w:val="2270753A"/>
    <w:rsid w:val="22742085"/>
    <w:rsid w:val="227D71B5"/>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BE2C1F"/>
    <w:rsid w:val="22C06220"/>
    <w:rsid w:val="22C742FA"/>
    <w:rsid w:val="22CD203B"/>
    <w:rsid w:val="22D226CB"/>
    <w:rsid w:val="22D36A05"/>
    <w:rsid w:val="22D36C8C"/>
    <w:rsid w:val="22DB5FB9"/>
    <w:rsid w:val="22E87A62"/>
    <w:rsid w:val="22EA5C2F"/>
    <w:rsid w:val="22EB770D"/>
    <w:rsid w:val="22EC3EF5"/>
    <w:rsid w:val="22ED566F"/>
    <w:rsid w:val="22FA5834"/>
    <w:rsid w:val="230839FC"/>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F3EA9"/>
    <w:rsid w:val="2377256D"/>
    <w:rsid w:val="237E5CCB"/>
    <w:rsid w:val="238146A2"/>
    <w:rsid w:val="238767A9"/>
    <w:rsid w:val="23881703"/>
    <w:rsid w:val="23897406"/>
    <w:rsid w:val="238976EE"/>
    <w:rsid w:val="238E39AC"/>
    <w:rsid w:val="238E4E19"/>
    <w:rsid w:val="23900F76"/>
    <w:rsid w:val="2397141A"/>
    <w:rsid w:val="2398045C"/>
    <w:rsid w:val="23A3212E"/>
    <w:rsid w:val="23A32E0B"/>
    <w:rsid w:val="23AB5ACB"/>
    <w:rsid w:val="23AE2D05"/>
    <w:rsid w:val="23AE654C"/>
    <w:rsid w:val="23B77102"/>
    <w:rsid w:val="23B826C9"/>
    <w:rsid w:val="23B95DEA"/>
    <w:rsid w:val="23BE2FAF"/>
    <w:rsid w:val="23C34FD7"/>
    <w:rsid w:val="23C35F67"/>
    <w:rsid w:val="23C36E9D"/>
    <w:rsid w:val="23C93FD3"/>
    <w:rsid w:val="23D5257E"/>
    <w:rsid w:val="23D80D48"/>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0C7"/>
    <w:rsid w:val="24516F53"/>
    <w:rsid w:val="24517096"/>
    <w:rsid w:val="245246D4"/>
    <w:rsid w:val="24536F1E"/>
    <w:rsid w:val="24573672"/>
    <w:rsid w:val="245D2A2B"/>
    <w:rsid w:val="245F13B9"/>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66340"/>
    <w:rsid w:val="24C7639C"/>
    <w:rsid w:val="24CB0B41"/>
    <w:rsid w:val="24CE01BE"/>
    <w:rsid w:val="24D22B05"/>
    <w:rsid w:val="24D44C08"/>
    <w:rsid w:val="24D9543C"/>
    <w:rsid w:val="24DC5887"/>
    <w:rsid w:val="24DD5DAB"/>
    <w:rsid w:val="24DF0DEC"/>
    <w:rsid w:val="24E1259D"/>
    <w:rsid w:val="24E32E28"/>
    <w:rsid w:val="24E339D1"/>
    <w:rsid w:val="24EA1A78"/>
    <w:rsid w:val="24F42861"/>
    <w:rsid w:val="24F664A2"/>
    <w:rsid w:val="24FA3925"/>
    <w:rsid w:val="24FA4867"/>
    <w:rsid w:val="25031D09"/>
    <w:rsid w:val="25036BC7"/>
    <w:rsid w:val="25040446"/>
    <w:rsid w:val="25052602"/>
    <w:rsid w:val="25094B2F"/>
    <w:rsid w:val="250D6DED"/>
    <w:rsid w:val="25126E1A"/>
    <w:rsid w:val="25180847"/>
    <w:rsid w:val="2518574C"/>
    <w:rsid w:val="252A35E4"/>
    <w:rsid w:val="252B5AED"/>
    <w:rsid w:val="25343084"/>
    <w:rsid w:val="253577A1"/>
    <w:rsid w:val="253822D8"/>
    <w:rsid w:val="25393338"/>
    <w:rsid w:val="2541159F"/>
    <w:rsid w:val="254A5AA6"/>
    <w:rsid w:val="254F42E5"/>
    <w:rsid w:val="25596937"/>
    <w:rsid w:val="255D0A7D"/>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2398"/>
    <w:rsid w:val="25E351DA"/>
    <w:rsid w:val="25E44B41"/>
    <w:rsid w:val="25E87AC2"/>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808FA"/>
    <w:rsid w:val="265D45F1"/>
    <w:rsid w:val="265E32D9"/>
    <w:rsid w:val="265E44AA"/>
    <w:rsid w:val="26606471"/>
    <w:rsid w:val="266E6418"/>
    <w:rsid w:val="267271A4"/>
    <w:rsid w:val="26732B28"/>
    <w:rsid w:val="267D6BE6"/>
    <w:rsid w:val="267E5560"/>
    <w:rsid w:val="26813461"/>
    <w:rsid w:val="268253AA"/>
    <w:rsid w:val="26860B24"/>
    <w:rsid w:val="2686310B"/>
    <w:rsid w:val="268A581F"/>
    <w:rsid w:val="268B3DB7"/>
    <w:rsid w:val="268B7B4B"/>
    <w:rsid w:val="268F635F"/>
    <w:rsid w:val="26925566"/>
    <w:rsid w:val="26981CD4"/>
    <w:rsid w:val="269A0703"/>
    <w:rsid w:val="269E478A"/>
    <w:rsid w:val="26AA4B1F"/>
    <w:rsid w:val="26AC45F9"/>
    <w:rsid w:val="26AD7276"/>
    <w:rsid w:val="26B05128"/>
    <w:rsid w:val="26B4220A"/>
    <w:rsid w:val="26B67971"/>
    <w:rsid w:val="26C1259F"/>
    <w:rsid w:val="26C22BA0"/>
    <w:rsid w:val="26C321FB"/>
    <w:rsid w:val="26CA5CFF"/>
    <w:rsid w:val="26CE51F6"/>
    <w:rsid w:val="26CF159D"/>
    <w:rsid w:val="26CF4594"/>
    <w:rsid w:val="26D059D1"/>
    <w:rsid w:val="26D47EE9"/>
    <w:rsid w:val="26D747B4"/>
    <w:rsid w:val="26D75A2C"/>
    <w:rsid w:val="26DC5B62"/>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07C44"/>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8600E"/>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36764"/>
    <w:rsid w:val="28B95C3A"/>
    <w:rsid w:val="28BF1DE4"/>
    <w:rsid w:val="28C17F6A"/>
    <w:rsid w:val="28C55DCF"/>
    <w:rsid w:val="28C710F6"/>
    <w:rsid w:val="28C94FA0"/>
    <w:rsid w:val="28CE6E5A"/>
    <w:rsid w:val="28D31580"/>
    <w:rsid w:val="28D3165D"/>
    <w:rsid w:val="28DC2AEB"/>
    <w:rsid w:val="28E271EC"/>
    <w:rsid w:val="28EA37A6"/>
    <w:rsid w:val="28F24FB3"/>
    <w:rsid w:val="28F4540B"/>
    <w:rsid w:val="28FA7D83"/>
    <w:rsid w:val="28FE3539"/>
    <w:rsid w:val="2905180D"/>
    <w:rsid w:val="290E1687"/>
    <w:rsid w:val="291C136C"/>
    <w:rsid w:val="291E6BA2"/>
    <w:rsid w:val="2922499B"/>
    <w:rsid w:val="292826EF"/>
    <w:rsid w:val="292934FA"/>
    <w:rsid w:val="292C1CD4"/>
    <w:rsid w:val="292F4820"/>
    <w:rsid w:val="29333843"/>
    <w:rsid w:val="29335A4F"/>
    <w:rsid w:val="293621BA"/>
    <w:rsid w:val="29393618"/>
    <w:rsid w:val="293C5494"/>
    <w:rsid w:val="293D2A5A"/>
    <w:rsid w:val="294A4ABE"/>
    <w:rsid w:val="294B12BB"/>
    <w:rsid w:val="2951089C"/>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A109C4"/>
    <w:rsid w:val="29A1367C"/>
    <w:rsid w:val="29A32E1D"/>
    <w:rsid w:val="29A547C1"/>
    <w:rsid w:val="29AB3C78"/>
    <w:rsid w:val="29AE4D06"/>
    <w:rsid w:val="29B03C5D"/>
    <w:rsid w:val="29B71B5A"/>
    <w:rsid w:val="29B87040"/>
    <w:rsid w:val="29CA2668"/>
    <w:rsid w:val="29CA5FDB"/>
    <w:rsid w:val="29CB18C2"/>
    <w:rsid w:val="29CF4056"/>
    <w:rsid w:val="29D311D3"/>
    <w:rsid w:val="29D43773"/>
    <w:rsid w:val="29DF4377"/>
    <w:rsid w:val="29E45FD6"/>
    <w:rsid w:val="29EE05BB"/>
    <w:rsid w:val="29EE70F8"/>
    <w:rsid w:val="29F23FE8"/>
    <w:rsid w:val="29F74B46"/>
    <w:rsid w:val="2A000B82"/>
    <w:rsid w:val="2A005A48"/>
    <w:rsid w:val="2A021FC7"/>
    <w:rsid w:val="2A0E014A"/>
    <w:rsid w:val="2A0F2DFE"/>
    <w:rsid w:val="2A1541B6"/>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0207"/>
    <w:rsid w:val="2B253071"/>
    <w:rsid w:val="2B2A0E1E"/>
    <w:rsid w:val="2B2B4F13"/>
    <w:rsid w:val="2B306BF3"/>
    <w:rsid w:val="2B31133C"/>
    <w:rsid w:val="2B3264AA"/>
    <w:rsid w:val="2B3348F1"/>
    <w:rsid w:val="2B3758CC"/>
    <w:rsid w:val="2B4104F9"/>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EF6AF4"/>
    <w:rsid w:val="2BF30B9C"/>
    <w:rsid w:val="2BF479F3"/>
    <w:rsid w:val="2BF71CAB"/>
    <w:rsid w:val="2BFE115E"/>
    <w:rsid w:val="2C0836E0"/>
    <w:rsid w:val="2C0D54D3"/>
    <w:rsid w:val="2C101CA7"/>
    <w:rsid w:val="2C113D09"/>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D0F2C"/>
    <w:rsid w:val="2C8D4823"/>
    <w:rsid w:val="2C8D5D2A"/>
    <w:rsid w:val="2C910C96"/>
    <w:rsid w:val="2C9379CB"/>
    <w:rsid w:val="2C9C70CF"/>
    <w:rsid w:val="2CA03FF0"/>
    <w:rsid w:val="2CA56D57"/>
    <w:rsid w:val="2CB02CB3"/>
    <w:rsid w:val="2CB642A8"/>
    <w:rsid w:val="2CBF6B88"/>
    <w:rsid w:val="2CC46A08"/>
    <w:rsid w:val="2CC94B65"/>
    <w:rsid w:val="2CCC74CF"/>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5D6C35"/>
    <w:rsid w:val="2D614FAA"/>
    <w:rsid w:val="2D657CC1"/>
    <w:rsid w:val="2D66193E"/>
    <w:rsid w:val="2D6D2C39"/>
    <w:rsid w:val="2D7C2D5B"/>
    <w:rsid w:val="2D8141B5"/>
    <w:rsid w:val="2D886EC1"/>
    <w:rsid w:val="2D893C01"/>
    <w:rsid w:val="2D897F30"/>
    <w:rsid w:val="2D8A262B"/>
    <w:rsid w:val="2D9D7454"/>
    <w:rsid w:val="2D9F229D"/>
    <w:rsid w:val="2DA3031E"/>
    <w:rsid w:val="2DA828C6"/>
    <w:rsid w:val="2DA8640F"/>
    <w:rsid w:val="2DB43D16"/>
    <w:rsid w:val="2DB85C9C"/>
    <w:rsid w:val="2DBF07D5"/>
    <w:rsid w:val="2DC13268"/>
    <w:rsid w:val="2DCD2C67"/>
    <w:rsid w:val="2DCE36AE"/>
    <w:rsid w:val="2DCE6885"/>
    <w:rsid w:val="2DD004DA"/>
    <w:rsid w:val="2DD03D29"/>
    <w:rsid w:val="2DD11FEE"/>
    <w:rsid w:val="2DD16291"/>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8219C"/>
    <w:rsid w:val="2E25285A"/>
    <w:rsid w:val="2E255D34"/>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E2D9B"/>
    <w:rsid w:val="2EAF67A6"/>
    <w:rsid w:val="2EB160F6"/>
    <w:rsid w:val="2EB2458C"/>
    <w:rsid w:val="2EB4365B"/>
    <w:rsid w:val="2EBE73DB"/>
    <w:rsid w:val="2EC473E8"/>
    <w:rsid w:val="2EC4756D"/>
    <w:rsid w:val="2EC61893"/>
    <w:rsid w:val="2EC65DD7"/>
    <w:rsid w:val="2ECA5640"/>
    <w:rsid w:val="2ECD0396"/>
    <w:rsid w:val="2ECE5D33"/>
    <w:rsid w:val="2ED11ACB"/>
    <w:rsid w:val="2EDD2136"/>
    <w:rsid w:val="2EDE41BD"/>
    <w:rsid w:val="2EE059B8"/>
    <w:rsid w:val="2EE7432C"/>
    <w:rsid w:val="2EEE2746"/>
    <w:rsid w:val="2EEF16F3"/>
    <w:rsid w:val="2EF11E02"/>
    <w:rsid w:val="2EF82A65"/>
    <w:rsid w:val="2EF83ED7"/>
    <w:rsid w:val="2EFA05C6"/>
    <w:rsid w:val="2EFA50C9"/>
    <w:rsid w:val="2EFB228D"/>
    <w:rsid w:val="2F023B01"/>
    <w:rsid w:val="2F0524BD"/>
    <w:rsid w:val="2F075FE7"/>
    <w:rsid w:val="2F07678E"/>
    <w:rsid w:val="2F180520"/>
    <w:rsid w:val="2F1937A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77BD1"/>
    <w:rsid w:val="2F6C0A12"/>
    <w:rsid w:val="2F6D7EB6"/>
    <w:rsid w:val="2F71089A"/>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FA0"/>
    <w:rsid w:val="302B18A7"/>
    <w:rsid w:val="302D076C"/>
    <w:rsid w:val="303109FF"/>
    <w:rsid w:val="30321923"/>
    <w:rsid w:val="303336F1"/>
    <w:rsid w:val="3034511B"/>
    <w:rsid w:val="303F436C"/>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AF2024"/>
    <w:rsid w:val="30B31E2F"/>
    <w:rsid w:val="30BC166E"/>
    <w:rsid w:val="30C16271"/>
    <w:rsid w:val="30C2753C"/>
    <w:rsid w:val="30C776F3"/>
    <w:rsid w:val="30CC0335"/>
    <w:rsid w:val="30D82034"/>
    <w:rsid w:val="30E1692A"/>
    <w:rsid w:val="30E21302"/>
    <w:rsid w:val="30E52021"/>
    <w:rsid w:val="30E67B79"/>
    <w:rsid w:val="30E77F2D"/>
    <w:rsid w:val="30EE2C4E"/>
    <w:rsid w:val="30EE3768"/>
    <w:rsid w:val="30F00D60"/>
    <w:rsid w:val="30F1395B"/>
    <w:rsid w:val="30F2628E"/>
    <w:rsid w:val="30FA1E32"/>
    <w:rsid w:val="30FB18CD"/>
    <w:rsid w:val="3105294D"/>
    <w:rsid w:val="310D10D7"/>
    <w:rsid w:val="310E0C5A"/>
    <w:rsid w:val="31133FF6"/>
    <w:rsid w:val="311A478F"/>
    <w:rsid w:val="31224B74"/>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93F7E"/>
    <w:rsid w:val="321A40FF"/>
    <w:rsid w:val="321C0BCB"/>
    <w:rsid w:val="322D0304"/>
    <w:rsid w:val="323079C0"/>
    <w:rsid w:val="3231368A"/>
    <w:rsid w:val="32364BD8"/>
    <w:rsid w:val="32385BB7"/>
    <w:rsid w:val="323C5EB7"/>
    <w:rsid w:val="32411D29"/>
    <w:rsid w:val="3244009D"/>
    <w:rsid w:val="324444DB"/>
    <w:rsid w:val="324B7056"/>
    <w:rsid w:val="324F5600"/>
    <w:rsid w:val="325348A3"/>
    <w:rsid w:val="32550500"/>
    <w:rsid w:val="325761F6"/>
    <w:rsid w:val="32637F18"/>
    <w:rsid w:val="326471A4"/>
    <w:rsid w:val="326D6D38"/>
    <w:rsid w:val="326E75A9"/>
    <w:rsid w:val="326E7F20"/>
    <w:rsid w:val="327E5810"/>
    <w:rsid w:val="32880476"/>
    <w:rsid w:val="328829E7"/>
    <w:rsid w:val="328F6C0D"/>
    <w:rsid w:val="32921DCF"/>
    <w:rsid w:val="32924A7A"/>
    <w:rsid w:val="32953C2B"/>
    <w:rsid w:val="329A24E6"/>
    <w:rsid w:val="329E66F4"/>
    <w:rsid w:val="329F3F4A"/>
    <w:rsid w:val="32A12B73"/>
    <w:rsid w:val="32A2197D"/>
    <w:rsid w:val="32A30FF9"/>
    <w:rsid w:val="32B73344"/>
    <w:rsid w:val="32B85E47"/>
    <w:rsid w:val="32BB6FB8"/>
    <w:rsid w:val="32C20171"/>
    <w:rsid w:val="32C62B6A"/>
    <w:rsid w:val="32CD60F6"/>
    <w:rsid w:val="32D74F8B"/>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D0C59"/>
    <w:rsid w:val="338F6F80"/>
    <w:rsid w:val="33945A04"/>
    <w:rsid w:val="33991584"/>
    <w:rsid w:val="339930F4"/>
    <w:rsid w:val="339A583C"/>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60253"/>
    <w:rsid w:val="34774148"/>
    <w:rsid w:val="34782459"/>
    <w:rsid w:val="347B2621"/>
    <w:rsid w:val="347E0F64"/>
    <w:rsid w:val="348070E2"/>
    <w:rsid w:val="34826C70"/>
    <w:rsid w:val="3485116E"/>
    <w:rsid w:val="34862BBB"/>
    <w:rsid w:val="348C1DD5"/>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DB0D1F"/>
    <w:rsid w:val="34DF1E9B"/>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05D0D"/>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4F07A2"/>
    <w:rsid w:val="36532F26"/>
    <w:rsid w:val="365427BD"/>
    <w:rsid w:val="3655592F"/>
    <w:rsid w:val="36581FF2"/>
    <w:rsid w:val="36617B89"/>
    <w:rsid w:val="36643AD4"/>
    <w:rsid w:val="36644B96"/>
    <w:rsid w:val="36657FCF"/>
    <w:rsid w:val="36763CBD"/>
    <w:rsid w:val="367D39C1"/>
    <w:rsid w:val="36854599"/>
    <w:rsid w:val="36865CDA"/>
    <w:rsid w:val="3686617C"/>
    <w:rsid w:val="36873BAC"/>
    <w:rsid w:val="368C08B7"/>
    <w:rsid w:val="36924958"/>
    <w:rsid w:val="36991B41"/>
    <w:rsid w:val="369B16D6"/>
    <w:rsid w:val="369D6F18"/>
    <w:rsid w:val="369F59E2"/>
    <w:rsid w:val="36A21741"/>
    <w:rsid w:val="36A31B5B"/>
    <w:rsid w:val="36AC3EBC"/>
    <w:rsid w:val="36AD1DE0"/>
    <w:rsid w:val="36B101C4"/>
    <w:rsid w:val="36B32A36"/>
    <w:rsid w:val="36B826F1"/>
    <w:rsid w:val="36BC68BF"/>
    <w:rsid w:val="36C25212"/>
    <w:rsid w:val="36CD56F9"/>
    <w:rsid w:val="36CF4703"/>
    <w:rsid w:val="36D14E3D"/>
    <w:rsid w:val="36D175D4"/>
    <w:rsid w:val="36DE0D50"/>
    <w:rsid w:val="36DF3716"/>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2C3443"/>
    <w:rsid w:val="383B0C89"/>
    <w:rsid w:val="384142AB"/>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A7D80"/>
    <w:rsid w:val="38CE7EB7"/>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86492"/>
    <w:rsid w:val="393C2422"/>
    <w:rsid w:val="39431B8C"/>
    <w:rsid w:val="39456F8E"/>
    <w:rsid w:val="39576949"/>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1456C"/>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81AF2"/>
    <w:rsid w:val="3B1B2C63"/>
    <w:rsid w:val="3B2553D6"/>
    <w:rsid w:val="3B2D05F1"/>
    <w:rsid w:val="3B2D3BC0"/>
    <w:rsid w:val="3B2E592B"/>
    <w:rsid w:val="3B2E64C8"/>
    <w:rsid w:val="3B345814"/>
    <w:rsid w:val="3B370071"/>
    <w:rsid w:val="3B3A7141"/>
    <w:rsid w:val="3B3B461C"/>
    <w:rsid w:val="3B4D19D8"/>
    <w:rsid w:val="3B4E1BFE"/>
    <w:rsid w:val="3B4E4C9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616BF"/>
    <w:rsid w:val="3BAA3708"/>
    <w:rsid w:val="3BAE6DA7"/>
    <w:rsid w:val="3BB425EE"/>
    <w:rsid w:val="3BB91F30"/>
    <w:rsid w:val="3BBB26F7"/>
    <w:rsid w:val="3BBC1AA9"/>
    <w:rsid w:val="3BBE184E"/>
    <w:rsid w:val="3BC075C0"/>
    <w:rsid w:val="3BE56F8F"/>
    <w:rsid w:val="3BF078EE"/>
    <w:rsid w:val="3BF46798"/>
    <w:rsid w:val="3BF92556"/>
    <w:rsid w:val="3BF93CFC"/>
    <w:rsid w:val="3BF94EA7"/>
    <w:rsid w:val="3BFA4CB3"/>
    <w:rsid w:val="3C047C0D"/>
    <w:rsid w:val="3C0D13E4"/>
    <w:rsid w:val="3C0E353E"/>
    <w:rsid w:val="3C0E5A8B"/>
    <w:rsid w:val="3C0F399B"/>
    <w:rsid w:val="3C11184D"/>
    <w:rsid w:val="3C2441B6"/>
    <w:rsid w:val="3C274289"/>
    <w:rsid w:val="3C294317"/>
    <w:rsid w:val="3C2C2A11"/>
    <w:rsid w:val="3C2E2341"/>
    <w:rsid w:val="3C2F1664"/>
    <w:rsid w:val="3C3A5AE6"/>
    <w:rsid w:val="3C3B6EBC"/>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015B5"/>
    <w:rsid w:val="3CF1111D"/>
    <w:rsid w:val="3CF138CB"/>
    <w:rsid w:val="3CF371EE"/>
    <w:rsid w:val="3CFE449C"/>
    <w:rsid w:val="3CFF4796"/>
    <w:rsid w:val="3CFF66B2"/>
    <w:rsid w:val="3D0774FE"/>
    <w:rsid w:val="3D096893"/>
    <w:rsid w:val="3D0F0E62"/>
    <w:rsid w:val="3D137575"/>
    <w:rsid w:val="3D154570"/>
    <w:rsid w:val="3D164912"/>
    <w:rsid w:val="3D1B14CB"/>
    <w:rsid w:val="3D1D4DA6"/>
    <w:rsid w:val="3D1F6473"/>
    <w:rsid w:val="3D2743BF"/>
    <w:rsid w:val="3D2B2317"/>
    <w:rsid w:val="3D3B1276"/>
    <w:rsid w:val="3D3B262F"/>
    <w:rsid w:val="3D464ADF"/>
    <w:rsid w:val="3D490E8C"/>
    <w:rsid w:val="3D4B66C7"/>
    <w:rsid w:val="3D562006"/>
    <w:rsid w:val="3D6A1B31"/>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D0EEF"/>
    <w:rsid w:val="3DCE46CE"/>
    <w:rsid w:val="3DD23BEF"/>
    <w:rsid w:val="3DD84322"/>
    <w:rsid w:val="3DE03DE1"/>
    <w:rsid w:val="3DE42D75"/>
    <w:rsid w:val="3DEA024F"/>
    <w:rsid w:val="3DF15B9E"/>
    <w:rsid w:val="3DF2697E"/>
    <w:rsid w:val="3DF45B36"/>
    <w:rsid w:val="3DF5116A"/>
    <w:rsid w:val="3DFA79FE"/>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34646"/>
    <w:rsid w:val="3E770DC2"/>
    <w:rsid w:val="3E7A1D2B"/>
    <w:rsid w:val="3E7B2C6B"/>
    <w:rsid w:val="3E7D3F55"/>
    <w:rsid w:val="3E7E178B"/>
    <w:rsid w:val="3E820EEC"/>
    <w:rsid w:val="3E84445A"/>
    <w:rsid w:val="3E87553C"/>
    <w:rsid w:val="3E8D79F8"/>
    <w:rsid w:val="3E907666"/>
    <w:rsid w:val="3E9358D5"/>
    <w:rsid w:val="3E962A3C"/>
    <w:rsid w:val="3E974A17"/>
    <w:rsid w:val="3E9E31CD"/>
    <w:rsid w:val="3E9E4D17"/>
    <w:rsid w:val="3EBA1196"/>
    <w:rsid w:val="3EBB2EB1"/>
    <w:rsid w:val="3EC03908"/>
    <w:rsid w:val="3EC249F9"/>
    <w:rsid w:val="3EC865DC"/>
    <w:rsid w:val="3EC92999"/>
    <w:rsid w:val="3ECA1FF9"/>
    <w:rsid w:val="3EDC6382"/>
    <w:rsid w:val="3EEB052C"/>
    <w:rsid w:val="3EEF6989"/>
    <w:rsid w:val="3EF57293"/>
    <w:rsid w:val="3EF60F41"/>
    <w:rsid w:val="3F017F8A"/>
    <w:rsid w:val="3F072978"/>
    <w:rsid w:val="3F187707"/>
    <w:rsid w:val="3F1D5E18"/>
    <w:rsid w:val="3F1E26A7"/>
    <w:rsid w:val="3F231E9F"/>
    <w:rsid w:val="3F2D4041"/>
    <w:rsid w:val="3F2F4211"/>
    <w:rsid w:val="3F33337A"/>
    <w:rsid w:val="3F396F56"/>
    <w:rsid w:val="3F3A49D1"/>
    <w:rsid w:val="3F3B1F4F"/>
    <w:rsid w:val="3F3C4649"/>
    <w:rsid w:val="3F3C7DE0"/>
    <w:rsid w:val="3F46349C"/>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976B8"/>
    <w:rsid w:val="3FAC2959"/>
    <w:rsid w:val="3FAF485D"/>
    <w:rsid w:val="3FB1517B"/>
    <w:rsid w:val="3FBA7699"/>
    <w:rsid w:val="3FBD419A"/>
    <w:rsid w:val="3FBD4DD9"/>
    <w:rsid w:val="3FCA0999"/>
    <w:rsid w:val="3FCA37A3"/>
    <w:rsid w:val="3FD15E98"/>
    <w:rsid w:val="3FD258D7"/>
    <w:rsid w:val="3FD53A0B"/>
    <w:rsid w:val="3FD63CE2"/>
    <w:rsid w:val="3FDC15B5"/>
    <w:rsid w:val="3FE22BCE"/>
    <w:rsid w:val="3FEA1E74"/>
    <w:rsid w:val="3FEA4055"/>
    <w:rsid w:val="3FF13812"/>
    <w:rsid w:val="3FF77D02"/>
    <w:rsid w:val="3FF77D2C"/>
    <w:rsid w:val="3FF96230"/>
    <w:rsid w:val="3FFB7D65"/>
    <w:rsid w:val="4002719C"/>
    <w:rsid w:val="400E605C"/>
    <w:rsid w:val="40124602"/>
    <w:rsid w:val="401340C3"/>
    <w:rsid w:val="40140D7C"/>
    <w:rsid w:val="401531D7"/>
    <w:rsid w:val="401665E6"/>
    <w:rsid w:val="40172BA0"/>
    <w:rsid w:val="402661E4"/>
    <w:rsid w:val="40295C25"/>
    <w:rsid w:val="402B014D"/>
    <w:rsid w:val="403570BA"/>
    <w:rsid w:val="40414A80"/>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93D86"/>
    <w:rsid w:val="408C7AAF"/>
    <w:rsid w:val="40922089"/>
    <w:rsid w:val="409809E7"/>
    <w:rsid w:val="409C0254"/>
    <w:rsid w:val="40B01879"/>
    <w:rsid w:val="40B46FB0"/>
    <w:rsid w:val="40B60038"/>
    <w:rsid w:val="40BA44E5"/>
    <w:rsid w:val="40C97A25"/>
    <w:rsid w:val="40D40F2D"/>
    <w:rsid w:val="40D4444D"/>
    <w:rsid w:val="40D83289"/>
    <w:rsid w:val="40E16687"/>
    <w:rsid w:val="40E25B1F"/>
    <w:rsid w:val="40E5362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3D24C6"/>
    <w:rsid w:val="41411DB9"/>
    <w:rsid w:val="41427591"/>
    <w:rsid w:val="41490DDA"/>
    <w:rsid w:val="41493B90"/>
    <w:rsid w:val="414B088B"/>
    <w:rsid w:val="414C5505"/>
    <w:rsid w:val="415E02D0"/>
    <w:rsid w:val="415F5DDD"/>
    <w:rsid w:val="416275BE"/>
    <w:rsid w:val="41685710"/>
    <w:rsid w:val="41755E76"/>
    <w:rsid w:val="417879C3"/>
    <w:rsid w:val="417F4792"/>
    <w:rsid w:val="418C4B15"/>
    <w:rsid w:val="419148E6"/>
    <w:rsid w:val="41AC3202"/>
    <w:rsid w:val="41AE1CB5"/>
    <w:rsid w:val="41B07729"/>
    <w:rsid w:val="41B36C44"/>
    <w:rsid w:val="41B81E84"/>
    <w:rsid w:val="41B81EDF"/>
    <w:rsid w:val="41B83F03"/>
    <w:rsid w:val="41C05F42"/>
    <w:rsid w:val="41C30648"/>
    <w:rsid w:val="41C43E6C"/>
    <w:rsid w:val="41C71076"/>
    <w:rsid w:val="41C9241A"/>
    <w:rsid w:val="41CC4D9B"/>
    <w:rsid w:val="41CF2491"/>
    <w:rsid w:val="41D40CE2"/>
    <w:rsid w:val="41D91A59"/>
    <w:rsid w:val="41D935C1"/>
    <w:rsid w:val="41E77BF5"/>
    <w:rsid w:val="41F61516"/>
    <w:rsid w:val="41F72FDC"/>
    <w:rsid w:val="41FC0454"/>
    <w:rsid w:val="41FE1C88"/>
    <w:rsid w:val="4201219D"/>
    <w:rsid w:val="420211AD"/>
    <w:rsid w:val="4203444F"/>
    <w:rsid w:val="42092259"/>
    <w:rsid w:val="42093287"/>
    <w:rsid w:val="420C77A9"/>
    <w:rsid w:val="420E3125"/>
    <w:rsid w:val="420F6DFD"/>
    <w:rsid w:val="42147D6E"/>
    <w:rsid w:val="421A2497"/>
    <w:rsid w:val="421F7186"/>
    <w:rsid w:val="42233E63"/>
    <w:rsid w:val="42251300"/>
    <w:rsid w:val="4227444D"/>
    <w:rsid w:val="42277EB2"/>
    <w:rsid w:val="4232345B"/>
    <w:rsid w:val="42357DC7"/>
    <w:rsid w:val="423B4F4B"/>
    <w:rsid w:val="423B6E95"/>
    <w:rsid w:val="423C2495"/>
    <w:rsid w:val="423E69D7"/>
    <w:rsid w:val="42451AAC"/>
    <w:rsid w:val="42456560"/>
    <w:rsid w:val="42467EAF"/>
    <w:rsid w:val="424A7EFD"/>
    <w:rsid w:val="424B24A9"/>
    <w:rsid w:val="424C38D8"/>
    <w:rsid w:val="425210D4"/>
    <w:rsid w:val="42530267"/>
    <w:rsid w:val="425E70F3"/>
    <w:rsid w:val="426F4AAD"/>
    <w:rsid w:val="427730C7"/>
    <w:rsid w:val="427752E1"/>
    <w:rsid w:val="4278783A"/>
    <w:rsid w:val="427B1071"/>
    <w:rsid w:val="4286740D"/>
    <w:rsid w:val="42A317AB"/>
    <w:rsid w:val="42A86B39"/>
    <w:rsid w:val="42AA0A51"/>
    <w:rsid w:val="42B51FA7"/>
    <w:rsid w:val="42B95AB6"/>
    <w:rsid w:val="42BA228C"/>
    <w:rsid w:val="42BA48A5"/>
    <w:rsid w:val="42BB47D3"/>
    <w:rsid w:val="42BB6928"/>
    <w:rsid w:val="42BF4034"/>
    <w:rsid w:val="42BF5F20"/>
    <w:rsid w:val="42BF7F14"/>
    <w:rsid w:val="42C67F37"/>
    <w:rsid w:val="42CD0C1A"/>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B2F31"/>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D40B0"/>
    <w:rsid w:val="447103B5"/>
    <w:rsid w:val="44763132"/>
    <w:rsid w:val="4477066C"/>
    <w:rsid w:val="447809C5"/>
    <w:rsid w:val="447B4624"/>
    <w:rsid w:val="447F2C95"/>
    <w:rsid w:val="44824D59"/>
    <w:rsid w:val="44852E04"/>
    <w:rsid w:val="44856B62"/>
    <w:rsid w:val="44867920"/>
    <w:rsid w:val="448B5149"/>
    <w:rsid w:val="4491056D"/>
    <w:rsid w:val="44965602"/>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5161A"/>
    <w:rsid w:val="453855CF"/>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91231"/>
    <w:rsid w:val="456B4E25"/>
    <w:rsid w:val="456C25FC"/>
    <w:rsid w:val="45731BFF"/>
    <w:rsid w:val="457F73BB"/>
    <w:rsid w:val="45855290"/>
    <w:rsid w:val="45856A09"/>
    <w:rsid w:val="4587101B"/>
    <w:rsid w:val="458B2213"/>
    <w:rsid w:val="4595455C"/>
    <w:rsid w:val="45A46732"/>
    <w:rsid w:val="45A57BAB"/>
    <w:rsid w:val="45A731F4"/>
    <w:rsid w:val="45AD644C"/>
    <w:rsid w:val="45B0201C"/>
    <w:rsid w:val="45B2433A"/>
    <w:rsid w:val="45B7129A"/>
    <w:rsid w:val="45BF1EEC"/>
    <w:rsid w:val="45C30775"/>
    <w:rsid w:val="45CF283C"/>
    <w:rsid w:val="45D621FA"/>
    <w:rsid w:val="45EA57B3"/>
    <w:rsid w:val="45F7265C"/>
    <w:rsid w:val="45F926A5"/>
    <w:rsid w:val="45FA7EB6"/>
    <w:rsid w:val="46035131"/>
    <w:rsid w:val="460D54A1"/>
    <w:rsid w:val="461358D5"/>
    <w:rsid w:val="46175EB0"/>
    <w:rsid w:val="461A7943"/>
    <w:rsid w:val="4620393A"/>
    <w:rsid w:val="46242CAB"/>
    <w:rsid w:val="46255316"/>
    <w:rsid w:val="4629714B"/>
    <w:rsid w:val="46372FF7"/>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701C2B"/>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4155A"/>
    <w:rsid w:val="472456F8"/>
    <w:rsid w:val="472B06F6"/>
    <w:rsid w:val="47375159"/>
    <w:rsid w:val="47406056"/>
    <w:rsid w:val="474840D9"/>
    <w:rsid w:val="474A3043"/>
    <w:rsid w:val="474B2B10"/>
    <w:rsid w:val="47516D3C"/>
    <w:rsid w:val="47615CC0"/>
    <w:rsid w:val="47643C7B"/>
    <w:rsid w:val="476E021D"/>
    <w:rsid w:val="477171FC"/>
    <w:rsid w:val="47797541"/>
    <w:rsid w:val="477B5067"/>
    <w:rsid w:val="477D598D"/>
    <w:rsid w:val="477E3F91"/>
    <w:rsid w:val="477F593E"/>
    <w:rsid w:val="478009BC"/>
    <w:rsid w:val="47837860"/>
    <w:rsid w:val="478F4BC9"/>
    <w:rsid w:val="479D7EF2"/>
    <w:rsid w:val="47A4503D"/>
    <w:rsid w:val="47A73234"/>
    <w:rsid w:val="47A8106C"/>
    <w:rsid w:val="47B37855"/>
    <w:rsid w:val="47BC2E73"/>
    <w:rsid w:val="47C0706B"/>
    <w:rsid w:val="47C100FD"/>
    <w:rsid w:val="47C260C9"/>
    <w:rsid w:val="47C94AE5"/>
    <w:rsid w:val="47CA3131"/>
    <w:rsid w:val="47CA3659"/>
    <w:rsid w:val="47CB2D84"/>
    <w:rsid w:val="47D74B84"/>
    <w:rsid w:val="47D87D72"/>
    <w:rsid w:val="47D9255F"/>
    <w:rsid w:val="47E95DB7"/>
    <w:rsid w:val="47F16AD9"/>
    <w:rsid w:val="47FA67F9"/>
    <w:rsid w:val="48012706"/>
    <w:rsid w:val="48024E07"/>
    <w:rsid w:val="480F0310"/>
    <w:rsid w:val="48121DFF"/>
    <w:rsid w:val="48161EDC"/>
    <w:rsid w:val="481B25AB"/>
    <w:rsid w:val="481B3475"/>
    <w:rsid w:val="4823270D"/>
    <w:rsid w:val="48254EA1"/>
    <w:rsid w:val="483511A1"/>
    <w:rsid w:val="48363C3F"/>
    <w:rsid w:val="483C6367"/>
    <w:rsid w:val="48413448"/>
    <w:rsid w:val="4841782D"/>
    <w:rsid w:val="484A67E7"/>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465FF"/>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868E5"/>
    <w:rsid w:val="49996F36"/>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DE1703"/>
    <w:rsid w:val="49F211CD"/>
    <w:rsid w:val="49F42993"/>
    <w:rsid w:val="4A0D1F02"/>
    <w:rsid w:val="4A120643"/>
    <w:rsid w:val="4A1208D3"/>
    <w:rsid w:val="4A176168"/>
    <w:rsid w:val="4A186D29"/>
    <w:rsid w:val="4A2723A4"/>
    <w:rsid w:val="4A312A93"/>
    <w:rsid w:val="4A33515C"/>
    <w:rsid w:val="4A350AD9"/>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7E5CBD"/>
    <w:rsid w:val="4A820D49"/>
    <w:rsid w:val="4A850E79"/>
    <w:rsid w:val="4A8F53DC"/>
    <w:rsid w:val="4A91532F"/>
    <w:rsid w:val="4A996C49"/>
    <w:rsid w:val="4AA55460"/>
    <w:rsid w:val="4AA97A71"/>
    <w:rsid w:val="4AAA2137"/>
    <w:rsid w:val="4AAF7F03"/>
    <w:rsid w:val="4AB06AAE"/>
    <w:rsid w:val="4AB17471"/>
    <w:rsid w:val="4AB23706"/>
    <w:rsid w:val="4AB5568D"/>
    <w:rsid w:val="4AB663B6"/>
    <w:rsid w:val="4ABF5CA8"/>
    <w:rsid w:val="4AC24F24"/>
    <w:rsid w:val="4AC302E6"/>
    <w:rsid w:val="4AC373B7"/>
    <w:rsid w:val="4AD70179"/>
    <w:rsid w:val="4ADC6030"/>
    <w:rsid w:val="4AE503CA"/>
    <w:rsid w:val="4AE8204F"/>
    <w:rsid w:val="4AE85B24"/>
    <w:rsid w:val="4AEC5530"/>
    <w:rsid w:val="4AF9326D"/>
    <w:rsid w:val="4AFA788A"/>
    <w:rsid w:val="4B0B565B"/>
    <w:rsid w:val="4B0D0AAD"/>
    <w:rsid w:val="4B0F33EF"/>
    <w:rsid w:val="4B0F4579"/>
    <w:rsid w:val="4B127A66"/>
    <w:rsid w:val="4B1B3604"/>
    <w:rsid w:val="4B1D1F9E"/>
    <w:rsid w:val="4B1E39C0"/>
    <w:rsid w:val="4B207D3A"/>
    <w:rsid w:val="4B303F1C"/>
    <w:rsid w:val="4B321510"/>
    <w:rsid w:val="4B336757"/>
    <w:rsid w:val="4B345DCE"/>
    <w:rsid w:val="4B373DFD"/>
    <w:rsid w:val="4B3B43DA"/>
    <w:rsid w:val="4B3C1E06"/>
    <w:rsid w:val="4B3D7327"/>
    <w:rsid w:val="4B505CF0"/>
    <w:rsid w:val="4B506800"/>
    <w:rsid w:val="4B5A0963"/>
    <w:rsid w:val="4B633B9B"/>
    <w:rsid w:val="4B655FDE"/>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C718B"/>
    <w:rsid w:val="4C7F5F80"/>
    <w:rsid w:val="4C800ACB"/>
    <w:rsid w:val="4C872A0F"/>
    <w:rsid w:val="4C891ECB"/>
    <w:rsid w:val="4C8E59E1"/>
    <w:rsid w:val="4C8F1A7A"/>
    <w:rsid w:val="4C935431"/>
    <w:rsid w:val="4C947432"/>
    <w:rsid w:val="4C9956D3"/>
    <w:rsid w:val="4CA41E7C"/>
    <w:rsid w:val="4CA52414"/>
    <w:rsid w:val="4CA80F94"/>
    <w:rsid w:val="4CB20939"/>
    <w:rsid w:val="4CB3412A"/>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12EE6"/>
    <w:rsid w:val="4D275349"/>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51C42"/>
    <w:rsid w:val="4DD67A08"/>
    <w:rsid w:val="4DD728CB"/>
    <w:rsid w:val="4DD926F3"/>
    <w:rsid w:val="4DE324E8"/>
    <w:rsid w:val="4DE96438"/>
    <w:rsid w:val="4DFC6D77"/>
    <w:rsid w:val="4E05512F"/>
    <w:rsid w:val="4E080D37"/>
    <w:rsid w:val="4E0F044D"/>
    <w:rsid w:val="4E116331"/>
    <w:rsid w:val="4E146DE5"/>
    <w:rsid w:val="4E1974AF"/>
    <w:rsid w:val="4E217F74"/>
    <w:rsid w:val="4E2273F7"/>
    <w:rsid w:val="4E232710"/>
    <w:rsid w:val="4E244590"/>
    <w:rsid w:val="4E2803B1"/>
    <w:rsid w:val="4E315BCB"/>
    <w:rsid w:val="4E323E00"/>
    <w:rsid w:val="4E353A96"/>
    <w:rsid w:val="4E366F15"/>
    <w:rsid w:val="4E453822"/>
    <w:rsid w:val="4E46611C"/>
    <w:rsid w:val="4E4927F4"/>
    <w:rsid w:val="4E51033C"/>
    <w:rsid w:val="4E5718DD"/>
    <w:rsid w:val="4E5D76DE"/>
    <w:rsid w:val="4E645B44"/>
    <w:rsid w:val="4E653EFD"/>
    <w:rsid w:val="4E6557BF"/>
    <w:rsid w:val="4E7052BB"/>
    <w:rsid w:val="4E712D20"/>
    <w:rsid w:val="4E7328AB"/>
    <w:rsid w:val="4E744688"/>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DDE"/>
    <w:rsid w:val="4EE43E31"/>
    <w:rsid w:val="4EE53111"/>
    <w:rsid w:val="4EE83395"/>
    <w:rsid w:val="4EFC0CB9"/>
    <w:rsid w:val="4EFC3EC7"/>
    <w:rsid w:val="4F0B3E29"/>
    <w:rsid w:val="4F0C5590"/>
    <w:rsid w:val="4F0D658C"/>
    <w:rsid w:val="4F0E534E"/>
    <w:rsid w:val="4F0F3F48"/>
    <w:rsid w:val="4F1B0E0D"/>
    <w:rsid w:val="4F1F413E"/>
    <w:rsid w:val="4F2309CE"/>
    <w:rsid w:val="4F236021"/>
    <w:rsid w:val="4F2417F9"/>
    <w:rsid w:val="4F390391"/>
    <w:rsid w:val="4F3F72E0"/>
    <w:rsid w:val="4F4128B4"/>
    <w:rsid w:val="4F472DFA"/>
    <w:rsid w:val="4F476973"/>
    <w:rsid w:val="4F496B4A"/>
    <w:rsid w:val="4F4B45C9"/>
    <w:rsid w:val="4F516C90"/>
    <w:rsid w:val="4F5304FA"/>
    <w:rsid w:val="4F5847FB"/>
    <w:rsid w:val="4F675005"/>
    <w:rsid w:val="4F687C61"/>
    <w:rsid w:val="4F6B70F2"/>
    <w:rsid w:val="4F6D2D8A"/>
    <w:rsid w:val="4F7065D1"/>
    <w:rsid w:val="4F742121"/>
    <w:rsid w:val="4F7476FD"/>
    <w:rsid w:val="4F7A5351"/>
    <w:rsid w:val="4F7E4952"/>
    <w:rsid w:val="4F837A29"/>
    <w:rsid w:val="4F86338A"/>
    <w:rsid w:val="4F894B38"/>
    <w:rsid w:val="4F8B5808"/>
    <w:rsid w:val="4F8E2544"/>
    <w:rsid w:val="4F8E4617"/>
    <w:rsid w:val="4F925571"/>
    <w:rsid w:val="4F936F2A"/>
    <w:rsid w:val="4F96364E"/>
    <w:rsid w:val="4F9A7781"/>
    <w:rsid w:val="4FA07208"/>
    <w:rsid w:val="4FA32FA9"/>
    <w:rsid w:val="4FA4526D"/>
    <w:rsid w:val="4FA77CB7"/>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2774F1"/>
    <w:rsid w:val="50342B46"/>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53116"/>
    <w:rsid w:val="50B8253C"/>
    <w:rsid w:val="50B852D4"/>
    <w:rsid w:val="50B90894"/>
    <w:rsid w:val="50BA7486"/>
    <w:rsid w:val="50BD6A55"/>
    <w:rsid w:val="50BD73C3"/>
    <w:rsid w:val="50C0101E"/>
    <w:rsid w:val="50C34300"/>
    <w:rsid w:val="50C861CA"/>
    <w:rsid w:val="50C93EAB"/>
    <w:rsid w:val="50CB2653"/>
    <w:rsid w:val="50CE6DFA"/>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85262"/>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116FA"/>
    <w:rsid w:val="52A66E27"/>
    <w:rsid w:val="52A77DD3"/>
    <w:rsid w:val="52A866CD"/>
    <w:rsid w:val="52AC289B"/>
    <w:rsid w:val="52AD7835"/>
    <w:rsid w:val="52B34900"/>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2FB0259"/>
    <w:rsid w:val="53016EAE"/>
    <w:rsid w:val="53022230"/>
    <w:rsid w:val="53037543"/>
    <w:rsid w:val="53040DD4"/>
    <w:rsid w:val="53092BE3"/>
    <w:rsid w:val="530D3EE7"/>
    <w:rsid w:val="530E50CD"/>
    <w:rsid w:val="53107CE9"/>
    <w:rsid w:val="53116663"/>
    <w:rsid w:val="53123854"/>
    <w:rsid w:val="531E2733"/>
    <w:rsid w:val="53200D63"/>
    <w:rsid w:val="53203EAE"/>
    <w:rsid w:val="5327111C"/>
    <w:rsid w:val="532B57D0"/>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D646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DF1770"/>
    <w:rsid w:val="53E021B5"/>
    <w:rsid w:val="53E15EE4"/>
    <w:rsid w:val="53E504ED"/>
    <w:rsid w:val="53E623AE"/>
    <w:rsid w:val="53E62704"/>
    <w:rsid w:val="53ED1D5A"/>
    <w:rsid w:val="53EF222C"/>
    <w:rsid w:val="53FB6A99"/>
    <w:rsid w:val="54013248"/>
    <w:rsid w:val="54036357"/>
    <w:rsid w:val="540C7B26"/>
    <w:rsid w:val="540E2C5F"/>
    <w:rsid w:val="541E62D0"/>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D2691"/>
    <w:rsid w:val="546E3DF1"/>
    <w:rsid w:val="547A3FE7"/>
    <w:rsid w:val="547B296E"/>
    <w:rsid w:val="547C24E5"/>
    <w:rsid w:val="547D0D60"/>
    <w:rsid w:val="547F25F5"/>
    <w:rsid w:val="547F3870"/>
    <w:rsid w:val="548075C3"/>
    <w:rsid w:val="54833F1A"/>
    <w:rsid w:val="548F4C0D"/>
    <w:rsid w:val="54960D45"/>
    <w:rsid w:val="549A005E"/>
    <w:rsid w:val="54A045BE"/>
    <w:rsid w:val="54A32323"/>
    <w:rsid w:val="54AB06B2"/>
    <w:rsid w:val="54AC5879"/>
    <w:rsid w:val="54BB10DA"/>
    <w:rsid w:val="54BC61EF"/>
    <w:rsid w:val="54BD7666"/>
    <w:rsid w:val="54BE4673"/>
    <w:rsid w:val="54BE7C40"/>
    <w:rsid w:val="54BF029A"/>
    <w:rsid w:val="54C31BDE"/>
    <w:rsid w:val="54C62E16"/>
    <w:rsid w:val="54C62FAC"/>
    <w:rsid w:val="54CA6334"/>
    <w:rsid w:val="54CB0818"/>
    <w:rsid w:val="54CB2961"/>
    <w:rsid w:val="54CD55DE"/>
    <w:rsid w:val="54D12B00"/>
    <w:rsid w:val="54D85F2F"/>
    <w:rsid w:val="54D94F04"/>
    <w:rsid w:val="54D96C5B"/>
    <w:rsid w:val="54D97F95"/>
    <w:rsid w:val="54E52FEA"/>
    <w:rsid w:val="54E71FBE"/>
    <w:rsid w:val="54E87E5F"/>
    <w:rsid w:val="54EC7B95"/>
    <w:rsid w:val="54F31222"/>
    <w:rsid w:val="55014944"/>
    <w:rsid w:val="55037AD6"/>
    <w:rsid w:val="550415F3"/>
    <w:rsid w:val="55095F10"/>
    <w:rsid w:val="550B34E2"/>
    <w:rsid w:val="55125158"/>
    <w:rsid w:val="551F5F7D"/>
    <w:rsid w:val="552133AA"/>
    <w:rsid w:val="552F5F65"/>
    <w:rsid w:val="553B4499"/>
    <w:rsid w:val="553E3E60"/>
    <w:rsid w:val="5547595B"/>
    <w:rsid w:val="55583BF0"/>
    <w:rsid w:val="555A417E"/>
    <w:rsid w:val="55625588"/>
    <w:rsid w:val="55645A1D"/>
    <w:rsid w:val="55661EFE"/>
    <w:rsid w:val="556B2AF1"/>
    <w:rsid w:val="556C0EF2"/>
    <w:rsid w:val="55717983"/>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2ABE"/>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0633A"/>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6281B"/>
    <w:rsid w:val="57875C12"/>
    <w:rsid w:val="578849BA"/>
    <w:rsid w:val="57890230"/>
    <w:rsid w:val="578B45BC"/>
    <w:rsid w:val="579332C9"/>
    <w:rsid w:val="57984358"/>
    <w:rsid w:val="579C091F"/>
    <w:rsid w:val="579C553D"/>
    <w:rsid w:val="579E16D2"/>
    <w:rsid w:val="579E4B6F"/>
    <w:rsid w:val="57A8703D"/>
    <w:rsid w:val="57B140FD"/>
    <w:rsid w:val="57BA0794"/>
    <w:rsid w:val="57C23DC7"/>
    <w:rsid w:val="57DB51C2"/>
    <w:rsid w:val="57F00A5B"/>
    <w:rsid w:val="57F6578B"/>
    <w:rsid w:val="580524DD"/>
    <w:rsid w:val="580B47C9"/>
    <w:rsid w:val="581563DE"/>
    <w:rsid w:val="581B418A"/>
    <w:rsid w:val="581C0BCE"/>
    <w:rsid w:val="581C1F42"/>
    <w:rsid w:val="582055EE"/>
    <w:rsid w:val="582334BB"/>
    <w:rsid w:val="582D2236"/>
    <w:rsid w:val="58344BA2"/>
    <w:rsid w:val="58422286"/>
    <w:rsid w:val="58435516"/>
    <w:rsid w:val="58446F11"/>
    <w:rsid w:val="5849643A"/>
    <w:rsid w:val="58496BB7"/>
    <w:rsid w:val="584D50B5"/>
    <w:rsid w:val="5856096A"/>
    <w:rsid w:val="5856761D"/>
    <w:rsid w:val="585749D4"/>
    <w:rsid w:val="585B70CE"/>
    <w:rsid w:val="585D4315"/>
    <w:rsid w:val="58612DB0"/>
    <w:rsid w:val="58695CD4"/>
    <w:rsid w:val="586B5E7C"/>
    <w:rsid w:val="58703188"/>
    <w:rsid w:val="58746525"/>
    <w:rsid w:val="58755BEE"/>
    <w:rsid w:val="58793717"/>
    <w:rsid w:val="587F0A2C"/>
    <w:rsid w:val="58806871"/>
    <w:rsid w:val="5880712A"/>
    <w:rsid w:val="5883501D"/>
    <w:rsid w:val="58890B0A"/>
    <w:rsid w:val="58893680"/>
    <w:rsid w:val="588B4B63"/>
    <w:rsid w:val="588E12E3"/>
    <w:rsid w:val="588E5385"/>
    <w:rsid w:val="5893055D"/>
    <w:rsid w:val="589C077B"/>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4583D"/>
    <w:rsid w:val="5A0B4BBF"/>
    <w:rsid w:val="5A0D4DA0"/>
    <w:rsid w:val="5A19426B"/>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E0399"/>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76E29"/>
    <w:rsid w:val="5AD81EAB"/>
    <w:rsid w:val="5ADD6AED"/>
    <w:rsid w:val="5AE76BC1"/>
    <w:rsid w:val="5AEC6AA2"/>
    <w:rsid w:val="5AED6EE6"/>
    <w:rsid w:val="5B054511"/>
    <w:rsid w:val="5B130536"/>
    <w:rsid w:val="5B1527A8"/>
    <w:rsid w:val="5B271DAF"/>
    <w:rsid w:val="5B2B7A81"/>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92D18"/>
    <w:rsid w:val="5C0F381E"/>
    <w:rsid w:val="5C134D0A"/>
    <w:rsid w:val="5C2447C2"/>
    <w:rsid w:val="5C2C2C06"/>
    <w:rsid w:val="5C2E3D4E"/>
    <w:rsid w:val="5C302DB4"/>
    <w:rsid w:val="5C33495D"/>
    <w:rsid w:val="5C3573E8"/>
    <w:rsid w:val="5C367935"/>
    <w:rsid w:val="5C38462F"/>
    <w:rsid w:val="5C391C9D"/>
    <w:rsid w:val="5C4A7029"/>
    <w:rsid w:val="5C524B49"/>
    <w:rsid w:val="5C567BAC"/>
    <w:rsid w:val="5C5C2559"/>
    <w:rsid w:val="5C5E06F3"/>
    <w:rsid w:val="5C606A7E"/>
    <w:rsid w:val="5C651375"/>
    <w:rsid w:val="5C651F1D"/>
    <w:rsid w:val="5C6D7D63"/>
    <w:rsid w:val="5C6F346E"/>
    <w:rsid w:val="5C7B58FA"/>
    <w:rsid w:val="5C811086"/>
    <w:rsid w:val="5C832EF9"/>
    <w:rsid w:val="5C847C07"/>
    <w:rsid w:val="5C8925A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A5FDD"/>
    <w:rsid w:val="5D310BBF"/>
    <w:rsid w:val="5D3216E3"/>
    <w:rsid w:val="5D334440"/>
    <w:rsid w:val="5D3540E7"/>
    <w:rsid w:val="5D3579D3"/>
    <w:rsid w:val="5D3F4512"/>
    <w:rsid w:val="5D4B03EC"/>
    <w:rsid w:val="5D4B3B72"/>
    <w:rsid w:val="5D4B7D01"/>
    <w:rsid w:val="5D594705"/>
    <w:rsid w:val="5D5D366B"/>
    <w:rsid w:val="5D5E0635"/>
    <w:rsid w:val="5D63417B"/>
    <w:rsid w:val="5D663874"/>
    <w:rsid w:val="5D6759B2"/>
    <w:rsid w:val="5D6B16CC"/>
    <w:rsid w:val="5D726960"/>
    <w:rsid w:val="5D8056CF"/>
    <w:rsid w:val="5D8167C6"/>
    <w:rsid w:val="5D827AE7"/>
    <w:rsid w:val="5D84626D"/>
    <w:rsid w:val="5D850F66"/>
    <w:rsid w:val="5D881C33"/>
    <w:rsid w:val="5D882498"/>
    <w:rsid w:val="5D88463C"/>
    <w:rsid w:val="5D8C0D5D"/>
    <w:rsid w:val="5D8C36CC"/>
    <w:rsid w:val="5D8D30BD"/>
    <w:rsid w:val="5D8E1670"/>
    <w:rsid w:val="5D8E4F86"/>
    <w:rsid w:val="5D8E5A81"/>
    <w:rsid w:val="5D916240"/>
    <w:rsid w:val="5D9C64D2"/>
    <w:rsid w:val="5DA03F1A"/>
    <w:rsid w:val="5DA34B77"/>
    <w:rsid w:val="5DA60259"/>
    <w:rsid w:val="5DA9695A"/>
    <w:rsid w:val="5DAC24BD"/>
    <w:rsid w:val="5DAD1AB9"/>
    <w:rsid w:val="5DB563E8"/>
    <w:rsid w:val="5DB91AE6"/>
    <w:rsid w:val="5DBC49B1"/>
    <w:rsid w:val="5DBF5D68"/>
    <w:rsid w:val="5DC1061A"/>
    <w:rsid w:val="5DC50736"/>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773E3"/>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37F57"/>
    <w:rsid w:val="5F35643C"/>
    <w:rsid w:val="5F3A0EC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36495"/>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13CC0"/>
    <w:rsid w:val="5FF44DF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97AB4"/>
    <w:rsid w:val="604A57E6"/>
    <w:rsid w:val="604C521E"/>
    <w:rsid w:val="604F5EF6"/>
    <w:rsid w:val="6057558C"/>
    <w:rsid w:val="605E72F8"/>
    <w:rsid w:val="605F5AE3"/>
    <w:rsid w:val="606157F3"/>
    <w:rsid w:val="60627C46"/>
    <w:rsid w:val="606364CC"/>
    <w:rsid w:val="606429BD"/>
    <w:rsid w:val="60687CFB"/>
    <w:rsid w:val="607046CC"/>
    <w:rsid w:val="60720FD1"/>
    <w:rsid w:val="6072154F"/>
    <w:rsid w:val="60783368"/>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8637F"/>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355E2F"/>
    <w:rsid w:val="614555FE"/>
    <w:rsid w:val="614A3BE6"/>
    <w:rsid w:val="614A563B"/>
    <w:rsid w:val="614B3DCA"/>
    <w:rsid w:val="614C69C2"/>
    <w:rsid w:val="614D19CC"/>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840E69"/>
    <w:rsid w:val="61897126"/>
    <w:rsid w:val="61982206"/>
    <w:rsid w:val="619877AE"/>
    <w:rsid w:val="61A44839"/>
    <w:rsid w:val="61A464B4"/>
    <w:rsid w:val="61A524ED"/>
    <w:rsid w:val="61BE3173"/>
    <w:rsid w:val="61C52F7C"/>
    <w:rsid w:val="61C56B2B"/>
    <w:rsid w:val="61C65438"/>
    <w:rsid w:val="61C665BE"/>
    <w:rsid w:val="61CA523D"/>
    <w:rsid w:val="61CE6570"/>
    <w:rsid w:val="61D15BC1"/>
    <w:rsid w:val="61D874CA"/>
    <w:rsid w:val="61DA463A"/>
    <w:rsid w:val="61E145AD"/>
    <w:rsid w:val="61EB3425"/>
    <w:rsid w:val="61F52D89"/>
    <w:rsid w:val="61F76912"/>
    <w:rsid w:val="62025288"/>
    <w:rsid w:val="62067533"/>
    <w:rsid w:val="62067DED"/>
    <w:rsid w:val="62071713"/>
    <w:rsid w:val="620971FF"/>
    <w:rsid w:val="620A7527"/>
    <w:rsid w:val="620B1CD1"/>
    <w:rsid w:val="620E43FD"/>
    <w:rsid w:val="62112067"/>
    <w:rsid w:val="62132F1F"/>
    <w:rsid w:val="62143D21"/>
    <w:rsid w:val="621D44D9"/>
    <w:rsid w:val="62256A19"/>
    <w:rsid w:val="622A55FC"/>
    <w:rsid w:val="622B2701"/>
    <w:rsid w:val="622C5484"/>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27B29"/>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3E1075"/>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26FAC"/>
    <w:rsid w:val="63C65212"/>
    <w:rsid w:val="63C6642F"/>
    <w:rsid w:val="63D43F1B"/>
    <w:rsid w:val="63E2517C"/>
    <w:rsid w:val="63E37EF7"/>
    <w:rsid w:val="63E5010D"/>
    <w:rsid w:val="63EC0F18"/>
    <w:rsid w:val="63EF50C6"/>
    <w:rsid w:val="63F0548A"/>
    <w:rsid w:val="63FA2552"/>
    <w:rsid w:val="63FA618C"/>
    <w:rsid w:val="63FC5706"/>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2F31B2"/>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9675C"/>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349A2"/>
    <w:rsid w:val="64EA18FD"/>
    <w:rsid w:val="64EC317B"/>
    <w:rsid w:val="64ED414E"/>
    <w:rsid w:val="64EF0130"/>
    <w:rsid w:val="64EF032E"/>
    <w:rsid w:val="64F102BF"/>
    <w:rsid w:val="64F96F89"/>
    <w:rsid w:val="64FC29FD"/>
    <w:rsid w:val="64FE3B47"/>
    <w:rsid w:val="64FF4955"/>
    <w:rsid w:val="6505779C"/>
    <w:rsid w:val="65140C27"/>
    <w:rsid w:val="65222B6E"/>
    <w:rsid w:val="652A2225"/>
    <w:rsid w:val="652A2C63"/>
    <w:rsid w:val="653B62B2"/>
    <w:rsid w:val="653C00CC"/>
    <w:rsid w:val="653D48C7"/>
    <w:rsid w:val="6544003B"/>
    <w:rsid w:val="65462AB2"/>
    <w:rsid w:val="65465C3A"/>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14D3"/>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1CCB"/>
    <w:rsid w:val="65F07FE9"/>
    <w:rsid w:val="65FF4E58"/>
    <w:rsid w:val="66045203"/>
    <w:rsid w:val="661355E7"/>
    <w:rsid w:val="66162BAE"/>
    <w:rsid w:val="661A1D35"/>
    <w:rsid w:val="662231ED"/>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1F2063"/>
    <w:rsid w:val="67212488"/>
    <w:rsid w:val="67230E17"/>
    <w:rsid w:val="67243AE8"/>
    <w:rsid w:val="672530F6"/>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CD37ED"/>
    <w:rsid w:val="68D018E9"/>
    <w:rsid w:val="68D9302B"/>
    <w:rsid w:val="68DC4A0D"/>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6E6F77"/>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66FBD"/>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292C42"/>
    <w:rsid w:val="6A300070"/>
    <w:rsid w:val="6A304F08"/>
    <w:rsid w:val="6A4107BE"/>
    <w:rsid w:val="6A4241F4"/>
    <w:rsid w:val="6A4A15E8"/>
    <w:rsid w:val="6A4C5A04"/>
    <w:rsid w:val="6A5110C5"/>
    <w:rsid w:val="6A58493C"/>
    <w:rsid w:val="6A5F7765"/>
    <w:rsid w:val="6A6373A0"/>
    <w:rsid w:val="6A687C25"/>
    <w:rsid w:val="6A6A33B7"/>
    <w:rsid w:val="6A6A49EF"/>
    <w:rsid w:val="6A6E7A18"/>
    <w:rsid w:val="6A7D3773"/>
    <w:rsid w:val="6A873080"/>
    <w:rsid w:val="6A883A57"/>
    <w:rsid w:val="6A894123"/>
    <w:rsid w:val="6A8B4A02"/>
    <w:rsid w:val="6A9A5A6C"/>
    <w:rsid w:val="6A9E4755"/>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40D83"/>
    <w:rsid w:val="6B284EAE"/>
    <w:rsid w:val="6B2D67D1"/>
    <w:rsid w:val="6B2E4BDC"/>
    <w:rsid w:val="6B3230C2"/>
    <w:rsid w:val="6B3A0170"/>
    <w:rsid w:val="6B3B3477"/>
    <w:rsid w:val="6B3E31D3"/>
    <w:rsid w:val="6B444C91"/>
    <w:rsid w:val="6B453759"/>
    <w:rsid w:val="6B45608D"/>
    <w:rsid w:val="6B474C81"/>
    <w:rsid w:val="6B585A22"/>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10E4A"/>
    <w:rsid w:val="6BD50F30"/>
    <w:rsid w:val="6BD954FE"/>
    <w:rsid w:val="6BDA3731"/>
    <w:rsid w:val="6BDA5A31"/>
    <w:rsid w:val="6BDD6387"/>
    <w:rsid w:val="6BE0409F"/>
    <w:rsid w:val="6BE11226"/>
    <w:rsid w:val="6BE56596"/>
    <w:rsid w:val="6BE77CB5"/>
    <w:rsid w:val="6BF1529A"/>
    <w:rsid w:val="6BF329C9"/>
    <w:rsid w:val="6BF82039"/>
    <w:rsid w:val="6C067490"/>
    <w:rsid w:val="6C0B5D3D"/>
    <w:rsid w:val="6C0F552A"/>
    <w:rsid w:val="6C132282"/>
    <w:rsid w:val="6C1E57A4"/>
    <w:rsid w:val="6C2052D7"/>
    <w:rsid w:val="6C2474AD"/>
    <w:rsid w:val="6C254DED"/>
    <w:rsid w:val="6C276487"/>
    <w:rsid w:val="6C2A3C97"/>
    <w:rsid w:val="6C300842"/>
    <w:rsid w:val="6C441522"/>
    <w:rsid w:val="6C444E98"/>
    <w:rsid w:val="6C44652A"/>
    <w:rsid w:val="6C450DC2"/>
    <w:rsid w:val="6C4743EF"/>
    <w:rsid w:val="6C49464D"/>
    <w:rsid w:val="6C5630FD"/>
    <w:rsid w:val="6C580C23"/>
    <w:rsid w:val="6C5D2B83"/>
    <w:rsid w:val="6C5E310E"/>
    <w:rsid w:val="6C605001"/>
    <w:rsid w:val="6C693101"/>
    <w:rsid w:val="6C6C65A8"/>
    <w:rsid w:val="6C6E654D"/>
    <w:rsid w:val="6C6F12F5"/>
    <w:rsid w:val="6C6F6D68"/>
    <w:rsid w:val="6C713EE6"/>
    <w:rsid w:val="6C7225C0"/>
    <w:rsid w:val="6C724086"/>
    <w:rsid w:val="6C7A0146"/>
    <w:rsid w:val="6C7D1EE1"/>
    <w:rsid w:val="6C83148E"/>
    <w:rsid w:val="6C847309"/>
    <w:rsid w:val="6C87483E"/>
    <w:rsid w:val="6C932F62"/>
    <w:rsid w:val="6C970952"/>
    <w:rsid w:val="6C986CFB"/>
    <w:rsid w:val="6C993EDD"/>
    <w:rsid w:val="6CA16A6E"/>
    <w:rsid w:val="6CA35ACE"/>
    <w:rsid w:val="6CA35BF5"/>
    <w:rsid w:val="6CA36F99"/>
    <w:rsid w:val="6CA51F44"/>
    <w:rsid w:val="6CAC41D8"/>
    <w:rsid w:val="6CAD1DA8"/>
    <w:rsid w:val="6CBC7404"/>
    <w:rsid w:val="6CC01FF7"/>
    <w:rsid w:val="6CC100DE"/>
    <w:rsid w:val="6CC172F0"/>
    <w:rsid w:val="6CC37577"/>
    <w:rsid w:val="6CC47E70"/>
    <w:rsid w:val="6CC83449"/>
    <w:rsid w:val="6CD4587A"/>
    <w:rsid w:val="6CD7368A"/>
    <w:rsid w:val="6CDE5384"/>
    <w:rsid w:val="6CE73495"/>
    <w:rsid w:val="6CE8549F"/>
    <w:rsid w:val="6CEC511B"/>
    <w:rsid w:val="6CF4007D"/>
    <w:rsid w:val="6CF817EF"/>
    <w:rsid w:val="6CFC39F3"/>
    <w:rsid w:val="6CFC5A53"/>
    <w:rsid w:val="6CFF6600"/>
    <w:rsid w:val="6D010C12"/>
    <w:rsid w:val="6D0255CE"/>
    <w:rsid w:val="6D063E81"/>
    <w:rsid w:val="6D076851"/>
    <w:rsid w:val="6D127028"/>
    <w:rsid w:val="6D1F46E9"/>
    <w:rsid w:val="6D203CD5"/>
    <w:rsid w:val="6D223A04"/>
    <w:rsid w:val="6D263AE7"/>
    <w:rsid w:val="6D280683"/>
    <w:rsid w:val="6D2945A7"/>
    <w:rsid w:val="6D2A7621"/>
    <w:rsid w:val="6D2D6CE1"/>
    <w:rsid w:val="6D2E1113"/>
    <w:rsid w:val="6D325F0F"/>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50CF0"/>
    <w:rsid w:val="6D9C799E"/>
    <w:rsid w:val="6DA20C00"/>
    <w:rsid w:val="6DA25EF4"/>
    <w:rsid w:val="6DA735E2"/>
    <w:rsid w:val="6DAD74FD"/>
    <w:rsid w:val="6DB26C1E"/>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DFF2D05"/>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80706"/>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431FC"/>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45EB2"/>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06A7E"/>
    <w:rsid w:val="6F2614AD"/>
    <w:rsid w:val="6F265765"/>
    <w:rsid w:val="6F27517A"/>
    <w:rsid w:val="6F283862"/>
    <w:rsid w:val="6F2B3D2A"/>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83E6C"/>
    <w:rsid w:val="6F7A2D7A"/>
    <w:rsid w:val="6F7D5DCF"/>
    <w:rsid w:val="6F825AAD"/>
    <w:rsid w:val="6F8A2227"/>
    <w:rsid w:val="6F8E4EE0"/>
    <w:rsid w:val="6F984219"/>
    <w:rsid w:val="6F990219"/>
    <w:rsid w:val="6F9D1A7C"/>
    <w:rsid w:val="6FA973F6"/>
    <w:rsid w:val="6FB07E8C"/>
    <w:rsid w:val="6FB34A5A"/>
    <w:rsid w:val="6FBC45CE"/>
    <w:rsid w:val="6FC1266F"/>
    <w:rsid w:val="6FC66B94"/>
    <w:rsid w:val="6FD51D6F"/>
    <w:rsid w:val="6FD62245"/>
    <w:rsid w:val="6FD754F8"/>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446DD"/>
    <w:rsid w:val="708B2BFA"/>
    <w:rsid w:val="708C6267"/>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A48D4"/>
    <w:rsid w:val="70DB1354"/>
    <w:rsid w:val="70E74387"/>
    <w:rsid w:val="70E95688"/>
    <w:rsid w:val="70F133F4"/>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D0AAD"/>
    <w:rsid w:val="719E4BD5"/>
    <w:rsid w:val="71A94AE6"/>
    <w:rsid w:val="71AA1FB4"/>
    <w:rsid w:val="71AA5E03"/>
    <w:rsid w:val="71AD2519"/>
    <w:rsid w:val="71AE30CB"/>
    <w:rsid w:val="71AE6FA0"/>
    <w:rsid w:val="71B731AC"/>
    <w:rsid w:val="71BC586A"/>
    <w:rsid w:val="71BE020A"/>
    <w:rsid w:val="71C4348E"/>
    <w:rsid w:val="71C4594D"/>
    <w:rsid w:val="71C45F70"/>
    <w:rsid w:val="71C525A0"/>
    <w:rsid w:val="71C77FC3"/>
    <w:rsid w:val="71D313E6"/>
    <w:rsid w:val="71D67195"/>
    <w:rsid w:val="71D707E2"/>
    <w:rsid w:val="71D72B63"/>
    <w:rsid w:val="71D90995"/>
    <w:rsid w:val="71E0184C"/>
    <w:rsid w:val="71E34117"/>
    <w:rsid w:val="71E34506"/>
    <w:rsid w:val="71E70ECE"/>
    <w:rsid w:val="71E90DAD"/>
    <w:rsid w:val="71EE722C"/>
    <w:rsid w:val="71FA0D3D"/>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967DD"/>
    <w:rsid w:val="729A1FD4"/>
    <w:rsid w:val="729A6670"/>
    <w:rsid w:val="729D63A2"/>
    <w:rsid w:val="72A279FF"/>
    <w:rsid w:val="72A74598"/>
    <w:rsid w:val="72A82B27"/>
    <w:rsid w:val="72A91DE4"/>
    <w:rsid w:val="72AB1F98"/>
    <w:rsid w:val="72B105E2"/>
    <w:rsid w:val="72BD5D98"/>
    <w:rsid w:val="72BF50A2"/>
    <w:rsid w:val="72C00416"/>
    <w:rsid w:val="72C04D9A"/>
    <w:rsid w:val="72C60970"/>
    <w:rsid w:val="72C62F71"/>
    <w:rsid w:val="72D06126"/>
    <w:rsid w:val="72D31546"/>
    <w:rsid w:val="72D40767"/>
    <w:rsid w:val="72D61995"/>
    <w:rsid w:val="72D705AD"/>
    <w:rsid w:val="72DA7FED"/>
    <w:rsid w:val="72DE5139"/>
    <w:rsid w:val="72E56AE8"/>
    <w:rsid w:val="72E81DB2"/>
    <w:rsid w:val="72F027CA"/>
    <w:rsid w:val="72FC1555"/>
    <w:rsid w:val="7301337F"/>
    <w:rsid w:val="7304264C"/>
    <w:rsid w:val="73062B16"/>
    <w:rsid w:val="73070C7F"/>
    <w:rsid w:val="730832A4"/>
    <w:rsid w:val="73126134"/>
    <w:rsid w:val="73186301"/>
    <w:rsid w:val="73201849"/>
    <w:rsid w:val="732114F1"/>
    <w:rsid w:val="73214465"/>
    <w:rsid w:val="73296CA2"/>
    <w:rsid w:val="732B15F3"/>
    <w:rsid w:val="7331676D"/>
    <w:rsid w:val="73355C60"/>
    <w:rsid w:val="73371506"/>
    <w:rsid w:val="733A6FFF"/>
    <w:rsid w:val="734034DC"/>
    <w:rsid w:val="73424B26"/>
    <w:rsid w:val="73436693"/>
    <w:rsid w:val="734A66D2"/>
    <w:rsid w:val="735056C3"/>
    <w:rsid w:val="73532762"/>
    <w:rsid w:val="73567B16"/>
    <w:rsid w:val="7357153F"/>
    <w:rsid w:val="735724C1"/>
    <w:rsid w:val="735A7717"/>
    <w:rsid w:val="735B536A"/>
    <w:rsid w:val="73690CCC"/>
    <w:rsid w:val="736A5E0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47495"/>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4060F68"/>
    <w:rsid w:val="740B08DB"/>
    <w:rsid w:val="740D3A81"/>
    <w:rsid w:val="741607EC"/>
    <w:rsid w:val="741A3D6E"/>
    <w:rsid w:val="741C0CAC"/>
    <w:rsid w:val="74341BE0"/>
    <w:rsid w:val="74343D24"/>
    <w:rsid w:val="743E7BC1"/>
    <w:rsid w:val="74484054"/>
    <w:rsid w:val="744B4084"/>
    <w:rsid w:val="744C1F69"/>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11A3"/>
    <w:rsid w:val="74AD59FB"/>
    <w:rsid w:val="74AD708A"/>
    <w:rsid w:val="74AE1FDF"/>
    <w:rsid w:val="74B52129"/>
    <w:rsid w:val="74B56CA0"/>
    <w:rsid w:val="74B75095"/>
    <w:rsid w:val="74BA06CD"/>
    <w:rsid w:val="74CD4F0A"/>
    <w:rsid w:val="74DA424F"/>
    <w:rsid w:val="74DB6400"/>
    <w:rsid w:val="74DF0652"/>
    <w:rsid w:val="74E13391"/>
    <w:rsid w:val="74E34A80"/>
    <w:rsid w:val="74F520CC"/>
    <w:rsid w:val="74F61ADC"/>
    <w:rsid w:val="74F70D4C"/>
    <w:rsid w:val="74F92DE1"/>
    <w:rsid w:val="74FB60AC"/>
    <w:rsid w:val="74FC4DAB"/>
    <w:rsid w:val="75040333"/>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51FAF"/>
    <w:rsid w:val="75C7194F"/>
    <w:rsid w:val="75CC76D6"/>
    <w:rsid w:val="75CF0DC4"/>
    <w:rsid w:val="75D34DCF"/>
    <w:rsid w:val="75D45B14"/>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53E99"/>
    <w:rsid w:val="764A57F0"/>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77479"/>
    <w:rsid w:val="76AA29C3"/>
    <w:rsid w:val="76B10334"/>
    <w:rsid w:val="76BD10A6"/>
    <w:rsid w:val="76BD4467"/>
    <w:rsid w:val="76C33D66"/>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05E4E"/>
    <w:rsid w:val="77376F0B"/>
    <w:rsid w:val="773908D2"/>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515C3"/>
    <w:rsid w:val="780716DC"/>
    <w:rsid w:val="78137A78"/>
    <w:rsid w:val="781936FE"/>
    <w:rsid w:val="78194A1D"/>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2F4542"/>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475C0"/>
    <w:rsid w:val="79EA0F72"/>
    <w:rsid w:val="79EC4A90"/>
    <w:rsid w:val="79EF6A05"/>
    <w:rsid w:val="79F65171"/>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432CC"/>
    <w:rsid w:val="7A4A6E7F"/>
    <w:rsid w:val="7A524148"/>
    <w:rsid w:val="7A557E70"/>
    <w:rsid w:val="7A655721"/>
    <w:rsid w:val="7A74248A"/>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C39A7"/>
    <w:rsid w:val="7B2D13A8"/>
    <w:rsid w:val="7B3D5BF7"/>
    <w:rsid w:val="7B3F0F56"/>
    <w:rsid w:val="7B436CCB"/>
    <w:rsid w:val="7B5E7CBA"/>
    <w:rsid w:val="7B654B35"/>
    <w:rsid w:val="7B6644F4"/>
    <w:rsid w:val="7B6B53A5"/>
    <w:rsid w:val="7B727E52"/>
    <w:rsid w:val="7B740C94"/>
    <w:rsid w:val="7B7C5EFE"/>
    <w:rsid w:val="7B7C7536"/>
    <w:rsid w:val="7B8245FA"/>
    <w:rsid w:val="7B8855C2"/>
    <w:rsid w:val="7B9211CD"/>
    <w:rsid w:val="7B93284A"/>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97448"/>
    <w:rsid w:val="7BCD6588"/>
    <w:rsid w:val="7BD15F6F"/>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334AC"/>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9A1FB2"/>
    <w:rsid w:val="7CA4633A"/>
    <w:rsid w:val="7CB50A51"/>
    <w:rsid w:val="7CB62273"/>
    <w:rsid w:val="7CB83599"/>
    <w:rsid w:val="7CBE76BA"/>
    <w:rsid w:val="7CC017D7"/>
    <w:rsid w:val="7CC237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C1640"/>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3561B"/>
    <w:rsid w:val="7D864981"/>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ADA"/>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DFC15BF"/>
    <w:rsid w:val="7E037407"/>
    <w:rsid w:val="7E093660"/>
    <w:rsid w:val="7E0A4764"/>
    <w:rsid w:val="7E0B4780"/>
    <w:rsid w:val="7E17418B"/>
    <w:rsid w:val="7E180560"/>
    <w:rsid w:val="7E18269D"/>
    <w:rsid w:val="7E1A6EE4"/>
    <w:rsid w:val="7E247F1B"/>
    <w:rsid w:val="7E2A71A0"/>
    <w:rsid w:val="7E344268"/>
    <w:rsid w:val="7E3A4040"/>
    <w:rsid w:val="7E3D7B2B"/>
    <w:rsid w:val="7E420F60"/>
    <w:rsid w:val="7E4427B4"/>
    <w:rsid w:val="7E44743A"/>
    <w:rsid w:val="7E46292D"/>
    <w:rsid w:val="7E492C09"/>
    <w:rsid w:val="7E4E2C9C"/>
    <w:rsid w:val="7E4E7C73"/>
    <w:rsid w:val="7E5170FD"/>
    <w:rsid w:val="7E552B20"/>
    <w:rsid w:val="7E555601"/>
    <w:rsid w:val="7E582619"/>
    <w:rsid w:val="7E612947"/>
    <w:rsid w:val="7E6277FD"/>
    <w:rsid w:val="7E644253"/>
    <w:rsid w:val="7E662F64"/>
    <w:rsid w:val="7E67623E"/>
    <w:rsid w:val="7E677E4E"/>
    <w:rsid w:val="7E693C24"/>
    <w:rsid w:val="7E6E20DA"/>
    <w:rsid w:val="7E725B75"/>
    <w:rsid w:val="7E763BDD"/>
    <w:rsid w:val="7E7751E1"/>
    <w:rsid w:val="7E793FEF"/>
    <w:rsid w:val="7E7B3DD3"/>
    <w:rsid w:val="7E7F47FF"/>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27914"/>
    <w:rsid w:val="7EC51C8E"/>
    <w:rsid w:val="7EC54C8D"/>
    <w:rsid w:val="7ECC6C3E"/>
    <w:rsid w:val="7ED32749"/>
    <w:rsid w:val="7ED503E2"/>
    <w:rsid w:val="7ED61B84"/>
    <w:rsid w:val="7ED7102F"/>
    <w:rsid w:val="7ED87F1F"/>
    <w:rsid w:val="7EDC7D3C"/>
    <w:rsid w:val="7EDF3F47"/>
    <w:rsid w:val="7EE34CC4"/>
    <w:rsid w:val="7EE63894"/>
    <w:rsid w:val="7EE91A22"/>
    <w:rsid w:val="7EEA17FC"/>
    <w:rsid w:val="7EEF0511"/>
    <w:rsid w:val="7EFC4DFE"/>
    <w:rsid w:val="7EFC69B8"/>
    <w:rsid w:val="7F0052E1"/>
    <w:rsid w:val="7F0448D7"/>
    <w:rsid w:val="7F056430"/>
    <w:rsid w:val="7F057305"/>
    <w:rsid w:val="7F0B0898"/>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47D6D"/>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85"/>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4">
    <w:name w:val="heading 2"/>
    <w:basedOn w:val="1"/>
    <w:next w:val="1"/>
    <w:link w:val="483"/>
    <w:qFormat/>
    <w:uiPriority w:val="0"/>
    <w:pPr>
      <w:keepNext/>
      <w:keepLines/>
      <w:tabs>
        <w:tab w:val="left" w:pos="358"/>
      </w:tabs>
      <w:spacing w:before="400" w:beforeLines="0" w:beforeAutospacing="0" w:line="360" w:lineRule="auto"/>
      <w:ind w:left="358" w:hanging="420"/>
      <w:outlineLvl w:val="1"/>
    </w:pPr>
    <w:rPr>
      <w:b/>
      <w:sz w:val="32"/>
    </w:rPr>
  </w:style>
  <w:style w:type="paragraph" w:styleId="5">
    <w:name w:val="heading 3"/>
    <w:basedOn w:val="1"/>
    <w:next w:val="1"/>
    <w:link w:val="465"/>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6">
    <w:name w:val="heading 4"/>
    <w:basedOn w:val="1"/>
    <w:next w:val="1"/>
    <w:link w:val="531"/>
    <w:qFormat/>
    <w:uiPriority w:val="0"/>
    <w:pPr>
      <w:keepNext/>
      <w:keepLines/>
      <w:tabs>
        <w:tab w:val="left" w:pos="1198"/>
      </w:tabs>
      <w:spacing w:before="120" w:beforeLines="0" w:beforeAutospacing="0" w:line="360" w:lineRule="auto"/>
      <w:ind w:left="1198" w:hanging="420"/>
      <w:outlineLvl w:val="3"/>
    </w:pPr>
    <w:rPr>
      <w:b/>
      <w:sz w:val="28"/>
    </w:rPr>
  </w:style>
  <w:style w:type="paragraph" w:styleId="7">
    <w:name w:val="heading 5"/>
    <w:basedOn w:val="1"/>
    <w:next w:val="8"/>
    <w:link w:val="532"/>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9">
    <w:name w:val="heading 6"/>
    <w:basedOn w:val="1"/>
    <w:next w:val="8"/>
    <w:link w:val="526"/>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10">
    <w:name w:val="heading 7"/>
    <w:basedOn w:val="1"/>
    <w:next w:val="1"/>
    <w:link w:val="521"/>
    <w:qFormat/>
    <w:uiPriority w:val="0"/>
    <w:pPr>
      <w:keepNext/>
      <w:keepLines/>
      <w:spacing w:before="240" w:beforeLines="0" w:beforeAutospacing="0" w:after="64" w:afterLines="0" w:afterAutospacing="0" w:line="317" w:lineRule="auto"/>
      <w:outlineLvl w:val="6"/>
    </w:pPr>
    <w:rPr>
      <w:b/>
    </w:rPr>
  </w:style>
  <w:style w:type="paragraph" w:styleId="11">
    <w:name w:val="heading 8"/>
    <w:basedOn w:val="1"/>
    <w:next w:val="1"/>
    <w:link w:val="525"/>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2">
    <w:name w:val="heading 9"/>
    <w:basedOn w:val="1"/>
    <w:next w:val="1"/>
    <w:link w:val="433"/>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2">
    <w:name w:val="Default Paragraph Font"/>
    <w:qFormat/>
    <w:uiPriority w:val="0"/>
  </w:style>
  <w:style w:type="table" w:default="1" w:styleId="8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
    <w:name w:val="正文缩进2"/>
    <w:basedOn w:val="1"/>
    <w:qFormat/>
    <w:uiPriority w:val="0"/>
    <w:pPr>
      <w:spacing w:before="60" w:beforeLines="0" w:beforeAutospacing="0"/>
      <w:ind w:firstLine="476"/>
    </w:pPr>
  </w:style>
  <w:style w:type="paragraph" w:styleId="13">
    <w:name w:val="List 3"/>
    <w:basedOn w:val="1"/>
    <w:qFormat/>
    <w:uiPriority w:val="0"/>
    <w:pPr>
      <w:ind w:left="100" w:leftChars="400" w:hanging="200" w:hangingChars="200"/>
    </w:pPr>
    <w:rPr>
      <w:sz w:val="21"/>
      <w:szCs w:val="24"/>
    </w:r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6">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7">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8">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19">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20">
    <w:name w:val="Normal Indent"/>
    <w:basedOn w:val="1"/>
    <w:link w:val="498"/>
    <w:qFormat/>
    <w:uiPriority w:val="0"/>
    <w:pPr>
      <w:ind w:firstLine="420"/>
    </w:pPr>
    <w:rPr>
      <w:sz w:val="21"/>
    </w:rPr>
  </w:style>
  <w:style w:type="paragraph" w:styleId="21">
    <w:name w:val="caption"/>
    <w:basedOn w:val="1"/>
    <w:next w:val="1"/>
    <w:link w:val="529"/>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2">
    <w:name w:val="index 5"/>
    <w:basedOn w:val="1"/>
    <w:next w:val="1"/>
    <w:qFormat/>
    <w:uiPriority w:val="0"/>
    <w:pPr>
      <w:tabs>
        <w:tab w:val="left" w:pos="5760"/>
      </w:tabs>
      <w:ind w:left="1920" w:leftChars="800"/>
      <w:jc w:val="left"/>
    </w:pPr>
  </w:style>
  <w:style w:type="paragraph" w:styleId="23">
    <w:name w:val="List Bullet"/>
    <w:basedOn w:val="1"/>
    <w:qFormat/>
    <w:uiPriority w:val="0"/>
    <w:pPr>
      <w:tabs>
        <w:tab w:val="left" w:pos="748"/>
      </w:tabs>
      <w:spacing w:line="360" w:lineRule="auto"/>
      <w:ind w:left="748" w:hanging="374"/>
    </w:pPr>
    <w:rPr>
      <w:sz w:val="21"/>
    </w:rPr>
  </w:style>
  <w:style w:type="paragraph" w:styleId="24">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5">
    <w:name w:val="Document Map"/>
    <w:basedOn w:val="1"/>
    <w:link w:val="502"/>
    <w:qFormat/>
    <w:uiPriority w:val="0"/>
    <w:pPr>
      <w:shd w:val="clear" w:color="auto" w:fill="000080"/>
    </w:pPr>
    <w:rPr>
      <w:shd w:val="clear" w:color="auto" w:fill="000080"/>
    </w:rPr>
  </w:style>
  <w:style w:type="paragraph" w:styleId="26">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7">
    <w:name w:val="annotation text"/>
    <w:basedOn w:val="1"/>
    <w:link w:val="533"/>
    <w:qFormat/>
    <w:uiPriority w:val="0"/>
    <w:pPr>
      <w:jc w:val="left"/>
    </w:pPr>
  </w:style>
  <w:style w:type="paragraph" w:styleId="28">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29">
    <w:name w:val="Body Text 3"/>
    <w:basedOn w:val="1"/>
    <w:qFormat/>
    <w:uiPriority w:val="0"/>
    <w:pPr>
      <w:spacing w:after="120" w:afterLines="0"/>
    </w:pPr>
    <w:rPr>
      <w:sz w:val="16"/>
      <w:szCs w:val="16"/>
    </w:rPr>
  </w:style>
  <w:style w:type="paragraph" w:styleId="30">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1">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2">
    <w:name w:val="Body Text"/>
    <w:basedOn w:val="1"/>
    <w:next w:val="33"/>
    <w:link w:val="464"/>
    <w:qFormat/>
    <w:uiPriority w:val="0"/>
    <w:pPr>
      <w:autoSpaceDE w:val="0"/>
      <w:autoSpaceDN w:val="0"/>
      <w:adjustRightInd w:val="0"/>
      <w:spacing w:line="480" w:lineRule="auto"/>
      <w:jc w:val="left"/>
    </w:pPr>
    <w:rPr>
      <w:rFonts w:ascii="宋体"/>
      <w:color w:val="FF0000"/>
      <w:kern w:val="0"/>
    </w:rPr>
  </w:style>
  <w:style w:type="paragraph" w:styleId="33">
    <w:name w:val="Body Text First Indent"/>
    <w:basedOn w:val="32"/>
    <w:next w:val="1"/>
    <w:link w:val="530"/>
    <w:qFormat/>
    <w:uiPriority w:val="0"/>
    <w:pPr>
      <w:spacing w:line="300" w:lineRule="auto"/>
      <w:ind w:firstLine="476"/>
    </w:pPr>
  </w:style>
  <w:style w:type="paragraph" w:styleId="34">
    <w:name w:val="Body Text Indent"/>
    <w:basedOn w:val="1"/>
    <w:next w:val="1"/>
    <w:link w:val="430"/>
    <w:qFormat/>
    <w:uiPriority w:val="99"/>
    <w:pPr>
      <w:spacing w:before="120" w:beforeLines="0" w:beforeAutospacing="0" w:after="120" w:afterLines="0" w:afterAutospacing="0" w:line="360" w:lineRule="auto"/>
      <w:ind w:firstLine="525"/>
    </w:pPr>
    <w:rPr>
      <w:rFonts w:ascii="宋体"/>
    </w:rPr>
  </w:style>
  <w:style w:type="paragraph" w:styleId="35">
    <w:name w:val="List Number 3"/>
    <w:basedOn w:val="1"/>
    <w:qFormat/>
    <w:uiPriority w:val="0"/>
    <w:pPr>
      <w:numPr>
        <w:ilvl w:val="0"/>
        <w:numId w:val="5"/>
      </w:numPr>
    </w:pPr>
    <w:rPr>
      <w:sz w:val="21"/>
      <w:szCs w:val="24"/>
    </w:rPr>
  </w:style>
  <w:style w:type="paragraph" w:styleId="36">
    <w:name w:val="List 2"/>
    <w:basedOn w:val="1"/>
    <w:qFormat/>
    <w:uiPriority w:val="0"/>
    <w:pPr>
      <w:ind w:left="100" w:leftChars="200" w:hanging="200" w:hangingChars="200"/>
    </w:pPr>
    <w:rPr>
      <w:sz w:val="21"/>
      <w:szCs w:val="24"/>
    </w:rPr>
  </w:style>
  <w:style w:type="paragraph" w:styleId="37">
    <w:name w:val="List Continue"/>
    <w:basedOn w:val="1"/>
    <w:qFormat/>
    <w:uiPriority w:val="0"/>
    <w:pPr>
      <w:spacing w:after="120" w:afterLines="0"/>
      <w:ind w:left="420" w:leftChars="200"/>
    </w:pPr>
    <w:rPr>
      <w:sz w:val="21"/>
      <w:szCs w:val="24"/>
    </w:rPr>
  </w:style>
  <w:style w:type="paragraph" w:styleId="38">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9">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40">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1">
    <w:name w:val="toc 5"/>
    <w:basedOn w:val="1"/>
    <w:next w:val="1"/>
    <w:qFormat/>
    <w:uiPriority w:val="0"/>
    <w:pPr>
      <w:ind w:left="840"/>
      <w:jc w:val="left"/>
    </w:pPr>
    <w:rPr>
      <w:sz w:val="18"/>
    </w:rPr>
  </w:style>
  <w:style w:type="paragraph" w:styleId="42">
    <w:name w:val="toc 3"/>
    <w:basedOn w:val="1"/>
    <w:next w:val="1"/>
    <w:qFormat/>
    <w:uiPriority w:val="39"/>
    <w:pPr>
      <w:tabs>
        <w:tab w:val="left" w:pos="845"/>
        <w:tab w:val="right" w:leader="dot" w:pos="9316"/>
      </w:tabs>
      <w:ind w:left="420"/>
      <w:jc w:val="left"/>
    </w:pPr>
    <w:rPr>
      <w:sz w:val="20"/>
    </w:rPr>
  </w:style>
  <w:style w:type="paragraph" w:styleId="43">
    <w:name w:val="Plain Text"/>
    <w:basedOn w:val="1"/>
    <w:next w:val="1"/>
    <w:link w:val="455"/>
    <w:qFormat/>
    <w:uiPriority w:val="99"/>
    <w:rPr>
      <w:rFonts w:ascii="宋体" w:hAnsi="Courier New"/>
      <w:sz w:val="21"/>
    </w:rPr>
  </w:style>
  <w:style w:type="paragraph" w:styleId="44">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5">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6">
    <w:name w:val="toc 8"/>
    <w:basedOn w:val="1"/>
    <w:next w:val="1"/>
    <w:qFormat/>
    <w:uiPriority w:val="0"/>
    <w:pPr>
      <w:ind w:left="2940" w:leftChars="1400"/>
    </w:pPr>
    <w:rPr>
      <w:sz w:val="21"/>
    </w:rPr>
  </w:style>
  <w:style w:type="paragraph" w:styleId="47">
    <w:name w:val="Date"/>
    <w:basedOn w:val="1"/>
    <w:next w:val="1"/>
    <w:link w:val="518"/>
    <w:qFormat/>
    <w:uiPriority w:val="99"/>
    <w:pPr>
      <w:widowControl/>
    </w:pPr>
    <w:rPr>
      <w:rFonts w:ascii="楷体_GB2312" w:eastAsia="楷体_GB2312"/>
      <w:kern w:val="0"/>
      <w:sz w:val="32"/>
    </w:rPr>
  </w:style>
  <w:style w:type="paragraph" w:styleId="48">
    <w:name w:val="Body Text Indent 2"/>
    <w:basedOn w:val="1"/>
    <w:link w:val="527"/>
    <w:qFormat/>
    <w:uiPriority w:val="0"/>
    <w:pPr>
      <w:spacing w:line="360" w:lineRule="auto"/>
      <w:ind w:left="718" w:firstLine="480" w:firstLineChars="200"/>
    </w:pPr>
    <w:rPr>
      <w:rFonts w:ascii="Arial" w:hAnsi="Arial" w:eastAsia="LineDraw"/>
    </w:rPr>
  </w:style>
  <w:style w:type="paragraph" w:styleId="49">
    <w:name w:val="List Continue 5"/>
    <w:basedOn w:val="1"/>
    <w:qFormat/>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50">
    <w:name w:val="Balloon Text"/>
    <w:basedOn w:val="1"/>
    <w:link w:val="534"/>
    <w:qFormat/>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51">
    <w:name w:val="footer"/>
    <w:basedOn w:val="1"/>
    <w:link w:val="524"/>
    <w:qFormat/>
    <w:uiPriority w:val="99"/>
    <w:pPr>
      <w:tabs>
        <w:tab w:val="center" w:pos="4153"/>
        <w:tab w:val="right" w:pos="8306"/>
      </w:tabs>
      <w:snapToGrid w:val="0"/>
      <w:jc w:val="left"/>
    </w:pPr>
    <w:rPr>
      <w:sz w:val="18"/>
    </w:rPr>
  </w:style>
  <w:style w:type="paragraph" w:styleId="52">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53">
    <w:name w:val="header"/>
    <w:basedOn w:val="1"/>
    <w:link w:val="516"/>
    <w:qFormat/>
    <w:uiPriority w:val="99"/>
    <w:pPr>
      <w:widowControl/>
      <w:pBdr>
        <w:bottom w:val="single" w:color="auto" w:sz="6" w:space="1"/>
      </w:pBdr>
      <w:tabs>
        <w:tab w:val="center" w:pos="4153"/>
        <w:tab w:val="right" w:pos="8306"/>
      </w:tabs>
      <w:snapToGrid w:val="0"/>
      <w:jc w:val="center"/>
    </w:pPr>
    <w:rPr>
      <w:kern w:val="0"/>
      <w:sz w:val="18"/>
    </w:rPr>
  </w:style>
  <w:style w:type="paragraph" w:styleId="54">
    <w:name w:val="Signature"/>
    <w:basedOn w:val="1"/>
    <w:qFormat/>
    <w:uiPriority w:val="0"/>
    <w:pPr>
      <w:ind w:left="100" w:leftChars="2100"/>
    </w:pPr>
    <w:rPr>
      <w:sz w:val="21"/>
      <w:szCs w:val="24"/>
    </w:rPr>
  </w:style>
  <w:style w:type="paragraph" w:styleId="55">
    <w:name w:val="toc 1"/>
    <w:basedOn w:val="1"/>
    <w:next w:val="1"/>
    <w:qFormat/>
    <w:uiPriority w:val="39"/>
    <w:pPr>
      <w:spacing w:before="120" w:beforeLines="0" w:beforeAutospacing="0" w:after="120" w:afterLines="0" w:afterAutospacing="0"/>
      <w:jc w:val="left"/>
    </w:pPr>
    <w:rPr>
      <w:b/>
      <w:caps/>
      <w:sz w:val="20"/>
    </w:rPr>
  </w:style>
  <w:style w:type="paragraph" w:styleId="56">
    <w:name w:val="List Continue 4"/>
    <w:basedOn w:val="1"/>
    <w:qFormat/>
    <w:uiPriority w:val="0"/>
    <w:pPr>
      <w:spacing w:after="120" w:afterLines="0"/>
      <w:ind w:left="1680" w:leftChars="800"/>
    </w:pPr>
    <w:rPr>
      <w:sz w:val="21"/>
      <w:szCs w:val="24"/>
    </w:rPr>
  </w:style>
  <w:style w:type="paragraph" w:styleId="57">
    <w:name w:val="toc 4"/>
    <w:basedOn w:val="1"/>
    <w:next w:val="1"/>
    <w:qFormat/>
    <w:uiPriority w:val="39"/>
    <w:pPr>
      <w:ind w:left="630"/>
      <w:jc w:val="left"/>
    </w:pPr>
    <w:rPr>
      <w:sz w:val="18"/>
    </w:rPr>
  </w:style>
  <w:style w:type="paragraph" w:styleId="58">
    <w:name w:val="index heading"/>
    <w:basedOn w:val="1"/>
    <w:next w:val="59"/>
    <w:qFormat/>
    <w:uiPriority w:val="0"/>
    <w:pPr>
      <w:spacing w:after="120" w:afterLines="0" w:afterAutospacing="0" w:line="360" w:lineRule="exact"/>
    </w:pPr>
    <w:rPr>
      <w:sz w:val="21"/>
    </w:rPr>
  </w:style>
  <w:style w:type="paragraph" w:styleId="59">
    <w:name w:val="index 1"/>
    <w:basedOn w:val="1"/>
    <w:next w:val="1"/>
    <w:qFormat/>
    <w:uiPriority w:val="0"/>
  </w:style>
  <w:style w:type="paragraph" w:styleId="60">
    <w:name w:val="Subtitle"/>
    <w:basedOn w:val="1"/>
    <w:qFormat/>
    <w:uiPriority w:val="0"/>
    <w:pPr>
      <w:adjustRightInd w:val="0"/>
      <w:spacing w:after="60" w:afterLines="0" w:line="360" w:lineRule="atLeast"/>
      <w:jc w:val="center"/>
      <w:textAlignment w:val="baseline"/>
    </w:pPr>
    <w:rPr>
      <w:rFonts w:ascii="Arial" w:hAnsi="Arial" w:eastAsia="黑体"/>
      <w:i/>
      <w:kern w:val="0"/>
    </w:rPr>
  </w:style>
  <w:style w:type="paragraph" w:styleId="61">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2">
    <w:name w:val="List"/>
    <w:basedOn w:val="1"/>
    <w:qFormat/>
    <w:uiPriority w:val="0"/>
    <w:pPr>
      <w:ind w:left="200" w:hanging="200" w:hangingChars="200"/>
    </w:pPr>
    <w:rPr>
      <w:sz w:val="21"/>
      <w:szCs w:val="24"/>
    </w:rPr>
  </w:style>
  <w:style w:type="paragraph" w:styleId="63">
    <w:name w:val="footnote text"/>
    <w:basedOn w:val="1"/>
    <w:semiHidden/>
    <w:qFormat/>
    <w:uiPriority w:val="0"/>
    <w:pPr>
      <w:snapToGrid w:val="0"/>
      <w:jc w:val="left"/>
    </w:pPr>
    <w:rPr>
      <w:rFonts w:eastAsia="仿宋_GB2312"/>
      <w:sz w:val="18"/>
    </w:rPr>
  </w:style>
  <w:style w:type="paragraph" w:styleId="64">
    <w:name w:val="toc 6"/>
    <w:basedOn w:val="1"/>
    <w:next w:val="1"/>
    <w:qFormat/>
    <w:uiPriority w:val="0"/>
    <w:pPr>
      <w:ind w:left="2100" w:leftChars="1000"/>
    </w:pPr>
    <w:rPr>
      <w:sz w:val="21"/>
    </w:rPr>
  </w:style>
  <w:style w:type="paragraph" w:styleId="65">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6">
    <w:name w:val="Body Text Indent 3"/>
    <w:basedOn w:val="1"/>
    <w:link w:val="471"/>
    <w:qFormat/>
    <w:uiPriority w:val="0"/>
    <w:pPr>
      <w:spacing w:line="360" w:lineRule="auto"/>
      <w:ind w:firstLine="480"/>
    </w:pPr>
    <w:rPr>
      <w:rFonts w:ascii="Arial" w:hAnsi="Arial"/>
      <w:color w:val="FF0000"/>
    </w:rPr>
  </w:style>
  <w:style w:type="paragraph" w:styleId="67">
    <w:name w:val="table of figures"/>
    <w:basedOn w:val="1"/>
    <w:next w:val="1"/>
    <w:qFormat/>
    <w:uiPriority w:val="0"/>
    <w:pPr>
      <w:ind w:left="420" w:hanging="420"/>
      <w:jc w:val="left"/>
    </w:pPr>
    <w:rPr>
      <w:smallCaps/>
      <w:sz w:val="20"/>
    </w:rPr>
  </w:style>
  <w:style w:type="paragraph" w:styleId="68">
    <w:name w:val="toc 2"/>
    <w:basedOn w:val="1"/>
    <w:next w:val="1"/>
    <w:qFormat/>
    <w:uiPriority w:val="39"/>
    <w:pPr>
      <w:tabs>
        <w:tab w:val="left" w:pos="600"/>
        <w:tab w:val="right" w:leader="dot" w:pos="9019"/>
      </w:tabs>
      <w:ind w:left="210"/>
      <w:jc w:val="left"/>
    </w:pPr>
    <w:rPr>
      <w:smallCaps/>
      <w:sz w:val="20"/>
    </w:rPr>
  </w:style>
  <w:style w:type="paragraph" w:styleId="69">
    <w:name w:val="toc 9"/>
    <w:basedOn w:val="32"/>
    <w:next w:val="1"/>
    <w:qFormat/>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70">
    <w:name w:val="Body Text 2"/>
    <w:basedOn w:val="1"/>
    <w:qFormat/>
    <w:uiPriority w:val="0"/>
    <w:pPr>
      <w:spacing w:after="120" w:afterLines="0" w:afterAutospacing="0" w:line="480" w:lineRule="auto"/>
    </w:pPr>
    <w:rPr>
      <w:sz w:val="21"/>
    </w:rPr>
  </w:style>
  <w:style w:type="paragraph" w:styleId="71">
    <w:name w:val="List 4"/>
    <w:basedOn w:val="1"/>
    <w:qFormat/>
    <w:uiPriority w:val="0"/>
    <w:pPr>
      <w:ind w:left="100" w:leftChars="600" w:hanging="200" w:hangingChars="200"/>
    </w:pPr>
    <w:rPr>
      <w:sz w:val="21"/>
      <w:szCs w:val="24"/>
    </w:rPr>
  </w:style>
  <w:style w:type="paragraph" w:styleId="72">
    <w:name w:val="List Continue 2"/>
    <w:basedOn w:val="1"/>
    <w:qFormat/>
    <w:uiPriority w:val="0"/>
    <w:pPr>
      <w:spacing w:after="120" w:afterLines="0"/>
      <w:ind w:left="840" w:leftChars="400"/>
    </w:pPr>
    <w:rPr>
      <w:sz w:val="21"/>
      <w:szCs w:val="24"/>
    </w:rPr>
  </w:style>
  <w:style w:type="paragraph" w:styleId="7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4">
    <w:name w:val="HTML Preformatted"/>
    <w:basedOn w:val="1"/>
    <w:link w:val="451"/>
    <w:qFormat/>
    <w:uiPriority w:val="99"/>
    <w:pPr>
      <w:spacing w:line="360" w:lineRule="auto"/>
      <w:ind w:firstLine="200" w:firstLineChars="200"/>
      <w:jc w:val="left"/>
    </w:pPr>
    <w:rPr>
      <w:rFonts w:ascii="Courier New" w:hAnsi="Courier New" w:eastAsia="楷体_GB2312"/>
      <w:sz w:val="20"/>
    </w:rPr>
  </w:style>
  <w:style w:type="paragraph" w:styleId="75">
    <w:name w:val="Normal (Web)"/>
    <w:basedOn w:val="1"/>
    <w:link w:val="509"/>
    <w:qFormat/>
    <w:uiPriority w:val="0"/>
    <w:pPr>
      <w:widowControl/>
      <w:spacing w:before="100" w:beforeLines="0" w:beforeAutospacing="1" w:after="100" w:afterLines="0" w:afterAutospacing="1"/>
      <w:jc w:val="left"/>
    </w:pPr>
    <w:rPr>
      <w:rFonts w:ascii="宋体" w:hAnsi="宋体"/>
      <w:kern w:val="0"/>
      <w:sz w:val="22"/>
    </w:rPr>
  </w:style>
  <w:style w:type="paragraph" w:styleId="76">
    <w:name w:val="List Continue 3"/>
    <w:basedOn w:val="1"/>
    <w:qFormat/>
    <w:uiPriority w:val="0"/>
    <w:pPr>
      <w:spacing w:after="120" w:afterLines="0"/>
      <w:ind w:left="1260" w:leftChars="600"/>
    </w:pPr>
    <w:rPr>
      <w:sz w:val="21"/>
      <w:szCs w:val="24"/>
    </w:rPr>
  </w:style>
  <w:style w:type="paragraph" w:styleId="77">
    <w:name w:val="Title"/>
    <w:basedOn w:val="1"/>
    <w:next w:val="1"/>
    <w:link w:val="463"/>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78">
    <w:name w:val="annotation subject"/>
    <w:basedOn w:val="27"/>
    <w:next w:val="27"/>
    <w:qFormat/>
    <w:uiPriority w:val="0"/>
    <w:rPr>
      <w:b/>
    </w:rPr>
  </w:style>
  <w:style w:type="paragraph" w:styleId="79">
    <w:name w:val="Body Text First Indent 2"/>
    <w:basedOn w:val="34"/>
    <w:next w:val="1"/>
    <w:qFormat/>
    <w:uiPriority w:val="0"/>
    <w:pPr>
      <w:spacing w:before="0" w:beforeLines="0" w:beforeAutospacing="0" w:line="240" w:lineRule="auto"/>
      <w:ind w:left="420" w:leftChars="200" w:firstLine="420" w:firstLineChars="200"/>
    </w:pPr>
    <w:rPr>
      <w:rFonts w:hint="default" w:ascii="Times New Roman"/>
    </w:rPr>
  </w:style>
  <w:style w:type="table" w:styleId="81">
    <w:name w:val="Table Grid"/>
    <w:basedOn w:val="8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basedOn w:val="82"/>
    <w:qFormat/>
    <w:uiPriority w:val="0"/>
    <w:rPr>
      <w:b/>
    </w:rPr>
  </w:style>
  <w:style w:type="character" w:styleId="84">
    <w:name w:val="page number"/>
    <w:basedOn w:val="82"/>
    <w:qFormat/>
    <w:uiPriority w:val="0"/>
  </w:style>
  <w:style w:type="character" w:styleId="85">
    <w:name w:val="FollowedHyperlink"/>
    <w:qFormat/>
    <w:uiPriority w:val="0"/>
    <w:rPr>
      <w:color w:val="800080"/>
      <w:u w:val="single"/>
    </w:rPr>
  </w:style>
  <w:style w:type="character" w:styleId="86">
    <w:name w:val="Emphasis"/>
    <w:qFormat/>
    <w:uiPriority w:val="0"/>
    <w:rPr>
      <w:color w:val="CC0033"/>
    </w:rPr>
  </w:style>
  <w:style w:type="character" w:styleId="87">
    <w:name w:val="line number"/>
    <w:basedOn w:val="82"/>
    <w:qFormat/>
    <w:uiPriority w:val="0"/>
  </w:style>
  <w:style w:type="character" w:styleId="88">
    <w:name w:val="Hyperlink"/>
    <w:basedOn w:val="82"/>
    <w:qFormat/>
    <w:uiPriority w:val="99"/>
    <w:rPr>
      <w:color w:val="0000FF"/>
      <w:u w:val="single"/>
    </w:rPr>
  </w:style>
  <w:style w:type="character" w:styleId="89">
    <w:name w:val="annotation reference"/>
    <w:qFormat/>
    <w:uiPriority w:val="0"/>
    <w:rPr>
      <w:sz w:val="21"/>
    </w:rPr>
  </w:style>
  <w:style w:type="paragraph" w:customStyle="1" w:styleId="90">
    <w:name w:val="首行缩进"/>
    <w:basedOn w:val="1"/>
    <w:qFormat/>
    <w:uiPriority w:val="0"/>
    <w:pPr>
      <w:spacing w:line="360" w:lineRule="auto"/>
      <w:ind w:firstLine="480" w:firstLineChars="200"/>
    </w:pPr>
    <w:rPr>
      <w:sz w:val="24"/>
      <w:szCs w:val="22"/>
      <w:lang w:val="zh-CN"/>
    </w:rPr>
  </w:style>
  <w:style w:type="paragraph" w:customStyle="1" w:styleId="91">
    <w:name w:val="Default"/>
    <w:next w:val="92"/>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3">
    <w:name w:val="_Style 3"/>
    <w:basedOn w:val="1"/>
    <w:qFormat/>
    <w:uiPriority w:val="0"/>
    <w:pPr>
      <w:spacing w:line="360" w:lineRule="auto"/>
      <w:ind w:firstLine="420" w:firstLineChars="200"/>
    </w:pPr>
    <w:rPr>
      <w:szCs w:val="24"/>
    </w:rPr>
  </w:style>
  <w:style w:type="paragraph" w:customStyle="1" w:styleId="94">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5">
    <w:name w:val="xl102"/>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96">
    <w:name w:val="样式 标题 4 + 小四"/>
    <w:basedOn w:val="6"/>
    <w:link w:val="436"/>
    <w:qFormat/>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paragraph" w:customStyle="1" w:styleId="97">
    <w:name w:val=" Char Char Char1 Char Char Char Char"/>
    <w:basedOn w:val="1"/>
    <w:qFormat/>
    <w:uiPriority w:val="0"/>
    <w:rPr>
      <w:rFonts w:ascii="仿宋_GB2312" w:eastAsia="仿宋_GB2312"/>
      <w:b/>
      <w:sz w:val="32"/>
    </w:rPr>
  </w:style>
  <w:style w:type="paragraph" w:customStyle="1" w:styleId="98">
    <w:name w:val="1.1.1"/>
    <w:basedOn w:val="1"/>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99">
    <w:name w:val="样式 行距: 1.5 倍行距 首行缩进:  2 字符"/>
    <w:basedOn w:val="1"/>
    <w:qFormat/>
    <w:uiPriority w:val="0"/>
    <w:pPr>
      <w:spacing w:line="360" w:lineRule="auto"/>
      <w:ind w:firstLine="480" w:firstLineChars="200"/>
    </w:pPr>
  </w:style>
  <w:style w:type="paragraph" w:customStyle="1" w:styleId="100">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101">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102">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3">
    <w:name w:val="框内说明"/>
    <w:basedOn w:val="1"/>
    <w:qFormat/>
    <w:uiPriority w:val="0"/>
    <w:pPr>
      <w:adjustRightInd w:val="0"/>
      <w:snapToGrid w:val="0"/>
    </w:pPr>
    <w:rPr>
      <w:kern w:val="0"/>
      <w:sz w:val="21"/>
    </w:rPr>
  </w:style>
  <w:style w:type="paragraph" w:customStyle="1" w:styleId="104">
    <w:name w:val="正文文本 21"/>
    <w:basedOn w:val="1"/>
    <w:qFormat/>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05">
    <w:name w:val="正文文字2"/>
    <w:basedOn w:val="32"/>
    <w:qFormat/>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106">
    <w:name w:val="Char Char Char Char"/>
    <w:basedOn w:val="1"/>
    <w:qFormat/>
    <w:uiPriority w:val="0"/>
    <w:rPr>
      <w:rFonts w:ascii="仿宋_GB2312" w:eastAsia="仿宋_GB2312"/>
      <w:b/>
      <w:sz w:val="32"/>
    </w:rPr>
  </w:style>
  <w:style w:type="paragraph" w:customStyle="1" w:styleId="107">
    <w:name w:val="正文1"/>
    <w:basedOn w:val="1"/>
    <w:qFormat/>
    <w:uiPriority w:val="0"/>
    <w:pPr>
      <w:spacing w:before="60" w:beforeLines="0" w:beforeAutospacing="0" w:after="60" w:afterLines="0" w:afterAutospacing="0" w:line="360" w:lineRule="auto"/>
      <w:ind w:left="1080"/>
      <w:outlineLvl w:val="6"/>
    </w:pPr>
  </w:style>
  <w:style w:type="paragraph" w:customStyle="1" w:styleId="108">
    <w:name w:val="正文段"/>
    <w:basedOn w:val="1"/>
    <w:link w:val="427"/>
    <w:qFormat/>
    <w:uiPriority w:val="0"/>
    <w:pPr>
      <w:widowControl/>
      <w:snapToGrid w:val="0"/>
      <w:spacing w:after="156" w:afterLines="50"/>
      <w:ind w:firstLine="200" w:firstLineChars="200"/>
    </w:pPr>
    <w:rPr>
      <w:kern w:val="0"/>
    </w:rPr>
  </w:style>
  <w:style w:type="paragraph" w:customStyle="1" w:styleId="109">
    <w:name w:val="xl110"/>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10">
    <w:name w:val="Style Heading 3h3Heading 3 - oldLevel 3 HeadH3level_3PIM 3se..."/>
    <w:basedOn w:val="5"/>
    <w:qFormat/>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111">
    <w:name w:val="正文＋小四＋缩进2字符"/>
    <w:basedOn w:val="1"/>
    <w:qFormat/>
    <w:uiPriority w:val="0"/>
    <w:pPr>
      <w:spacing w:line="360" w:lineRule="auto"/>
      <w:ind w:firstLine="200" w:firstLineChars="200"/>
    </w:pPr>
  </w:style>
  <w:style w:type="paragraph" w:customStyle="1" w:styleId="112">
    <w:name w:val="普通(网站)1"/>
    <w:basedOn w:val="1"/>
    <w:next w:val="1"/>
    <w:qFormat/>
    <w:uiPriority w:val="0"/>
    <w:pPr>
      <w:widowControl/>
      <w:spacing w:before="100" w:beforeLines="0" w:beforeAutospacing="0" w:after="100" w:afterLines="0" w:afterAutospacing="0"/>
      <w:jc w:val="left"/>
    </w:pPr>
    <w:rPr>
      <w:rFonts w:ascii="宋体"/>
      <w:color w:val="000000"/>
      <w:kern w:val="0"/>
      <w:sz w:val="22"/>
    </w:rPr>
  </w:style>
  <w:style w:type="paragraph" w:customStyle="1" w:styleId="113">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4">
    <w:name w:val="列表编号 21"/>
    <w:basedOn w:val="1"/>
    <w:next w:val="1"/>
    <w:qFormat/>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115">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6">
    <w:name w:val="章节标题2"/>
    <w:basedOn w:val="1"/>
    <w:next w:val="117"/>
    <w:qFormat/>
    <w:uiPriority w:val="0"/>
    <w:pPr>
      <w:keepNext/>
      <w:keepLines/>
      <w:numPr>
        <w:ilvl w:val="1"/>
        <w:numId w:val="3"/>
      </w:numPr>
      <w:spacing w:before="260" w:after="260" w:line="415" w:lineRule="auto"/>
      <w:outlineLvl w:val="1"/>
    </w:pPr>
    <w:rPr>
      <w:b/>
      <w:bCs/>
      <w:sz w:val="32"/>
      <w:szCs w:val="32"/>
    </w:rPr>
  </w:style>
  <w:style w:type="paragraph" w:customStyle="1" w:styleId="117">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8">
    <w:name w:val="xl111"/>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19">
    <w:name w:val="样式 列表编号 + 段后: 0.5 行"/>
    <w:basedOn w:val="19"/>
    <w:qFormat/>
    <w:uiPriority w:val="99"/>
    <w:pPr>
      <w:tabs>
        <w:tab w:val="left" w:pos="720"/>
      </w:tabs>
      <w:ind w:left="720"/>
    </w:pPr>
  </w:style>
  <w:style w:type="paragraph" w:customStyle="1" w:styleId="120">
    <w:name w:val="xl8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21">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xl106"/>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5">
    <w:name w:val=" Char2"/>
    <w:basedOn w:val="1"/>
    <w:qFormat/>
    <w:uiPriority w:val="0"/>
    <w:rPr>
      <w:rFonts w:ascii="仿宋_GB2312" w:eastAsia="仿宋_GB2312"/>
      <w:b/>
      <w:sz w:val="32"/>
    </w:rPr>
  </w:style>
  <w:style w:type="paragraph" w:customStyle="1" w:styleId="126">
    <w:name w:val="xl100"/>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127">
    <w:name w:val="列出段落1"/>
    <w:basedOn w:val="1"/>
    <w:qFormat/>
    <w:uiPriority w:val="0"/>
    <w:pPr>
      <w:ind w:firstLine="420" w:firstLineChars="200"/>
    </w:pPr>
    <w:rPr>
      <w:rFonts w:ascii="Calibri" w:hAnsi="Calibri"/>
      <w:sz w:val="21"/>
      <w:szCs w:val="22"/>
    </w:rPr>
  </w:style>
  <w:style w:type="paragraph" w:customStyle="1" w:styleId="12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9">
    <w:name w:val="表格"/>
    <w:basedOn w:val="1"/>
    <w:qFormat/>
    <w:uiPriority w:val="0"/>
    <w:pPr>
      <w:jc w:val="left"/>
    </w:pPr>
    <w:rPr>
      <w:sz w:val="18"/>
    </w:rPr>
  </w:style>
  <w:style w:type="paragraph" w:customStyle="1" w:styleId="130">
    <w:name w:val="彩色列表 - 强调文字颜色 11"/>
    <w:basedOn w:val="1"/>
    <w:qFormat/>
    <w:uiPriority w:val="0"/>
    <w:pPr>
      <w:ind w:firstLine="200" w:firstLineChars="200"/>
    </w:pPr>
    <w:rPr>
      <w:sz w:val="21"/>
      <w:szCs w:val="24"/>
    </w:rPr>
  </w:style>
  <w:style w:type="paragraph" w:customStyle="1" w:styleId="131">
    <w:name w:val="Unknown Style"/>
    <w:basedOn w:val="1"/>
    <w:next w:val="1"/>
    <w:qFormat/>
    <w:uiPriority w:val="0"/>
    <w:pPr>
      <w:widowControl/>
    </w:pPr>
    <w:rPr>
      <w:color w:val="000000"/>
      <w:sz w:val="21"/>
    </w:rPr>
  </w:style>
  <w:style w:type="paragraph" w:customStyle="1" w:styleId="132">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3">
    <w:name w:val="项目2"/>
    <w:basedOn w:val="1"/>
    <w:qFormat/>
    <w:uiPriority w:val="0"/>
    <w:pPr>
      <w:tabs>
        <w:tab w:val="left" w:pos="840"/>
      </w:tabs>
      <w:spacing w:line="360" w:lineRule="auto"/>
      <w:ind w:left="840" w:hanging="420"/>
    </w:pPr>
  </w:style>
  <w:style w:type="paragraph" w:customStyle="1" w:styleId="134">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_Style 129"/>
    <w:semiHidden/>
    <w:qFormat/>
    <w:uiPriority w:val="99"/>
    <w:rPr>
      <w:rFonts w:ascii="Times New Roman" w:hAnsi="Times New Roman" w:eastAsia="宋体" w:cs="Times New Roman"/>
      <w:kern w:val="2"/>
      <w:sz w:val="24"/>
      <w:lang w:val="en-US" w:eastAsia="zh-CN" w:bidi="ar-SA"/>
    </w:rPr>
  </w:style>
  <w:style w:type="paragraph" w:customStyle="1" w:styleId="136">
    <w:name w:val="样式 标题 2"/>
    <w:basedOn w:val="4"/>
    <w:next w:val="1"/>
    <w:qFormat/>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137">
    <w:name w:val="xl90"/>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138">
    <w:name w:val="xl83"/>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139">
    <w:name w:val=" 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40">
    <w:name w:val="列表项目符号 21"/>
    <w:basedOn w:val="1"/>
    <w:next w:val="1"/>
    <w:qFormat/>
    <w:uiPriority w:val="0"/>
    <w:pPr>
      <w:widowControl/>
      <w:tabs>
        <w:tab w:val="left" w:pos="420"/>
      </w:tabs>
      <w:ind w:left="420" w:hanging="420"/>
    </w:pPr>
    <w:rPr>
      <w:color w:val="000000"/>
      <w:sz w:val="21"/>
    </w:rPr>
  </w:style>
  <w:style w:type="paragraph" w:customStyle="1" w:styleId="141">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14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3">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4">
    <w:name w:val="标准小四"/>
    <w:basedOn w:val="1"/>
    <w:qFormat/>
    <w:uiPriority w:val="0"/>
    <w:pPr>
      <w:spacing w:line="360" w:lineRule="auto"/>
      <w:ind w:firstLine="480" w:firstLineChars="200"/>
    </w:pPr>
    <w:rPr>
      <w:rFonts w:ascii="Arial" w:hAnsi="Arial"/>
      <w:szCs w:val="21"/>
    </w:rPr>
  </w:style>
  <w:style w:type="paragraph" w:customStyle="1" w:styleId="145">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6">
    <w:name w:val="文章标题 2"/>
    <w:basedOn w:val="4"/>
    <w:next w:val="1"/>
    <w:qFormat/>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147">
    <w:name w:val="xl7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48">
    <w:name w:val="样式2"/>
    <w:basedOn w:val="32"/>
    <w:next w:val="1"/>
    <w:link w:val="444"/>
    <w:qFormat/>
    <w:uiPriority w:val="0"/>
    <w:pPr>
      <w:keepNext/>
      <w:keepLines/>
      <w:pageBreakBefore w:val="0"/>
      <w:widowControl w:val="0"/>
      <w:tabs>
        <w:tab w:val="left" w:pos="1130"/>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9">
    <w:name w:val="flType"/>
    <w:basedOn w:val="1"/>
    <w:qFormat/>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150">
    <w:name w:val="正文文本样式"/>
    <w:link w:val="523"/>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51">
    <w:name w:val="xl33"/>
    <w:basedOn w:val="1"/>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52">
    <w:name w:val="标题4——4"/>
    <w:basedOn w:val="6"/>
    <w:next w:val="1"/>
    <w:qFormat/>
    <w:uiPriority w:val="0"/>
    <w:pPr>
      <w:tabs>
        <w:tab w:val="clear" w:pos="1198"/>
      </w:tabs>
      <w:spacing w:beforeLines="50"/>
      <w:ind w:left="0" w:right="2" w:firstLine="0"/>
    </w:pPr>
    <w:rPr>
      <w:rFonts w:ascii="Arial" w:hAnsi="Arial" w:eastAsia="楷体_GB2312"/>
      <w:b w:val="0"/>
      <w:szCs w:val="30"/>
      <w:lang w:val="en-US" w:eastAsia="zh-CN"/>
    </w:rPr>
  </w:style>
  <w:style w:type="paragraph" w:customStyle="1" w:styleId="153">
    <w:name w:val="标题6"/>
    <w:basedOn w:val="1"/>
    <w:next w:val="3"/>
    <w:qFormat/>
    <w:uiPriority w:val="0"/>
    <w:pPr>
      <w:widowControl/>
      <w:snapToGrid w:val="0"/>
      <w:spacing w:before="156" w:beforeLines="50" w:beforeAutospacing="0" w:after="156" w:afterLines="50" w:afterAutospacing="0" w:line="520" w:lineRule="atLeast"/>
      <w:ind w:firstLine="200" w:firstLineChars="200"/>
    </w:pPr>
  </w:style>
  <w:style w:type="paragraph" w:customStyle="1" w:styleId="154">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155">
    <w:name w:val="此正文"/>
    <w:basedOn w:val="1"/>
    <w:next w:val="1"/>
    <w:qFormat/>
    <w:uiPriority w:val="0"/>
    <w:pPr>
      <w:widowControl/>
      <w:spacing w:line="360" w:lineRule="auto"/>
      <w:ind w:firstLine="480"/>
    </w:pPr>
    <w:rPr>
      <w:color w:val="000000"/>
    </w:rPr>
  </w:style>
  <w:style w:type="paragraph" w:customStyle="1" w:styleId="156">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7">
    <w:name w:val="标题 2-2"/>
    <w:basedOn w:val="4"/>
    <w:qFormat/>
    <w:uiPriority w:val="0"/>
    <w:pPr>
      <w:snapToGrid w:val="0"/>
      <w:spacing w:after="156" w:afterLines="50" w:line="360" w:lineRule="auto"/>
    </w:pPr>
    <w:rPr>
      <w:rFonts w:ascii="仿宋_GB2312" w:hAnsi="Times New Roman" w:eastAsia="仿宋_GB2312" w:cs="宋体"/>
      <w:i/>
      <w:lang w:eastAsia="zh-CN"/>
    </w:rPr>
  </w:style>
  <w:style w:type="paragraph" w:customStyle="1" w:styleId="158">
    <w:name w:val="font5"/>
    <w:basedOn w:val="1"/>
    <w:qFormat/>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159">
    <w:name w:val="IBM 正文"/>
    <w:basedOn w:val="1"/>
    <w:qFormat/>
    <w:uiPriority w:val="0"/>
    <w:pPr>
      <w:spacing w:line="400" w:lineRule="exact"/>
    </w:pPr>
    <w:rPr>
      <w:spacing w:val="20"/>
    </w:rPr>
  </w:style>
  <w:style w:type="paragraph" w:customStyle="1" w:styleId="160">
    <w:name w:val="xl80"/>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6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2">
    <w:name w:val="xl78"/>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163">
    <w:name w:val="标准正文"/>
    <w:basedOn w:val="1"/>
    <w:next w:val="1"/>
    <w:qFormat/>
    <w:uiPriority w:val="0"/>
    <w:pPr>
      <w:widowControl/>
      <w:spacing w:after="50" w:afterLines="0" w:afterAutospacing="0"/>
      <w:ind w:firstLine="200"/>
    </w:pPr>
    <w:rPr>
      <w:color w:val="000000"/>
    </w:rPr>
  </w:style>
  <w:style w:type="paragraph" w:customStyle="1" w:styleId="164">
    <w:name w:val="超链接1"/>
    <w:basedOn w:val="1"/>
    <w:next w:val="1"/>
    <w:qFormat/>
    <w:uiPriority w:val="0"/>
    <w:pPr>
      <w:widowControl/>
    </w:pPr>
    <w:rPr>
      <w:color w:val="0000FF"/>
      <w:sz w:val="21"/>
      <w:u w:val="single" w:color="000000"/>
    </w:rPr>
  </w:style>
  <w:style w:type="paragraph" w:customStyle="1" w:styleId="16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6">
    <w:name w:val="font23"/>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67">
    <w:name w:val="正文11"/>
    <w:basedOn w:val="1"/>
    <w:qFormat/>
    <w:uiPriority w:val="0"/>
    <w:pPr>
      <w:adjustRightInd w:val="0"/>
      <w:spacing w:before="80" w:after="80" w:line="312" w:lineRule="atLeast"/>
      <w:ind w:firstLine="425"/>
    </w:pPr>
    <w:rPr>
      <w:kern w:val="0"/>
      <w:sz w:val="21"/>
    </w:rPr>
  </w:style>
  <w:style w:type="paragraph" w:customStyle="1" w:styleId="168">
    <w:name w:val="默认段落字体 Para Char Char Char Char Char Char Char Char Char1 Char Char Char Char"/>
    <w:basedOn w:val="1"/>
    <w:qFormat/>
    <w:uiPriority w:val="0"/>
    <w:rPr>
      <w:rFonts w:ascii="Tahoma" w:hAnsi="Tahoma"/>
    </w:rPr>
  </w:style>
  <w:style w:type="paragraph" w:customStyle="1" w:styleId="16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70">
    <w:name w:val="普通表格2"/>
    <w:basedOn w:val="1"/>
    <w:next w:val="1"/>
    <w:qFormat/>
    <w:uiPriority w:val="0"/>
    <w:pPr>
      <w:widowControl/>
      <w:jc w:val="left"/>
    </w:pPr>
    <w:rPr>
      <w:color w:val="000000"/>
      <w:kern w:val="0"/>
    </w:rPr>
  </w:style>
  <w:style w:type="paragraph" w:customStyle="1" w:styleId="171">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5">
    <w:name w:val="font18"/>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76">
    <w:name w:val="文字缩进 2"/>
    <w:basedOn w:val="32"/>
    <w:qFormat/>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177">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8">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9">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80">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81">
    <w:name w:val="投标文件3"/>
    <w:basedOn w:val="1"/>
    <w:qFormat/>
    <w:uiPriority w:val="0"/>
    <w:pPr>
      <w:widowControl/>
      <w:spacing w:line="360" w:lineRule="auto"/>
    </w:pPr>
    <w:rPr>
      <w:rFonts w:ascii="宋体" w:hAnsi="Courier New" w:eastAsia="黑体"/>
      <w:b/>
      <w:sz w:val="30"/>
    </w:rPr>
  </w:style>
  <w:style w:type="paragraph" w:customStyle="1" w:styleId="182">
    <w:name w:val="Char Char Char Char Char Char Char Char Char Char"/>
    <w:basedOn w:val="25"/>
    <w:qFormat/>
    <w:uiPriority w:val="0"/>
    <w:rPr>
      <w:rFonts w:ascii="Tahoma" w:hAnsi="Tahoma"/>
    </w:rPr>
  </w:style>
  <w:style w:type="paragraph" w:customStyle="1" w:styleId="183">
    <w:name w:val="xl1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84">
    <w:name w:val="xl99"/>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185">
    <w:name w:val="_Style 179"/>
    <w:basedOn w:val="3"/>
    <w:next w:val="1"/>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186">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7">
    <w:name w:val="2 Char Char Char Char Char Char Char"/>
    <w:basedOn w:val="1"/>
    <w:qFormat/>
    <w:uiPriority w:val="0"/>
    <w:rPr>
      <w:rFonts w:ascii="Tahoma" w:hAnsi="Tahoma"/>
    </w:rPr>
  </w:style>
  <w:style w:type="paragraph" w:customStyle="1" w:styleId="188">
    <w:name w:val="--规划正文"/>
    <w:basedOn w:val="1"/>
    <w:qFormat/>
    <w:uiPriority w:val="0"/>
    <w:pPr>
      <w:spacing w:line="360" w:lineRule="auto"/>
      <w:ind w:firstLine="200" w:firstLineChars="200"/>
    </w:pPr>
    <w:rPr>
      <w:sz w:val="21"/>
      <w:szCs w:val="20"/>
    </w:rPr>
  </w:style>
  <w:style w:type="paragraph" w:customStyle="1" w:styleId="18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方点"/>
    <w:basedOn w:val="1"/>
    <w:qFormat/>
    <w:uiPriority w:val="0"/>
    <w:pPr>
      <w:spacing w:before="156" w:beforeLines="50"/>
    </w:pPr>
    <w:rPr>
      <w:b/>
      <w:bCs/>
    </w:rPr>
  </w:style>
  <w:style w:type="paragraph" w:customStyle="1" w:styleId="191">
    <w:name w:val="xl91"/>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192">
    <w:name w:val="抬头"/>
    <w:basedOn w:val="1"/>
    <w:qFormat/>
    <w:uiPriority w:val="0"/>
    <w:pPr>
      <w:widowControl/>
      <w:topLinePunct/>
      <w:ind w:firstLine="600" w:firstLineChars="200"/>
      <w:jc w:val="center"/>
    </w:pPr>
    <w:rPr>
      <w:kern w:val="0"/>
      <w:sz w:val="30"/>
      <w:szCs w:val="30"/>
    </w:rPr>
  </w:style>
  <w:style w:type="paragraph" w:customStyle="1" w:styleId="193">
    <w:name w:val="desp"/>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4">
    <w:name w:val="默认段落字体 Para Char Char Char Char"/>
    <w:basedOn w:val="1"/>
    <w:qFormat/>
    <w:uiPriority w:val="0"/>
    <w:pPr>
      <w:spacing w:line="240" w:lineRule="atLeast"/>
      <w:ind w:left="420" w:firstLine="420"/>
    </w:pPr>
    <w:rPr>
      <w:kern w:val="0"/>
      <w:sz w:val="21"/>
      <w:szCs w:val="21"/>
    </w:rPr>
  </w:style>
  <w:style w:type="paragraph" w:customStyle="1" w:styleId="195">
    <w:name w:val="五级条标题"/>
    <w:basedOn w:val="196"/>
    <w:next w:val="122"/>
    <w:qFormat/>
    <w:uiPriority w:val="0"/>
    <w:pPr>
      <w:numPr>
        <w:ilvl w:val="6"/>
        <w:numId w:val="7"/>
      </w:numPr>
      <w:outlineLvl w:val="6"/>
    </w:pPr>
  </w:style>
  <w:style w:type="paragraph" w:customStyle="1" w:styleId="196">
    <w:name w:val="四级条标题"/>
    <w:basedOn w:val="197"/>
    <w:next w:val="122"/>
    <w:qFormat/>
    <w:uiPriority w:val="0"/>
    <w:pPr>
      <w:numPr>
        <w:ilvl w:val="5"/>
        <w:numId w:val="7"/>
      </w:numPr>
      <w:outlineLvl w:val="5"/>
    </w:pPr>
  </w:style>
  <w:style w:type="paragraph" w:customStyle="1" w:styleId="197">
    <w:name w:val="三级条标题"/>
    <w:basedOn w:val="198"/>
    <w:next w:val="122"/>
    <w:qFormat/>
    <w:uiPriority w:val="0"/>
    <w:pPr>
      <w:numPr>
        <w:ilvl w:val="4"/>
        <w:numId w:val="7"/>
      </w:numPr>
      <w:outlineLvl w:val="4"/>
    </w:pPr>
  </w:style>
  <w:style w:type="paragraph" w:customStyle="1" w:styleId="198">
    <w:name w:val="二级条标题"/>
    <w:basedOn w:val="199"/>
    <w:next w:val="122"/>
    <w:qFormat/>
    <w:uiPriority w:val="0"/>
    <w:pPr>
      <w:numPr>
        <w:ilvl w:val="3"/>
        <w:numId w:val="7"/>
      </w:numPr>
      <w:outlineLvl w:val="3"/>
    </w:pPr>
  </w:style>
  <w:style w:type="paragraph" w:customStyle="1" w:styleId="199">
    <w:name w:val="一级条标题"/>
    <w:next w:val="122"/>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20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01">
    <w:name w:val="标题3定义"/>
    <w:basedOn w:val="1"/>
    <w:qFormat/>
    <w:uiPriority w:val="0"/>
    <w:pPr>
      <w:tabs>
        <w:tab w:val="left" w:pos="360"/>
      </w:tabs>
      <w:ind w:left="360" w:hanging="360"/>
    </w:pPr>
    <w:rPr>
      <w:rFonts w:ascii="Calibri" w:hAnsi="Calibri"/>
      <w:sz w:val="21"/>
      <w:szCs w:val="22"/>
    </w:rPr>
  </w:style>
  <w:style w:type="paragraph" w:customStyle="1" w:styleId="202">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3">
    <w:name w:val="样式 标题 2 + 宋体 小四 段前: 5 磅 段后: 5 磅 行距: 单倍行距"/>
    <w:basedOn w:val="4"/>
    <w:qFormat/>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04">
    <w:name w:val="Body Text 2"/>
    <w:basedOn w:val="1"/>
    <w:qFormat/>
    <w:uiPriority w:val="0"/>
    <w:pPr>
      <w:adjustRightInd w:val="0"/>
      <w:spacing w:line="300" w:lineRule="auto"/>
      <w:jc w:val="center"/>
    </w:pPr>
    <w:rPr>
      <w:rFonts w:hint="eastAsia" w:ascii="宋体" w:hAnsi="宋体"/>
    </w:rPr>
  </w:style>
  <w:style w:type="paragraph" w:customStyle="1" w:styleId="205">
    <w:name w:val="List Paragraph2"/>
    <w:basedOn w:val="1"/>
    <w:qFormat/>
    <w:uiPriority w:val="0"/>
    <w:pPr>
      <w:ind w:firstLine="420" w:firstLineChars="200"/>
    </w:pPr>
    <w:rPr>
      <w:rFonts w:ascii="Calibri" w:hAnsi="Calibri"/>
      <w:sz w:val="21"/>
      <w:szCs w:val="22"/>
    </w:rPr>
  </w:style>
  <w:style w:type="paragraph" w:customStyle="1" w:styleId="206">
    <w:name w:val="xl109"/>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207">
    <w:name w:val="xl79"/>
    <w:basedOn w:val="1"/>
    <w:qFormat/>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08">
    <w:name w:val="xl108"/>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09">
    <w:name w:val="章标题"/>
    <w:next w:val="122"/>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10">
    <w:name w:val="正文文字缩进3"/>
    <w:basedOn w:val="32"/>
    <w:qFormat/>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211">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3">
    <w:name w:val="样式1"/>
    <w:basedOn w:val="32"/>
    <w:link w:val="507"/>
    <w:qFormat/>
    <w:uiPriority w:val="0"/>
    <w:pPr>
      <w:jc w:val="center"/>
    </w:pPr>
    <w:rPr>
      <w:rFonts w:ascii="宋体" w:hAnsi="宋体"/>
      <w:b/>
      <w:bCs/>
      <w:sz w:val="44"/>
      <w:szCs w:val="24"/>
    </w:rPr>
  </w:style>
  <w:style w:type="paragraph" w:customStyle="1" w:styleId="214">
    <w:name w:val="List2"/>
    <w:basedOn w:val="1"/>
    <w:qFormat/>
    <w:uiPriority w:val="0"/>
    <w:pPr>
      <w:tabs>
        <w:tab w:val="left" w:pos="643"/>
        <w:tab w:val="left" w:pos="840"/>
      </w:tabs>
      <w:spacing w:line="360" w:lineRule="auto"/>
      <w:ind w:left="643" w:hanging="420"/>
    </w:pPr>
  </w:style>
  <w:style w:type="paragraph" w:customStyle="1" w:styleId="2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6">
    <w:name w:val="正文两字缩进"/>
    <w:basedOn w:val="79"/>
    <w:qFormat/>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rPr>
  </w:style>
  <w:style w:type="paragraph" w:customStyle="1" w:styleId="217">
    <w:name w:val="font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8">
    <w:name w:val="文章标题 1"/>
    <w:basedOn w:val="3"/>
    <w:next w:val="1"/>
    <w:qFormat/>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219">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20">
    <w:name w:val="Char Char Char Char1"/>
    <w:basedOn w:val="1"/>
    <w:qFormat/>
    <w:uiPriority w:val="0"/>
    <w:rPr>
      <w:rFonts w:ascii="Tahoma" w:hAnsi="Tahoma"/>
    </w:rPr>
  </w:style>
  <w:style w:type="paragraph" w:customStyle="1" w:styleId="221">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2">
    <w:name w:val="xl74"/>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3">
    <w:name w:val="样式29"/>
    <w:basedOn w:val="1"/>
    <w:qFormat/>
    <w:uiPriority w:val="0"/>
    <w:pPr>
      <w:widowControl/>
      <w:spacing w:line="440" w:lineRule="exact"/>
      <w:ind w:firstLine="200" w:firstLineChars="200"/>
      <w:jc w:val="left"/>
    </w:pPr>
    <w:rPr>
      <w:spacing w:val="6"/>
      <w:kern w:val="0"/>
    </w:rPr>
  </w:style>
  <w:style w:type="paragraph" w:customStyle="1" w:styleId="224">
    <w:name w:val="xl85"/>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25">
    <w:name w:val="标书正文:  0.74 厘米"/>
    <w:basedOn w:val="1"/>
    <w:link w:val="481"/>
    <w:qFormat/>
    <w:uiPriority w:val="0"/>
    <w:pPr>
      <w:snapToGrid w:val="0"/>
      <w:spacing w:line="360" w:lineRule="auto"/>
      <w:ind w:firstLine="420"/>
    </w:pPr>
  </w:style>
  <w:style w:type="paragraph" w:customStyle="1" w:styleId="226">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7">
    <w:name w:val="xl73"/>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8">
    <w:name w:val="TABLE3"/>
    <w:basedOn w:val="1"/>
    <w:next w:val="1"/>
    <w:qFormat/>
    <w:uiPriority w:val="0"/>
    <w:pPr>
      <w:jc w:val="center"/>
    </w:pPr>
    <w:rPr>
      <w:snapToGrid/>
      <w:sz w:val="24"/>
      <w:szCs w:val="24"/>
    </w:rPr>
  </w:style>
  <w:style w:type="paragraph" w:customStyle="1" w:styleId="229">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0">
    <w:name w:val="flName"/>
    <w:basedOn w:val="231"/>
    <w:qFormat/>
    <w:uiPriority w:val="0"/>
    <w:rPr>
      <w:sz w:val="32"/>
    </w:rPr>
  </w:style>
  <w:style w:type="paragraph" w:customStyle="1" w:styleId="231">
    <w:name w:val="flNote"/>
    <w:basedOn w:val="1"/>
    <w:qFormat/>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3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3">
    <w:name w:val="font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5">
    <w:name w:val="自定义正文"/>
    <w:basedOn w:val="1"/>
    <w:link w:val="467"/>
    <w:qFormat/>
    <w:uiPriority w:val="0"/>
    <w:pPr>
      <w:spacing w:before="120" w:after="120" w:line="480" w:lineRule="exact"/>
      <w:ind w:firstLine="200" w:firstLineChars="200"/>
      <w:jc w:val="left"/>
    </w:pPr>
    <w:rPr>
      <w:rFonts w:ascii="仿宋_GB2312" w:eastAsia="仿宋_GB2312"/>
      <w:kern w:val="0"/>
    </w:rPr>
  </w:style>
  <w:style w:type="paragraph" w:customStyle="1" w:styleId="23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8">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9">
    <w:name w:val="UserStyle_89"/>
    <w:basedOn w:val="1"/>
    <w:qFormat/>
    <w:uiPriority w:val="0"/>
    <w:pPr>
      <w:ind w:firstLine="420"/>
      <w:jc w:val="left"/>
    </w:pPr>
    <w:rPr>
      <w:kern w:val="0"/>
    </w:rPr>
  </w:style>
  <w:style w:type="paragraph" w:customStyle="1" w:styleId="240">
    <w:name w:val="Char3 Char Char Char"/>
    <w:basedOn w:val="1"/>
    <w:qFormat/>
    <w:uiPriority w:val="0"/>
    <w:pPr>
      <w:widowControl/>
      <w:spacing w:after="160" w:line="240" w:lineRule="exact"/>
      <w:ind w:firstLine="200" w:firstLineChars="200"/>
      <w:jc w:val="left"/>
    </w:pPr>
    <w:rPr>
      <w:szCs w:val="24"/>
    </w:rPr>
  </w:style>
  <w:style w:type="paragraph" w:customStyle="1" w:styleId="241">
    <w:name w:val="简单回函地址"/>
    <w:basedOn w:val="1"/>
    <w:qFormat/>
    <w:uiPriority w:val="0"/>
    <w:rPr>
      <w:sz w:val="21"/>
      <w:szCs w:val="24"/>
    </w:rPr>
  </w:style>
  <w:style w:type="paragraph" w:customStyle="1" w:styleId="242">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243">
    <w:name w:val="标准文本"/>
    <w:basedOn w:val="1"/>
    <w:link w:val="449"/>
    <w:qFormat/>
    <w:uiPriority w:val="0"/>
    <w:pPr>
      <w:spacing w:line="360" w:lineRule="auto"/>
      <w:ind w:firstLine="480" w:firstLineChars="200"/>
    </w:pPr>
    <w:rPr>
      <w:kern w:val="0"/>
    </w:rPr>
  </w:style>
  <w:style w:type="paragraph" w:customStyle="1" w:styleId="244">
    <w:name w:val="样式 样式 标题 1 + 黑体 三号 + 段前: 1 行 段后: 1 行"/>
    <w:basedOn w:val="1"/>
    <w:qFormat/>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245">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6">
    <w:name w:val="样式5"/>
    <w:basedOn w:val="1"/>
    <w:link w:val="493"/>
    <w:qFormat/>
    <w:uiPriority w:val="0"/>
    <w:pPr>
      <w:spacing w:before="50" w:beforeLines="0" w:beforeAutospacing="0" w:after="75" w:afterLines="0" w:afterAutospacing="0"/>
      <w:outlineLvl w:val="2"/>
    </w:pPr>
    <w:rPr>
      <w:rFonts w:ascii="宋体" w:hAnsi="宋体"/>
      <w:b/>
      <w:bCs/>
      <w:color w:val="000000"/>
      <w:kern w:val="44"/>
      <w:sz w:val="28"/>
      <w:szCs w:val="32"/>
    </w:rPr>
  </w:style>
  <w:style w:type="paragraph" w:customStyle="1" w:styleId="247">
    <w:name w:val="样式 首行缩进:  2 字符"/>
    <w:basedOn w:val="1"/>
    <w:qFormat/>
    <w:uiPriority w:val="0"/>
    <w:pPr>
      <w:spacing w:after="120" w:afterLines="0" w:afterAutospacing="0" w:line="360" w:lineRule="auto"/>
      <w:ind w:firstLine="480" w:firstLineChars="200"/>
    </w:pPr>
  </w:style>
  <w:style w:type="paragraph" w:customStyle="1" w:styleId="248">
    <w:name w:val="首行缩进:  2 字符"/>
    <w:basedOn w:val="1"/>
    <w:next w:val="1"/>
    <w:link w:val="517"/>
    <w:qFormat/>
    <w:uiPriority w:val="0"/>
    <w:pPr>
      <w:widowControl/>
      <w:spacing w:line="440" w:lineRule="exact"/>
      <w:ind w:firstLine="480" w:firstLineChars="200"/>
      <w:jc w:val="left"/>
    </w:pPr>
    <w:rPr>
      <w:rFonts w:eastAsia="仿宋_GB2312" w:cs="宋体"/>
      <w:kern w:val="0"/>
    </w:rPr>
  </w:style>
  <w:style w:type="paragraph" w:customStyle="1" w:styleId="249">
    <w:name w:val="文章标题 3 Char"/>
    <w:basedOn w:val="5"/>
    <w:next w:val="1"/>
    <w:link w:val="473"/>
    <w:qFormat/>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paragraph" w:customStyle="1" w:styleId="250">
    <w:name w:val="样式 标题 3h33rd levelH3Level 3 Headsect1.2.3BOD 0l3CTHeadi..."/>
    <w:basedOn w:val="5"/>
    <w:qFormat/>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251">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2">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3">
    <w:name w:val=" Char"/>
    <w:basedOn w:val="25"/>
    <w:link w:val="536"/>
    <w:qFormat/>
    <w:uiPriority w:val="0"/>
    <w:rPr>
      <w:rFonts w:ascii="宋体"/>
      <w:color w:val="FF0000"/>
      <w:kern w:val="0"/>
      <w:lang w:val="en-US" w:eastAsia="zh-CN"/>
    </w:rPr>
  </w:style>
  <w:style w:type="paragraph" w:customStyle="1" w:styleId="254">
    <w:name w:val="p0"/>
    <w:basedOn w:val="1"/>
    <w:qFormat/>
    <w:uiPriority w:val="99"/>
    <w:pPr>
      <w:widowControl/>
      <w:spacing w:before="100" w:beforeLines="0" w:beforeAutospacing="1" w:after="100" w:afterLines="0" w:afterAutospacing="1"/>
      <w:jc w:val="left"/>
    </w:pPr>
    <w:rPr>
      <w:rFonts w:ascii="宋体" w:hAnsi="宋体"/>
      <w:kern w:val="0"/>
    </w:rPr>
  </w:style>
  <w:style w:type="paragraph" w:customStyle="1" w:styleId="255">
    <w:name w:val="xl97"/>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6">
    <w:name w:val="xl72"/>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57">
    <w:name w:val="indent"/>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8">
    <w:name w:val="文档结构图1"/>
    <w:basedOn w:val="1"/>
    <w:next w:val="1"/>
    <w:qFormat/>
    <w:uiPriority w:val="0"/>
    <w:pPr>
      <w:widowControl/>
      <w:shd w:val="clear" w:color="auto" w:fill="000080"/>
    </w:pPr>
    <w:rPr>
      <w:color w:val="000000"/>
      <w:sz w:val="21"/>
    </w:rPr>
  </w:style>
  <w:style w:type="paragraph" w:customStyle="1" w:styleId="259">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60">
    <w:name w:val="纯文本2"/>
    <w:basedOn w:val="1"/>
    <w:next w:val="1"/>
    <w:qFormat/>
    <w:uiPriority w:val="0"/>
    <w:rPr>
      <w:rFonts w:ascii="宋体"/>
      <w:color w:val="000000"/>
      <w:sz w:val="21"/>
    </w:rPr>
  </w:style>
  <w:style w:type="paragraph" w:customStyle="1" w:styleId="26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2">
    <w:name w:val="font11"/>
    <w:basedOn w:val="1"/>
    <w:qFormat/>
    <w:uiPriority w:val="0"/>
    <w:pPr>
      <w:widowControl/>
      <w:spacing w:before="100" w:beforeLines="0" w:beforeAutospacing="1" w:after="100" w:afterLines="0" w:afterAutospacing="1"/>
      <w:jc w:val="left"/>
    </w:pPr>
    <w:rPr>
      <w:kern w:val="0"/>
      <w:sz w:val="20"/>
    </w:rPr>
  </w:style>
  <w:style w:type="paragraph" w:customStyle="1" w:styleId="263">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5">
    <w:name w:val="正文 + 12 磅"/>
    <w:basedOn w:val="20"/>
    <w:qFormat/>
    <w:uiPriority w:val="0"/>
    <w:pPr>
      <w:spacing w:line="360" w:lineRule="auto"/>
      <w:ind w:firstLine="560"/>
    </w:pPr>
    <w:rPr>
      <w:rFonts w:ascii="宋体" w:hAnsi="宋体"/>
      <w:sz w:val="24"/>
    </w:rPr>
  </w:style>
  <w:style w:type="paragraph" w:customStyle="1" w:styleId="266">
    <w:name w:val="缺省文本"/>
    <w:basedOn w:val="1"/>
    <w:qFormat/>
    <w:uiPriority w:val="0"/>
    <w:pPr>
      <w:autoSpaceDE w:val="0"/>
      <w:autoSpaceDN w:val="0"/>
      <w:adjustRightInd w:val="0"/>
      <w:jc w:val="left"/>
    </w:pPr>
    <w:rPr>
      <w:kern w:val="0"/>
    </w:rPr>
  </w:style>
  <w:style w:type="paragraph" w:customStyle="1" w:styleId="267">
    <w:name w:val="font2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68">
    <w:name w:val="样式10"/>
    <w:basedOn w:val="1"/>
    <w:qFormat/>
    <w:uiPriority w:val="0"/>
    <w:pPr>
      <w:tabs>
        <w:tab w:val="left" w:pos="987"/>
      </w:tabs>
      <w:ind w:left="987" w:firstLine="199"/>
    </w:pPr>
    <w:rPr>
      <w:b/>
      <w:sz w:val="21"/>
    </w:rPr>
  </w:style>
  <w:style w:type="paragraph" w:customStyle="1" w:styleId="269">
    <w:name w:val="Char Char Char"/>
    <w:basedOn w:val="1"/>
    <w:qFormat/>
    <w:uiPriority w:val="0"/>
    <w:rPr>
      <w:rFonts w:ascii="Tahoma" w:hAnsi="Tahoma"/>
    </w:rPr>
  </w:style>
  <w:style w:type="paragraph" w:customStyle="1" w:styleId="270">
    <w:name w:val="xl94"/>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71">
    <w:name w:val="xl98"/>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72">
    <w:name w:val="My正文"/>
    <w:basedOn w:val="1"/>
    <w:qFormat/>
    <w:uiPriority w:val="0"/>
    <w:pPr>
      <w:adjustRightInd w:val="0"/>
      <w:spacing w:before="120" w:beforeLines="0" w:beforeAutospacing="0" w:line="360" w:lineRule="auto"/>
      <w:ind w:firstLine="567"/>
    </w:pPr>
    <w:rPr>
      <w:rFonts w:ascii="Arial" w:hAnsi="Arial"/>
      <w:kern w:val="0"/>
    </w:rPr>
  </w:style>
  <w:style w:type="paragraph" w:customStyle="1" w:styleId="273">
    <w:name w:val="样式 标题 2 + 段前: 1 行 段后: 1 行"/>
    <w:basedOn w:val="4"/>
    <w:qFormat/>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74">
    <w:name w:val="表格文字"/>
    <w:basedOn w:val="1"/>
    <w:next w:val="32"/>
    <w:qFormat/>
    <w:uiPriority w:val="0"/>
    <w:rPr>
      <w:rFonts w:ascii="Arial" w:hAnsi="Arial"/>
      <w:snapToGrid/>
      <w:kern w:val="2"/>
      <w:szCs w:val="21"/>
    </w:rPr>
  </w:style>
  <w:style w:type="paragraph" w:customStyle="1" w:styleId="275">
    <w:name w:val="font8"/>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76">
    <w:name w:val="正文文字4"/>
    <w:basedOn w:val="1"/>
    <w:qFormat/>
    <w:uiPriority w:val="0"/>
    <w:pPr>
      <w:spacing w:before="60" w:beforeLines="0" w:after="60" w:afterLines="0" w:line="500" w:lineRule="exact"/>
      <w:ind w:left="1436" w:firstLine="592"/>
    </w:pPr>
    <w:rPr>
      <w:sz w:val="28"/>
    </w:rPr>
  </w:style>
  <w:style w:type="paragraph" w:customStyle="1" w:styleId="27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8">
    <w:name w:val="Char1"/>
    <w:basedOn w:val="1"/>
    <w:qFormat/>
    <w:uiPriority w:val="0"/>
    <w:rPr>
      <w:rFonts w:ascii="仿宋_GB2312" w:eastAsia="仿宋_GB2312"/>
      <w:b/>
      <w:sz w:val="32"/>
      <w:szCs w:val="32"/>
    </w:rPr>
  </w:style>
  <w:style w:type="paragraph" w:customStyle="1" w:styleId="279">
    <w:name w:val="font1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0">
    <w:name w:val="默认段落字体 Para Char Char Char Char Char Char Char"/>
    <w:basedOn w:val="1"/>
    <w:qFormat/>
    <w:uiPriority w:val="0"/>
    <w:rPr>
      <w:rFonts w:ascii="Tahoma" w:hAnsi="Tahoma"/>
      <w:b/>
    </w:rPr>
  </w:style>
  <w:style w:type="paragraph" w:customStyle="1" w:styleId="281">
    <w:name w:val="序号正文"/>
    <w:basedOn w:val="1"/>
    <w:qFormat/>
    <w:uiPriority w:val="0"/>
    <w:pPr>
      <w:numPr>
        <w:ilvl w:val="0"/>
        <w:numId w:val="8"/>
      </w:numPr>
      <w:spacing w:line="300" w:lineRule="auto"/>
    </w:pPr>
    <w:rPr>
      <w:rFonts w:ascii="宋体" w:hAnsi="宋体"/>
    </w:rPr>
  </w:style>
  <w:style w:type="paragraph" w:customStyle="1" w:styleId="282">
    <w:name w:val="My标题4"/>
    <w:basedOn w:val="5"/>
    <w:next w:val="1"/>
    <w:qFormat/>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283">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4">
    <w:name w:val=" Char Char Char Char Char"/>
    <w:basedOn w:val="1"/>
    <w:qFormat/>
    <w:uiPriority w:val="0"/>
    <w:pPr>
      <w:tabs>
        <w:tab w:val="left" w:pos="980"/>
      </w:tabs>
      <w:ind w:left="980" w:hanging="420"/>
    </w:pPr>
    <w:rPr>
      <w:rFonts w:ascii="Tahoma" w:hAnsi="Tahoma"/>
    </w:rPr>
  </w:style>
  <w:style w:type="paragraph" w:customStyle="1" w:styleId="285">
    <w:name w:val="PP 行"/>
    <w:basedOn w:val="54"/>
    <w:qFormat/>
    <w:uiPriority w:val="0"/>
  </w:style>
  <w:style w:type="paragraph" w:customStyle="1" w:styleId="2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7">
    <w:name w:val="My标题3"/>
    <w:basedOn w:val="5"/>
    <w:next w:val="1"/>
    <w:qFormat/>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288">
    <w:name w:val="正文2"/>
    <w:basedOn w:val="1"/>
    <w:link w:val="454"/>
    <w:qFormat/>
    <w:uiPriority w:val="99"/>
    <w:pPr>
      <w:spacing w:before="60" w:beforeLines="0" w:beforeAutospacing="0" w:after="60" w:afterLines="0" w:afterAutospacing="0" w:line="360" w:lineRule="auto"/>
      <w:outlineLvl w:val="7"/>
    </w:pPr>
  </w:style>
  <w:style w:type="paragraph" w:customStyle="1" w:styleId="289">
    <w:name w:val="正文缩进 2"/>
    <w:basedOn w:val="1"/>
    <w:qFormat/>
    <w:uiPriority w:val="0"/>
    <w:pPr>
      <w:adjustRightInd w:val="0"/>
      <w:spacing w:line="400" w:lineRule="atLeast"/>
      <w:ind w:left="400" w:leftChars="400" w:firstLine="454"/>
      <w:textAlignment w:val="baseline"/>
    </w:pPr>
    <w:rPr>
      <w:kern w:val="0"/>
    </w:rPr>
  </w:style>
  <w:style w:type="paragraph" w:customStyle="1" w:styleId="290">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1">
    <w:name w:val="character"/>
    <w:basedOn w:val="1"/>
    <w:qFormat/>
    <w:uiPriority w:val="0"/>
    <w:pPr>
      <w:ind w:firstLine="480" w:firstLineChars="200"/>
    </w:pPr>
    <w:rPr>
      <w:rFonts w:ascii="Arial" w:hAnsi="Arial"/>
      <w:szCs w:val="21"/>
    </w:rPr>
  </w:style>
  <w:style w:type="paragraph" w:customStyle="1" w:styleId="292">
    <w:name w:val="font26"/>
    <w:basedOn w:val="1"/>
    <w:qFormat/>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293">
    <w:name w:val="样式 宋体"/>
    <w:basedOn w:val="1"/>
    <w:next w:val="1"/>
    <w:qFormat/>
    <w:uiPriority w:val="0"/>
    <w:pPr>
      <w:widowControl/>
    </w:pPr>
    <w:rPr>
      <w:rFonts w:ascii="宋体"/>
      <w:color w:val="000000"/>
    </w:rPr>
  </w:style>
  <w:style w:type="paragraph" w:customStyle="1" w:styleId="29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8">
    <w:name w:val="Char"/>
    <w:basedOn w:val="25"/>
    <w:qFormat/>
    <w:uiPriority w:val="0"/>
    <w:rPr>
      <w:rFonts w:ascii="Tahoma" w:hAnsi="Tahoma"/>
    </w:rPr>
  </w:style>
  <w:style w:type="paragraph" w:customStyle="1" w:styleId="299">
    <w:name w:val="系统标题"/>
    <w:basedOn w:val="1"/>
    <w:qFormat/>
    <w:uiPriority w:val="0"/>
    <w:pPr>
      <w:tabs>
        <w:tab w:val="left" w:pos="780"/>
      </w:tabs>
      <w:ind w:left="780" w:hanging="360"/>
    </w:pPr>
    <w:rPr>
      <w:sz w:val="21"/>
      <w:szCs w:val="24"/>
    </w:rPr>
  </w:style>
  <w:style w:type="paragraph" w:customStyle="1" w:styleId="300">
    <w:name w:val="注"/>
    <w:basedOn w:val="1"/>
    <w:qFormat/>
    <w:uiPriority w:val="0"/>
    <w:pPr>
      <w:adjustRightInd w:val="0"/>
      <w:spacing w:line="360" w:lineRule="atLeast"/>
      <w:ind w:left="840" w:hanging="420"/>
      <w:textAlignment w:val="baseline"/>
    </w:pPr>
    <w:rPr>
      <w:kern w:val="0"/>
      <w:sz w:val="21"/>
    </w:rPr>
  </w:style>
  <w:style w:type="paragraph" w:customStyle="1" w:styleId="301">
    <w:name w:val="wtext"/>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302">
    <w:name w:val="font13"/>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3">
    <w:name w:val="heading"/>
    <w:basedOn w:val="1"/>
    <w:next w:val="1"/>
    <w:qFormat/>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4">
    <w:name w:val="正文文本缩进 31"/>
    <w:basedOn w:val="1"/>
    <w:next w:val="1"/>
    <w:qFormat/>
    <w:uiPriority w:val="0"/>
    <w:pPr>
      <w:widowControl/>
      <w:spacing w:line="360" w:lineRule="auto"/>
      <w:ind w:firstLine="420"/>
    </w:pPr>
    <w:rPr>
      <w:rFonts w:ascii="宋体"/>
      <w:color w:val="000000"/>
    </w:rPr>
  </w:style>
  <w:style w:type="paragraph" w:customStyle="1" w:styleId="305">
    <w:name w:val="样式 左 首行缩进:  0.74 厘米 段前: 5 磅 段后: 5 磅 行距: 1.5 倍行距"/>
    <w:basedOn w:val="1"/>
    <w:qFormat/>
    <w:uiPriority w:val="0"/>
    <w:pPr>
      <w:spacing w:before="100" w:beforeLines="0" w:beforeAutospacing="0" w:after="100" w:afterLines="0" w:afterAutospacing="0" w:line="360" w:lineRule="auto"/>
      <w:ind w:firstLine="420"/>
      <w:jc w:val="left"/>
    </w:pPr>
  </w:style>
  <w:style w:type="paragraph" w:customStyle="1" w:styleId="306">
    <w:name w:val="Char Char1 Char Char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307">
    <w:name w:val="排列"/>
    <w:basedOn w:val="1"/>
    <w:qFormat/>
    <w:uiPriority w:val="0"/>
    <w:pPr>
      <w:jc w:val="center"/>
    </w:pPr>
    <w:rPr>
      <w:rFonts w:ascii="楷体_GB2312" w:hAnsi="Courier New" w:eastAsia="楷体_GB2312"/>
      <w:sz w:val="21"/>
    </w:rPr>
  </w:style>
  <w:style w:type="paragraph" w:customStyle="1" w:styleId="308">
    <w:name w:val="样式 标题 1H1 + 三号"/>
    <w:basedOn w:val="3"/>
    <w:qFormat/>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309">
    <w:name w:val="默认段落字体1 Char Char"/>
    <w:basedOn w:val="1"/>
    <w:qFormat/>
    <w:uiPriority w:val="0"/>
    <w:rPr>
      <w:rFonts w:ascii="仿宋_GB2312" w:eastAsia="仿宋_GB2312"/>
      <w:b/>
      <w:sz w:val="32"/>
      <w:szCs w:val="32"/>
    </w:rPr>
  </w:style>
  <w:style w:type="paragraph" w:customStyle="1" w:styleId="310">
    <w:name w:val="font25"/>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11">
    <w:name w:val=" Char1"/>
    <w:basedOn w:val="1"/>
    <w:qFormat/>
    <w:uiPriority w:val="0"/>
    <w:rPr>
      <w:rFonts w:ascii="仿宋_GB2312" w:eastAsia="仿宋_GB2312"/>
      <w:b/>
      <w:sz w:val="32"/>
    </w:rPr>
  </w:style>
  <w:style w:type="paragraph" w:customStyle="1" w:styleId="312">
    <w:name w:val="font24"/>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13">
    <w:name w:val="font10"/>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5">
    <w:name w:val="font9"/>
    <w:basedOn w:val="1"/>
    <w:qFormat/>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16">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7">
    <w:name w:val="正文编号4"/>
    <w:basedOn w:val="1"/>
    <w:qFormat/>
    <w:uiPriority w:val="0"/>
    <w:pPr>
      <w:spacing w:before="60" w:beforeLines="0" w:after="60" w:afterLines="0" w:line="500" w:lineRule="exact"/>
      <w:ind w:left="1404" w:hanging="432"/>
    </w:pPr>
    <w:rPr>
      <w:sz w:val="28"/>
    </w:rPr>
  </w:style>
  <w:style w:type="paragraph" w:customStyle="1" w:styleId="318">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319">
    <w:name w:val="正文样式"/>
    <w:basedOn w:val="1"/>
    <w:link w:val="541"/>
    <w:qFormat/>
    <w:uiPriority w:val="0"/>
    <w:pPr>
      <w:spacing w:line="360" w:lineRule="auto"/>
      <w:ind w:firstLine="200" w:firstLineChars="200"/>
    </w:pPr>
    <w:rPr>
      <w:rFonts w:cs="宋体"/>
      <w:sz w:val="21"/>
    </w:rPr>
  </w:style>
  <w:style w:type="paragraph" w:customStyle="1" w:styleId="320">
    <w:name w:val="正文文字1"/>
    <w:basedOn w:val="32"/>
    <w:qFormat/>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21">
    <w:name w:val="功能列表"/>
    <w:basedOn w:val="1"/>
    <w:qFormat/>
    <w:uiPriority w:val="0"/>
    <w:pPr>
      <w:tabs>
        <w:tab w:val="left" w:pos="720"/>
        <w:tab w:val="left" w:pos="900"/>
      </w:tabs>
      <w:spacing w:line="360" w:lineRule="auto"/>
      <w:ind w:left="900" w:hanging="420"/>
    </w:pPr>
  </w:style>
  <w:style w:type="paragraph" w:customStyle="1" w:styleId="322">
    <w:name w:val="xl107"/>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3">
    <w:name w:val="标题 8 +"/>
    <w:basedOn w:val="10"/>
    <w:qFormat/>
    <w:uiPriority w:val="0"/>
    <w:rPr>
      <w:kern w:val="0"/>
    </w:rPr>
  </w:style>
  <w:style w:type="paragraph" w:customStyle="1" w:styleId="324">
    <w:name w:val="xl96"/>
    <w:basedOn w:val="1"/>
    <w:qFormat/>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325">
    <w:name w:val="样式4"/>
    <w:basedOn w:val="34"/>
    <w:qFormat/>
    <w:uiPriority w:val="0"/>
    <w:pPr>
      <w:snapToGrid w:val="0"/>
      <w:spacing w:before="0" w:after="0"/>
      <w:ind w:firstLine="539"/>
    </w:pPr>
    <w:rPr>
      <w:rFonts w:ascii="Times New Roman"/>
      <w:lang w:val="en-US" w:eastAsia="zh-CN"/>
    </w:rPr>
  </w:style>
  <w:style w:type="paragraph" w:customStyle="1" w:styleId="326">
    <w:name w:val="xl46"/>
    <w:basedOn w:val="1"/>
    <w:qFormat/>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7">
    <w:name w:val="font15"/>
    <w:basedOn w:val="1"/>
    <w:qFormat/>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2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29">
    <w:name w:val="xl89"/>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30">
    <w:name w:val="style1"/>
    <w:basedOn w:val="1"/>
    <w:qFormat/>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31">
    <w:name w:val="样式 标题 2 + 段前: 自动 段后: 自动 行距: 1.5 倍行距"/>
    <w:basedOn w:val="4"/>
    <w:qFormat/>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332">
    <w:name w:val="无列表1"/>
    <w:basedOn w:val="1"/>
    <w:next w:val="1"/>
    <w:qFormat/>
    <w:uiPriority w:val="0"/>
    <w:pPr>
      <w:widowControl/>
      <w:jc w:val="left"/>
    </w:pPr>
    <w:rPr>
      <w:color w:val="000000"/>
      <w:kern w:val="0"/>
    </w:rPr>
  </w:style>
  <w:style w:type="paragraph" w:customStyle="1" w:styleId="333">
    <w:name w:val="xl82"/>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4">
    <w:name w:val=" Char Char1 Char Char Char Char Char Char Char Char"/>
    <w:basedOn w:val="1"/>
    <w:qFormat/>
    <w:uiPriority w:val="0"/>
    <w:pPr>
      <w:widowControl/>
      <w:spacing w:after="160" w:line="240" w:lineRule="exact"/>
      <w:jc w:val="left"/>
    </w:pPr>
    <w:rPr>
      <w:sz w:val="21"/>
      <w:szCs w:val="24"/>
    </w:rPr>
  </w:style>
  <w:style w:type="paragraph" w:customStyle="1" w:styleId="335">
    <w:name w:val="标题5"/>
    <w:basedOn w:val="6"/>
    <w:next w:val="1"/>
    <w:qFormat/>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336">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7">
    <w:name w:val="PlainText"/>
    <w:basedOn w:val="1"/>
    <w:next w:val="1"/>
    <w:qFormat/>
    <w:uiPriority w:val="0"/>
    <w:rPr>
      <w:rFonts w:ascii="宋体" w:hAnsi="Courier New"/>
      <w:sz w:val="21"/>
    </w:rPr>
  </w:style>
  <w:style w:type="paragraph" w:customStyle="1" w:styleId="338">
    <w:name w:val="My标题1"/>
    <w:basedOn w:val="3"/>
    <w:next w:val="1"/>
    <w:qFormat/>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339">
    <w:name w:val="Plain Text"/>
    <w:basedOn w:val="142"/>
    <w:qFormat/>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40">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341">
    <w:name w:val="正文文本缩进1"/>
    <w:basedOn w:val="1"/>
    <w:next w:val="1"/>
    <w:qFormat/>
    <w:uiPriority w:val="0"/>
    <w:pPr>
      <w:widowControl/>
      <w:spacing w:after="120" w:afterLines="0" w:afterAutospacing="0"/>
      <w:ind w:left="420"/>
    </w:pPr>
    <w:rPr>
      <w:color w:val="000000"/>
      <w:sz w:val="21"/>
    </w:rPr>
  </w:style>
  <w:style w:type="paragraph" w:customStyle="1" w:styleId="342">
    <w:name w:val="my标题5"/>
    <w:basedOn w:val="1"/>
    <w:qFormat/>
    <w:uiPriority w:val="0"/>
    <w:pPr>
      <w:tabs>
        <w:tab w:val="left" w:pos="992"/>
      </w:tabs>
      <w:ind w:left="992" w:hanging="992"/>
    </w:pPr>
  </w:style>
  <w:style w:type="paragraph" w:customStyle="1" w:styleId="343">
    <w:name w:val="无缩进正文"/>
    <w:basedOn w:val="1"/>
    <w:qFormat/>
    <w:uiPriority w:val="0"/>
    <w:pPr>
      <w:adjustRightInd w:val="0"/>
      <w:textAlignment w:val="baseline"/>
    </w:pPr>
    <w:rPr>
      <w:kern w:val="0"/>
      <w:sz w:val="21"/>
    </w:rPr>
  </w:style>
  <w:style w:type="paragraph" w:customStyle="1" w:styleId="344">
    <w:name w:val="xl84"/>
    <w:basedOn w:val="1"/>
    <w:qFormat/>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7">
    <w:name w:val="正文文字3"/>
    <w:basedOn w:val="1"/>
    <w:qFormat/>
    <w:uiPriority w:val="0"/>
    <w:pPr>
      <w:spacing w:before="60" w:beforeLines="0" w:after="60" w:afterLines="0" w:line="500" w:lineRule="exact"/>
      <w:ind w:left="1020" w:firstLine="592"/>
    </w:pPr>
    <w:rPr>
      <w:sz w:val="28"/>
    </w:rPr>
  </w:style>
  <w:style w:type="paragraph" w:customStyle="1" w:styleId="348">
    <w:name w:val="List Paragraph1"/>
    <w:basedOn w:val="1"/>
    <w:qFormat/>
    <w:uiPriority w:val="99"/>
    <w:pPr>
      <w:ind w:firstLine="420" w:firstLineChars="200"/>
    </w:pPr>
    <w:rPr>
      <w:szCs w:val="21"/>
    </w:rPr>
  </w:style>
  <w:style w:type="paragraph" w:customStyle="1" w:styleId="349">
    <w:name w:val="正文3"/>
    <w:basedOn w:val="1"/>
    <w:qFormat/>
    <w:uiPriority w:val="0"/>
    <w:pPr>
      <w:spacing w:before="60" w:beforeLines="0" w:beforeAutospacing="0" w:after="60" w:afterLines="0" w:afterAutospacing="0" w:line="360" w:lineRule="auto"/>
      <w:outlineLvl w:val="8"/>
    </w:pPr>
  </w:style>
  <w:style w:type="paragraph" w:customStyle="1" w:styleId="3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1">
    <w:name w:val="无列表2"/>
    <w:basedOn w:val="1"/>
    <w:next w:val="1"/>
    <w:qFormat/>
    <w:uiPriority w:val="0"/>
    <w:pPr>
      <w:jc w:val="left"/>
    </w:pPr>
    <w:rPr>
      <w:color w:val="000000"/>
      <w:kern w:val="0"/>
    </w:rPr>
  </w:style>
  <w:style w:type="paragraph" w:customStyle="1" w:styleId="352">
    <w:name w:val="正文文字缩进2"/>
    <w:basedOn w:val="32"/>
    <w:qFormat/>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4">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5">
    <w:name w:val="xl39"/>
    <w:basedOn w:val="1"/>
    <w:qFormat/>
    <w:uiPriority w:val="0"/>
    <w:pPr>
      <w:widowControl/>
      <w:spacing w:before="100" w:beforeLines="0" w:beforeAutospacing="1" w:after="100" w:afterLines="0" w:afterAutospacing="1"/>
      <w:jc w:val="center"/>
    </w:pPr>
    <w:rPr>
      <w:rFonts w:hint="eastAsia" w:ascii="宋体" w:hAnsi="宋体"/>
      <w:kern w:val="0"/>
    </w:rPr>
  </w:style>
  <w:style w:type="paragraph" w:customStyle="1" w:styleId="356">
    <w:name w:val="xl93"/>
    <w:basedOn w:val="1"/>
    <w:qFormat/>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357">
    <w:name w:val="Char Char Char Char Char Char Char"/>
    <w:basedOn w:val="1"/>
    <w:qFormat/>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59">
    <w:name w:val="样式 仿宋_GB2312 行距: 1.5 倍行距"/>
    <w:basedOn w:val="1"/>
    <w:qFormat/>
    <w:uiPriority w:val="0"/>
    <w:pPr>
      <w:spacing w:line="360" w:lineRule="auto"/>
      <w:ind w:firstLine="480" w:firstLineChars="200"/>
    </w:pPr>
    <w:rPr>
      <w:rFonts w:ascii="宋体" w:hAnsi="宋体"/>
    </w:rPr>
  </w:style>
  <w:style w:type="paragraph" w:customStyle="1" w:styleId="360">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1">
    <w:name w:val="font17"/>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62">
    <w:name w:val="页码1"/>
    <w:basedOn w:val="1"/>
    <w:next w:val="1"/>
    <w:qFormat/>
    <w:uiPriority w:val="0"/>
    <w:pPr>
      <w:widowControl/>
    </w:pPr>
    <w:rPr>
      <w:color w:val="000000"/>
      <w:sz w:val="21"/>
    </w:rPr>
  </w:style>
  <w:style w:type="paragraph" w:customStyle="1" w:styleId="363">
    <w:name w:val="xl75"/>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4">
    <w:name w:val="My标题2"/>
    <w:basedOn w:val="4"/>
    <w:next w:val="1"/>
    <w:qFormat/>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365">
    <w:name w:val="xl76"/>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66">
    <w:name w:val="standdate"/>
    <w:basedOn w:val="51"/>
    <w:qFormat/>
    <w:uiPriority w:val="0"/>
    <w:rPr>
      <w:szCs w:val="18"/>
      <w:lang w:val="en-US" w:eastAsia="zh-CN"/>
    </w:rPr>
  </w:style>
  <w:style w:type="paragraph" w:customStyle="1" w:styleId="367">
    <w:name w:val="xl10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68">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69">
    <w:name w:val="font20"/>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70">
    <w:name w:val="font6"/>
    <w:basedOn w:val="1"/>
    <w:qFormat/>
    <w:uiPriority w:val="0"/>
    <w:pPr>
      <w:widowControl/>
      <w:adjustRightInd w:val="0"/>
      <w:spacing w:before="100" w:beforeLines="0" w:after="100" w:afterLines="0"/>
      <w:jc w:val="left"/>
      <w:textAlignment w:val="baseline"/>
    </w:pPr>
    <w:rPr>
      <w:color w:val="000000"/>
      <w:kern w:val="0"/>
      <w:sz w:val="21"/>
    </w:rPr>
  </w:style>
  <w:style w:type="paragraph" w:customStyle="1" w:styleId="371">
    <w:name w:val=" Char Char Char Char Char Char Char Char Char Char"/>
    <w:basedOn w:val="1"/>
    <w:qFormat/>
    <w:uiPriority w:val="0"/>
    <w:rPr>
      <w:sz w:val="21"/>
    </w:rPr>
  </w:style>
  <w:style w:type="paragraph" w:customStyle="1" w:styleId="372">
    <w:name w:val="图脚"/>
    <w:basedOn w:val="1"/>
    <w:qFormat/>
    <w:uiPriority w:val="0"/>
    <w:pPr>
      <w:tabs>
        <w:tab w:val="left" w:pos="900"/>
      </w:tabs>
      <w:ind w:left="900" w:hanging="420"/>
      <w:jc w:val="center"/>
    </w:pPr>
    <w:rPr>
      <w:rFonts w:eastAsia="黑体"/>
    </w:rPr>
  </w:style>
  <w:style w:type="paragraph" w:customStyle="1" w:styleId="373">
    <w:name w:val="Headings Font"/>
    <w:basedOn w:val="1"/>
    <w:next w:val="32"/>
    <w:qFormat/>
    <w:uiPriority w:val="0"/>
    <w:pPr>
      <w:keepNext/>
      <w:spacing w:line="280" w:lineRule="atLeast"/>
      <w:jc w:val="left"/>
    </w:pPr>
    <w:rPr>
      <w:rFonts w:ascii="Arial" w:hAnsi="Arial"/>
      <w:kern w:val="0"/>
      <w:sz w:val="22"/>
      <w:szCs w:val="24"/>
      <w:lang w:val="en-GB"/>
    </w:rPr>
  </w:style>
  <w:style w:type="paragraph" w:customStyle="1" w:styleId="37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5">
    <w:name w:val="3 Char"/>
    <w:basedOn w:val="1"/>
    <w:qFormat/>
    <w:uiPriority w:val="0"/>
    <w:pPr>
      <w:widowControl/>
      <w:spacing w:line="400" w:lineRule="exact"/>
      <w:jc w:val="center"/>
    </w:pPr>
    <w:rPr>
      <w:rFonts w:ascii="Verdana" w:hAnsi="Verdana"/>
      <w:kern w:val="0"/>
      <w:sz w:val="21"/>
      <w:lang w:eastAsia="en-US"/>
    </w:rPr>
  </w:style>
  <w:style w:type="paragraph" w:customStyle="1" w:styleId="376">
    <w:name w:val="xl71"/>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77">
    <w:name w:val="正文文本1"/>
    <w:basedOn w:val="1"/>
    <w:qFormat/>
    <w:uiPriority w:val="0"/>
    <w:pPr>
      <w:spacing w:after="120" w:afterLines="0" w:afterAutospacing="0"/>
    </w:pPr>
    <w:rPr>
      <w:sz w:val="21"/>
    </w:rPr>
  </w:style>
  <w:style w:type="paragraph" w:customStyle="1" w:styleId="378">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379">
    <w:name w:val="样式编号"/>
    <w:basedOn w:val="32"/>
    <w:qFormat/>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80">
    <w:name w:val="xl10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81">
    <w:name w:val="目录"/>
    <w:basedOn w:val="1"/>
    <w:qFormat/>
    <w:uiPriority w:val="0"/>
    <w:pPr>
      <w:widowControl/>
      <w:spacing w:line="480" w:lineRule="auto"/>
      <w:jc w:val="center"/>
    </w:pPr>
    <w:rPr>
      <w:rFonts w:ascii="宋体"/>
      <w:b/>
      <w:kern w:val="0"/>
    </w:rPr>
  </w:style>
  <w:style w:type="paragraph" w:customStyle="1" w:styleId="382">
    <w:name w:val="已访问的超链接1"/>
    <w:basedOn w:val="1"/>
    <w:next w:val="1"/>
    <w:qFormat/>
    <w:uiPriority w:val="0"/>
    <w:pPr>
      <w:widowControl/>
    </w:pPr>
    <w:rPr>
      <w:color w:val="800080"/>
      <w:sz w:val="21"/>
      <w:u w:val="single" w:color="000000"/>
    </w:rPr>
  </w:style>
  <w:style w:type="paragraph" w:customStyle="1" w:styleId="383">
    <w:name w:val="xl86"/>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84">
    <w:name w:val="font7"/>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385">
    <w:name w:val="文档正文（外部）"/>
    <w:basedOn w:val="1"/>
    <w:qFormat/>
    <w:uiPriority w:val="0"/>
    <w:pPr>
      <w:spacing w:line="360" w:lineRule="auto"/>
    </w:pPr>
    <w:rPr>
      <w:sz w:val="28"/>
    </w:rPr>
  </w:style>
  <w:style w:type="paragraph" w:customStyle="1" w:styleId="386">
    <w:name w:val="xl95"/>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87">
    <w:name w:val="样式 样式 正文首行缩进 2 + 首行缩进:  2 字符 + 首行缩进:  2 字符"/>
    <w:basedOn w:val="1"/>
    <w:qFormat/>
    <w:uiPriority w:val="0"/>
    <w:pPr>
      <w:spacing w:line="360" w:lineRule="auto"/>
      <w:ind w:firstLine="480" w:firstLineChars="200"/>
    </w:pPr>
  </w:style>
  <w:style w:type="paragraph" w:customStyle="1" w:styleId="388">
    <w:name w:val="xl105"/>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89">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90">
    <w:name w:val="章节标题1"/>
    <w:basedOn w:val="1"/>
    <w:next w:val="116"/>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1">
    <w:name w:val="文本正文"/>
    <w:basedOn w:val="1"/>
    <w:qFormat/>
    <w:uiPriority w:val="0"/>
    <w:pPr>
      <w:spacing w:before="156" w:beforeLines="0" w:beforeAutospacing="0" w:after="156" w:afterLines="0" w:afterAutospacing="0" w:line="360" w:lineRule="auto"/>
      <w:ind w:firstLine="480"/>
    </w:pPr>
    <w:rPr>
      <w:color w:val="000000"/>
      <w:sz w:val="21"/>
    </w:rPr>
  </w:style>
  <w:style w:type="paragraph" w:customStyle="1" w:styleId="392">
    <w:name w:val=" Char Char Char"/>
    <w:basedOn w:val="1"/>
    <w:qFormat/>
    <w:uiPriority w:val="0"/>
    <w:rPr>
      <w:rFonts w:ascii="Tahoma" w:hAnsi="Tahoma"/>
    </w:rPr>
  </w:style>
  <w:style w:type="paragraph" w:customStyle="1" w:styleId="393">
    <w:name w:val="样式3"/>
    <w:basedOn w:val="1"/>
    <w:qFormat/>
    <w:uiPriority w:val="0"/>
    <w:pPr>
      <w:ind w:left="1980"/>
    </w:pPr>
    <w:rPr>
      <w:sz w:val="21"/>
    </w:rPr>
  </w:style>
  <w:style w:type="paragraph" w:customStyle="1" w:styleId="394">
    <w:name w:val="样式 首行缩进:  0.74 厘米"/>
    <w:basedOn w:val="1"/>
    <w:qFormat/>
    <w:uiPriority w:val="0"/>
    <w:pPr>
      <w:spacing w:line="360" w:lineRule="auto"/>
      <w:ind w:firstLine="420"/>
    </w:pPr>
    <w:rPr>
      <w:sz w:val="21"/>
    </w:rPr>
  </w:style>
  <w:style w:type="paragraph" w:customStyle="1" w:styleId="395">
    <w:name w:val="myp1111"/>
    <w:basedOn w:val="1"/>
    <w:next w:val="1"/>
    <w:qFormat/>
    <w:uiPriority w:val="0"/>
    <w:pPr>
      <w:widowControl/>
    </w:pPr>
    <w:rPr>
      <w:rFonts w:ascii="ˎ̥" w:hAnsi="ˎ̥"/>
      <w:color w:val="000000"/>
      <w:sz w:val="20"/>
    </w:rPr>
  </w:style>
  <w:style w:type="paragraph" w:customStyle="1" w:styleId="396">
    <w:name w:val="正文字缩2字"/>
    <w:basedOn w:val="1"/>
    <w:qFormat/>
    <w:uiPriority w:val="0"/>
    <w:pPr>
      <w:spacing w:before="60" w:beforeLines="0" w:beforeAutospacing="0" w:after="60" w:afterLines="0" w:afterAutospacing="0" w:line="360" w:lineRule="auto"/>
      <w:ind w:left="200" w:leftChars="200" w:firstLine="200" w:firstLineChars="200"/>
    </w:pPr>
  </w:style>
  <w:style w:type="paragraph" w:customStyle="1" w:styleId="397">
    <w:name w:val="文字缩进 3"/>
    <w:basedOn w:val="32"/>
    <w:qFormat/>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398">
    <w:name w:val="xl92"/>
    <w:basedOn w:val="1"/>
    <w:qFormat/>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99">
    <w:name w:val="样式 首行缩进:  0.85 厘米"/>
    <w:basedOn w:val="1"/>
    <w:qFormat/>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400">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1">
    <w:name w:val=" Char Char Char Char Char Char Char"/>
    <w:basedOn w:val="1"/>
    <w:qFormat/>
    <w:uiPriority w:val="0"/>
    <w:rPr>
      <w:rFonts w:ascii="仿宋_GB2312" w:eastAsia="仿宋_GB2312"/>
      <w:b/>
      <w:sz w:val="32"/>
    </w:rPr>
  </w:style>
  <w:style w:type="paragraph" w:customStyle="1" w:styleId="402">
    <w:name w:val="xl88"/>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03">
    <w:name w:val="列表编号 31"/>
    <w:basedOn w:val="1"/>
    <w:next w:val="1"/>
    <w:qFormat/>
    <w:uiPriority w:val="0"/>
    <w:pPr>
      <w:widowControl/>
      <w:tabs>
        <w:tab w:val="left" w:pos="482"/>
        <w:tab w:val="left" w:pos="840"/>
      </w:tabs>
      <w:spacing w:after="50" w:afterLines="0" w:afterAutospacing="0"/>
      <w:ind w:left="482" w:hanging="340"/>
      <w:jc w:val="left"/>
    </w:pPr>
    <w:rPr>
      <w:color w:val="000000"/>
      <w:kern w:val="0"/>
    </w:rPr>
  </w:style>
  <w:style w:type="paragraph" w:customStyle="1" w:styleId="404">
    <w:name w:val="font1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405">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6">
    <w:name w:val="表正文"/>
    <w:basedOn w:val="1"/>
    <w:next w:val="43"/>
    <w:qFormat/>
    <w:uiPriority w:val="0"/>
    <w:rPr>
      <w:rFonts w:ascii="宋体" w:hAnsi="Courier New"/>
      <w:sz w:val="21"/>
    </w:rPr>
  </w:style>
  <w:style w:type="paragraph" w:customStyle="1" w:styleId="407">
    <w:name w:val="文字缩进"/>
    <w:basedOn w:val="32"/>
    <w:qFormat/>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408">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09">
    <w:name w:val="文本正文2"/>
    <w:basedOn w:val="1"/>
    <w:qFormat/>
    <w:uiPriority w:val="0"/>
    <w:pPr>
      <w:spacing w:before="156" w:beforeLines="0" w:beforeAutospacing="0" w:after="156" w:afterLines="0" w:afterAutospacing="0" w:line="360" w:lineRule="auto"/>
    </w:pPr>
    <w:rPr>
      <w:color w:val="000000"/>
      <w:sz w:val="21"/>
    </w:rPr>
  </w:style>
  <w:style w:type="paragraph" w:customStyle="1" w:styleId="410">
    <w:name w:val="My编号1"/>
    <w:basedOn w:val="1"/>
    <w:qFormat/>
    <w:uiPriority w:val="0"/>
    <w:pPr>
      <w:adjustRightInd w:val="0"/>
      <w:spacing w:before="120" w:beforeLines="0" w:beforeAutospacing="0" w:line="360" w:lineRule="auto"/>
      <w:textAlignment w:val="baseline"/>
    </w:pPr>
    <w:rPr>
      <w:rFonts w:ascii="Arial" w:hAnsi="Arial"/>
      <w:kern w:val="0"/>
    </w:rPr>
  </w:style>
  <w:style w:type="paragraph" w:customStyle="1" w:styleId="411">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2">
    <w:name w:val="正文首行缩进 21"/>
    <w:basedOn w:val="1"/>
    <w:next w:val="1"/>
    <w:qFormat/>
    <w:uiPriority w:val="0"/>
    <w:pPr>
      <w:widowControl/>
      <w:spacing w:after="120" w:afterLines="0" w:afterAutospacing="0"/>
      <w:ind w:firstLine="210"/>
    </w:pPr>
    <w:rPr>
      <w:color w:val="000000"/>
      <w:sz w:val="21"/>
    </w:rPr>
  </w:style>
  <w:style w:type="paragraph" w:customStyle="1" w:styleId="413">
    <w:name w:val="xl87"/>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14">
    <w:name w:val="正文图标题"/>
    <w:next w:val="122"/>
    <w:qFormat/>
    <w:uiPriority w:val="0"/>
    <w:pPr>
      <w:jc w:val="center"/>
    </w:pPr>
    <w:rPr>
      <w:rFonts w:ascii="黑体" w:hAnsi="Times New Roman" w:eastAsia="黑体" w:cs="Times New Roman"/>
      <w:sz w:val="21"/>
      <w:lang w:val="en-US" w:eastAsia="zh-CN" w:bidi="ar-SA"/>
    </w:rPr>
  </w:style>
  <w:style w:type="paragraph" w:customStyle="1" w:styleId="415">
    <w:name w:val="普通表格1"/>
    <w:basedOn w:val="1"/>
    <w:next w:val="1"/>
    <w:qFormat/>
    <w:uiPriority w:val="0"/>
    <w:pPr>
      <w:widowControl/>
      <w:jc w:val="left"/>
    </w:pPr>
    <w:rPr>
      <w:color w:val="000000"/>
      <w:kern w:val="0"/>
    </w:rPr>
  </w:style>
  <w:style w:type="paragraph" w:customStyle="1" w:styleId="416">
    <w:name w:val=" Char Char Char Char Char Char Char Char Char Char Char Char Char Char Char Char"/>
    <w:basedOn w:val="1"/>
    <w:qFormat/>
    <w:uiPriority w:val="0"/>
    <w:rPr>
      <w:rFonts w:ascii="Tahoma" w:hAnsi="Tahoma"/>
    </w:rPr>
  </w:style>
  <w:style w:type="paragraph" w:customStyle="1" w:styleId="417">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8">
    <w:name w:val="List Paragraph"/>
    <w:basedOn w:val="1"/>
    <w:qFormat/>
    <w:uiPriority w:val="34"/>
    <w:pPr>
      <w:ind w:firstLine="420" w:firstLineChars="200"/>
    </w:pPr>
    <w:rPr>
      <w:rFonts w:ascii="Verdana" w:hAnsi="Verdana" w:eastAsia="微软雅黑"/>
      <w:sz w:val="21"/>
    </w:rPr>
  </w:style>
  <w:style w:type="paragraph" w:customStyle="1" w:styleId="419">
    <w:name w:val="样式 标题 22nd levelh22Header 2H2 + 四号 段前: 6 磅 段后: 6 磅 行距: 1..."/>
    <w:basedOn w:val="4"/>
    <w:qFormat/>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20">
    <w:name w:val="样式 标题 1H1章节1l0Section HeadHeader1h1Level 1 HeadPIM 1He..."/>
    <w:basedOn w:val="3"/>
    <w:qFormat/>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21">
    <w:name w:val="xl103"/>
    <w:basedOn w:val="1"/>
    <w:qFormat/>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22">
    <w:name w:val="纯文本1"/>
    <w:basedOn w:val="1"/>
    <w:qFormat/>
    <w:uiPriority w:val="0"/>
    <w:pPr>
      <w:widowControl/>
      <w:tabs>
        <w:tab w:val="left" w:pos="840"/>
      </w:tabs>
      <w:spacing w:line="360" w:lineRule="auto"/>
      <w:ind w:left="840" w:hanging="420"/>
    </w:pPr>
    <w:rPr>
      <w:rFonts w:ascii="宋体"/>
      <w:color w:val="000000"/>
    </w:rPr>
  </w:style>
  <w:style w:type="paragraph" w:customStyle="1" w:styleId="423">
    <w:name w:val="xl77"/>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24">
    <w:name w:val="gb23121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25">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6">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7">
    <w:name w:val="正文段 Char"/>
    <w:link w:val="108"/>
    <w:qFormat/>
    <w:uiPriority w:val="0"/>
    <w:rPr>
      <w:sz w:val="24"/>
    </w:rPr>
  </w:style>
  <w:style w:type="character" w:customStyle="1" w:styleId="428">
    <w:name w:val="p121"/>
    <w:qFormat/>
    <w:uiPriority w:val="0"/>
    <w:rPr>
      <w:rFonts w:hint="default" w:ascii="_x000B__x000C_" w:hAnsi="_x000B__x000C_"/>
      <w:sz w:val="24"/>
      <w:szCs w:val="24"/>
    </w:rPr>
  </w:style>
  <w:style w:type="character" w:customStyle="1" w:styleId="429">
    <w:name w:val="highlight"/>
    <w:basedOn w:val="82"/>
    <w:qFormat/>
    <w:uiPriority w:val="0"/>
  </w:style>
  <w:style w:type="character" w:customStyle="1" w:styleId="430">
    <w:name w:val="正文文本缩进 Char"/>
    <w:link w:val="34"/>
    <w:qFormat/>
    <w:uiPriority w:val="99"/>
    <w:rPr>
      <w:rFonts w:ascii="宋体"/>
      <w:kern w:val="2"/>
      <w:sz w:val="24"/>
    </w:rPr>
  </w:style>
  <w:style w:type="character" w:customStyle="1" w:styleId="431">
    <w:name w:val="b1"/>
    <w:qFormat/>
    <w:uiPriority w:val="0"/>
    <w:rPr>
      <w:rFonts w:hint="default" w:ascii="Courier New" w:hAnsi="Courier New"/>
      <w:b/>
      <w:color w:val="FF0000"/>
      <w:u w:val="none"/>
    </w:rPr>
  </w:style>
  <w:style w:type="character" w:customStyle="1" w:styleId="432">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3">
    <w:name w:val="标题 9 Char"/>
    <w:link w:val="12"/>
    <w:qFormat/>
    <w:uiPriority w:val="0"/>
    <w:rPr>
      <w:rFonts w:ascii="Arial" w:hAnsi="Arial" w:eastAsia="黑体"/>
      <w:kern w:val="2"/>
      <w:sz w:val="21"/>
      <w:lang w:val="en-US" w:eastAsia="zh-CN" w:bidi="ar-SA"/>
    </w:rPr>
  </w:style>
  <w:style w:type="character" w:customStyle="1" w:styleId="434">
    <w:name w:val="Footer Char"/>
    <w:qFormat/>
    <w:locked/>
    <w:uiPriority w:val="0"/>
    <w:rPr>
      <w:rFonts w:cs="Times New Roman"/>
      <w:sz w:val="18"/>
      <w:szCs w:val="18"/>
    </w:rPr>
  </w:style>
  <w:style w:type="character" w:customStyle="1" w:styleId="435">
    <w:name w:val="mc2"/>
    <w:qFormat/>
    <w:uiPriority w:val="0"/>
    <w:rPr>
      <w:color w:val="0E2DCD"/>
      <w:sz w:val="21"/>
      <w:szCs w:val="21"/>
    </w:rPr>
  </w:style>
  <w:style w:type="character" w:customStyle="1" w:styleId="436">
    <w:name w:val="样式 标题 4 + 小四 Char Char"/>
    <w:link w:val="96"/>
    <w:qFormat/>
    <w:uiPriority w:val="0"/>
    <w:rPr>
      <w:rFonts w:ascii="Arial" w:hAnsi="Arial" w:eastAsia="楷体_GB2312" w:cs="Arial"/>
      <w:b/>
      <w:bCs/>
      <w:kern w:val="2"/>
      <w:sz w:val="24"/>
      <w:szCs w:val="28"/>
      <w:lang w:val="en-US" w:eastAsia="zh-CN" w:bidi="ar-SA"/>
    </w:rPr>
  </w:style>
  <w:style w:type="character" w:customStyle="1" w:styleId="437">
    <w:name w:val="Char Char3"/>
    <w:qFormat/>
    <w:uiPriority w:val="0"/>
    <w:rPr>
      <w:rFonts w:eastAsia="宋体"/>
      <w:kern w:val="2"/>
      <w:sz w:val="21"/>
      <w:szCs w:val="24"/>
      <w:lang w:val="en-US" w:eastAsia="zh-CN" w:bidi="ar-SA"/>
    </w:rPr>
  </w:style>
  <w:style w:type="character" w:customStyle="1" w:styleId="438">
    <w:name w:val="普通文字 Char Char"/>
    <w:qFormat/>
    <w:uiPriority w:val="0"/>
    <w:rPr>
      <w:rFonts w:ascii="宋体" w:hAnsi="Courier New" w:eastAsia="宋体"/>
      <w:kern w:val="2"/>
      <w:sz w:val="21"/>
      <w:lang w:val="en-US" w:eastAsia="zh-CN"/>
    </w:rPr>
  </w:style>
  <w:style w:type="character" w:customStyle="1" w:styleId="439">
    <w:name w:val="节 Char"/>
    <w:qFormat/>
    <w:uiPriority w:val="0"/>
    <w:rPr>
      <w:rFonts w:ascii="Arial" w:hAnsi="Arial" w:eastAsia="宋体"/>
      <w:b/>
      <w:spacing w:val="14"/>
      <w:kern w:val="24"/>
      <w:sz w:val="32"/>
      <w:lang w:val="en-US" w:eastAsia="zh-CN" w:bidi="ar-SA"/>
    </w:rPr>
  </w:style>
  <w:style w:type="character" w:customStyle="1" w:styleId="440">
    <w:name w:val="第三层条 Char"/>
    <w:qFormat/>
    <w:uiPriority w:val="0"/>
    <w:rPr>
      <w:rFonts w:ascii="Arial" w:hAnsi="Arial" w:eastAsia="黑体"/>
      <w:b/>
      <w:kern w:val="2"/>
      <w:sz w:val="28"/>
      <w:lang w:val="en-US" w:eastAsia="zh-CN" w:bidi="ar-SA"/>
    </w:rPr>
  </w:style>
  <w:style w:type="character" w:customStyle="1" w:styleId="441">
    <w:name w:val="font131"/>
    <w:basedOn w:val="82"/>
    <w:qFormat/>
    <w:uiPriority w:val="0"/>
    <w:rPr>
      <w:rFonts w:ascii="Calibri" w:hAnsi="Calibri" w:cs="Calibri"/>
      <w:color w:val="000000"/>
      <w:sz w:val="22"/>
      <w:szCs w:val="22"/>
      <w:u w:val="none"/>
    </w:rPr>
  </w:style>
  <w:style w:type="character" w:customStyle="1" w:styleId="442">
    <w:name w:val="point_normal1"/>
    <w:qFormat/>
    <w:uiPriority w:val="0"/>
    <w:rPr>
      <w:rFonts w:hint="default" w:ascii="Arial" w:hAnsi="Arial"/>
      <w:sz w:val="22"/>
    </w:rPr>
  </w:style>
  <w:style w:type="character" w:customStyle="1" w:styleId="443">
    <w:name w:val="styletemp1"/>
    <w:qFormat/>
    <w:uiPriority w:val="0"/>
    <w:rPr>
      <w:color w:val="282828"/>
      <w:spacing w:val="15"/>
      <w:sz w:val="18"/>
    </w:rPr>
  </w:style>
  <w:style w:type="character" w:customStyle="1" w:styleId="444">
    <w:name w:val="样式2 Char"/>
    <w:link w:val="148"/>
    <w:qFormat/>
    <w:uiPriority w:val="0"/>
    <w:rPr>
      <w:rFonts w:ascii="黑体" w:hAnsi="Calibri" w:eastAsia="黑体"/>
      <w:b/>
      <w:bCs/>
      <w:kern w:val="44"/>
      <w:sz w:val="32"/>
      <w:szCs w:val="32"/>
    </w:rPr>
  </w:style>
  <w:style w:type="character" w:customStyle="1" w:styleId="445">
    <w:name w:val="Body Text Indent Char"/>
    <w:qFormat/>
    <w:locked/>
    <w:uiPriority w:val="0"/>
    <w:rPr>
      <w:rFonts w:ascii="Times New Roman" w:hAnsi="Times New Roman"/>
      <w:sz w:val="24"/>
    </w:rPr>
  </w:style>
  <w:style w:type="character" w:customStyle="1" w:styleId="446">
    <w:name w:val="title-blue"/>
    <w:basedOn w:val="82"/>
    <w:qFormat/>
    <w:uiPriority w:val="0"/>
  </w:style>
  <w:style w:type="character" w:customStyle="1" w:styleId="447">
    <w:name w:val="标题 1 Char"/>
    <w:qFormat/>
    <w:uiPriority w:val="0"/>
    <w:rPr>
      <w:rFonts w:ascii="宋体" w:hAnsi="宋体"/>
      <w:b/>
      <w:bCs/>
      <w:kern w:val="44"/>
      <w:sz w:val="28"/>
      <w:szCs w:val="28"/>
    </w:rPr>
  </w:style>
  <w:style w:type="character" w:customStyle="1" w:styleId="448">
    <w:name w:val="font21"/>
    <w:basedOn w:val="82"/>
    <w:qFormat/>
    <w:uiPriority w:val="0"/>
    <w:rPr>
      <w:rFonts w:hint="default" w:ascii="Times New Roman" w:hAnsi="Times New Roman" w:cs="Times New Roman"/>
      <w:color w:val="000000"/>
      <w:sz w:val="22"/>
      <w:szCs w:val="22"/>
      <w:u w:val="none"/>
    </w:rPr>
  </w:style>
  <w:style w:type="character" w:customStyle="1" w:styleId="449">
    <w:name w:val="标准文本 Char Char"/>
    <w:link w:val="243"/>
    <w:qFormat/>
    <w:locked/>
    <w:uiPriority w:val="0"/>
    <w:rPr>
      <w:sz w:val="24"/>
      <w:lang w:bidi="ar-SA"/>
    </w:rPr>
  </w:style>
  <w:style w:type="character" w:customStyle="1" w:styleId="450">
    <w:name w:val="style91"/>
    <w:qFormat/>
    <w:uiPriority w:val="0"/>
    <w:rPr>
      <w:sz w:val="21"/>
      <w:szCs w:val="21"/>
    </w:rPr>
  </w:style>
  <w:style w:type="character" w:customStyle="1" w:styleId="451">
    <w:name w:val="HTML 预设格式 Char"/>
    <w:link w:val="74"/>
    <w:qFormat/>
    <w:uiPriority w:val="99"/>
    <w:rPr>
      <w:rFonts w:ascii="Courier New" w:hAnsi="Courier New" w:eastAsia="楷体_GB2312" w:cs="Courier New"/>
      <w:kern w:val="2"/>
    </w:rPr>
  </w:style>
  <w:style w:type="character" w:customStyle="1" w:styleId="452">
    <w:name w:val="HTML 预设格式 Char1"/>
    <w:semiHidden/>
    <w:qFormat/>
    <w:uiPriority w:val="99"/>
    <w:rPr>
      <w:rFonts w:ascii="Courier New" w:hAnsi="Courier New" w:cs="Courier New"/>
      <w:kern w:val="2"/>
    </w:rPr>
  </w:style>
  <w:style w:type="character" w:customStyle="1" w:styleId="453">
    <w:name w:val="标题 2字符"/>
    <w:qFormat/>
    <w:uiPriority w:val="0"/>
    <w:rPr>
      <w:b/>
      <w:kern w:val="2"/>
      <w:sz w:val="32"/>
    </w:rPr>
  </w:style>
  <w:style w:type="character" w:customStyle="1" w:styleId="454">
    <w:name w:val="正文2 Char"/>
    <w:link w:val="288"/>
    <w:qFormat/>
    <w:locked/>
    <w:uiPriority w:val="99"/>
    <w:rPr>
      <w:kern w:val="2"/>
      <w:sz w:val="24"/>
    </w:rPr>
  </w:style>
  <w:style w:type="character" w:customStyle="1" w:styleId="455">
    <w:name w:val="纯文本 Char"/>
    <w:link w:val="43"/>
    <w:qFormat/>
    <w:uiPriority w:val="99"/>
    <w:rPr>
      <w:rFonts w:ascii="宋体" w:hAnsi="Courier New"/>
      <w:kern w:val="2"/>
      <w:sz w:val="21"/>
    </w:rPr>
  </w:style>
  <w:style w:type="character" w:customStyle="1" w:styleId="456">
    <w:name w:val="main1"/>
    <w:qFormat/>
    <w:uiPriority w:val="0"/>
    <w:rPr>
      <w:rFonts w:hint="default" w:ascii="ˎ̥" w:hAnsi="ˎ̥"/>
      <w:sz w:val="21"/>
    </w:rPr>
  </w:style>
  <w:style w:type="character" w:customStyle="1" w:styleId="457">
    <w:name w:val="title14"/>
    <w:qFormat/>
    <w:uiPriority w:val="0"/>
  </w:style>
  <w:style w:type="character" w:customStyle="1" w:styleId="458">
    <w:name w:val="Heading 2 Char"/>
    <w:qFormat/>
    <w:locked/>
    <w:uiPriority w:val="0"/>
    <w:rPr>
      <w:rFonts w:ascii="Cambria" w:hAnsi="Cambria" w:eastAsia="黑体" w:cs="Times New Roman"/>
      <w:b/>
      <w:bCs/>
      <w:sz w:val="32"/>
      <w:szCs w:val="32"/>
    </w:rPr>
  </w:style>
  <w:style w:type="character" w:customStyle="1" w:styleId="459">
    <w:name w:val="title_sub_blue1"/>
    <w:qFormat/>
    <w:uiPriority w:val="0"/>
    <w:rPr>
      <w:rFonts w:hint="default" w:ascii="Arial" w:hAnsi="Arial" w:cs="Arial"/>
      <w:b/>
      <w:bCs/>
      <w:color w:val="16344F"/>
      <w:spacing w:val="0"/>
      <w:sz w:val="20"/>
      <w:szCs w:val="20"/>
      <w:u w:val="none"/>
    </w:rPr>
  </w:style>
  <w:style w:type="character" w:customStyle="1" w:styleId="460">
    <w:name w:val="ptb181"/>
    <w:qFormat/>
    <w:uiPriority w:val="0"/>
    <w:rPr>
      <w:rFonts w:ascii="Verdana" w:hAnsi="Verdana"/>
      <w:b/>
      <w:color w:val="000000"/>
      <w:sz w:val="27"/>
    </w:rPr>
  </w:style>
  <w:style w:type="character" w:customStyle="1" w:styleId="461">
    <w:name w:val="txt_cn_121"/>
    <w:qFormat/>
    <w:uiPriority w:val="0"/>
    <w:rPr>
      <w:rFonts w:hint="default" w:ascii="Arial" w:hAnsi="Arial" w:cs="Arial"/>
      <w:color w:val="666666"/>
      <w:sz w:val="18"/>
      <w:szCs w:val="18"/>
      <w:u w:val="none"/>
    </w:rPr>
  </w:style>
  <w:style w:type="character" w:customStyle="1" w:styleId="462">
    <w:name w:val="font31"/>
    <w:basedOn w:val="82"/>
    <w:qFormat/>
    <w:uiPriority w:val="0"/>
    <w:rPr>
      <w:rFonts w:hint="eastAsia" w:ascii="仿宋_GB2312" w:eastAsia="仿宋_GB2312"/>
      <w:color w:val="000000"/>
      <w:sz w:val="22"/>
      <w:szCs w:val="22"/>
      <w:u w:val="none"/>
    </w:rPr>
  </w:style>
  <w:style w:type="character" w:customStyle="1" w:styleId="463">
    <w:name w:val="标题 Char"/>
    <w:link w:val="77"/>
    <w:qFormat/>
    <w:uiPriority w:val="0"/>
    <w:rPr>
      <w:rFonts w:ascii="Arial" w:hAnsi="Arial" w:eastAsia="楷体_GB2312" w:cs="Arial"/>
      <w:b/>
      <w:bCs/>
      <w:kern w:val="2"/>
      <w:sz w:val="32"/>
      <w:szCs w:val="32"/>
      <w:lang w:val="en-US" w:eastAsia="zh-CN" w:bidi="ar-SA"/>
    </w:rPr>
  </w:style>
  <w:style w:type="character" w:customStyle="1" w:styleId="464">
    <w:name w:val="正文文本 Char"/>
    <w:link w:val="32"/>
    <w:qFormat/>
    <w:uiPriority w:val="0"/>
    <w:rPr>
      <w:rFonts w:ascii="宋体"/>
      <w:color w:val="FF0000"/>
      <w:sz w:val="24"/>
    </w:rPr>
  </w:style>
  <w:style w:type="character" w:customStyle="1" w:styleId="465">
    <w:name w:val="标题 3 Char1"/>
    <w:link w:val="5"/>
    <w:qFormat/>
    <w:uiPriority w:val="0"/>
    <w:rPr>
      <w:rFonts w:ascii="Arial" w:hAnsi="宋体"/>
      <w:b/>
      <w:kern w:val="2"/>
      <w:sz w:val="28"/>
    </w:rPr>
  </w:style>
  <w:style w:type="character" w:customStyle="1" w:styleId="466">
    <w:name w:val="标题 4 Char Char Char"/>
    <w:qFormat/>
    <w:uiPriority w:val="0"/>
    <w:rPr>
      <w:rFonts w:ascii="Arial" w:hAnsi="Arial" w:eastAsia="黑体"/>
      <w:b/>
      <w:bCs/>
      <w:kern w:val="2"/>
      <w:sz w:val="28"/>
      <w:szCs w:val="28"/>
      <w:lang w:val="en-US" w:eastAsia="zh-CN" w:bidi="ar-SA"/>
    </w:rPr>
  </w:style>
  <w:style w:type="character" w:customStyle="1" w:styleId="467">
    <w:name w:val="自定义正文 Char"/>
    <w:link w:val="235"/>
    <w:qFormat/>
    <w:locked/>
    <w:uiPriority w:val="0"/>
    <w:rPr>
      <w:rFonts w:ascii="仿宋_GB2312" w:eastAsia="仿宋_GB2312"/>
      <w:sz w:val="24"/>
      <w:lang w:bidi="ar-SA"/>
    </w:rPr>
  </w:style>
  <w:style w:type="character" w:customStyle="1" w:styleId="468">
    <w:name w:val=" Char Char7"/>
    <w:qFormat/>
    <w:uiPriority w:val="0"/>
    <w:rPr>
      <w:rFonts w:ascii="Times New Roman" w:hAnsi="Times New Roman"/>
      <w:kern w:val="2"/>
      <w:sz w:val="24"/>
      <w:szCs w:val="24"/>
    </w:rPr>
  </w:style>
  <w:style w:type="character" w:customStyle="1" w:styleId="469">
    <w:name w:val="正文缩进1 Char"/>
    <w:qFormat/>
    <w:uiPriority w:val="0"/>
    <w:rPr>
      <w:rFonts w:eastAsia="宋体"/>
      <w:kern w:val="2"/>
      <w:sz w:val="21"/>
      <w:lang w:val="en-US" w:eastAsia="zh-CN"/>
    </w:rPr>
  </w:style>
  <w:style w:type="character" w:customStyle="1" w:styleId="470">
    <w:name w:val=" Char Char13"/>
    <w:qFormat/>
    <w:uiPriority w:val="0"/>
    <w:rPr>
      <w:rFonts w:ascii="Arial" w:hAnsi="Arial" w:eastAsia="仿宋_GB2312"/>
      <w:b/>
      <w:bCs/>
      <w:kern w:val="2"/>
      <w:sz w:val="28"/>
      <w:szCs w:val="32"/>
    </w:rPr>
  </w:style>
  <w:style w:type="character" w:customStyle="1" w:styleId="471">
    <w:name w:val="正文文本缩进 3 Char"/>
    <w:link w:val="66"/>
    <w:qFormat/>
    <w:uiPriority w:val="0"/>
    <w:rPr>
      <w:rFonts w:ascii="Arial" w:hAnsi="Arial"/>
      <w:color w:val="FF0000"/>
      <w:kern w:val="2"/>
      <w:sz w:val="24"/>
    </w:rPr>
  </w:style>
  <w:style w:type="character" w:customStyle="1" w:styleId="472">
    <w:name w:val=" Char Char24"/>
    <w:qFormat/>
    <w:uiPriority w:val="0"/>
    <w:rPr>
      <w:rFonts w:ascii="Arial" w:hAnsi="宋体"/>
      <w:b/>
      <w:kern w:val="2"/>
      <w:sz w:val="28"/>
    </w:rPr>
  </w:style>
  <w:style w:type="character" w:customStyle="1" w:styleId="473">
    <w:name w:val="文章标题 3 Char Char Char"/>
    <w:link w:val="249"/>
    <w:qFormat/>
    <w:uiPriority w:val="0"/>
    <w:rPr>
      <w:rFonts w:ascii="Arial" w:hAnsi="Arial" w:eastAsia="黑体"/>
      <w:kern w:val="2"/>
      <w:sz w:val="28"/>
      <w:lang w:val="en-US" w:eastAsia="zh-CN"/>
    </w:rPr>
  </w:style>
  <w:style w:type="character" w:customStyle="1" w:styleId="474">
    <w:name w:val="font01"/>
    <w:basedOn w:val="82"/>
    <w:qFormat/>
    <w:uiPriority w:val="0"/>
    <w:rPr>
      <w:rFonts w:hint="default" w:ascii="Times New Roman" w:hAnsi="Times New Roman" w:cs="Times New Roman"/>
      <w:color w:val="000000"/>
      <w:sz w:val="21"/>
      <w:szCs w:val="21"/>
      <w:u w:val="none"/>
    </w:rPr>
  </w:style>
  <w:style w:type="character" w:customStyle="1" w:styleId="475">
    <w:name w:val="H5 Char"/>
    <w:qFormat/>
    <w:uiPriority w:val="0"/>
    <w:rPr>
      <w:rFonts w:ascii="宋体" w:eastAsia="宋体"/>
      <w:b/>
      <w:color w:val="FF0000"/>
      <w:kern w:val="2"/>
      <w:sz w:val="24"/>
      <w:lang w:val="en-US" w:eastAsia="zh-CN"/>
    </w:rPr>
  </w:style>
  <w:style w:type="character" w:customStyle="1" w:styleId="476">
    <w:name w:val="TITRE1 Char"/>
    <w:qFormat/>
    <w:uiPriority w:val="0"/>
    <w:rPr>
      <w:rFonts w:eastAsia="宋体"/>
      <w:b/>
      <w:bCs/>
      <w:kern w:val="44"/>
      <w:sz w:val="44"/>
      <w:szCs w:val="44"/>
      <w:lang w:val="en-US" w:eastAsia="zh-CN" w:bidi="ar-SA"/>
    </w:rPr>
  </w:style>
  <w:style w:type="character" w:customStyle="1" w:styleId="477">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8">
    <w:name w:val="font3"/>
    <w:basedOn w:val="82"/>
    <w:qFormat/>
    <w:uiPriority w:val="0"/>
  </w:style>
  <w:style w:type="character" w:customStyle="1" w:styleId="479">
    <w:name w:val="Heading 4 Char"/>
    <w:qFormat/>
    <w:locked/>
    <w:uiPriority w:val="0"/>
    <w:rPr>
      <w:rFonts w:ascii="Cambria" w:hAnsi="Cambria" w:eastAsia="黑体" w:cs="Times New Roman"/>
      <w:b/>
      <w:bCs/>
      <w:sz w:val="28"/>
      <w:szCs w:val="28"/>
    </w:rPr>
  </w:style>
  <w:style w:type="character" w:customStyle="1" w:styleId="480">
    <w:name w:val="tx1"/>
    <w:qFormat/>
    <w:uiPriority w:val="0"/>
    <w:rPr>
      <w:b/>
    </w:rPr>
  </w:style>
  <w:style w:type="character" w:customStyle="1" w:styleId="481">
    <w:name w:val="标书正文:  0.74 厘米 Char"/>
    <w:link w:val="225"/>
    <w:qFormat/>
    <w:uiPriority w:val="0"/>
    <w:rPr>
      <w:rFonts w:eastAsia="宋体"/>
      <w:kern w:val="2"/>
      <w:sz w:val="24"/>
      <w:lang w:val="en-US" w:eastAsia="zh-CN" w:bidi="ar-SA"/>
    </w:rPr>
  </w:style>
  <w:style w:type="character" w:customStyle="1" w:styleId="482">
    <w:name w:val="标题 1 Char Char"/>
    <w:qFormat/>
    <w:uiPriority w:val="0"/>
    <w:rPr>
      <w:rFonts w:eastAsia="宋体"/>
      <w:b/>
      <w:spacing w:val="-2"/>
      <w:sz w:val="24"/>
      <w:lang w:val="en-US" w:eastAsia="zh-CN" w:bidi="ar-SA"/>
    </w:rPr>
  </w:style>
  <w:style w:type="character" w:customStyle="1" w:styleId="483">
    <w:name w:val="标题 2 Char"/>
    <w:link w:val="4"/>
    <w:qFormat/>
    <w:uiPriority w:val="0"/>
    <w:rPr>
      <w:b/>
      <w:kern w:val="2"/>
      <w:sz w:val="32"/>
    </w:rPr>
  </w:style>
  <w:style w:type="character" w:customStyle="1" w:styleId="484">
    <w:name w:val="title_emph1"/>
    <w:qFormat/>
    <w:uiPriority w:val="0"/>
    <w:rPr>
      <w:rFonts w:hint="default" w:ascii="Arial" w:hAnsi="Arial"/>
      <w:b/>
      <w:sz w:val="18"/>
    </w:rPr>
  </w:style>
  <w:style w:type="character" w:customStyle="1" w:styleId="485">
    <w:name w:val="标题 1 Char1"/>
    <w:link w:val="3"/>
    <w:qFormat/>
    <w:uiPriority w:val="0"/>
    <w:rPr>
      <w:rFonts w:ascii="宋体"/>
      <w:color w:val="000000"/>
      <w:sz w:val="36"/>
    </w:rPr>
  </w:style>
  <w:style w:type="character" w:customStyle="1" w:styleId="486">
    <w:name w:val="Heading 1 Char"/>
    <w:qFormat/>
    <w:locked/>
    <w:uiPriority w:val="0"/>
    <w:rPr>
      <w:rFonts w:ascii="Times New Roman" w:hAnsi="Times New Roman" w:eastAsia="宋体" w:cs="Times New Roman"/>
      <w:b/>
      <w:bCs/>
      <w:kern w:val="44"/>
      <w:sz w:val="44"/>
      <w:szCs w:val="44"/>
    </w:rPr>
  </w:style>
  <w:style w:type="character" w:customStyle="1" w:styleId="487">
    <w:name w:val="textfont1"/>
    <w:qFormat/>
    <w:uiPriority w:val="0"/>
    <w:rPr>
      <w:spacing w:val="31680"/>
      <w:sz w:val="26"/>
    </w:rPr>
  </w:style>
  <w:style w:type="character" w:customStyle="1" w:styleId="488">
    <w:name w:val="font101"/>
    <w:basedOn w:val="82"/>
    <w:qFormat/>
    <w:uiPriority w:val="0"/>
    <w:rPr>
      <w:rFonts w:hint="default" w:ascii="Arial" w:hAnsi="Arial" w:cs="Arial"/>
      <w:color w:val="000000"/>
      <w:sz w:val="22"/>
      <w:szCs w:val="22"/>
      <w:u w:val="none"/>
    </w:rPr>
  </w:style>
  <w:style w:type="character" w:customStyle="1" w:styleId="489">
    <w:name w:val="Normal Indent Char"/>
    <w:qFormat/>
    <w:locked/>
    <w:uiPriority w:val="0"/>
    <w:rPr>
      <w:rFonts w:ascii="Times New Roman" w:hAnsi="Times New Roman"/>
    </w:rPr>
  </w:style>
  <w:style w:type="character" w:customStyle="1" w:styleId="490">
    <w:name w:val="pi1"/>
    <w:qFormat/>
    <w:uiPriority w:val="0"/>
    <w:rPr>
      <w:color w:val="0000FF"/>
    </w:rPr>
  </w:style>
  <w:style w:type="character" w:customStyle="1" w:styleId="491">
    <w:name w:val="b titlename wangputoptitle"/>
    <w:qFormat/>
    <w:uiPriority w:val="0"/>
  </w:style>
  <w:style w:type="character" w:customStyle="1" w:styleId="492">
    <w:name w:val="正文缩进4"/>
    <w:qFormat/>
    <w:uiPriority w:val="0"/>
    <w:rPr>
      <w:rFonts w:eastAsia="宋体"/>
      <w:sz w:val="24"/>
      <w:lang w:val="en-US" w:eastAsia="zh-CN"/>
    </w:rPr>
  </w:style>
  <w:style w:type="character" w:customStyle="1" w:styleId="493">
    <w:name w:val="样式5 Char"/>
    <w:link w:val="246"/>
    <w:qFormat/>
    <w:uiPriority w:val="0"/>
    <w:rPr>
      <w:rFonts w:ascii="宋体" w:hAnsi="宋体" w:eastAsia="宋体"/>
      <w:b/>
      <w:bCs/>
      <w:color w:val="000000"/>
      <w:kern w:val="44"/>
      <w:sz w:val="28"/>
      <w:szCs w:val="32"/>
      <w:lang w:val="en-US" w:eastAsia="zh-CN" w:bidi="ar-SA"/>
    </w:rPr>
  </w:style>
  <w:style w:type="character" w:customStyle="1" w:styleId="494">
    <w:name w:val="Date Char"/>
    <w:qFormat/>
    <w:locked/>
    <w:uiPriority w:val="0"/>
    <w:rPr>
      <w:rFonts w:ascii="楷体_GB2312" w:eastAsia="楷体_GB2312" w:cs="Times New Roman"/>
      <w:sz w:val="32"/>
    </w:rPr>
  </w:style>
  <w:style w:type="character" w:customStyle="1" w:styleId="495">
    <w:name w:val="Header Char"/>
    <w:qFormat/>
    <w:locked/>
    <w:uiPriority w:val="0"/>
    <w:rPr>
      <w:rFonts w:cs="Times New Roman"/>
      <w:sz w:val="18"/>
      <w:szCs w:val="18"/>
    </w:rPr>
  </w:style>
  <w:style w:type="character" w:customStyle="1" w:styleId="496">
    <w:name w:val="unnamed51"/>
    <w:qFormat/>
    <w:uiPriority w:val="0"/>
    <w:rPr>
      <w:sz w:val="22"/>
      <w:szCs w:val="22"/>
    </w:rPr>
  </w:style>
  <w:style w:type="character" w:customStyle="1" w:styleId="497">
    <w:name w:val="H6 Char"/>
    <w:qFormat/>
    <w:uiPriority w:val="0"/>
    <w:rPr>
      <w:rFonts w:ascii="Arial" w:hAnsi="Arial" w:eastAsia="黑体"/>
      <w:b/>
      <w:kern w:val="2"/>
      <w:sz w:val="24"/>
      <w:lang w:val="en-US" w:eastAsia="zh-CN" w:bidi="ar-SA"/>
    </w:rPr>
  </w:style>
  <w:style w:type="character" w:customStyle="1" w:styleId="498">
    <w:name w:val="正文缩进 Char"/>
    <w:link w:val="20"/>
    <w:qFormat/>
    <w:uiPriority w:val="0"/>
    <w:rPr>
      <w:rFonts w:eastAsia="宋体"/>
      <w:kern w:val="2"/>
      <w:sz w:val="21"/>
      <w:lang w:val="en-US" w:eastAsia="zh-CN"/>
    </w:rPr>
  </w:style>
  <w:style w:type="character" w:customStyle="1" w:styleId="499">
    <w:name w:val="font122"/>
    <w:basedOn w:val="82"/>
    <w:qFormat/>
    <w:uiPriority w:val="0"/>
    <w:rPr>
      <w:rFonts w:hint="eastAsia" w:ascii="宋体" w:hAnsi="宋体" w:eastAsia="宋体" w:cs="宋体"/>
      <w:color w:val="000000"/>
      <w:sz w:val="22"/>
      <w:szCs w:val="22"/>
      <w:u w:val="none"/>
    </w:rPr>
  </w:style>
  <w:style w:type="character" w:customStyle="1" w:styleId="500">
    <w:name w:val="sony121"/>
    <w:qFormat/>
    <w:uiPriority w:val="0"/>
    <w:rPr>
      <w:rFonts w:hint="eastAsia" w:ascii="宋体" w:hAnsi="宋体" w:eastAsia="宋体"/>
      <w:sz w:val="18"/>
      <w:szCs w:val="18"/>
    </w:rPr>
  </w:style>
  <w:style w:type="character" w:customStyle="1" w:styleId="501">
    <w:name w:val="t1"/>
    <w:qFormat/>
    <w:uiPriority w:val="0"/>
    <w:rPr>
      <w:color w:val="990000"/>
    </w:rPr>
  </w:style>
  <w:style w:type="character" w:customStyle="1" w:styleId="502">
    <w:name w:val="文档结构图 Char"/>
    <w:link w:val="25"/>
    <w:qFormat/>
    <w:uiPriority w:val="0"/>
    <w:rPr>
      <w:kern w:val="2"/>
      <w:sz w:val="24"/>
      <w:shd w:val="clear" w:color="auto" w:fill="000080"/>
    </w:rPr>
  </w:style>
  <w:style w:type="character" w:customStyle="1" w:styleId="503">
    <w:name w:val=" Char Char11"/>
    <w:qFormat/>
    <w:uiPriority w:val="0"/>
    <w:rPr>
      <w:sz w:val="18"/>
      <w:szCs w:val="18"/>
    </w:rPr>
  </w:style>
  <w:style w:type="character" w:customStyle="1" w:styleId="504">
    <w:name w:val="NormalCharacter"/>
    <w:semiHidden/>
    <w:qFormat/>
    <w:uiPriority w:val="0"/>
  </w:style>
  <w:style w:type="character" w:customStyle="1" w:styleId="505">
    <w:name w:val="highlight1"/>
    <w:qFormat/>
    <w:uiPriority w:val="0"/>
    <w:rPr>
      <w:sz w:val="21"/>
    </w:rPr>
  </w:style>
  <w:style w:type="character" w:customStyle="1" w:styleId="506">
    <w:name w:val="抬头 Char"/>
    <w:qFormat/>
    <w:uiPriority w:val="0"/>
    <w:rPr>
      <w:rFonts w:eastAsia="宋体"/>
      <w:sz w:val="30"/>
      <w:szCs w:val="30"/>
      <w:lang w:val="en-US" w:eastAsia="zh-CN" w:bidi="ar-SA"/>
    </w:rPr>
  </w:style>
  <w:style w:type="character" w:customStyle="1" w:styleId="507">
    <w:name w:val="样式1 Char"/>
    <w:link w:val="213"/>
    <w:qFormat/>
    <w:uiPriority w:val="0"/>
    <w:rPr>
      <w:rFonts w:ascii="宋体" w:hAnsi="宋体" w:eastAsia="宋体"/>
      <w:b/>
      <w:bCs/>
      <w:kern w:val="2"/>
      <w:sz w:val="44"/>
      <w:szCs w:val="24"/>
      <w:lang w:val="en-US" w:eastAsia="zh-CN" w:bidi="ar-SA"/>
    </w:rPr>
  </w:style>
  <w:style w:type="character" w:customStyle="1" w:styleId="508">
    <w:name w:val="标段 Char"/>
    <w:qFormat/>
    <w:uiPriority w:val="0"/>
    <w:rPr>
      <w:rFonts w:ascii="宋体" w:hAnsi="宋体" w:eastAsia="宋体"/>
      <w:sz w:val="24"/>
      <w:szCs w:val="21"/>
      <w:u w:val="thick"/>
      <w:lang w:val="en-US" w:eastAsia="zh-CN" w:bidi="ar-SA"/>
    </w:rPr>
  </w:style>
  <w:style w:type="character" w:customStyle="1" w:styleId="509">
    <w:name w:val="普通(网站) Char"/>
    <w:link w:val="75"/>
    <w:qFormat/>
    <w:uiPriority w:val="0"/>
    <w:rPr>
      <w:rFonts w:ascii="宋体" w:hAnsi="宋体"/>
      <w:sz w:val="22"/>
    </w:rPr>
  </w:style>
  <w:style w:type="character" w:customStyle="1" w:styleId="510">
    <w:name w:val="正文文本缩进字符"/>
    <w:qFormat/>
    <w:uiPriority w:val="0"/>
    <w:rPr>
      <w:rFonts w:ascii="宋体"/>
      <w:kern w:val="2"/>
      <w:sz w:val="24"/>
    </w:rPr>
  </w:style>
  <w:style w:type="character" w:customStyle="1" w:styleId="511">
    <w:name w:val="标题 4 Char Char"/>
    <w:qFormat/>
    <w:uiPriority w:val="0"/>
    <w:rPr>
      <w:rFonts w:ascii="Arial" w:hAnsi="Arial" w:eastAsia="黑体"/>
      <w:b/>
      <w:kern w:val="2"/>
      <w:sz w:val="28"/>
      <w:lang w:val="en-US" w:eastAsia="zh-CN"/>
    </w:rPr>
  </w:style>
  <w:style w:type="character" w:customStyle="1" w:styleId="512">
    <w:name w:val=" Char Char14"/>
    <w:qFormat/>
    <w:uiPriority w:val="0"/>
    <w:rPr>
      <w:rFonts w:ascii="Times New Roman" w:hAnsi="Times New Roman" w:eastAsia="仿宋_GB2312"/>
      <w:b/>
      <w:bCs/>
      <w:kern w:val="44"/>
      <w:sz w:val="30"/>
      <w:szCs w:val="44"/>
    </w:rPr>
  </w:style>
  <w:style w:type="character" w:customStyle="1" w:styleId="513">
    <w:name w:val="Char Char1"/>
    <w:qFormat/>
    <w:uiPriority w:val="0"/>
    <w:rPr>
      <w:kern w:val="2"/>
      <w:sz w:val="21"/>
      <w:szCs w:val="24"/>
    </w:rPr>
  </w:style>
  <w:style w:type="character" w:customStyle="1" w:styleId="514">
    <w:name w:val="font51"/>
    <w:basedOn w:val="82"/>
    <w:qFormat/>
    <w:uiPriority w:val="0"/>
    <w:rPr>
      <w:rFonts w:hint="eastAsia" w:ascii="宋体" w:hAnsi="宋体" w:eastAsia="宋体" w:cs="宋体"/>
      <w:b/>
      <w:color w:val="000000"/>
      <w:sz w:val="24"/>
      <w:szCs w:val="24"/>
      <w:u w:val="none"/>
    </w:rPr>
  </w:style>
  <w:style w:type="character" w:customStyle="1" w:styleId="515">
    <w:name w:val="ask-title2"/>
    <w:basedOn w:val="82"/>
    <w:qFormat/>
    <w:uiPriority w:val="0"/>
  </w:style>
  <w:style w:type="character" w:customStyle="1" w:styleId="516">
    <w:name w:val="页眉 Char"/>
    <w:link w:val="53"/>
    <w:qFormat/>
    <w:uiPriority w:val="99"/>
    <w:rPr>
      <w:sz w:val="18"/>
    </w:rPr>
  </w:style>
  <w:style w:type="character" w:customStyle="1" w:styleId="517">
    <w:name w:val="首行缩进:  2 字符 Char Char"/>
    <w:link w:val="248"/>
    <w:qFormat/>
    <w:uiPriority w:val="0"/>
    <w:rPr>
      <w:rFonts w:eastAsia="仿宋_GB2312" w:cs="宋体"/>
      <w:sz w:val="24"/>
      <w:lang w:val="en-US" w:eastAsia="zh-CN" w:bidi="ar-SA"/>
    </w:rPr>
  </w:style>
  <w:style w:type="character" w:customStyle="1" w:styleId="518">
    <w:name w:val="日期 Char"/>
    <w:link w:val="47"/>
    <w:qFormat/>
    <w:uiPriority w:val="99"/>
    <w:rPr>
      <w:rFonts w:ascii="楷体_GB2312" w:eastAsia="楷体_GB2312"/>
      <w:sz w:val="32"/>
    </w:rPr>
  </w:style>
  <w:style w:type="character" w:customStyle="1" w:styleId="519">
    <w:name w:val="ns1"/>
    <w:qFormat/>
    <w:uiPriority w:val="0"/>
    <w:rPr>
      <w:color w:val="FF0000"/>
    </w:rPr>
  </w:style>
  <w:style w:type="character" w:customStyle="1" w:styleId="520">
    <w:name w:val="m1"/>
    <w:qFormat/>
    <w:uiPriority w:val="0"/>
    <w:rPr>
      <w:color w:val="0000FF"/>
    </w:rPr>
  </w:style>
  <w:style w:type="character" w:customStyle="1" w:styleId="521">
    <w:name w:val="标题 7 Char"/>
    <w:link w:val="10"/>
    <w:qFormat/>
    <w:uiPriority w:val="0"/>
    <w:rPr>
      <w:rFonts w:eastAsia="宋体"/>
      <w:b/>
      <w:kern w:val="2"/>
      <w:sz w:val="24"/>
      <w:lang w:val="en-US" w:eastAsia="zh-CN" w:bidi="ar-SA"/>
    </w:rPr>
  </w:style>
  <w:style w:type="character" w:customStyle="1" w:styleId="522">
    <w:name w:val=" Char Char8"/>
    <w:qFormat/>
    <w:uiPriority w:val="0"/>
    <w:rPr>
      <w:rFonts w:ascii="Times New Roman" w:hAnsi="Times New Roman"/>
      <w:kern w:val="2"/>
      <w:sz w:val="24"/>
      <w:szCs w:val="21"/>
    </w:rPr>
  </w:style>
  <w:style w:type="character" w:customStyle="1" w:styleId="523">
    <w:name w:val="正文文本样式 Char"/>
    <w:link w:val="150"/>
    <w:qFormat/>
    <w:uiPriority w:val="0"/>
    <w:rPr>
      <w:rFonts w:ascii="Arial" w:hAnsi="Arial"/>
      <w:kern w:val="2"/>
      <w:sz w:val="24"/>
      <w:szCs w:val="22"/>
      <w:lang w:val="en-US" w:eastAsia="zh-CN" w:bidi="ar-SA"/>
    </w:rPr>
  </w:style>
  <w:style w:type="character" w:customStyle="1" w:styleId="524">
    <w:name w:val="页脚 Char"/>
    <w:link w:val="51"/>
    <w:qFormat/>
    <w:uiPriority w:val="99"/>
    <w:rPr>
      <w:kern w:val="2"/>
      <w:sz w:val="18"/>
    </w:rPr>
  </w:style>
  <w:style w:type="character" w:customStyle="1" w:styleId="525">
    <w:name w:val="标题 8 Char"/>
    <w:link w:val="11"/>
    <w:qFormat/>
    <w:uiPriority w:val="0"/>
    <w:rPr>
      <w:rFonts w:ascii="Arial" w:hAnsi="Arial" w:eastAsia="黑体"/>
      <w:kern w:val="2"/>
      <w:sz w:val="24"/>
      <w:lang w:val="en-US" w:eastAsia="zh-CN" w:bidi="ar-SA"/>
    </w:rPr>
  </w:style>
  <w:style w:type="character" w:customStyle="1" w:styleId="526">
    <w:name w:val="标题 6 Char"/>
    <w:link w:val="9"/>
    <w:qFormat/>
    <w:uiPriority w:val="0"/>
    <w:rPr>
      <w:rFonts w:ascii="Arial" w:hAnsi="Arial" w:eastAsia="黑体"/>
      <w:kern w:val="2"/>
      <w:sz w:val="24"/>
    </w:rPr>
  </w:style>
  <w:style w:type="character" w:customStyle="1" w:styleId="527">
    <w:name w:val="正文文本缩进 2 Char"/>
    <w:link w:val="48"/>
    <w:qFormat/>
    <w:uiPriority w:val="0"/>
    <w:rPr>
      <w:rFonts w:ascii="Arial" w:hAnsi="Arial" w:eastAsia="LineDraw"/>
      <w:kern w:val="2"/>
      <w:sz w:val="24"/>
    </w:rPr>
  </w:style>
  <w:style w:type="character" w:customStyle="1" w:styleId="528">
    <w:name w:val="标题一 Char"/>
    <w:qFormat/>
    <w:uiPriority w:val="0"/>
    <w:rPr>
      <w:rFonts w:ascii="宋体" w:hAnsi="宋体" w:eastAsia="宋体"/>
      <w:b/>
      <w:sz w:val="28"/>
      <w:szCs w:val="21"/>
      <w:lang w:val="en-US" w:eastAsia="zh-CN" w:bidi="ar-SA"/>
    </w:rPr>
  </w:style>
  <w:style w:type="character" w:customStyle="1" w:styleId="529">
    <w:name w:val="题注 Char"/>
    <w:link w:val="21"/>
    <w:qFormat/>
    <w:uiPriority w:val="0"/>
    <w:rPr>
      <w:rFonts w:ascii="Arial" w:hAnsi="Arial" w:eastAsia="黑体"/>
      <w:spacing w:val="10"/>
      <w:kern w:val="2"/>
    </w:rPr>
  </w:style>
  <w:style w:type="character" w:customStyle="1" w:styleId="530">
    <w:name w:val="正文首行缩进 Char"/>
    <w:link w:val="33"/>
    <w:qFormat/>
    <w:uiPriority w:val="0"/>
    <w:rPr>
      <w:kern w:val="2"/>
      <w:sz w:val="24"/>
    </w:rPr>
  </w:style>
  <w:style w:type="character" w:customStyle="1" w:styleId="531">
    <w:name w:val="标题 4 Char"/>
    <w:link w:val="6"/>
    <w:qFormat/>
    <w:uiPriority w:val="0"/>
    <w:rPr>
      <w:b/>
      <w:kern w:val="2"/>
      <w:sz w:val="28"/>
    </w:rPr>
  </w:style>
  <w:style w:type="character" w:customStyle="1" w:styleId="532">
    <w:name w:val="标题 5 Char"/>
    <w:link w:val="7"/>
    <w:qFormat/>
    <w:uiPriority w:val="0"/>
    <w:rPr>
      <w:b/>
      <w:kern w:val="2"/>
      <w:sz w:val="24"/>
    </w:rPr>
  </w:style>
  <w:style w:type="character" w:customStyle="1" w:styleId="533">
    <w:name w:val="批注文字 Char"/>
    <w:link w:val="27"/>
    <w:qFormat/>
    <w:uiPriority w:val="0"/>
    <w:rPr>
      <w:kern w:val="2"/>
      <w:sz w:val="24"/>
    </w:rPr>
  </w:style>
  <w:style w:type="character" w:customStyle="1" w:styleId="534">
    <w:name w:val="批注框文本 Char"/>
    <w:link w:val="50"/>
    <w:semiHidden/>
    <w:qFormat/>
    <w:uiPriority w:val="99"/>
    <w:rPr>
      <w:rFonts w:ascii="宋体" w:eastAsia="宋体"/>
      <w:color w:val="FF0000"/>
      <w:kern w:val="2"/>
      <w:sz w:val="24"/>
      <w:lang w:val="en-US" w:eastAsia="zh-CN" w:bidi="ar-SA"/>
    </w:rPr>
  </w:style>
  <w:style w:type="character" w:customStyle="1" w:styleId="535">
    <w:name w:val="特点标题 Char"/>
    <w:qFormat/>
    <w:uiPriority w:val="0"/>
    <w:rPr>
      <w:rFonts w:ascii="宋体"/>
      <w:kern w:val="2"/>
      <w:sz w:val="24"/>
    </w:rPr>
  </w:style>
  <w:style w:type="character" w:customStyle="1" w:styleId="536">
    <w:name w:val=" Char Char Char Char Char Char Char Char Char"/>
    <w:link w:val="253"/>
    <w:qFormat/>
    <w:uiPriority w:val="0"/>
    <w:rPr>
      <w:rFonts w:ascii="宋体" w:eastAsia="宋体"/>
      <w:color w:val="FF0000"/>
      <w:sz w:val="24"/>
      <w:lang w:val="en-US" w:eastAsia="zh-CN"/>
    </w:rPr>
  </w:style>
  <w:style w:type="character" w:customStyle="1" w:styleId="537">
    <w:name w:val="标题 3 Char"/>
    <w:qFormat/>
    <w:uiPriority w:val="0"/>
    <w:rPr>
      <w:rFonts w:hint="eastAsia" w:ascii="宋体" w:hAnsi="宋体" w:eastAsia="宋体"/>
      <w:b/>
      <w:bCs/>
      <w:kern w:val="2"/>
      <w:sz w:val="21"/>
      <w:szCs w:val="32"/>
      <w:lang w:val="en-US" w:eastAsia="zh-CN" w:bidi="ar-SA"/>
    </w:rPr>
  </w:style>
  <w:style w:type="character" w:customStyle="1" w:styleId="538">
    <w:name w:val="p12"/>
    <w:basedOn w:val="82"/>
    <w:qFormat/>
    <w:uiPriority w:val="0"/>
  </w:style>
  <w:style w:type="character" w:customStyle="1" w:styleId="539">
    <w:name w:val="Heading 3 Char"/>
    <w:qFormat/>
    <w:locked/>
    <w:uiPriority w:val="0"/>
    <w:rPr>
      <w:rFonts w:ascii="Times New Roman" w:hAnsi="Times New Roman" w:eastAsia="黑体" w:cs="Times New Roman"/>
      <w:b/>
      <w:bCs/>
      <w:sz w:val="32"/>
      <w:szCs w:val="32"/>
    </w:rPr>
  </w:style>
  <w:style w:type="character" w:customStyle="1" w:styleId="540">
    <w:name w:val="text_121"/>
    <w:qFormat/>
    <w:uiPriority w:val="0"/>
    <w:rPr>
      <w:rFonts w:hint="default" w:ascii="sө_x0002_" w:hAnsi="sө_x0002_"/>
      <w:color w:val="000000"/>
      <w:sz w:val="15"/>
      <w:szCs w:val="15"/>
    </w:rPr>
  </w:style>
  <w:style w:type="character" w:customStyle="1" w:styleId="541">
    <w:name w:val="正文样式 Char"/>
    <w:link w:val="319"/>
    <w:qFormat/>
    <w:uiPriority w:val="0"/>
    <w:rPr>
      <w:rFonts w:eastAsia="宋体" w:cs="宋体"/>
      <w:kern w:val="2"/>
      <w:sz w:val="21"/>
      <w:lang w:val="en-US" w:eastAsia="zh-CN" w:bidi="ar-SA"/>
    </w:rPr>
  </w:style>
  <w:style w:type="character" w:customStyle="1" w:styleId="542">
    <w:name w:val=" Char Char12"/>
    <w:qFormat/>
    <w:uiPriority w:val="0"/>
    <w:rPr>
      <w:sz w:val="18"/>
      <w:szCs w:val="18"/>
    </w:rPr>
  </w:style>
  <w:style w:type="character" w:customStyle="1" w:styleId="543">
    <w:name w:val="font111"/>
    <w:basedOn w:val="82"/>
    <w:qFormat/>
    <w:uiPriority w:val="0"/>
    <w:rPr>
      <w:rFonts w:hint="eastAsia" w:ascii="黑体" w:hAnsi="宋体" w:eastAsia="黑体" w:cs="黑体"/>
      <w:color w:val="000000"/>
      <w:sz w:val="22"/>
      <w:szCs w:val="22"/>
      <w:u w:val="none"/>
    </w:rPr>
  </w:style>
  <w:style w:type="character" w:customStyle="1" w:styleId="544">
    <w:name w:val="font151"/>
    <w:basedOn w:val="82"/>
    <w:qFormat/>
    <w:uiPriority w:val="0"/>
    <w:rPr>
      <w:rFonts w:hint="default" w:ascii="Calibri" w:hAnsi="Calibri" w:cs="Calibri"/>
      <w:color w:val="000000"/>
      <w:sz w:val="22"/>
      <w:szCs w:val="22"/>
      <w:u w:val="none"/>
    </w:rPr>
  </w:style>
  <w:style w:type="character" w:customStyle="1" w:styleId="545">
    <w:name w:val="font141"/>
    <w:basedOn w:val="82"/>
    <w:qFormat/>
    <w:uiPriority w:val="0"/>
    <w:rPr>
      <w:rFonts w:hint="eastAsia" w:ascii="黑体" w:hAnsi="宋体" w:eastAsia="黑体" w:cs="黑体"/>
      <w:color w:val="000000"/>
      <w:sz w:val="22"/>
      <w:szCs w:val="22"/>
      <w:u w:val="none"/>
    </w:rPr>
  </w:style>
  <w:style w:type="character" w:customStyle="1" w:styleId="546">
    <w:name w:val="font91"/>
    <w:basedOn w:val="82"/>
    <w:qFormat/>
    <w:uiPriority w:val="0"/>
    <w:rPr>
      <w:rFonts w:ascii="Segoe UI Symbol" w:hAnsi="Segoe UI Symbol" w:eastAsia="Segoe UI Symbol" w:cs="Segoe UI Symbol"/>
      <w:color w:val="000000"/>
      <w:sz w:val="22"/>
      <w:szCs w:val="22"/>
      <w:u w:val="none"/>
    </w:rPr>
  </w:style>
  <w:style w:type="paragraph" w:customStyle="1" w:styleId="547">
    <w:name w:val="list number ＋left spaceing"/>
    <w:basedOn w:val="19"/>
    <w:qFormat/>
    <w:uiPriority w:val="0"/>
    <w:pPr>
      <w:widowControl/>
      <w:tabs>
        <w:tab w:val="left" w:pos="360"/>
      </w:tabs>
      <w:spacing w:line="360" w:lineRule="auto"/>
      <w:ind w:left="0"/>
      <w:jc w:val="left"/>
    </w:pPr>
    <w:rPr>
      <w:rFonts w:ascii="Times New Roman" w:hAnsi="Times New Roman" w:eastAsia="宋体" w:cs="Times New Roman"/>
      <w:kern w:val="0"/>
    </w:rPr>
  </w:style>
  <w:style w:type="character" w:customStyle="1" w:styleId="548">
    <w:name w:val="font61"/>
    <w:basedOn w:val="82"/>
    <w:qFormat/>
    <w:uiPriority w:val="0"/>
    <w:rPr>
      <w:rFonts w:hint="eastAsia" w:ascii="宋体" w:hAnsi="宋体" w:eastAsia="宋体" w:cs="宋体"/>
      <w:color w:val="000000"/>
      <w:sz w:val="21"/>
      <w:szCs w:val="21"/>
      <w:u w:val="none"/>
    </w:rPr>
  </w:style>
  <w:style w:type="character" w:customStyle="1" w:styleId="549">
    <w:name w:val="font41"/>
    <w:basedOn w:val="82"/>
    <w:qFormat/>
    <w:uiPriority w:val="0"/>
    <w:rPr>
      <w:rFonts w:hint="eastAsia" w:ascii="宋体" w:hAnsi="宋体" w:eastAsia="宋体" w:cs="宋体"/>
      <w:bCs/>
      <w:color w:val="000000"/>
      <w:sz w:val="18"/>
      <w:szCs w:val="18"/>
      <w:u w:val="none"/>
    </w:rPr>
  </w:style>
  <w:style w:type="paragraph" w:customStyle="1" w:styleId="550">
    <w:name w:val="Body Text First Indent 2"/>
    <w:basedOn w:val="55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51">
    <w:name w:val="Body Text Indent1"/>
    <w:basedOn w:val="1"/>
    <w:next w:val="1"/>
    <w:qFormat/>
    <w:uiPriority w:val="0"/>
    <w:pPr>
      <w:spacing w:after="120" w:afterLines="0"/>
      <w:ind w:left="420" w:leftChars="200"/>
    </w:pPr>
    <w:rPr>
      <w:color w:val="000000"/>
      <w:sz w:val="21"/>
      <w:szCs w:val="21"/>
    </w:rPr>
  </w:style>
  <w:style w:type="paragraph" w:customStyle="1" w:styleId="552">
    <w:name w:val="正文缩进1"/>
    <w:basedOn w:val="1"/>
    <w:next w:val="3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3">
    <w:name w:val="索引 11"/>
    <w:basedOn w:val="1"/>
    <w:next w:val="1"/>
    <w:qFormat/>
    <w:uiPriority w:val="99"/>
    <w:pPr>
      <w:adjustRightInd/>
      <w:spacing w:line="360" w:lineRule="auto"/>
    </w:pPr>
    <w:rPr>
      <w:rFonts w:ascii="仿宋_GB2312" w:eastAsia="仿宋_GB2312"/>
      <w:sz w:val="24"/>
      <w:szCs w:val="20"/>
    </w:rPr>
  </w:style>
  <w:style w:type="paragraph" w:customStyle="1" w:styleId="55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555">
    <w:name w:val="font81"/>
    <w:basedOn w:val="82"/>
    <w:qFormat/>
    <w:uiPriority w:val="0"/>
    <w:rPr>
      <w:rFonts w:ascii="Symbol" w:hAnsi="Symbol" w:cs="Symbol"/>
      <w:color w:val="000000"/>
      <w:sz w:val="22"/>
      <w:szCs w:val="22"/>
      <w:u w:val="none"/>
    </w:rPr>
  </w:style>
  <w:style w:type="paragraph" w:customStyle="1" w:styleId="556">
    <w:name w:val="表格内容"/>
    <w:basedOn w:val="1"/>
    <w:qFormat/>
    <w:uiPriority w:val="99"/>
    <w:pPr>
      <w:widowControl/>
      <w:jc w:val="center"/>
    </w:pPr>
    <w:rPr>
      <w:kern w:val="0"/>
      <w:sz w:val="24"/>
      <w:szCs w:val="28"/>
    </w:rPr>
  </w:style>
  <w:style w:type="paragraph" w:customStyle="1" w:styleId="557">
    <w:name w:val="章正文"/>
    <w:basedOn w:val="1"/>
    <w:qFormat/>
    <w:locked/>
    <w:uiPriority w:val="0"/>
    <w:pPr>
      <w:spacing w:beforeLines="50" w:after="120" w:line="300" w:lineRule="auto"/>
      <w:ind w:firstLine="480"/>
    </w:pPr>
    <w:rPr>
      <w:rFonts w:ascii="Helvetica" w:hAnsi="Helvetica"/>
      <w:kern w:val="0"/>
    </w:rPr>
  </w:style>
  <w:style w:type="character" w:customStyle="1" w:styleId="558">
    <w:name w:val="zbggmain style9"/>
    <w:qFormat/>
    <w:uiPriority w:val="0"/>
    <w:rPr>
      <w:rFonts w:ascii="Tahoma" w:hAnsi="Tahoma"/>
      <w:sz w:val="24"/>
      <w:szCs w:val="20"/>
    </w:rPr>
  </w:style>
  <w:style w:type="paragraph" w:customStyle="1" w:styleId="559">
    <w:name w:val="纯文本_0_0"/>
    <w:basedOn w:val="1"/>
    <w:qFormat/>
    <w:uiPriority w:val="0"/>
    <w:pPr>
      <w:adjustRightInd/>
    </w:pPr>
    <w:rPr>
      <w:rFonts w:ascii="宋体" w:hAnsi="Courier New"/>
      <w:szCs w:val="21"/>
    </w:rPr>
  </w:style>
  <w:style w:type="paragraph" w:customStyle="1" w:styleId="560">
    <w:name w:val="列表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24656</Words>
  <Characters>26290</Characters>
  <Lines>228</Lines>
  <Paragraphs>64</Paragraphs>
  <TotalTime>177</TotalTime>
  <ScaleCrop>false</ScaleCrop>
  <LinksUpToDate>false</LinksUpToDate>
  <CharactersWithSpaces>26674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cp:lastModifiedBy>
  <cp:lastPrinted>2025-03-12T02:13:00Z</cp:lastPrinted>
  <dcterms:modified xsi:type="dcterms:W3CDTF">2025-07-01T07:36:34Z</dcterms:modified>
  <dc:title>sxwh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C5BE7648654E4A8C8A762A94FC90C088_13</vt:lpwstr>
  </property>
  <property fmtid="{D5CDD505-2E9C-101B-9397-08002B2CF9AE}" pid="4" name="KSOTemplateDocerSaveRecord">
    <vt:lpwstr>eyJoZGlkIjoiNTNlMGI4NTI4ZDQxNzNlYzdhMGZhNDViOTUwZGJiMGIiLCJ1c2VySWQiOiIxMTYwNjM0ODM0In0=</vt:lpwstr>
  </property>
</Properties>
</file>