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4DB3B">
      <w:pPr>
        <w:autoSpaceDE/>
        <w:autoSpaceDN/>
        <w:jc w:val="center"/>
        <w:rPr>
          <w:rFonts w:ascii="宋体" w:hAnsi="宋体" w:cs="宋体"/>
          <w:b/>
          <w:bCs/>
          <w:color w:val="000000" w:themeColor="text1"/>
          <w:sz w:val="72"/>
          <w:szCs w:val="72"/>
          <w:highlight w:val="none"/>
          <w14:textFill>
            <w14:solidFill>
              <w14:schemeClr w14:val="tx1"/>
            </w14:solidFill>
          </w14:textFill>
        </w:rPr>
      </w:pPr>
      <w:bookmarkStart w:id="41" w:name="_GoBack"/>
      <w:r>
        <w:rPr>
          <w:rFonts w:hint="eastAsia" w:ascii="宋体" w:hAnsi="宋体" w:cs="宋体"/>
          <w:b/>
          <w:bCs/>
          <w:color w:val="000000" w:themeColor="text1"/>
          <w:sz w:val="72"/>
          <w:szCs w:val="72"/>
          <w:highlight w:val="none"/>
          <w14:textFill>
            <w14:solidFill>
              <w14:schemeClr w14:val="tx1"/>
            </w14:solidFill>
          </w14:textFill>
        </w:rPr>
        <w:t>诸暨市八方混凝土建材有限公司2025-2027年混凝土（砂浆）运输、泵送业务采购项目</w:t>
      </w:r>
    </w:p>
    <w:p w14:paraId="39207ABB">
      <w:pPr>
        <w:autoSpaceDE/>
        <w:autoSpaceDN/>
        <w:jc w:val="center"/>
        <w:rPr>
          <w:rFonts w:ascii="黑体" w:eastAsia="黑体" w:cs="黑体"/>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（编号：</w:t>
      </w:r>
      <w:r>
        <w:rPr>
          <w:rFonts w:hint="eastAsia" w:ascii="黑体" w:eastAsia="黑体" w:cs="黑体"/>
          <w:color w:val="000000" w:themeColor="text1"/>
          <w:sz w:val="32"/>
          <w:szCs w:val="32"/>
          <w:highlight w:val="none"/>
          <w14:textFill>
            <w14:solidFill>
              <w14:schemeClr w14:val="tx1"/>
            </w14:solidFill>
          </w14:textFill>
        </w:rPr>
        <w:t>浙江诚远ZJ2025-06-24</w:t>
      </w:r>
      <w:r>
        <w:rPr>
          <w:rFonts w:hint="eastAsia" w:ascii="黑体" w:eastAsia="黑体" w:cs="黑体"/>
          <w:color w:val="000000" w:themeColor="text1"/>
          <w:sz w:val="32"/>
          <w:szCs w:val="32"/>
          <w:highlight w:val="none"/>
          <w14:textFill>
            <w14:solidFill>
              <w14:schemeClr w14:val="tx1"/>
            </w14:solidFill>
          </w14:textFill>
        </w:rPr>
        <w:t>）</w:t>
      </w:r>
    </w:p>
    <w:p w14:paraId="31E139B5">
      <w:pPr>
        <w:autoSpaceDE/>
        <w:autoSpaceDN/>
        <w:jc w:val="center"/>
        <w:rPr>
          <w:rFonts w:eastAsia="黑体"/>
          <w:color w:val="000000" w:themeColor="text1"/>
          <w:highlight w:val="none"/>
          <w14:textFill>
            <w14:solidFill>
              <w14:schemeClr w14:val="tx1"/>
            </w14:solidFill>
          </w14:textFill>
        </w:rPr>
      </w:pPr>
    </w:p>
    <w:p w14:paraId="48ADC8A0">
      <w:pPr>
        <w:autoSpaceDE/>
        <w:autoSpaceDN/>
        <w:jc w:val="center"/>
        <w:rPr>
          <w:b/>
          <w:bCs/>
          <w:color w:val="000000" w:themeColor="text1"/>
          <w:sz w:val="72"/>
          <w:szCs w:val="72"/>
          <w:highlight w:val="none"/>
          <w14:textFill>
            <w14:solidFill>
              <w14:schemeClr w14:val="tx1"/>
            </w14:solidFill>
          </w14:textFill>
        </w:rPr>
      </w:pPr>
      <w:r>
        <w:rPr>
          <w:rFonts w:hint="eastAsia" w:cs="宋体"/>
          <w:b/>
          <w:bCs/>
          <w:color w:val="000000" w:themeColor="text1"/>
          <w:sz w:val="72"/>
          <w:szCs w:val="72"/>
          <w:highlight w:val="none"/>
          <w14:textFill>
            <w14:solidFill>
              <w14:schemeClr w14:val="tx1"/>
            </w14:solidFill>
          </w14:textFill>
        </w:rPr>
        <w:t>招</w:t>
      </w:r>
    </w:p>
    <w:p w14:paraId="6EAC18D8">
      <w:pPr>
        <w:autoSpaceDE/>
        <w:autoSpaceDN/>
        <w:jc w:val="center"/>
        <w:rPr>
          <w:b/>
          <w:bCs/>
          <w:color w:val="000000" w:themeColor="text1"/>
          <w:sz w:val="72"/>
          <w:szCs w:val="72"/>
          <w:highlight w:val="none"/>
          <w14:textFill>
            <w14:solidFill>
              <w14:schemeClr w14:val="tx1"/>
            </w14:solidFill>
          </w14:textFill>
        </w:rPr>
      </w:pPr>
    </w:p>
    <w:p w14:paraId="370A9476">
      <w:pPr>
        <w:autoSpaceDE/>
        <w:autoSpaceDN/>
        <w:jc w:val="center"/>
        <w:rPr>
          <w:b/>
          <w:bCs/>
          <w:color w:val="000000" w:themeColor="text1"/>
          <w:sz w:val="72"/>
          <w:szCs w:val="72"/>
          <w:highlight w:val="none"/>
          <w14:textFill>
            <w14:solidFill>
              <w14:schemeClr w14:val="tx1"/>
            </w14:solidFill>
          </w14:textFill>
        </w:rPr>
      </w:pPr>
      <w:r>
        <w:rPr>
          <w:rFonts w:hint="eastAsia" w:cs="宋体"/>
          <w:b/>
          <w:bCs/>
          <w:color w:val="000000" w:themeColor="text1"/>
          <w:sz w:val="72"/>
          <w:szCs w:val="72"/>
          <w:highlight w:val="none"/>
          <w14:textFill>
            <w14:solidFill>
              <w14:schemeClr w14:val="tx1"/>
            </w14:solidFill>
          </w14:textFill>
        </w:rPr>
        <w:t>标</w:t>
      </w:r>
    </w:p>
    <w:p w14:paraId="52770814">
      <w:pPr>
        <w:autoSpaceDE/>
        <w:autoSpaceDN/>
        <w:jc w:val="center"/>
        <w:rPr>
          <w:b/>
          <w:bCs/>
          <w:color w:val="000000" w:themeColor="text1"/>
          <w:sz w:val="72"/>
          <w:szCs w:val="72"/>
          <w:highlight w:val="none"/>
          <w14:textFill>
            <w14:solidFill>
              <w14:schemeClr w14:val="tx1"/>
            </w14:solidFill>
          </w14:textFill>
        </w:rPr>
      </w:pPr>
    </w:p>
    <w:p w14:paraId="7683A0FB">
      <w:pPr>
        <w:autoSpaceDE/>
        <w:autoSpaceDN/>
        <w:jc w:val="center"/>
        <w:rPr>
          <w:b/>
          <w:bCs/>
          <w:color w:val="000000" w:themeColor="text1"/>
          <w:sz w:val="72"/>
          <w:szCs w:val="72"/>
          <w:highlight w:val="none"/>
          <w14:textFill>
            <w14:solidFill>
              <w14:schemeClr w14:val="tx1"/>
            </w14:solidFill>
          </w14:textFill>
        </w:rPr>
      </w:pPr>
      <w:r>
        <w:rPr>
          <w:rFonts w:hint="eastAsia" w:cs="宋体"/>
          <w:b/>
          <w:bCs/>
          <w:color w:val="000000" w:themeColor="text1"/>
          <w:sz w:val="72"/>
          <w:szCs w:val="72"/>
          <w:highlight w:val="none"/>
          <w14:textFill>
            <w14:solidFill>
              <w14:schemeClr w14:val="tx1"/>
            </w14:solidFill>
          </w14:textFill>
        </w:rPr>
        <w:t>文</w:t>
      </w:r>
    </w:p>
    <w:p w14:paraId="42ABBC58">
      <w:pPr>
        <w:autoSpaceDE/>
        <w:autoSpaceDN/>
        <w:jc w:val="center"/>
        <w:rPr>
          <w:b/>
          <w:bCs/>
          <w:color w:val="000000" w:themeColor="text1"/>
          <w:sz w:val="72"/>
          <w:szCs w:val="72"/>
          <w:highlight w:val="none"/>
          <w14:textFill>
            <w14:solidFill>
              <w14:schemeClr w14:val="tx1"/>
            </w14:solidFill>
          </w14:textFill>
        </w:rPr>
      </w:pPr>
    </w:p>
    <w:p w14:paraId="3B1B0980">
      <w:pPr>
        <w:autoSpaceDE/>
        <w:autoSpaceDN/>
        <w:jc w:val="center"/>
        <w:rPr>
          <w:rFonts w:ascii="楷体_GB2312" w:hAnsi="宋体" w:eastAsia="楷体_GB2312"/>
          <w:b/>
          <w:bCs/>
          <w:color w:val="000000" w:themeColor="text1"/>
          <w:spacing w:val="70"/>
          <w:w w:val="95"/>
          <w:sz w:val="72"/>
          <w:szCs w:val="72"/>
          <w:highlight w:val="none"/>
          <w14:textFill>
            <w14:solidFill>
              <w14:schemeClr w14:val="tx1"/>
            </w14:solidFill>
          </w14:textFill>
        </w:rPr>
      </w:pPr>
      <w:r>
        <w:rPr>
          <w:rFonts w:hint="eastAsia" w:cs="宋体"/>
          <w:b/>
          <w:bCs/>
          <w:color w:val="000000" w:themeColor="text1"/>
          <w:sz w:val="72"/>
          <w:szCs w:val="72"/>
          <w:highlight w:val="none"/>
          <w14:textFill>
            <w14:solidFill>
              <w14:schemeClr w14:val="tx1"/>
            </w14:solidFill>
          </w14:textFill>
        </w:rPr>
        <w:t>件</w:t>
      </w:r>
    </w:p>
    <w:p w14:paraId="4C4A3F53">
      <w:pPr>
        <w:pStyle w:val="15"/>
        <w:snapToGrid w:val="0"/>
        <w:spacing w:before="120" w:after="120" w:line="360" w:lineRule="auto"/>
        <w:rPr>
          <w:rFonts w:ascii="楷体_GB2312" w:hAnsi="宋体" w:eastAsia="楷体_GB2312"/>
          <w:b/>
          <w:bCs/>
          <w:color w:val="000000" w:themeColor="text1"/>
          <w:spacing w:val="70"/>
          <w:w w:val="95"/>
          <w:sz w:val="30"/>
          <w:szCs w:val="30"/>
          <w:highlight w:val="none"/>
          <w14:textFill>
            <w14:solidFill>
              <w14:schemeClr w14:val="tx1"/>
            </w14:solidFill>
          </w14:textFill>
        </w:rPr>
      </w:pPr>
      <w:r>
        <w:rPr>
          <w:rFonts w:hint="eastAsia" w:ascii="楷体_GB2312" w:hAnsi="宋体" w:eastAsia="楷体_GB2312"/>
          <w:b/>
          <w:bCs/>
          <w:color w:val="000000" w:themeColor="text1"/>
          <w:spacing w:val="70"/>
          <w:w w:val="95"/>
          <w:sz w:val="30"/>
          <w:szCs w:val="30"/>
          <w:highlight w:val="none"/>
          <w14:textFill>
            <w14:solidFill>
              <w14:schemeClr w14:val="tx1"/>
            </w14:solidFill>
          </w14:textFill>
        </w:rPr>
        <w:t xml:space="preserve">     </w:t>
      </w:r>
    </w:p>
    <w:p w14:paraId="023E0AF3">
      <w:pPr>
        <w:rPr>
          <w:color w:val="000000" w:themeColor="text1"/>
          <w:highlight w:val="none"/>
          <w14:textFill>
            <w14:solidFill>
              <w14:schemeClr w14:val="tx1"/>
            </w14:solidFill>
          </w14:textFill>
        </w:rPr>
      </w:pPr>
    </w:p>
    <w:p w14:paraId="5A26838B">
      <w:pPr>
        <w:pStyle w:val="15"/>
        <w:adjustRightInd w:val="0"/>
        <w:snapToGrid w:val="0"/>
        <w:spacing w:before="156" w:beforeLines="50" w:after="156" w:afterLines="50"/>
        <w:ind w:firstLine="426" w:firstLineChars="100"/>
        <w:rPr>
          <w:rFonts w:ascii="宋体" w:hAnsi="宋体" w:cs="宋体"/>
          <w:b/>
          <w:bCs/>
          <w:color w:val="000000" w:themeColor="text1"/>
          <w:sz w:val="32"/>
          <w:szCs w:val="32"/>
          <w:highlight w:val="none"/>
          <w14:textFill>
            <w14:solidFill>
              <w14:schemeClr w14:val="tx1"/>
            </w14:solidFill>
          </w14:textFill>
        </w:rPr>
      </w:pPr>
      <w:r>
        <w:rPr>
          <w:rFonts w:hint="eastAsia" w:ascii="楷体_GB2312" w:hAnsi="宋体" w:eastAsia="楷体_GB2312"/>
          <w:b/>
          <w:bCs/>
          <w:color w:val="000000" w:themeColor="text1"/>
          <w:spacing w:val="70"/>
          <w:w w:val="95"/>
          <w:sz w:val="30"/>
          <w:szCs w:val="30"/>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采 购 单 位 ：诸暨市八方混凝土建材有限公司</w:t>
      </w:r>
    </w:p>
    <w:p w14:paraId="060793FB">
      <w:pPr>
        <w:pStyle w:val="15"/>
        <w:adjustRightInd w:val="0"/>
        <w:snapToGrid w:val="0"/>
        <w:spacing w:before="156" w:beforeLines="50" w:after="156" w:afterLines="50"/>
        <w:ind w:firstLine="1285" w:firstLineChars="4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采购代理机构：浙江诚远工程咨询有限公司</w:t>
      </w:r>
    </w:p>
    <w:p w14:paraId="0513823A">
      <w:pPr>
        <w:pStyle w:val="15"/>
        <w:adjustRightInd w:val="0"/>
        <w:snapToGrid w:val="0"/>
        <w:spacing w:line="480" w:lineRule="exact"/>
        <w:ind w:firstLine="305" w:firstLineChars="100"/>
        <w:rPr>
          <w:rFonts w:ascii="宋体" w:hAnsi="宋体" w:cs="宋体"/>
          <w:b/>
          <w:bCs/>
          <w:color w:val="000000" w:themeColor="text1"/>
          <w:w w:val="95"/>
          <w:sz w:val="32"/>
          <w:szCs w:val="32"/>
          <w:highlight w:val="none"/>
          <w14:textFill>
            <w14:solidFill>
              <w14:schemeClr w14:val="tx1"/>
            </w14:solidFill>
          </w14:textFill>
        </w:rPr>
      </w:pPr>
      <w:r>
        <w:rPr>
          <w:rFonts w:hint="eastAsia" w:ascii="宋体" w:hAnsi="宋体" w:cs="宋体"/>
          <w:b/>
          <w:bCs/>
          <w:color w:val="000000" w:themeColor="text1"/>
          <w:w w:val="95"/>
          <w:sz w:val="32"/>
          <w:szCs w:val="32"/>
          <w:highlight w:val="none"/>
          <w14:textFill>
            <w14:solidFill>
              <w14:schemeClr w14:val="tx1"/>
            </w14:solidFill>
          </w14:textFill>
        </w:rPr>
        <w:t xml:space="preserve">                   </w:t>
      </w:r>
      <w:r>
        <w:rPr>
          <w:rFonts w:hint="eastAsia" w:ascii="宋体" w:hAnsi="宋体" w:cs="宋体"/>
          <w:b/>
          <w:bCs/>
          <w:color w:val="000000" w:themeColor="text1"/>
          <w:w w:val="95"/>
          <w:sz w:val="32"/>
          <w:szCs w:val="32"/>
          <w:highlight w:val="none"/>
          <w14:textFill>
            <w14:solidFill>
              <w14:schemeClr w14:val="tx1"/>
            </w14:solidFill>
          </w14:textFill>
        </w:rPr>
        <w:t xml:space="preserve"> 二〇二五年</w:t>
      </w:r>
      <w:r>
        <w:rPr>
          <w:rFonts w:hint="eastAsia" w:ascii="宋体" w:hAnsi="宋体" w:cs="宋体"/>
          <w:b/>
          <w:bCs/>
          <w:color w:val="000000" w:themeColor="text1"/>
          <w:w w:val="95"/>
          <w:sz w:val="32"/>
          <w:szCs w:val="32"/>
          <w:highlight w:val="none"/>
          <w:lang w:val="en-US" w:eastAsia="zh-CN"/>
          <w14:textFill>
            <w14:solidFill>
              <w14:schemeClr w14:val="tx1"/>
            </w14:solidFill>
          </w14:textFill>
        </w:rPr>
        <w:t>七</w:t>
      </w:r>
      <w:r>
        <w:rPr>
          <w:rFonts w:hint="eastAsia" w:ascii="宋体" w:hAnsi="宋体" w:cs="宋体"/>
          <w:b/>
          <w:bCs/>
          <w:color w:val="000000" w:themeColor="text1"/>
          <w:w w:val="95"/>
          <w:sz w:val="32"/>
          <w:szCs w:val="32"/>
          <w:highlight w:val="none"/>
          <w14:textFill>
            <w14:solidFill>
              <w14:schemeClr w14:val="tx1"/>
            </w14:solidFill>
          </w14:textFill>
        </w:rPr>
        <w:t>月</w:t>
      </w:r>
    </w:p>
    <w:p w14:paraId="4D6B8F8A">
      <w:pPr>
        <w:pStyle w:val="15"/>
        <w:snapToGrid w:val="0"/>
        <w:spacing w:before="120" w:after="120" w:line="360" w:lineRule="auto"/>
        <w:rPr>
          <w:rFonts w:ascii="楷体_GB2312" w:hAnsi="宋体" w:eastAsia="楷体_GB2312"/>
          <w:b/>
          <w:bCs/>
          <w:color w:val="000000" w:themeColor="text1"/>
          <w:w w:val="95"/>
          <w:sz w:val="30"/>
          <w:szCs w:val="30"/>
          <w:highlight w:val="none"/>
          <w14:textFill>
            <w14:solidFill>
              <w14:schemeClr w14:val="tx1"/>
            </w14:solidFill>
          </w14:textFill>
        </w:rPr>
      </w:pPr>
    </w:p>
    <w:p w14:paraId="0223A997">
      <w:pPr>
        <w:jc w:val="center"/>
        <w:rPr>
          <w:rFonts w:ascii="仿宋_GB2312" w:eastAsia="仿宋_GB2312"/>
          <w:b/>
          <w:color w:val="000000" w:themeColor="text1"/>
          <w:sz w:val="44"/>
          <w:szCs w:val="44"/>
          <w:highlight w:val="none"/>
          <w14:textFill>
            <w14:solidFill>
              <w14:schemeClr w14:val="tx1"/>
            </w14:solidFill>
          </w14:textFill>
        </w:rPr>
      </w:pPr>
      <w:r>
        <w:rPr>
          <w:rFonts w:hint="eastAsia" w:ascii="仿宋_GB2312" w:eastAsia="仿宋_GB2312"/>
          <w:b/>
          <w:color w:val="000000" w:themeColor="text1"/>
          <w:sz w:val="44"/>
          <w:szCs w:val="44"/>
          <w:highlight w:val="none"/>
          <w14:textFill>
            <w14:solidFill>
              <w14:schemeClr w14:val="tx1"/>
            </w14:solidFill>
          </w14:textFill>
        </w:rPr>
        <w:br w:type="page"/>
      </w:r>
      <w:r>
        <w:rPr>
          <w:rFonts w:hint="eastAsia" w:ascii="仿宋_GB2312" w:eastAsia="仿宋_GB2312"/>
          <w:b/>
          <w:color w:val="000000" w:themeColor="text1"/>
          <w:sz w:val="44"/>
          <w:szCs w:val="44"/>
          <w:highlight w:val="none"/>
          <w14:textFill>
            <w14:solidFill>
              <w14:schemeClr w14:val="tx1"/>
            </w14:solidFill>
          </w14:textFill>
        </w:rPr>
        <w:t>目录</w:t>
      </w:r>
    </w:p>
    <w:p w14:paraId="6237583F">
      <w:pPr>
        <w:jc w:val="center"/>
        <w:rPr>
          <w:rFonts w:ascii="隶书" w:eastAsia="隶书"/>
          <w:b/>
          <w:color w:val="000000" w:themeColor="text1"/>
          <w:sz w:val="44"/>
          <w:szCs w:val="44"/>
          <w:highlight w:val="none"/>
          <w14:textFill>
            <w14:solidFill>
              <w14:schemeClr w14:val="tx1"/>
            </w14:solidFill>
          </w14:textFill>
        </w:rPr>
      </w:pPr>
    </w:p>
    <w:p w14:paraId="18FA32BD">
      <w:pPr>
        <w:jc w:val="center"/>
        <w:rPr>
          <w:rFonts w:ascii="隶书" w:eastAsia="隶书"/>
          <w:color w:val="000000" w:themeColor="text1"/>
          <w:highlight w:val="none"/>
          <w14:textFill>
            <w14:solidFill>
              <w14:schemeClr w14:val="tx1"/>
            </w14:solidFill>
          </w14:textFill>
        </w:rPr>
      </w:pPr>
    </w:p>
    <w:p w14:paraId="33092FF0">
      <w:pPr>
        <w:snapToGrid w:val="0"/>
        <w:spacing w:line="480" w:lineRule="auto"/>
        <w:ind w:firstLine="1807" w:firstLineChars="500"/>
        <w:jc w:val="left"/>
        <w:rPr>
          <w:rFonts w:ascii="仿宋_GB2312" w:hAnsi="宋体" w:eastAsia="仿宋_GB2312"/>
          <w:b/>
          <w:color w:val="000000" w:themeColor="text1"/>
          <w:sz w:val="36"/>
          <w:szCs w:val="36"/>
          <w:highlight w:val="none"/>
          <w14:textFill>
            <w14:solidFill>
              <w14:schemeClr w14:val="tx1"/>
            </w14:solidFill>
          </w14:textFill>
        </w:rPr>
      </w:pPr>
      <w:r>
        <w:rPr>
          <w:rFonts w:hint="eastAsia" w:ascii="仿宋_GB2312" w:hAnsi="宋体" w:eastAsia="仿宋_GB2312"/>
          <w:b/>
          <w:color w:val="000000" w:themeColor="text1"/>
          <w:sz w:val="36"/>
          <w:szCs w:val="36"/>
          <w:highlight w:val="none"/>
          <w14:textFill>
            <w14:solidFill>
              <w14:schemeClr w14:val="tx1"/>
            </w14:solidFill>
          </w14:textFill>
        </w:rPr>
        <w:t>第一章    招标公告</w:t>
      </w:r>
    </w:p>
    <w:p w14:paraId="037EDEB1">
      <w:pPr>
        <w:snapToGrid w:val="0"/>
        <w:spacing w:line="480" w:lineRule="auto"/>
        <w:ind w:firstLine="1807" w:firstLineChars="500"/>
        <w:jc w:val="left"/>
        <w:rPr>
          <w:rFonts w:ascii="仿宋_GB2312" w:hAnsi="宋体" w:eastAsia="仿宋_GB2312"/>
          <w:b/>
          <w:color w:val="000000" w:themeColor="text1"/>
          <w:sz w:val="36"/>
          <w:szCs w:val="36"/>
          <w:highlight w:val="none"/>
          <w14:textFill>
            <w14:solidFill>
              <w14:schemeClr w14:val="tx1"/>
            </w14:solidFill>
          </w14:textFill>
        </w:rPr>
      </w:pPr>
      <w:r>
        <w:rPr>
          <w:rFonts w:hint="eastAsia" w:ascii="仿宋_GB2312" w:hAnsi="宋体" w:eastAsia="仿宋_GB2312"/>
          <w:b/>
          <w:color w:val="000000" w:themeColor="text1"/>
          <w:sz w:val="36"/>
          <w:szCs w:val="36"/>
          <w:highlight w:val="none"/>
          <w14:textFill>
            <w14:solidFill>
              <w14:schemeClr w14:val="tx1"/>
            </w14:solidFill>
          </w14:textFill>
        </w:rPr>
        <w:t>第二章    投标须知</w:t>
      </w:r>
    </w:p>
    <w:p w14:paraId="41C6454F">
      <w:pPr>
        <w:snapToGrid w:val="0"/>
        <w:spacing w:line="480" w:lineRule="auto"/>
        <w:ind w:firstLine="1807" w:firstLineChars="500"/>
        <w:jc w:val="left"/>
        <w:rPr>
          <w:rFonts w:ascii="仿宋_GB2312" w:hAnsi="宋体" w:eastAsia="仿宋_GB2312"/>
          <w:b/>
          <w:color w:val="000000" w:themeColor="text1"/>
          <w:sz w:val="36"/>
          <w:szCs w:val="36"/>
          <w:highlight w:val="none"/>
          <w14:textFill>
            <w14:solidFill>
              <w14:schemeClr w14:val="tx1"/>
            </w14:solidFill>
          </w14:textFill>
        </w:rPr>
      </w:pPr>
      <w:r>
        <w:rPr>
          <w:rFonts w:hint="eastAsia" w:ascii="仿宋_GB2312" w:hAnsi="宋体" w:eastAsia="仿宋_GB2312"/>
          <w:b/>
          <w:color w:val="000000" w:themeColor="text1"/>
          <w:sz w:val="36"/>
          <w:szCs w:val="36"/>
          <w:highlight w:val="none"/>
          <w14:textFill>
            <w14:solidFill>
              <w14:schemeClr w14:val="tx1"/>
            </w14:solidFill>
          </w14:textFill>
        </w:rPr>
        <w:t>第三章    评标办法</w:t>
      </w:r>
    </w:p>
    <w:p w14:paraId="41128D83">
      <w:pPr>
        <w:snapToGrid w:val="0"/>
        <w:spacing w:line="480" w:lineRule="auto"/>
        <w:ind w:firstLine="1807" w:firstLineChars="500"/>
        <w:jc w:val="left"/>
        <w:rPr>
          <w:rFonts w:ascii="仿宋_GB2312" w:hAnsi="宋体" w:eastAsia="仿宋_GB2312"/>
          <w:b/>
          <w:color w:val="000000" w:themeColor="text1"/>
          <w:sz w:val="36"/>
          <w:szCs w:val="36"/>
          <w:highlight w:val="none"/>
          <w14:textFill>
            <w14:solidFill>
              <w14:schemeClr w14:val="tx1"/>
            </w14:solidFill>
          </w14:textFill>
        </w:rPr>
      </w:pPr>
      <w:r>
        <w:rPr>
          <w:rFonts w:hint="eastAsia" w:ascii="仿宋_GB2312" w:hAnsi="宋体" w:eastAsia="仿宋_GB2312"/>
          <w:b/>
          <w:color w:val="000000" w:themeColor="text1"/>
          <w:sz w:val="36"/>
          <w:szCs w:val="36"/>
          <w:highlight w:val="none"/>
          <w14:textFill>
            <w14:solidFill>
              <w14:schemeClr w14:val="tx1"/>
            </w14:solidFill>
          </w14:textFill>
        </w:rPr>
        <w:t>第四章    采购需求</w:t>
      </w:r>
    </w:p>
    <w:p w14:paraId="2D109D79">
      <w:pPr>
        <w:snapToGrid w:val="0"/>
        <w:spacing w:line="480" w:lineRule="auto"/>
        <w:ind w:firstLine="1807" w:firstLineChars="500"/>
        <w:jc w:val="left"/>
        <w:rPr>
          <w:rFonts w:ascii="仿宋_GB2312" w:hAnsi="宋体" w:eastAsia="仿宋_GB2312"/>
          <w:b/>
          <w:color w:val="000000" w:themeColor="text1"/>
          <w:sz w:val="36"/>
          <w:szCs w:val="36"/>
          <w:highlight w:val="none"/>
          <w14:textFill>
            <w14:solidFill>
              <w14:schemeClr w14:val="tx1"/>
            </w14:solidFill>
          </w14:textFill>
        </w:rPr>
      </w:pPr>
      <w:r>
        <w:rPr>
          <w:rFonts w:hint="eastAsia" w:ascii="仿宋_GB2312" w:hAnsi="宋体" w:eastAsia="仿宋_GB2312"/>
          <w:b/>
          <w:color w:val="000000" w:themeColor="text1"/>
          <w:sz w:val="36"/>
          <w:szCs w:val="36"/>
          <w:highlight w:val="none"/>
          <w14:textFill>
            <w14:solidFill>
              <w14:schemeClr w14:val="tx1"/>
            </w14:solidFill>
          </w14:textFill>
        </w:rPr>
        <w:t>第五章    诸暨市采购合同（通用条款）</w:t>
      </w:r>
    </w:p>
    <w:p w14:paraId="35276CA9">
      <w:pPr>
        <w:snapToGrid w:val="0"/>
        <w:spacing w:line="480" w:lineRule="auto"/>
        <w:ind w:firstLine="1807" w:firstLineChars="500"/>
        <w:jc w:val="left"/>
        <w:rPr>
          <w:rFonts w:ascii="仿宋_GB2312" w:hAnsi="宋体" w:eastAsia="仿宋_GB2312"/>
          <w:b/>
          <w:color w:val="000000" w:themeColor="text1"/>
          <w:sz w:val="36"/>
          <w:szCs w:val="36"/>
          <w:highlight w:val="none"/>
          <w14:textFill>
            <w14:solidFill>
              <w14:schemeClr w14:val="tx1"/>
            </w14:solidFill>
          </w14:textFill>
        </w:rPr>
      </w:pPr>
      <w:r>
        <w:rPr>
          <w:rFonts w:hint="eastAsia" w:ascii="仿宋_GB2312" w:hAnsi="宋体" w:eastAsia="仿宋_GB2312"/>
          <w:b/>
          <w:color w:val="000000" w:themeColor="text1"/>
          <w:sz w:val="36"/>
          <w:szCs w:val="36"/>
          <w:highlight w:val="none"/>
          <w14:textFill>
            <w14:solidFill>
              <w14:schemeClr w14:val="tx1"/>
            </w14:solidFill>
          </w14:textFill>
        </w:rPr>
        <w:t>第六章    应提交的有关格式范例</w:t>
      </w:r>
    </w:p>
    <w:p w14:paraId="1FE224E4">
      <w:pPr>
        <w:spacing w:line="360" w:lineRule="auto"/>
        <w:ind w:firstLine="482" w:firstLineChars="20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请各位投标人详细阅读各项条款</w:t>
      </w:r>
    </w:p>
    <w:p w14:paraId="313D67FE">
      <w:pPr>
        <w:snapToGrid w:val="0"/>
        <w:spacing w:line="480" w:lineRule="auto"/>
        <w:ind w:firstLine="1807" w:firstLineChars="500"/>
        <w:jc w:val="left"/>
        <w:rPr>
          <w:rFonts w:ascii="仿宋_GB2312" w:hAnsi="宋体" w:eastAsia="仿宋_GB2312"/>
          <w:b/>
          <w:color w:val="000000" w:themeColor="text1"/>
          <w:sz w:val="36"/>
          <w:szCs w:val="36"/>
          <w:highlight w:val="none"/>
          <w14:textFill>
            <w14:solidFill>
              <w14:schemeClr w14:val="tx1"/>
            </w14:solidFill>
          </w14:textFill>
        </w:rPr>
      </w:pPr>
    </w:p>
    <w:p w14:paraId="176C6FAD">
      <w:pPr>
        <w:spacing w:line="500" w:lineRule="exact"/>
        <w:rPr>
          <w:rStyle w:val="27"/>
          <w:color w:val="000000" w:themeColor="text1"/>
          <w:sz w:val="30"/>
          <w:highlight w:val="none"/>
          <w14:textFill>
            <w14:solidFill>
              <w14:schemeClr w14:val="tx1"/>
            </w14:solidFill>
          </w14:textFill>
        </w:rPr>
      </w:pPr>
    </w:p>
    <w:p w14:paraId="4FA2B491">
      <w:pPr>
        <w:spacing w:line="500" w:lineRule="exact"/>
        <w:rPr>
          <w:rStyle w:val="27"/>
          <w:color w:val="000000" w:themeColor="text1"/>
          <w:sz w:val="30"/>
          <w:highlight w:val="none"/>
          <w14:textFill>
            <w14:solidFill>
              <w14:schemeClr w14:val="tx1"/>
            </w14:solidFill>
          </w14:textFill>
        </w:rPr>
      </w:pPr>
    </w:p>
    <w:p w14:paraId="16EFE584">
      <w:pPr>
        <w:spacing w:line="500" w:lineRule="exact"/>
        <w:rPr>
          <w:rStyle w:val="27"/>
          <w:color w:val="000000" w:themeColor="text1"/>
          <w:sz w:val="30"/>
          <w:highlight w:val="none"/>
          <w14:textFill>
            <w14:solidFill>
              <w14:schemeClr w14:val="tx1"/>
            </w14:solidFill>
          </w14:textFill>
        </w:rPr>
      </w:pPr>
    </w:p>
    <w:p w14:paraId="7E5B358B">
      <w:pPr>
        <w:spacing w:line="500" w:lineRule="exact"/>
        <w:rPr>
          <w:rStyle w:val="27"/>
          <w:color w:val="000000" w:themeColor="text1"/>
          <w:sz w:val="30"/>
          <w:highlight w:val="none"/>
          <w14:textFill>
            <w14:solidFill>
              <w14:schemeClr w14:val="tx1"/>
            </w14:solidFill>
          </w14:textFill>
        </w:rPr>
      </w:pPr>
    </w:p>
    <w:p w14:paraId="223A9944">
      <w:pPr>
        <w:jc w:val="center"/>
        <w:rPr>
          <w:rFonts w:hint="eastAsia" w:ascii="宋体" w:hAnsi="宋体" w:eastAsia="宋体"/>
          <w:b/>
          <w:bCs/>
          <w:color w:val="000000" w:themeColor="text1"/>
          <w:sz w:val="36"/>
          <w:szCs w:val="36"/>
          <w:highlight w:val="none"/>
          <w:lang w:eastAsia="zh-CN"/>
          <w14:textFill>
            <w14:solidFill>
              <w14:schemeClr w14:val="tx1"/>
            </w14:solidFill>
          </w14:textFill>
        </w:rPr>
      </w:pPr>
      <w:r>
        <w:rPr>
          <w:rStyle w:val="27"/>
          <w:rFonts w:hint="eastAsia"/>
          <w:color w:val="000000" w:themeColor="text1"/>
          <w:sz w:val="30"/>
          <w:highlight w:val="none"/>
          <w14:textFill>
            <w14:solidFill>
              <w14:schemeClr w14:val="tx1"/>
            </w14:solidFill>
          </w14:textFill>
        </w:rPr>
        <w:br w:type="page"/>
      </w:r>
      <w:bookmarkStart w:id="0" w:name="_Toc125344501"/>
      <w:r>
        <w:rPr>
          <w:rFonts w:hint="eastAsia" w:ascii="宋体" w:hAnsi="宋体"/>
          <w:b/>
          <w:bCs/>
          <w:color w:val="000000" w:themeColor="text1"/>
          <w:sz w:val="36"/>
          <w:szCs w:val="36"/>
          <w:highlight w:val="none"/>
          <w14:textFill>
            <w14:solidFill>
              <w14:schemeClr w14:val="tx1"/>
            </w14:solidFill>
          </w14:textFill>
        </w:rPr>
        <w:t>第一章 招标公告</w:t>
      </w:r>
      <w:bookmarkEnd w:id="0"/>
      <w:bookmarkStart w:id="1" w:name="_Toc125344503"/>
      <w:r>
        <w:rPr>
          <w:rFonts w:hint="eastAsia" w:ascii="宋体" w:hAnsi="宋体"/>
          <w:b/>
          <w:bCs/>
          <w:color w:val="000000" w:themeColor="text1"/>
          <w:sz w:val="36"/>
          <w:szCs w:val="36"/>
          <w:highlight w:val="none"/>
          <w:lang w:eastAsia="zh-CN"/>
          <w14:textFill>
            <w14:solidFill>
              <w14:schemeClr w14:val="tx1"/>
            </w14:solidFill>
          </w14:textFill>
        </w:rPr>
        <w:t>（</w:t>
      </w:r>
      <w:r>
        <w:rPr>
          <w:rFonts w:hint="eastAsia" w:ascii="宋体" w:hAnsi="宋体"/>
          <w:b/>
          <w:bCs/>
          <w:color w:val="000000" w:themeColor="text1"/>
          <w:sz w:val="36"/>
          <w:szCs w:val="36"/>
          <w:highlight w:val="none"/>
          <w:lang w:val="en-US" w:eastAsia="zh-CN"/>
          <w14:textFill>
            <w14:solidFill>
              <w14:schemeClr w14:val="tx1"/>
            </w14:solidFill>
          </w14:textFill>
        </w:rPr>
        <w:t>非政府采购</w:t>
      </w:r>
      <w:r>
        <w:rPr>
          <w:rFonts w:hint="eastAsia" w:ascii="宋体" w:hAnsi="宋体"/>
          <w:b/>
          <w:bCs/>
          <w:color w:val="000000" w:themeColor="text1"/>
          <w:sz w:val="36"/>
          <w:szCs w:val="36"/>
          <w:highlight w:val="none"/>
          <w:lang w:eastAsia="zh-CN"/>
          <w14:textFill>
            <w14:solidFill>
              <w14:schemeClr w14:val="tx1"/>
            </w14:solidFill>
          </w14:textFill>
        </w:rPr>
        <w:t>）</w:t>
      </w:r>
    </w:p>
    <w:tbl>
      <w:tblPr>
        <w:tblStyle w:val="23"/>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0"/>
      </w:tblGrid>
      <w:tr w14:paraId="6A41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9670" w:type="dxa"/>
          </w:tcPr>
          <w:p w14:paraId="6B16CB36">
            <w:pPr>
              <w:pStyle w:val="21"/>
              <w:spacing w:before="0" w:beforeAutospacing="0" w:after="0" w:afterAutospacing="0" w:line="288" w:lineRule="auto"/>
              <w:rPr>
                <w:rFonts w:eastAsia="宋体" w:cs="宋体"/>
                <w:color w:val="000000" w:themeColor="text1"/>
                <w:highlight w:val="none"/>
                <w14:textFill>
                  <w14:solidFill>
                    <w14:schemeClr w14:val="tx1"/>
                  </w14:solidFill>
                </w14:textFill>
              </w:rPr>
            </w:pPr>
            <w:r>
              <w:rPr>
                <w:rFonts w:hint="eastAsia" w:eastAsia="宋体" w:cs="宋体"/>
                <w:color w:val="000000" w:themeColor="text1"/>
                <w:highlight w:val="none"/>
                <w:shd w:val="clear" w:color="auto" w:fill="FFFFFF"/>
                <w14:textFill>
                  <w14:solidFill>
                    <w14:schemeClr w14:val="tx1"/>
                  </w14:solidFill>
                </w14:textFill>
              </w:rPr>
              <w:t>项目概况</w:t>
            </w:r>
          </w:p>
          <w:p w14:paraId="1F36E1AD">
            <w:pPr>
              <w:pStyle w:val="21"/>
              <w:spacing w:before="0" w:beforeAutospacing="0" w:after="0" w:afterAutospacing="0" w:line="288" w:lineRule="auto"/>
              <w:ind w:firstLine="480" w:firstLineChars="200"/>
              <w:rPr>
                <w:rFonts w:eastAsia="宋体" w:cs="宋体"/>
                <w:color w:val="000000" w:themeColor="text1"/>
                <w:highlight w:val="none"/>
                <w14:textFill>
                  <w14:solidFill>
                    <w14:schemeClr w14:val="tx1"/>
                  </w14:solidFill>
                </w14:textFill>
              </w:rPr>
            </w:pPr>
            <w:r>
              <w:rPr>
                <w:rFonts w:hint="eastAsia" w:eastAsia="宋体" w:cs="宋体"/>
                <w:color w:val="000000" w:themeColor="text1"/>
                <w:highlight w:val="none"/>
                <w:u w:val="single"/>
                <w:shd w:val="clear" w:color="auto" w:fill="FFFFFF"/>
                <w14:textFill>
                  <w14:solidFill>
                    <w14:schemeClr w14:val="tx1"/>
                  </w14:solidFill>
                </w14:textFill>
              </w:rPr>
              <w:t>诸暨市八方混凝土建材有限公司2025-2027年混凝土（砂浆）运输、泵送业务采购项目</w:t>
            </w:r>
            <w:r>
              <w:rPr>
                <w:rFonts w:hint="eastAsia" w:eastAsia="宋体" w:cs="宋体"/>
                <w:color w:val="000000" w:themeColor="text1"/>
                <w:highlight w:val="none"/>
                <w:shd w:val="clear" w:color="auto" w:fill="FFFFFF"/>
                <w14:textFill>
                  <w14:solidFill>
                    <w14:schemeClr w14:val="tx1"/>
                  </w14:solidFill>
                </w14:textFill>
              </w:rPr>
              <w:t>招标项目的潜在投标人应在乐采云平台线上获取（下载）招标文件，并于</w:t>
            </w:r>
            <w:r>
              <w:rPr>
                <w:rFonts w:hint="eastAsia" w:eastAsia="宋体" w:cs="宋体"/>
                <w:color w:val="000000" w:themeColor="text1"/>
                <w:highlight w:val="none"/>
                <w:u w:val="single"/>
                <w:shd w:val="clear" w:color="auto" w:fill="FFFFFF"/>
                <w14:textFill>
                  <w14:solidFill>
                    <w14:schemeClr w14:val="tx1"/>
                  </w14:solidFill>
                </w14:textFill>
              </w:rPr>
              <w:t>2025年</w:t>
            </w:r>
            <w:r>
              <w:rPr>
                <w:rFonts w:hint="eastAsia" w:eastAsia="宋体" w:cs="宋体"/>
                <w:color w:val="000000" w:themeColor="text1"/>
                <w:highlight w:val="none"/>
                <w:u w:val="single"/>
                <w:shd w:val="clear" w:color="auto" w:fill="FFFFFF"/>
                <w:lang w:val="en-US" w:eastAsia="zh-CN"/>
                <w14:textFill>
                  <w14:solidFill>
                    <w14:schemeClr w14:val="tx1"/>
                  </w14:solidFill>
                </w14:textFill>
              </w:rPr>
              <w:t>07</w:t>
            </w:r>
            <w:r>
              <w:rPr>
                <w:rFonts w:hint="eastAsia" w:eastAsia="宋体" w:cs="宋体"/>
                <w:color w:val="000000" w:themeColor="text1"/>
                <w:highlight w:val="none"/>
                <w:u w:val="single"/>
                <w:shd w:val="clear" w:color="auto" w:fill="FFFFFF"/>
                <w14:textFill>
                  <w14:solidFill>
                    <w14:schemeClr w14:val="tx1"/>
                  </w14:solidFill>
                </w14:textFill>
              </w:rPr>
              <w:t>月</w:t>
            </w:r>
            <w:r>
              <w:rPr>
                <w:rFonts w:hint="eastAsia" w:eastAsia="宋体" w:cs="宋体"/>
                <w:color w:val="000000" w:themeColor="text1"/>
                <w:highlight w:val="none"/>
                <w:u w:val="single"/>
                <w:shd w:val="clear" w:color="auto" w:fill="FFFFFF"/>
                <w:lang w:val="en-US" w:eastAsia="zh-CN"/>
                <w14:textFill>
                  <w14:solidFill>
                    <w14:schemeClr w14:val="tx1"/>
                  </w14:solidFill>
                </w14:textFill>
              </w:rPr>
              <w:t>24</w:t>
            </w:r>
            <w:r>
              <w:rPr>
                <w:rFonts w:hint="eastAsia" w:eastAsia="宋体" w:cs="宋体"/>
                <w:color w:val="000000" w:themeColor="text1"/>
                <w:highlight w:val="none"/>
                <w:u w:val="single"/>
                <w:shd w:val="clear" w:color="auto" w:fill="FFFFFF"/>
                <w14:textFill>
                  <w14:solidFill>
                    <w14:schemeClr w14:val="tx1"/>
                  </w14:solidFill>
                </w14:textFill>
              </w:rPr>
              <w:t>日</w:t>
            </w:r>
            <w:r>
              <w:rPr>
                <w:rFonts w:hint="eastAsia" w:eastAsia="宋体" w:cs="宋体"/>
                <w:color w:val="000000" w:themeColor="text1"/>
                <w:highlight w:val="none"/>
                <w:u w:val="single"/>
                <w:shd w:val="clear" w:color="auto" w:fill="FFFFFF"/>
                <w:lang w:val="en-US" w:eastAsia="zh-CN"/>
                <w14:textFill>
                  <w14:solidFill>
                    <w14:schemeClr w14:val="tx1"/>
                  </w14:solidFill>
                </w14:textFill>
              </w:rPr>
              <w:t>09</w:t>
            </w:r>
            <w:r>
              <w:rPr>
                <w:rFonts w:hint="eastAsia" w:eastAsia="宋体" w:cs="宋体"/>
                <w:color w:val="000000" w:themeColor="text1"/>
                <w:highlight w:val="none"/>
                <w:u w:val="single"/>
                <w:shd w:val="clear" w:color="auto" w:fill="FFFFFF"/>
                <w14:textFill>
                  <w14:solidFill>
                    <w14:schemeClr w14:val="tx1"/>
                  </w14:solidFill>
                </w14:textFill>
              </w:rPr>
              <w:t>:00</w:t>
            </w:r>
            <w:r>
              <w:rPr>
                <w:rFonts w:hint="eastAsia" w:eastAsia="宋体" w:cs="宋体"/>
                <w:color w:val="000000" w:themeColor="text1"/>
                <w:highlight w:val="none"/>
                <w:shd w:val="clear" w:color="auto" w:fill="FFFFFF"/>
                <w14:textFill>
                  <w14:solidFill>
                    <w14:schemeClr w14:val="tx1"/>
                  </w14:solidFill>
                </w14:textFill>
              </w:rPr>
              <w:t>（北京时间）前递交（上传）投标文件。</w:t>
            </w:r>
          </w:p>
        </w:tc>
      </w:tr>
    </w:tbl>
    <w:p w14:paraId="3DEB7473">
      <w:pPr>
        <w:pStyle w:val="8"/>
        <w:spacing w:before="0" w:after="0" w:line="288" w:lineRule="auto"/>
        <w:ind w:firstLine="482" w:firstLineChars="200"/>
        <w:rPr>
          <w:rFonts w:ascii="宋体" w:hAnsi="宋体" w:eastAsia="宋体" w:cs="宋体"/>
          <w:bCs w:val="0"/>
          <w:color w:val="000000" w:themeColor="text1"/>
          <w:kern w:val="0"/>
          <w:sz w:val="24"/>
          <w:szCs w:val="24"/>
          <w:highlight w:val="none"/>
          <w14:textFill>
            <w14:solidFill>
              <w14:schemeClr w14:val="tx1"/>
            </w14:solidFill>
          </w14:textFill>
        </w:rPr>
      </w:pPr>
      <w:bookmarkStart w:id="2" w:name="_Toc35393621"/>
      <w:bookmarkStart w:id="3" w:name="_Toc28359079"/>
      <w:bookmarkStart w:id="4" w:name="_Toc35393790"/>
      <w:bookmarkStart w:id="5" w:name="_Toc28359002"/>
      <w:bookmarkStart w:id="6" w:name="_Hlk24379207"/>
      <w:r>
        <w:rPr>
          <w:rFonts w:hint="eastAsia" w:ascii="宋体" w:hAnsi="宋体" w:eastAsia="宋体" w:cs="宋体"/>
          <w:bCs w:val="0"/>
          <w:color w:val="000000" w:themeColor="text1"/>
          <w:kern w:val="0"/>
          <w:sz w:val="24"/>
          <w:szCs w:val="24"/>
          <w:highlight w:val="none"/>
          <w14:textFill>
            <w14:solidFill>
              <w14:schemeClr w14:val="tx1"/>
            </w14:solidFill>
          </w14:textFill>
        </w:rPr>
        <w:t>一、项目基本情况</w:t>
      </w:r>
      <w:bookmarkEnd w:id="2"/>
      <w:bookmarkEnd w:id="3"/>
      <w:bookmarkEnd w:id="4"/>
      <w:bookmarkEnd w:id="5"/>
    </w:p>
    <w:bookmarkEnd w:id="6"/>
    <w:p w14:paraId="199F7A97">
      <w:pPr>
        <w:autoSpaceDE/>
        <w:autoSpaceDN/>
        <w:adjustRightInd/>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项目名称：诸暨市八方混凝土建材有限公司2025-2027年混凝土（砂浆）运输、泵送业务采购项目</w:t>
      </w:r>
    </w:p>
    <w:p w14:paraId="7AC78273">
      <w:pPr>
        <w:autoSpaceDE/>
        <w:autoSpaceDN/>
        <w:adjustRightInd/>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14:textFill>
            <w14:solidFill>
              <w14:schemeClr w14:val="tx1"/>
            </w14:solidFill>
          </w14:textFill>
        </w:rPr>
        <w:t>：浙江诚远ZJ2025-06-24</w:t>
      </w:r>
    </w:p>
    <w:p w14:paraId="66C32094">
      <w:pPr>
        <w:autoSpaceDE/>
        <w:autoSpaceDN/>
        <w:adjustRightInd/>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采购需求：诸暨市八方混凝土建材有限公司2025-2027年混凝土（砂浆）运输、泵送业务采购项目，本项目共分</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个标项（见下表），具体内容详见招标文件采购需求。</w:t>
      </w:r>
    </w:p>
    <w:tbl>
      <w:tblPr>
        <w:tblStyle w:val="23"/>
        <w:tblW w:w="9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905"/>
        <w:gridCol w:w="3765"/>
        <w:gridCol w:w="885"/>
        <w:gridCol w:w="1440"/>
        <w:gridCol w:w="765"/>
      </w:tblGrid>
      <w:tr w14:paraId="7845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Align w:val="center"/>
          </w:tcPr>
          <w:p w14:paraId="4B46C112">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标项序号</w:t>
            </w:r>
          </w:p>
        </w:tc>
        <w:tc>
          <w:tcPr>
            <w:tcW w:w="1905" w:type="dxa"/>
            <w:vAlign w:val="center"/>
          </w:tcPr>
          <w:p w14:paraId="205C8DEC">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标项名称</w:t>
            </w:r>
          </w:p>
        </w:tc>
        <w:tc>
          <w:tcPr>
            <w:tcW w:w="3765" w:type="dxa"/>
            <w:vAlign w:val="center"/>
          </w:tcPr>
          <w:p w14:paraId="48739261">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规模</w:t>
            </w:r>
          </w:p>
        </w:tc>
        <w:tc>
          <w:tcPr>
            <w:tcW w:w="885" w:type="dxa"/>
            <w:vAlign w:val="center"/>
          </w:tcPr>
          <w:p w14:paraId="41628FAF">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最高单价限价</w:t>
            </w:r>
          </w:p>
        </w:tc>
        <w:tc>
          <w:tcPr>
            <w:tcW w:w="1440" w:type="dxa"/>
            <w:vAlign w:val="center"/>
          </w:tcPr>
          <w:p w14:paraId="42A80A3D">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预算金额（</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年）</w:t>
            </w:r>
          </w:p>
        </w:tc>
        <w:tc>
          <w:tcPr>
            <w:tcW w:w="765" w:type="dxa"/>
            <w:vAlign w:val="center"/>
          </w:tcPr>
          <w:p w14:paraId="33F25798">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备注</w:t>
            </w:r>
          </w:p>
        </w:tc>
      </w:tr>
      <w:tr w14:paraId="415F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87" w:type="dxa"/>
            <w:vAlign w:val="center"/>
          </w:tcPr>
          <w:p w14:paraId="7AE9E9B9">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标项一</w:t>
            </w:r>
          </w:p>
        </w:tc>
        <w:tc>
          <w:tcPr>
            <w:tcW w:w="1905" w:type="dxa"/>
            <w:shd w:val="clear" w:color="auto" w:fill="auto"/>
            <w:vAlign w:val="center"/>
          </w:tcPr>
          <w:p w14:paraId="7F23DED1">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混凝土（砂浆）运输车A组</w:t>
            </w:r>
          </w:p>
        </w:tc>
        <w:tc>
          <w:tcPr>
            <w:tcW w:w="3765" w:type="dxa"/>
            <w:shd w:val="clear" w:color="auto" w:fill="auto"/>
            <w:vAlign w:val="center"/>
          </w:tcPr>
          <w:p w14:paraId="1CD42686">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混凝土（砂浆）运输车数量为</w:t>
            </w:r>
            <w:r>
              <w:rPr>
                <w:rFonts w:hint="eastAsia" w:ascii="宋体" w:hAnsi="宋体" w:cs="宋体"/>
                <w:bCs/>
                <w:color w:val="000000" w:themeColor="text1"/>
                <w:sz w:val="24"/>
                <w:highlight w:val="none"/>
                <w:lang w:val="en-US" w:eastAsia="zh-CN"/>
                <w14:textFill>
                  <w14:solidFill>
                    <w14:schemeClr w14:val="tx1"/>
                  </w14:solidFill>
                </w14:textFill>
              </w:rPr>
              <w:t>12</w:t>
            </w: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台，另需备用车辆数量为1-2台</w:t>
            </w:r>
          </w:p>
        </w:tc>
        <w:tc>
          <w:tcPr>
            <w:tcW w:w="885" w:type="dxa"/>
            <w:vMerge w:val="restart"/>
            <w:vAlign w:val="center"/>
          </w:tcPr>
          <w:p w14:paraId="796C92F6">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详见采购需求</w:t>
            </w:r>
          </w:p>
        </w:tc>
        <w:tc>
          <w:tcPr>
            <w:tcW w:w="1440" w:type="dxa"/>
            <w:vAlign w:val="center"/>
          </w:tcPr>
          <w:p w14:paraId="328C70DB">
            <w:pPr>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440.00万元</w:t>
            </w:r>
          </w:p>
        </w:tc>
        <w:tc>
          <w:tcPr>
            <w:tcW w:w="765" w:type="dxa"/>
            <w:vMerge w:val="restart"/>
            <w:vAlign w:val="center"/>
          </w:tcPr>
          <w:p w14:paraId="289C3447">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具体运输量以采购单位实际使用数量为准</w:t>
            </w:r>
          </w:p>
        </w:tc>
      </w:tr>
      <w:tr w14:paraId="368B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87" w:type="dxa"/>
            <w:vAlign w:val="center"/>
          </w:tcPr>
          <w:p w14:paraId="3657AB9B">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标项二</w:t>
            </w:r>
          </w:p>
        </w:tc>
        <w:tc>
          <w:tcPr>
            <w:tcW w:w="1905" w:type="dxa"/>
            <w:shd w:val="clear" w:color="auto" w:fill="auto"/>
            <w:vAlign w:val="center"/>
          </w:tcPr>
          <w:p w14:paraId="0670BD11">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混凝土（砂浆）运输车B组</w:t>
            </w:r>
          </w:p>
        </w:tc>
        <w:tc>
          <w:tcPr>
            <w:tcW w:w="3765" w:type="dxa"/>
            <w:shd w:val="clear" w:color="auto" w:fill="auto"/>
            <w:vAlign w:val="center"/>
          </w:tcPr>
          <w:p w14:paraId="1CD563F7">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混凝土（砂浆）运输车数量为</w:t>
            </w:r>
            <w:r>
              <w:rPr>
                <w:rFonts w:hint="eastAsia" w:ascii="宋体" w:hAnsi="宋体" w:cs="宋体"/>
                <w:bCs/>
                <w:color w:val="000000" w:themeColor="text1"/>
                <w:sz w:val="24"/>
                <w:highlight w:val="none"/>
                <w:lang w:val="en-US" w:eastAsia="zh-CN"/>
                <w14:textFill>
                  <w14:solidFill>
                    <w14:schemeClr w14:val="tx1"/>
                  </w14:solidFill>
                </w14:textFill>
              </w:rPr>
              <w:t>12</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14</w:t>
            </w:r>
            <w:r>
              <w:rPr>
                <w:rFonts w:hint="eastAsia" w:ascii="宋体" w:hAnsi="宋体" w:cs="宋体"/>
                <w:bCs/>
                <w:color w:val="000000" w:themeColor="text1"/>
                <w:sz w:val="24"/>
                <w:highlight w:val="none"/>
                <w14:textFill>
                  <w14:solidFill>
                    <w14:schemeClr w14:val="tx1"/>
                  </w14:solidFill>
                </w14:textFill>
              </w:rPr>
              <w:t>台，另需备用车辆数量为1-2台</w:t>
            </w:r>
          </w:p>
        </w:tc>
        <w:tc>
          <w:tcPr>
            <w:tcW w:w="885" w:type="dxa"/>
            <w:vMerge w:val="continue"/>
            <w:vAlign w:val="center"/>
          </w:tcPr>
          <w:p w14:paraId="10567937">
            <w:pPr>
              <w:jc w:val="center"/>
              <w:rPr>
                <w:rFonts w:ascii="宋体" w:hAnsi="宋体" w:cs="宋体"/>
                <w:bCs/>
                <w:color w:val="000000" w:themeColor="text1"/>
                <w:sz w:val="24"/>
                <w:highlight w:val="none"/>
                <w14:textFill>
                  <w14:solidFill>
                    <w14:schemeClr w14:val="tx1"/>
                  </w14:solidFill>
                </w14:textFill>
              </w:rPr>
            </w:pPr>
          </w:p>
        </w:tc>
        <w:tc>
          <w:tcPr>
            <w:tcW w:w="1440" w:type="dxa"/>
            <w:vAlign w:val="center"/>
          </w:tcPr>
          <w:p w14:paraId="203B4D3F">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440.00万元</w:t>
            </w:r>
          </w:p>
        </w:tc>
        <w:tc>
          <w:tcPr>
            <w:tcW w:w="765" w:type="dxa"/>
            <w:vMerge w:val="continue"/>
            <w:vAlign w:val="center"/>
          </w:tcPr>
          <w:p w14:paraId="7DF39582">
            <w:pPr>
              <w:jc w:val="center"/>
              <w:rPr>
                <w:rFonts w:ascii="宋体" w:hAnsi="宋体" w:cs="宋体"/>
                <w:bCs/>
                <w:color w:val="000000" w:themeColor="text1"/>
                <w:sz w:val="24"/>
                <w:highlight w:val="none"/>
                <w14:textFill>
                  <w14:solidFill>
                    <w14:schemeClr w14:val="tx1"/>
                  </w14:solidFill>
                </w14:textFill>
              </w:rPr>
            </w:pPr>
          </w:p>
        </w:tc>
      </w:tr>
      <w:tr w14:paraId="61FB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87" w:type="dxa"/>
            <w:vMerge w:val="restart"/>
            <w:vAlign w:val="center"/>
          </w:tcPr>
          <w:p w14:paraId="7FB6D8C3">
            <w:pPr>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w:t>
            </w:r>
            <w:r>
              <w:rPr>
                <w:rFonts w:hint="eastAsia" w:ascii="宋体" w:hAnsi="宋体" w:cs="宋体"/>
                <w:bCs/>
                <w:color w:val="000000" w:themeColor="text1"/>
                <w:sz w:val="24"/>
                <w:highlight w:val="none"/>
                <w:lang w:val="en-US" w:eastAsia="zh-CN"/>
                <w14:textFill>
                  <w14:solidFill>
                    <w14:schemeClr w14:val="tx1"/>
                  </w14:solidFill>
                </w14:textFill>
              </w:rPr>
              <w:t>三</w:t>
            </w:r>
          </w:p>
        </w:tc>
        <w:tc>
          <w:tcPr>
            <w:tcW w:w="1905" w:type="dxa"/>
            <w:vMerge w:val="restart"/>
            <w:shd w:val="clear" w:color="auto" w:fill="auto"/>
            <w:vAlign w:val="center"/>
          </w:tcPr>
          <w:p w14:paraId="1DC51606">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泵送设备</w:t>
            </w:r>
          </w:p>
        </w:tc>
        <w:tc>
          <w:tcPr>
            <w:tcW w:w="3765" w:type="dxa"/>
            <w:shd w:val="clear" w:color="auto" w:fill="auto"/>
            <w:vAlign w:val="center"/>
          </w:tcPr>
          <w:p w14:paraId="2AB0F635">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汽车泵6台（常驻5台+备用1台）</w:t>
            </w:r>
          </w:p>
        </w:tc>
        <w:tc>
          <w:tcPr>
            <w:tcW w:w="885" w:type="dxa"/>
            <w:vMerge w:val="continue"/>
            <w:vAlign w:val="center"/>
          </w:tcPr>
          <w:p w14:paraId="11D8D7BD">
            <w:pPr>
              <w:jc w:val="center"/>
              <w:rPr>
                <w:rFonts w:ascii="宋体" w:hAnsi="宋体" w:cs="宋体"/>
                <w:bCs/>
                <w:color w:val="000000" w:themeColor="text1"/>
                <w:sz w:val="24"/>
                <w:highlight w:val="none"/>
                <w14:textFill>
                  <w14:solidFill>
                    <w14:schemeClr w14:val="tx1"/>
                  </w14:solidFill>
                </w14:textFill>
              </w:rPr>
            </w:pPr>
          </w:p>
        </w:tc>
        <w:tc>
          <w:tcPr>
            <w:tcW w:w="1440" w:type="dxa"/>
            <w:vAlign w:val="center"/>
          </w:tcPr>
          <w:p w14:paraId="5C73C714">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453</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0万元</w:t>
            </w:r>
          </w:p>
        </w:tc>
        <w:tc>
          <w:tcPr>
            <w:tcW w:w="765" w:type="dxa"/>
            <w:vMerge w:val="continue"/>
            <w:vAlign w:val="center"/>
          </w:tcPr>
          <w:p w14:paraId="7E482999">
            <w:pPr>
              <w:jc w:val="center"/>
              <w:rPr>
                <w:rFonts w:ascii="宋体" w:hAnsi="宋体" w:cs="宋体"/>
                <w:bCs/>
                <w:color w:val="000000" w:themeColor="text1"/>
                <w:sz w:val="24"/>
                <w:highlight w:val="none"/>
                <w14:textFill>
                  <w14:solidFill>
                    <w14:schemeClr w14:val="tx1"/>
                  </w14:solidFill>
                </w14:textFill>
              </w:rPr>
            </w:pPr>
          </w:p>
        </w:tc>
      </w:tr>
      <w:tr w14:paraId="06F6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87" w:type="dxa"/>
            <w:vMerge w:val="continue"/>
            <w:vAlign w:val="center"/>
          </w:tcPr>
          <w:p w14:paraId="333445F7">
            <w:pPr>
              <w:jc w:val="center"/>
              <w:rPr>
                <w:rFonts w:ascii="宋体" w:hAnsi="宋体" w:cs="宋体"/>
                <w:bCs/>
                <w:color w:val="000000" w:themeColor="text1"/>
                <w:sz w:val="24"/>
                <w:highlight w:val="none"/>
                <w14:textFill>
                  <w14:solidFill>
                    <w14:schemeClr w14:val="tx1"/>
                  </w14:solidFill>
                </w14:textFill>
              </w:rPr>
            </w:pPr>
          </w:p>
        </w:tc>
        <w:tc>
          <w:tcPr>
            <w:tcW w:w="1905" w:type="dxa"/>
            <w:vMerge w:val="continue"/>
            <w:shd w:val="clear" w:color="auto" w:fill="auto"/>
            <w:vAlign w:val="center"/>
          </w:tcPr>
          <w:p w14:paraId="01327953">
            <w:pPr>
              <w:jc w:val="center"/>
              <w:rPr>
                <w:rFonts w:ascii="宋体" w:hAnsi="宋体" w:cs="宋体"/>
                <w:bCs/>
                <w:color w:val="000000" w:themeColor="text1"/>
                <w:sz w:val="24"/>
                <w:highlight w:val="none"/>
                <w14:textFill>
                  <w14:solidFill>
                    <w14:schemeClr w14:val="tx1"/>
                  </w14:solidFill>
                </w14:textFill>
              </w:rPr>
            </w:pPr>
          </w:p>
        </w:tc>
        <w:tc>
          <w:tcPr>
            <w:tcW w:w="3765" w:type="dxa"/>
            <w:shd w:val="clear" w:color="auto" w:fill="auto"/>
            <w:vAlign w:val="center"/>
          </w:tcPr>
          <w:p w14:paraId="6F79C1F6">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车载泵3台（常驻2台+备用1台）</w:t>
            </w:r>
          </w:p>
        </w:tc>
        <w:tc>
          <w:tcPr>
            <w:tcW w:w="885" w:type="dxa"/>
            <w:vMerge w:val="continue"/>
            <w:vAlign w:val="center"/>
          </w:tcPr>
          <w:p w14:paraId="20FB5CF6">
            <w:pPr>
              <w:jc w:val="center"/>
              <w:rPr>
                <w:rFonts w:ascii="宋体" w:hAnsi="宋体" w:cs="宋体"/>
                <w:bCs/>
                <w:color w:val="000000" w:themeColor="text1"/>
                <w:sz w:val="24"/>
                <w:highlight w:val="none"/>
                <w14:textFill>
                  <w14:solidFill>
                    <w14:schemeClr w14:val="tx1"/>
                  </w14:solidFill>
                </w14:textFill>
              </w:rPr>
            </w:pPr>
          </w:p>
        </w:tc>
        <w:tc>
          <w:tcPr>
            <w:tcW w:w="1440" w:type="dxa"/>
            <w:vAlign w:val="center"/>
          </w:tcPr>
          <w:p w14:paraId="06883524">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97.24</w:t>
            </w:r>
            <w:r>
              <w:rPr>
                <w:rFonts w:hint="eastAsia" w:ascii="宋体" w:hAnsi="宋体" w:cs="宋体"/>
                <w:bCs/>
                <w:color w:val="000000" w:themeColor="text1"/>
                <w:sz w:val="24"/>
                <w:highlight w:val="none"/>
                <w14:textFill>
                  <w14:solidFill>
                    <w14:schemeClr w14:val="tx1"/>
                  </w14:solidFill>
                </w14:textFill>
              </w:rPr>
              <w:t>万元</w:t>
            </w:r>
          </w:p>
        </w:tc>
        <w:tc>
          <w:tcPr>
            <w:tcW w:w="765" w:type="dxa"/>
            <w:vMerge w:val="continue"/>
            <w:vAlign w:val="center"/>
          </w:tcPr>
          <w:p w14:paraId="400F6393">
            <w:pPr>
              <w:jc w:val="center"/>
              <w:rPr>
                <w:rFonts w:ascii="宋体" w:hAnsi="宋体" w:cs="宋体"/>
                <w:bCs/>
                <w:color w:val="000000" w:themeColor="text1"/>
                <w:sz w:val="24"/>
                <w:highlight w:val="none"/>
                <w14:textFill>
                  <w14:solidFill>
                    <w14:schemeClr w14:val="tx1"/>
                  </w14:solidFill>
                </w14:textFill>
              </w:rPr>
            </w:pPr>
          </w:p>
        </w:tc>
      </w:tr>
    </w:tbl>
    <w:p w14:paraId="28CCFEE7">
      <w:pPr>
        <w:autoSpaceDE/>
        <w:autoSpaceDN/>
        <w:adjustRightInd/>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合同履行期限：详见招标文件采购需求</w:t>
      </w:r>
    </w:p>
    <w:p w14:paraId="02014FA7">
      <w:pPr>
        <w:pStyle w:val="8"/>
        <w:spacing w:before="0" w:after="0" w:line="288" w:lineRule="auto"/>
        <w:ind w:firstLine="482" w:firstLineChars="200"/>
        <w:rPr>
          <w:rFonts w:ascii="宋体" w:hAnsi="宋体" w:eastAsia="宋体" w:cs="宋体"/>
          <w:bCs w:val="0"/>
          <w:color w:val="000000" w:themeColor="text1"/>
          <w:kern w:val="0"/>
          <w:sz w:val="24"/>
          <w:szCs w:val="24"/>
          <w:highlight w:val="none"/>
          <w14:textFill>
            <w14:solidFill>
              <w14:schemeClr w14:val="tx1"/>
            </w14:solidFill>
          </w14:textFill>
        </w:rPr>
      </w:pPr>
      <w:bookmarkStart w:id="7" w:name="_Toc28359080"/>
      <w:bookmarkStart w:id="8" w:name="_Toc35393622"/>
      <w:bookmarkStart w:id="9" w:name="_Toc28359003"/>
      <w:bookmarkStart w:id="10" w:name="_Toc35393791"/>
      <w:r>
        <w:rPr>
          <w:rFonts w:hint="eastAsia" w:ascii="宋体" w:hAnsi="宋体" w:eastAsia="宋体" w:cs="宋体"/>
          <w:bCs w:val="0"/>
          <w:color w:val="000000" w:themeColor="text1"/>
          <w:kern w:val="0"/>
          <w:sz w:val="24"/>
          <w:szCs w:val="24"/>
          <w:highlight w:val="none"/>
          <w14:textFill>
            <w14:solidFill>
              <w14:schemeClr w14:val="tx1"/>
            </w14:solidFill>
          </w14:textFill>
        </w:rPr>
        <w:t>二、申请人的资格要求</w:t>
      </w:r>
      <w:bookmarkEnd w:id="7"/>
      <w:bookmarkEnd w:id="8"/>
      <w:bookmarkEnd w:id="9"/>
      <w:bookmarkEnd w:id="10"/>
    </w:p>
    <w:p w14:paraId="4B0D2749">
      <w:pPr>
        <w:autoSpaceDE/>
        <w:autoSpaceDN/>
        <w:adjustRightInd/>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11" w:name="_Toc35393792"/>
      <w:bookmarkStart w:id="12" w:name="_Toc35393623"/>
      <w:r>
        <w:rPr>
          <w:rFonts w:hint="eastAsia" w:ascii="宋体" w:hAnsi="宋体" w:cs="宋体"/>
          <w:color w:val="000000" w:themeColor="text1"/>
          <w:sz w:val="24"/>
          <w:szCs w:val="24"/>
          <w:highlight w:val="none"/>
          <w14:textFill>
            <w14:solidFill>
              <w14:schemeClr w14:val="tx1"/>
            </w14:solidFill>
          </w14:textFill>
        </w:rPr>
        <w:t>1.符合下列要求：</w:t>
      </w:r>
    </w:p>
    <w:p w14:paraId="051F6A2E">
      <w:pPr>
        <w:autoSpaceDE/>
        <w:autoSpaceDN/>
        <w:adjustRightInd/>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（1）具有独立承担民事责任的能力；</w:t>
      </w:r>
    </w:p>
    <w:p w14:paraId="6612F55B">
      <w:pPr>
        <w:autoSpaceDE/>
        <w:autoSpaceDN/>
        <w:adjustRightInd/>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（2）具有良好的商业信誉和健全的财务会计制度；</w:t>
      </w:r>
    </w:p>
    <w:p w14:paraId="51E4C977">
      <w:pPr>
        <w:autoSpaceDE/>
        <w:autoSpaceDN/>
        <w:adjustRightInd/>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（3）具有履行合同所必需的设备和专业技术能力；</w:t>
      </w:r>
    </w:p>
    <w:p w14:paraId="08D678F0">
      <w:pPr>
        <w:autoSpaceDE/>
        <w:autoSpaceDN/>
        <w:adjustRightInd/>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（4）有依法缴纳税收和社会保障资金的良好记录；</w:t>
      </w:r>
    </w:p>
    <w:p w14:paraId="575B8C3A">
      <w:pPr>
        <w:autoSpaceDE/>
        <w:autoSpaceDN/>
        <w:adjustRightInd/>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（5）参加采购活动前三年内，在经营活动中没有重大违法记录；</w:t>
      </w:r>
    </w:p>
    <w:p w14:paraId="0DE986C5">
      <w:pPr>
        <w:autoSpaceDE/>
        <w:autoSpaceDN/>
        <w:adjustRightInd/>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（6）法律、行政法规规定的其他条件。</w:t>
      </w:r>
    </w:p>
    <w:p w14:paraId="076A88F5">
      <w:pPr>
        <w:autoSpaceDE/>
        <w:autoSpaceDN/>
        <w:adjustRightInd/>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2.未被“信用中国”（www.creditchina.gov.cn）、中国政府采购（www.ccgp.gov.cn）列入失信被执行人、重大税收违法案件当事人名单、政府采购严重违法失信行为记录名单。</w:t>
      </w:r>
    </w:p>
    <w:p w14:paraId="18157D95">
      <w:pPr>
        <w:autoSpaceDE/>
        <w:autoSpaceDN/>
        <w:adjustRightInd/>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3.本项目不接受联合体投标。</w:t>
      </w:r>
    </w:p>
    <w:p w14:paraId="4696844B">
      <w:pPr>
        <w:pStyle w:val="8"/>
        <w:spacing w:before="0" w:after="0" w:line="288" w:lineRule="auto"/>
        <w:ind w:firstLine="482" w:firstLineChars="200"/>
        <w:rPr>
          <w:rFonts w:ascii="宋体" w:hAnsi="宋体" w:eastAsia="宋体" w:cs="宋体"/>
          <w:bCs w:val="0"/>
          <w:color w:val="000000" w:themeColor="text1"/>
          <w:kern w:val="0"/>
          <w:sz w:val="24"/>
          <w:szCs w:val="24"/>
          <w:highlight w:val="none"/>
          <w14:textFill>
            <w14:solidFill>
              <w14:schemeClr w14:val="tx1"/>
            </w14:solidFill>
          </w14:textFill>
        </w:rPr>
      </w:pPr>
      <w:r>
        <w:rPr>
          <w:rFonts w:hint="eastAsia" w:ascii="宋体" w:hAnsi="宋体" w:eastAsia="宋体" w:cs="宋体"/>
          <w:bCs w:val="0"/>
          <w:color w:val="000000" w:themeColor="text1"/>
          <w:kern w:val="0"/>
          <w:sz w:val="24"/>
          <w:szCs w:val="24"/>
          <w:highlight w:val="none"/>
          <w14:textFill>
            <w14:solidFill>
              <w14:schemeClr w14:val="tx1"/>
            </w14:solidFill>
          </w14:textFill>
        </w:rPr>
        <w:t>三、获取招标文件</w:t>
      </w:r>
      <w:bookmarkEnd w:id="11"/>
      <w:bookmarkEnd w:id="12"/>
    </w:p>
    <w:p w14:paraId="0215CA5A">
      <w:pPr>
        <w:pStyle w:val="21"/>
        <w:spacing w:before="0" w:beforeAutospacing="0" w:after="0" w:afterAutospacing="0" w:line="288" w:lineRule="auto"/>
        <w:ind w:firstLine="555"/>
        <w:rPr>
          <w:rFonts w:eastAsia="宋体" w:cs="宋体"/>
          <w:color w:val="000000" w:themeColor="text1"/>
          <w:highlight w:val="none"/>
          <w14:textFill>
            <w14:solidFill>
              <w14:schemeClr w14:val="tx1"/>
            </w14:solidFill>
          </w14:textFill>
        </w:rPr>
      </w:pPr>
      <w:r>
        <w:rPr>
          <w:rFonts w:hint="eastAsia" w:eastAsia="宋体" w:cs="宋体"/>
          <w:color w:val="000000" w:themeColor="text1"/>
          <w:highlight w:val="none"/>
          <w14:textFill>
            <w14:solidFill>
              <w14:schemeClr w14:val="tx1"/>
            </w14:solidFill>
          </w14:textFill>
        </w:rPr>
        <w:t>时间：</w:t>
      </w:r>
      <w:r>
        <w:rPr>
          <w:rFonts w:hint="eastAsia" w:eastAsia="宋体" w:cs="宋体"/>
          <w:color w:val="000000" w:themeColor="text1"/>
          <w:highlight w:val="none"/>
          <w14:textFill>
            <w14:solidFill>
              <w14:schemeClr w14:val="tx1"/>
            </w14:solidFill>
          </w14:textFill>
        </w:rPr>
        <w:t>/至2025年</w:t>
      </w:r>
      <w:r>
        <w:rPr>
          <w:rFonts w:hint="eastAsia" w:eastAsia="宋体" w:cs="宋体"/>
          <w:color w:val="000000" w:themeColor="text1"/>
          <w:highlight w:val="none"/>
          <w:lang w:val="en-US" w:eastAsia="zh-CN"/>
          <w14:textFill>
            <w14:solidFill>
              <w14:schemeClr w14:val="tx1"/>
            </w14:solidFill>
          </w14:textFill>
        </w:rPr>
        <w:t>07</w:t>
      </w:r>
      <w:r>
        <w:rPr>
          <w:rFonts w:hint="eastAsia" w:eastAsia="宋体" w:cs="宋体"/>
          <w:color w:val="000000" w:themeColor="text1"/>
          <w:highlight w:val="none"/>
          <w14:textFill>
            <w14:solidFill>
              <w14:schemeClr w14:val="tx1"/>
            </w14:solidFill>
          </w14:textFill>
        </w:rPr>
        <w:t>月</w:t>
      </w:r>
      <w:r>
        <w:rPr>
          <w:rFonts w:hint="eastAsia" w:eastAsia="宋体" w:cs="宋体"/>
          <w:color w:val="000000" w:themeColor="text1"/>
          <w:highlight w:val="none"/>
          <w:lang w:val="en-US" w:eastAsia="zh-CN"/>
          <w14:textFill>
            <w14:solidFill>
              <w14:schemeClr w14:val="tx1"/>
            </w14:solidFill>
          </w14:textFill>
        </w:rPr>
        <w:t>24</w:t>
      </w:r>
      <w:r>
        <w:rPr>
          <w:rFonts w:hint="eastAsia" w:eastAsia="宋体" w:cs="宋体"/>
          <w:color w:val="000000" w:themeColor="text1"/>
          <w:highlight w:val="none"/>
          <w14:textFill>
            <w14:solidFill>
              <w14:schemeClr w14:val="tx1"/>
            </w14:solidFill>
          </w14:textFill>
        </w:rPr>
        <w:t>日</w:t>
      </w:r>
      <w:r>
        <w:rPr>
          <w:rFonts w:hint="eastAsia" w:eastAsia="宋体" w:cs="宋体"/>
          <w:color w:val="000000" w:themeColor="text1"/>
          <w:highlight w:val="none"/>
          <w14:textFill>
            <w14:solidFill>
              <w14:schemeClr w14:val="tx1"/>
            </w14:solidFill>
          </w14:textFill>
        </w:rPr>
        <w:t>，每天上午00:00至12:00，下午12:00至23:59（北京时间）</w:t>
      </w:r>
    </w:p>
    <w:p w14:paraId="481CDC81">
      <w:pPr>
        <w:pStyle w:val="21"/>
        <w:spacing w:before="0" w:beforeAutospacing="0" w:after="0" w:afterAutospacing="0" w:line="288" w:lineRule="auto"/>
        <w:ind w:firstLine="555"/>
        <w:rPr>
          <w:rFonts w:eastAsia="宋体" w:cs="宋体"/>
          <w:color w:val="000000" w:themeColor="text1"/>
          <w:highlight w:val="none"/>
          <w14:textFill>
            <w14:solidFill>
              <w14:schemeClr w14:val="tx1"/>
            </w14:solidFill>
          </w14:textFill>
        </w:rPr>
      </w:pPr>
      <w:r>
        <w:rPr>
          <w:rFonts w:hint="eastAsia" w:eastAsia="宋体" w:cs="宋体"/>
          <w:color w:val="000000" w:themeColor="text1"/>
          <w:highlight w:val="none"/>
          <w14:textFill>
            <w14:solidFill>
              <w14:schemeClr w14:val="tx1"/>
            </w14:solidFill>
          </w14:textFill>
        </w:rPr>
        <w:t>地点：浙江政府采购网（http://zfcg.czt.zj.gov.cn）</w:t>
      </w:r>
    </w:p>
    <w:p w14:paraId="21383CC2">
      <w:pPr>
        <w:pStyle w:val="21"/>
        <w:spacing w:before="0" w:beforeAutospacing="0" w:after="0" w:afterAutospacing="0" w:line="288" w:lineRule="auto"/>
        <w:ind w:firstLine="555"/>
        <w:rPr>
          <w:rFonts w:eastAsia="宋体" w:cs="宋体"/>
          <w:color w:val="000000" w:themeColor="text1"/>
          <w:highlight w:val="none"/>
          <w14:textFill>
            <w14:solidFill>
              <w14:schemeClr w14:val="tx1"/>
            </w14:solidFill>
          </w14:textFill>
        </w:rPr>
      </w:pPr>
      <w:r>
        <w:rPr>
          <w:rFonts w:hint="eastAsia" w:eastAsia="宋体" w:cs="宋体"/>
          <w:color w:val="000000" w:themeColor="text1"/>
          <w:highlight w:val="none"/>
          <w14:textFill>
            <w14:solidFill>
              <w14:schemeClr w14:val="tx1"/>
            </w14:solidFill>
          </w14:textFill>
        </w:rPr>
        <w:t>方式：供应商登录政府采购云平台，在线申请获取招标文件。进入“项目采购”应用，在获取招标文件菜单中选择项目，申请获取招标文件（仅需浏览招标文件的供应商可点击“游客浏览采购文件”直接下载招标文件浏览）。</w:t>
      </w:r>
    </w:p>
    <w:p w14:paraId="13C70005">
      <w:pPr>
        <w:pStyle w:val="8"/>
        <w:spacing w:before="0" w:after="0" w:line="288" w:lineRule="auto"/>
        <w:ind w:firstLine="482" w:firstLineChars="200"/>
        <w:rPr>
          <w:rFonts w:ascii="宋体" w:hAnsi="宋体" w:eastAsia="宋体" w:cs="宋体"/>
          <w:bCs w:val="0"/>
          <w:color w:val="000000" w:themeColor="text1"/>
          <w:kern w:val="0"/>
          <w:sz w:val="24"/>
          <w:szCs w:val="24"/>
          <w:highlight w:val="none"/>
          <w14:textFill>
            <w14:solidFill>
              <w14:schemeClr w14:val="tx1"/>
            </w14:solidFill>
          </w14:textFill>
        </w:rPr>
      </w:pPr>
      <w:bookmarkStart w:id="13" w:name="_Toc28359082"/>
      <w:bookmarkStart w:id="14" w:name="_Toc28359005"/>
      <w:bookmarkStart w:id="15" w:name="_Toc35393793"/>
      <w:bookmarkStart w:id="16" w:name="_Toc35393624"/>
      <w:r>
        <w:rPr>
          <w:rFonts w:hint="eastAsia" w:ascii="宋体" w:hAnsi="宋体" w:eastAsia="宋体" w:cs="宋体"/>
          <w:bCs w:val="0"/>
          <w:color w:val="000000" w:themeColor="text1"/>
          <w:kern w:val="0"/>
          <w:sz w:val="24"/>
          <w:szCs w:val="24"/>
          <w:highlight w:val="none"/>
          <w14:textFill>
            <w14:solidFill>
              <w14:schemeClr w14:val="tx1"/>
            </w14:solidFill>
          </w14:textFill>
        </w:rPr>
        <w:t>四、提交投标文件</w:t>
      </w:r>
      <w:bookmarkEnd w:id="13"/>
      <w:bookmarkEnd w:id="14"/>
      <w:r>
        <w:rPr>
          <w:rFonts w:hint="eastAsia" w:ascii="宋体" w:hAnsi="宋体" w:eastAsia="宋体" w:cs="宋体"/>
          <w:bCs w:val="0"/>
          <w:color w:val="000000" w:themeColor="text1"/>
          <w:kern w:val="0"/>
          <w:sz w:val="24"/>
          <w:szCs w:val="24"/>
          <w:highlight w:val="none"/>
          <w14:textFill>
            <w14:solidFill>
              <w14:schemeClr w14:val="tx1"/>
            </w14:solidFill>
          </w14:textFill>
        </w:rPr>
        <w:t>截止时间、开标时间和地点</w:t>
      </w:r>
      <w:bookmarkEnd w:id="15"/>
      <w:bookmarkEnd w:id="16"/>
    </w:p>
    <w:p w14:paraId="085D5B3A">
      <w:pPr>
        <w:pStyle w:val="21"/>
        <w:spacing w:before="0" w:beforeAutospacing="0" w:after="0" w:afterAutospacing="0" w:line="288" w:lineRule="auto"/>
        <w:ind w:firstLine="480" w:firstLineChars="200"/>
        <w:rPr>
          <w:rFonts w:eastAsia="宋体" w:cs="宋体"/>
          <w:color w:val="000000" w:themeColor="text1"/>
          <w:highlight w:val="none"/>
          <w14:textFill>
            <w14:solidFill>
              <w14:schemeClr w14:val="tx1"/>
            </w14:solidFill>
          </w14:textFill>
        </w:rPr>
      </w:pPr>
      <w:r>
        <w:rPr>
          <w:rFonts w:hint="eastAsia" w:eastAsia="宋体" w:cs="宋体"/>
          <w:color w:val="000000" w:themeColor="text1"/>
          <w:highlight w:val="none"/>
          <w14:textFill>
            <w14:solidFill>
              <w14:schemeClr w14:val="tx1"/>
            </w14:solidFill>
          </w14:textFill>
        </w:rPr>
        <w:t>提交投标文件截止时间：</w:t>
      </w:r>
      <w:r>
        <w:rPr>
          <w:rFonts w:hint="eastAsia" w:eastAsia="宋体" w:cs="宋体"/>
          <w:color w:val="000000" w:themeColor="text1"/>
          <w:highlight w:val="none"/>
          <w:u w:val="single"/>
          <w:shd w:val="clear" w:color="auto" w:fill="FFFFFF"/>
          <w14:textFill>
            <w14:solidFill>
              <w14:schemeClr w14:val="tx1"/>
            </w14:solidFill>
          </w14:textFill>
        </w:rPr>
        <w:t>2025年</w:t>
      </w:r>
      <w:r>
        <w:rPr>
          <w:rFonts w:hint="eastAsia" w:eastAsia="宋体" w:cs="宋体"/>
          <w:color w:val="000000" w:themeColor="text1"/>
          <w:highlight w:val="none"/>
          <w:u w:val="single"/>
          <w:shd w:val="clear" w:color="auto" w:fill="FFFFFF"/>
          <w:lang w:val="en-US" w:eastAsia="zh-CN"/>
          <w14:textFill>
            <w14:solidFill>
              <w14:schemeClr w14:val="tx1"/>
            </w14:solidFill>
          </w14:textFill>
        </w:rPr>
        <w:t>07</w:t>
      </w:r>
      <w:r>
        <w:rPr>
          <w:rFonts w:hint="eastAsia" w:eastAsia="宋体" w:cs="宋体"/>
          <w:color w:val="000000" w:themeColor="text1"/>
          <w:highlight w:val="none"/>
          <w:u w:val="single"/>
          <w:shd w:val="clear" w:color="auto" w:fill="FFFFFF"/>
          <w14:textFill>
            <w14:solidFill>
              <w14:schemeClr w14:val="tx1"/>
            </w14:solidFill>
          </w14:textFill>
        </w:rPr>
        <w:t>月</w:t>
      </w:r>
      <w:r>
        <w:rPr>
          <w:rFonts w:hint="eastAsia" w:eastAsia="宋体" w:cs="宋体"/>
          <w:color w:val="000000" w:themeColor="text1"/>
          <w:highlight w:val="none"/>
          <w:u w:val="single"/>
          <w:shd w:val="clear" w:color="auto" w:fill="FFFFFF"/>
          <w:lang w:val="en-US" w:eastAsia="zh-CN"/>
          <w14:textFill>
            <w14:solidFill>
              <w14:schemeClr w14:val="tx1"/>
            </w14:solidFill>
          </w14:textFill>
        </w:rPr>
        <w:t>24</w:t>
      </w:r>
      <w:r>
        <w:rPr>
          <w:rFonts w:hint="eastAsia" w:eastAsia="宋体" w:cs="宋体"/>
          <w:color w:val="000000" w:themeColor="text1"/>
          <w:highlight w:val="none"/>
          <w:u w:val="single"/>
          <w:shd w:val="clear" w:color="auto" w:fill="FFFFFF"/>
          <w14:textFill>
            <w14:solidFill>
              <w14:schemeClr w14:val="tx1"/>
            </w14:solidFill>
          </w14:textFill>
        </w:rPr>
        <w:t>日</w:t>
      </w:r>
      <w:r>
        <w:rPr>
          <w:rFonts w:hint="eastAsia" w:eastAsia="宋体" w:cs="宋体"/>
          <w:color w:val="000000" w:themeColor="text1"/>
          <w:highlight w:val="none"/>
          <w:u w:val="single"/>
          <w:shd w:val="clear" w:color="auto" w:fill="FFFFFF"/>
          <w:lang w:val="en-US" w:eastAsia="zh-CN"/>
          <w14:textFill>
            <w14:solidFill>
              <w14:schemeClr w14:val="tx1"/>
            </w14:solidFill>
          </w14:textFill>
        </w:rPr>
        <w:t>09</w:t>
      </w:r>
      <w:r>
        <w:rPr>
          <w:rFonts w:hint="eastAsia" w:eastAsia="宋体" w:cs="宋体"/>
          <w:color w:val="000000" w:themeColor="text1"/>
          <w:highlight w:val="none"/>
          <w:u w:val="single"/>
          <w:shd w:val="clear" w:color="auto" w:fill="FFFFFF"/>
          <w14:textFill>
            <w14:solidFill>
              <w14:schemeClr w14:val="tx1"/>
            </w14:solidFill>
          </w14:textFill>
        </w:rPr>
        <w:t>:00</w:t>
      </w:r>
      <w:r>
        <w:rPr>
          <w:rFonts w:hint="eastAsia" w:eastAsia="宋体" w:cs="宋体"/>
          <w:color w:val="000000" w:themeColor="text1"/>
          <w:highlight w:val="none"/>
          <w14:textFill>
            <w14:solidFill>
              <w14:schemeClr w14:val="tx1"/>
            </w14:solidFill>
          </w14:textFill>
        </w:rPr>
        <w:t>（北京时间）</w:t>
      </w:r>
    </w:p>
    <w:p w14:paraId="589E4F51">
      <w:pPr>
        <w:pStyle w:val="21"/>
        <w:spacing w:before="0" w:beforeAutospacing="0" w:after="0" w:afterAutospacing="0" w:line="288" w:lineRule="auto"/>
        <w:ind w:firstLine="480" w:firstLineChars="200"/>
        <w:rPr>
          <w:rFonts w:eastAsia="宋体" w:cs="宋体"/>
          <w:color w:val="000000" w:themeColor="text1"/>
          <w:highlight w:val="none"/>
          <w14:textFill>
            <w14:solidFill>
              <w14:schemeClr w14:val="tx1"/>
            </w14:solidFill>
          </w14:textFill>
        </w:rPr>
      </w:pPr>
      <w:r>
        <w:rPr>
          <w:rFonts w:hint="eastAsia" w:eastAsia="宋体" w:cs="宋体"/>
          <w:color w:val="000000" w:themeColor="text1"/>
          <w:highlight w:val="none"/>
          <w14:textFill>
            <w14:solidFill>
              <w14:schemeClr w14:val="tx1"/>
            </w14:solidFill>
          </w14:textFill>
        </w:rPr>
        <w:t>投标地点（网址）：</w:t>
      </w:r>
      <w:r>
        <w:rPr>
          <w:rFonts w:hint="eastAsia" w:asciiTheme="minorEastAsia" w:hAnsiTheme="minorEastAsia" w:eastAsiaTheme="minorEastAsia" w:cstheme="minorEastAsia"/>
          <w:color w:val="000000" w:themeColor="text1"/>
          <w:highlight w:val="none"/>
          <w14:textFill>
            <w14:solidFill>
              <w14:schemeClr w14:val="tx1"/>
            </w14:solidFill>
          </w14:textFill>
        </w:rPr>
        <w:t>乐采云平台（https://www.lecaiyun.com/）</w:t>
      </w:r>
    </w:p>
    <w:p w14:paraId="044285A3">
      <w:pPr>
        <w:pStyle w:val="21"/>
        <w:spacing w:before="0" w:beforeAutospacing="0" w:after="0" w:afterAutospacing="0" w:line="288" w:lineRule="auto"/>
        <w:ind w:firstLine="480" w:firstLineChars="200"/>
        <w:rPr>
          <w:rFonts w:eastAsia="宋体" w:cs="宋体"/>
          <w:color w:val="000000" w:themeColor="text1"/>
          <w:highlight w:val="none"/>
          <w14:textFill>
            <w14:solidFill>
              <w14:schemeClr w14:val="tx1"/>
            </w14:solidFill>
          </w14:textFill>
        </w:rPr>
      </w:pPr>
      <w:r>
        <w:rPr>
          <w:rFonts w:hint="eastAsia" w:eastAsia="宋体" w:cs="宋体"/>
          <w:color w:val="000000" w:themeColor="text1"/>
          <w:highlight w:val="none"/>
          <w14:textFill>
            <w14:solidFill>
              <w14:schemeClr w14:val="tx1"/>
            </w14:solidFill>
          </w14:textFill>
        </w:rPr>
        <w:t>开标时间：</w:t>
      </w:r>
      <w:r>
        <w:rPr>
          <w:rFonts w:hint="eastAsia" w:eastAsia="宋体" w:cs="宋体"/>
          <w:color w:val="000000" w:themeColor="text1"/>
          <w:highlight w:val="none"/>
          <w:u w:val="single"/>
          <w:shd w:val="clear" w:color="auto" w:fill="FFFFFF"/>
          <w14:textFill>
            <w14:solidFill>
              <w14:schemeClr w14:val="tx1"/>
            </w14:solidFill>
          </w14:textFill>
        </w:rPr>
        <w:t>2025年</w:t>
      </w:r>
      <w:r>
        <w:rPr>
          <w:rFonts w:hint="eastAsia" w:eastAsia="宋体" w:cs="宋体"/>
          <w:color w:val="000000" w:themeColor="text1"/>
          <w:highlight w:val="none"/>
          <w:u w:val="single"/>
          <w:shd w:val="clear" w:color="auto" w:fill="FFFFFF"/>
          <w:lang w:val="en-US" w:eastAsia="zh-CN"/>
          <w14:textFill>
            <w14:solidFill>
              <w14:schemeClr w14:val="tx1"/>
            </w14:solidFill>
          </w14:textFill>
        </w:rPr>
        <w:t>07</w:t>
      </w:r>
      <w:r>
        <w:rPr>
          <w:rFonts w:hint="eastAsia" w:eastAsia="宋体" w:cs="宋体"/>
          <w:color w:val="000000" w:themeColor="text1"/>
          <w:highlight w:val="none"/>
          <w:u w:val="single"/>
          <w:shd w:val="clear" w:color="auto" w:fill="FFFFFF"/>
          <w14:textFill>
            <w14:solidFill>
              <w14:schemeClr w14:val="tx1"/>
            </w14:solidFill>
          </w14:textFill>
        </w:rPr>
        <w:t>月</w:t>
      </w:r>
      <w:r>
        <w:rPr>
          <w:rFonts w:hint="eastAsia" w:eastAsia="宋体" w:cs="宋体"/>
          <w:color w:val="000000" w:themeColor="text1"/>
          <w:highlight w:val="none"/>
          <w:u w:val="single"/>
          <w:shd w:val="clear" w:color="auto" w:fill="FFFFFF"/>
          <w:lang w:val="en-US" w:eastAsia="zh-CN"/>
          <w14:textFill>
            <w14:solidFill>
              <w14:schemeClr w14:val="tx1"/>
            </w14:solidFill>
          </w14:textFill>
        </w:rPr>
        <w:t>24</w:t>
      </w:r>
      <w:r>
        <w:rPr>
          <w:rFonts w:hint="eastAsia" w:eastAsia="宋体" w:cs="宋体"/>
          <w:color w:val="000000" w:themeColor="text1"/>
          <w:highlight w:val="none"/>
          <w:u w:val="single"/>
          <w:shd w:val="clear" w:color="auto" w:fill="FFFFFF"/>
          <w14:textFill>
            <w14:solidFill>
              <w14:schemeClr w14:val="tx1"/>
            </w14:solidFill>
          </w14:textFill>
        </w:rPr>
        <w:t>日</w:t>
      </w:r>
      <w:r>
        <w:rPr>
          <w:rFonts w:hint="eastAsia" w:eastAsia="宋体" w:cs="宋体"/>
          <w:color w:val="000000" w:themeColor="text1"/>
          <w:highlight w:val="none"/>
          <w:u w:val="single"/>
          <w:shd w:val="clear" w:color="auto" w:fill="FFFFFF"/>
          <w:lang w:val="en-US" w:eastAsia="zh-CN"/>
          <w14:textFill>
            <w14:solidFill>
              <w14:schemeClr w14:val="tx1"/>
            </w14:solidFill>
          </w14:textFill>
        </w:rPr>
        <w:t>09</w:t>
      </w:r>
      <w:r>
        <w:rPr>
          <w:rFonts w:hint="eastAsia" w:eastAsia="宋体" w:cs="宋体"/>
          <w:color w:val="000000" w:themeColor="text1"/>
          <w:highlight w:val="none"/>
          <w:u w:val="single"/>
          <w:shd w:val="clear" w:color="auto" w:fill="FFFFFF"/>
          <w14:textFill>
            <w14:solidFill>
              <w14:schemeClr w14:val="tx1"/>
            </w14:solidFill>
          </w14:textFill>
        </w:rPr>
        <w:t>:00</w:t>
      </w:r>
      <w:r>
        <w:rPr>
          <w:rFonts w:hint="eastAsia" w:eastAsia="宋体" w:cs="宋体"/>
          <w:color w:val="000000" w:themeColor="text1"/>
          <w:highlight w:val="none"/>
          <w14:textFill>
            <w14:solidFill>
              <w14:schemeClr w14:val="tx1"/>
            </w14:solidFill>
          </w14:textFill>
        </w:rPr>
        <w:t>（北京时间）</w:t>
      </w:r>
    </w:p>
    <w:p w14:paraId="7BB63070">
      <w:pPr>
        <w:pStyle w:val="21"/>
        <w:spacing w:before="0" w:beforeAutospacing="0" w:after="0" w:afterAutospacing="0" w:line="288" w:lineRule="auto"/>
        <w:ind w:firstLine="480" w:firstLineChars="200"/>
        <w:rPr>
          <w:rFonts w:eastAsia="宋体" w:cs="宋体"/>
          <w:color w:val="000000" w:themeColor="text1"/>
          <w:highlight w:val="none"/>
          <w14:textFill>
            <w14:solidFill>
              <w14:schemeClr w14:val="tx1"/>
            </w14:solidFill>
          </w14:textFill>
        </w:rPr>
      </w:pPr>
      <w:r>
        <w:rPr>
          <w:rFonts w:hint="eastAsia" w:eastAsia="宋体" w:cs="宋体"/>
          <w:color w:val="000000" w:themeColor="text1"/>
          <w:highlight w:val="none"/>
          <w14:textFill>
            <w14:solidFill>
              <w14:schemeClr w14:val="tx1"/>
            </w14:solidFill>
          </w14:textFill>
        </w:rPr>
        <w:t>开标地点（网址）：</w:t>
      </w:r>
      <w:r>
        <w:rPr>
          <w:rFonts w:hint="eastAsia" w:asciiTheme="minorEastAsia" w:hAnsiTheme="minorEastAsia" w:eastAsiaTheme="minorEastAsia" w:cstheme="minorEastAsia"/>
          <w:color w:val="000000" w:themeColor="text1"/>
          <w:highlight w:val="none"/>
          <w14:textFill>
            <w14:solidFill>
              <w14:schemeClr w14:val="tx1"/>
            </w14:solidFill>
          </w14:textFill>
        </w:rPr>
        <w:t>通过乐采云平台（https://www.lecaiyun.com/）实行电子化在线开标。</w:t>
      </w:r>
    </w:p>
    <w:p w14:paraId="60F3DF03">
      <w:pPr>
        <w:pStyle w:val="8"/>
        <w:spacing w:before="0" w:after="0" w:line="288" w:lineRule="auto"/>
        <w:ind w:firstLine="482" w:firstLineChars="200"/>
        <w:rPr>
          <w:rFonts w:ascii="宋体" w:hAnsi="宋体" w:eastAsia="宋体" w:cs="宋体"/>
          <w:bCs w:val="0"/>
          <w:color w:val="000000" w:themeColor="text1"/>
          <w:kern w:val="0"/>
          <w:sz w:val="24"/>
          <w:szCs w:val="24"/>
          <w:highlight w:val="none"/>
          <w14:textFill>
            <w14:solidFill>
              <w14:schemeClr w14:val="tx1"/>
            </w14:solidFill>
          </w14:textFill>
        </w:rPr>
      </w:pPr>
      <w:bookmarkStart w:id="17" w:name="_Toc28359007"/>
      <w:bookmarkStart w:id="18" w:name="_Toc35393794"/>
      <w:bookmarkStart w:id="19" w:name="_Toc35393625"/>
      <w:bookmarkStart w:id="20" w:name="_Toc28359084"/>
      <w:r>
        <w:rPr>
          <w:rFonts w:hint="eastAsia" w:ascii="宋体" w:hAnsi="宋体" w:eastAsia="宋体" w:cs="宋体"/>
          <w:bCs w:val="0"/>
          <w:color w:val="000000" w:themeColor="text1"/>
          <w:kern w:val="0"/>
          <w:sz w:val="24"/>
          <w:szCs w:val="24"/>
          <w:highlight w:val="none"/>
          <w14:textFill>
            <w14:solidFill>
              <w14:schemeClr w14:val="tx1"/>
            </w14:solidFill>
          </w14:textFill>
        </w:rPr>
        <w:t>五、公告期限</w:t>
      </w:r>
      <w:bookmarkEnd w:id="17"/>
      <w:bookmarkEnd w:id="18"/>
      <w:bookmarkEnd w:id="19"/>
      <w:bookmarkEnd w:id="20"/>
    </w:p>
    <w:p w14:paraId="41D28637">
      <w:pPr>
        <w:spacing w:line="288" w:lineRule="auto"/>
        <w:ind w:firstLine="480" w:firstLineChars="200"/>
        <w:rPr>
          <w:rStyle w:val="25"/>
          <w:rFonts w:ascii="宋体" w:hAnsi="宋体" w:cs="宋体"/>
          <w:color w:val="000000" w:themeColor="text1"/>
          <w:sz w:val="24"/>
          <w:szCs w:val="24"/>
          <w:highlight w:val="none"/>
          <w:shd w:val="clear" w:color="auto" w:fill="FFFFFF"/>
          <w14:textFill>
            <w14:solidFill>
              <w14:schemeClr w14:val="tx1"/>
            </w14:solidFill>
          </w14:textFill>
        </w:rPr>
      </w:pPr>
      <w:r>
        <w:rPr>
          <w:rStyle w:val="25"/>
          <w:rFonts w:hint="eastAsia" w:ascii="宋体" w:hAnsi="宋体" w:cs="宋体"/>
          <w:color w:val="000000" w:themeColor="text1"/>
          <w:sz w:val="24"/>
          <w:szCs w:val="24"/>
          <w:highlight w:val="none"/>
          <w:shd w:val="clear" w:color="auto" w:fill="FFFFFF"/>
          <w14:textFill>
            <w14:solidFill>
              <w14:schemeClr w14:val="tx1"/>
            </w14:solidFill>
          </w14:textFill>
        </w:rPr>
        <w:t>自本公告发布之日起5个工作日。</w:t>
      </w:r>
    </w:p>
    <w:p w14:paraId="2B463BFE">
      <w:pPr>
        <w:pStyle w:val="8"/>
        <w:spacing w:before="0" w:after="0" w:line="288" w:lineRule="auto"/>
        <w:ind w:firstLine="482" w:firstLineChars="200"/>
        <w:rPr>
          <w:rFonts w:ascii="宋体" w:hAnsi="宋体" w:eastAsia="宋体" w:cs="宋体"/>
          <w:bCs w:val="0"/>
          <w:color w:val="000000" w:themeColor="text1"/>
          <w:kern w:val="0"/>
          <w:sz w:val="24"/>
          <w:szCs w:val="24"/>
          <w:highlight w:val="none"/>
          <w14:textFill>
            <w14:solidFill>
              <w14:schemeClr w14:val="tx1"/>
            </w14:solidFill>
          </w14:textFill>
        </w:rPr>
      </w:pPr>
      <w:bookmarkStart w:id="21" w:name="_Toc35393626"/>
      <w:bookmarkStart w:id="22" w:name="_Toc35393795"/>
      <w:r>
        <w:rPr>
          <w:rFonts w:hint="eastAsia" w:ascii="宋体" w:hAnsi="宋体" w:eastAsia="宋体" w:cs="宋体"/>
          <w:bCs w:val="0"/>
          <w:color w:val="000000" w:themeColor="text1"/>
          <w:kern w:val="0"/>
          <w:sz w:val="24"/>
          <w:szCs w:val="24"/>
          <w:highlight w:val="none"/>
          <w14:textFill>
            <w14:solidFill>
              <w14:schemeClr w14:val="tx1"/>
            </w14:solidFill>
          </w14:textFill>
        </w:rPr>
        <w:t>六、其他补充事宜</w:t>
      </w:r>
      <w:bookmarkEnd w:id="21"/>
      <w:bookmarkEnd w:id="22"/>
    </w:p>
    <w:p w14:paraId="235A52A2">
      <w:pPr>
        <w:pStyle w:val="21"/>
        <w:spacing w:before="0" w:beforeAutospacing="0" w:after="0" w:afterAutospacing="0" w:line="288" w:lineRule="auto"/>
        <w:ind w:firstLine="480" w:firstLineChars="200"/>
        <w:rPr>
          <w:rStyle w:val="25"/>
          <w:rFonts w:eastAsia="宋体" w:cs="宋体"/>
          <w:color w:val="000000" w:themeColor="text1"/>
          <w:highlight w:val="none"/>
          <w:shd w:val="clear" w:color="auto" w:fill="FFFFFF"/>
          <w14:textFill>
            <w14:solidFill>
              <w14:schemeClr w14:val="tx1"/>
            </w14:solidFill>
          </w14:textFill>
        </w:rPr>
      </w:pPr>
      <w:r>
        <w:rPr>
          <w:rStyle w:val="25"/>
          <w:rFonts w:hint="eastAsia" w:eastAsia="宋体" w:cs="宋体"/>
          <w:color w:val="000000" w:themeColor="text1"/>
          <w:highlight w:val="none"/>
          <w:shd w:val="clear" w:color="auto" w:fill="FFFFFF"/>
          <w14:textFill>
            <w14:solidFill>
              <w14:schemeClr w14:val="tx1"/>
            </w14:solidFill>
          </w14:textFill>
        </w:rPr>
        <w:t>1.</w:t>
      </w:r>
      <w:r>
        <w:rPr>
          <w:rStyle w:val="25"/>
          <w:rFonts w:hint="eastAsia" w:eastAsia="宋体" w:cs="宋体"/>
          <w:bCs/>
          <w:color w:val="000000" w:themeColor="text1"/>
          <w:highlight w:val="none"/>
          <w:shd w:val="clear" w:color="auto" w:fill="FFFFFF"/>
          <w14:textFill>
            <w14:solidFill>
              <w14:schemeClr w14:val="tx1"/>
            </w14:solidFill>
          </w14:textFill>
        </w:rPr>
        <w:t>供应商认为招标文件、招标过程和</w:t>
      </w:r>
      <w:r>
        <w:rPr>
          <w:rStyle w:val="25"/>
          <w:rFonts w:hint="eastAsia" w:cs="宋体"/>
          <w:bCs/>
          <w:color w:val="000000" w:themeColor="text1"/>
          <w:highlight w:val="none"/>
          <w:shd w:val="clear" w:color="auto" w:fill="FFFFFF"/>
          <w14:textFill>
            <w14:solidFill>
              <w14:schemeClr w14:val="tx1"/>
            </w14:solidFill>
          </w14:textFill>
        </w:rPr>
        <w:t>成交</w:t>
      </w:r>
      <w:r>
        <w:rPr>
          <w:rStyle w:val="25"/>
          <w:rFonts w:hint="eastAsia" w:eastAsia="宋体" w:cs="宋体"/>
          <w:bCs/>
          <w:color w:val="000000" w:themeColor="text1"/>
          <w:highlight w:val="none"/>
          <w:shd w:val="clear" w:color="auto" w:fill="FFFFFF"/>
          <w14:textFill>
            <w14:solidFill>
              <w14:schemeClr w14:val="tx1"/>
            </w14:solidFill>
          </w14:textFill>
        </w:rPr>
        <w:t>结果使自己的合法权益受到损害的，应当在知道或者应知其权益受到损害之日起七个工作日内，以书面形式向采购代理机构提出质疑，逾期提出的，采购代理机构不予受理、答复。采购代理机构与采购单位研究后，对认为有必要回答的问题，采购单位将在开标前将答疑内容以网上发布公告的形式通知所有供应商，供应商自行在网上查阅、下载答疑回复答疑内容是招标文件的组成部分。</w:t>
      </w:r>
    </w:p>
    <w:p w14:paraId="6B370A44">
      <w:pPr>
        <w:autoSpaceDE/>
        <w:autoSpaceDN/>
        <w:adjustRightInd/>
        <w:spacing w:line="288" w:lineRule="auto"/>
        <w:ind w:firstLine="480" w:firstLineChars="200"/>
        <w:rPr>
          <w:rStyle w:val="25"/>
          <w:rFonts w:ascii="宋体" w:hAnsi="宋体" w:cs="宋体"/>
          <w:color w:val="000000" w:themeColor="text1"/>
          <w:sz w:val="24"/>
          <w:szCs w:val="24"/>
          <w:highlight w:val="none"/>
          <w:shd w:val="clear" w:color="auto" w:fill="FFFFFF"/>
          <w14:textFill>
            <w14:solidFill>
              <w14:schemeClr w14:val="tx1"/>
            </w14:solidFill>
          </w14:textFill>
        </w:rPr>
      </w:pPr>
      <w:r>
        <w:rPr>
          <w:rStyle w:val="25"/>
          <w:rFonts w:hint="eastAsia" w:ascii="宋体" w:hAnsi="宋体" w:cs="宋体"/>
          <w:color w:val="000000" w:themeColor="text1"/>
          <w:sz w:val="24"/>
          <w:szCs w:val="24"/>
          <w:highlight w:val="none"/>
          <w:shd w:val="clear" w:color="auto" w:fill="FFFFFF"/>
          <w14:textFill>
            <w14:solidFill>
              <w14:schemeClr w14:val="tx1"/>
            </w14:solidFill>
          </w14:textFill>
        </w:rPr>
        <w:t>2.其他事项：详见招标文件。　</w:t>
      </w:r>
    </w:p>
    <w:p w14:paraId="500A75D3">
      <w:pPr>
        <w:autoSpaceDE/>
        <w:autoSpaceDN/>
        <w:adjustRightInd/>
        <w:spacing w:line="288" w:lineRule="auto"/>
        <w:ind w:firstLine="482" w:firstLineChars="200"/>
        <w:rPr>
          <w:rFonts w:ascii="宋体" w:hAnsi="宋体" w:cs="宋体"/>
          <w:b/>
          <w:color w:val="000000" w:themeColor="text1"/>
          <w:sz w:val="24"/>
          <w:szCs w:val="24"/>
          <w:highlight w:val="none"/>
          <w14:textFill>
            <w14:solidFill>
              <w14:schemeClr w14:val="tx1"/>
            </w14:solidFill>
          </w14:textFill>
        </w:rPr>
      </w:pPr>
      <w:bookmarkStart w:id="23" w:name="_Toc35393796"/>
      <w:bookmarkStart w:id="24" w:name="_Toc28359008"/>
      <w:bookmarkStart w:id="25" w:name="_Toc28359085"/>
      <w:bookmarkStart w:id="26" w:name="_Toc35393627"/>
      <w:r>
        <w:rPr>
          <w:rFonts w:hint="eastAsia" w:ascii="宋体" w:hAnsi="宋体" w:cs="宋体"/>
          <w:b/>
          <w:color w:val="000000" w:themeColor="text1"/>
          <w:sz w:val="24"/>
          <w:szCs w:val="24"/>
          <w:highlight w:val="none"/>
          <w14:textFill>
            <w14:solidFill>
              <w14:schemeClr w14:val="tx1"/>
            </w14:solidFill>
          </w14:textFill>
        </w:rPr>
        <w:t>七、投标保证金：</w:t>
      </w:r>
    </w:p>
    <w:p w14:paraId="392095C0">
      <w:pPr>
        <w:widowControl/>
        <w:autoSpaceDE/>
        <w:autoSpaceDN/>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本项目各标项投标保证金为，标项一金额：</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万元；标项二金额：</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万元；标项三金额：</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万元。</w:t>
      </w:r>
    </w:p>
    <w:p w14:paraId="3D1D7633">
      <w:pPr>
        <w:widowControl/>
        <w:autoSpaceDE/>
        <w:autoSpaceDN/>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w:t>
      </w:r>
      <w:r>
        <w:rPr>
          <w:rFonts w:hint="eastAsia" w:ascii="宋体" w:hAnsi="宋体" w:cs="宋体"/>
          <w:color w:val="000000" w:themeColor="text1"/>
          <w:sz w:val="24"/>
          <w:szCs w:val="24"/>
          <w:highlight w:val="none"/>
          <w14:textFill>
            <w14:solidFill>
              <w14:schemeClr w14:val="tx1"/>
            </w14:solidFill>
          </w14:textFill>
        </w:rPr>
        <w:t>标保证金以投标人名义采用电汇、转账、汇票等非现金形式提交，以提交投标文件截止时间前到账为准，否则按无效投标处理（以投标人单位名义汇款，不接受个人、分支机构、办事处、子公司或从他人账户汇款或存款方式）。</w:t>
      </w:r>
    </w:p>
    <w:p w14:paraId="3263EE21">
      <w:pPr>
        <w:widowControl/>
        <w:autoSpaceDE/>
        <w:autoSpaceDN/>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缴纳账户：诸暨市八方混凝土建材有限公司；</w:t>
      </w:r>
    </w:p>
    <w:p w14:paraId="6502A477">
      <w:pPr>
        <w:widowControl/>
        <w:autoSpaceDE/>
        <w:autoSpaceDN/>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开户行：宁波银行绍兴诸暨支行营业部；</w:t>
      </w:r>
    </w:p>
    <w:p w14:paraId="5CD5C68A">
      <w:pPr>
        <w:widowControl/>
        <w:autoSpaceDE/>
        <w:autoSpaceDN/>
        <w:spacing w:line="288"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账号：80060122000182144；</w:t>
      </w:r>
    </w:p>
    <w:p w14:paraId="44E18544">
      <w:pPr>
        <w:autoSpaceDE/>
        <w:autoSpaceDN/>
        <w:adjustRightInd/>
        <w:spacing w:line="288" w:lineRule="auto"/>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款项用途：注明所投标项的投标保证金，投标文件中须提供投标保证金缴纳凭证。</w:t>
      </w:r>
    </w:p>
    <w:p w14:paraId="28122503">
      <w:pPr>
        <w:autoSpaceDE/>
        <w:autoSpaceDN/>
        <w:adjustRightInd/>
        <w:spacing w:line="288"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八、其他注意事项：</w:t>
      </w:r>
    </w:p>
    <w:p w14:paraId="3BD5918E">
      <w:pPr>
        <w:pStyle w:val="15"/>
        <w:adjustRightInd w:val="0"/>
        <w:spacing w:line="288" w:lineRule="auto"/>
        <w:ind w:firstLine="482"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投标人应于开标时间前按照电子投标要求将电子加密标书上传到“乐采云”平台，逾期或未上传成功的将导致无法投标或投标无</w:t>
      </w:r>
      <w:r>
        <w:rPr>
          <w:rFonts w:hint="eastAsia" w:ascii="宋体" w:hAnsi="宋体" w:cs="宋体"/>
          <w:b/>
          <w:color w:val="000000" w:themeColor="text1"/>
          <w:kern w:val="0"/>
          <w:szCs w:val="24"/>
          <w:highlight w:val="none"/>
          <w14:textFill>
            <w14:solidFill>
              <w14:schemeClr w14:val="tx1"/>
            </w14:solidFill>
          </w14:textFill>
        </w:rPr>
        <w:t>效。</w:t>
      </w:r>
      <w:r>
        <w:rPr>
          <w:rFonts w:hint="eastAsia" w:ascii="宋体" w:hAnsi="宋体" w:cs="宋体"/>
          <w:color w:val="000000" w:themeColor="text1"/>
          <w:szCs w:val="24"/>
          <w:highlight w:val="none"/>
          <w14:textFill>
            <w14:solidFill>
              <w14:schemeClr w14:val="tx1"/>
            </w14:solidFill>
          </w14:textFill>
        </w:rPr>
        <w:t>备注：为确保采购项目顺利实施，避免因乐采云上电子投标文件解密失败导致投标方投标无效，投标方可在开标时间前将在乐采云平台上最后生成的具备电子签章的备份加密投标文件（文件名后缀为备份文件四字的首字母）以电子邮件方式传送至浙江诚远工程咨询有限公司邮箱765517806@qq.com，传送的备份电子投标文件需打包压缩并加密，加密密码由投标方自行保管，如乐采云上电子投标文件出现解密失败情况（开标后30分钟内进行解密），投标方可按照自身意愿确认是否同意提供加密密码解密传送至浙江诚远工程咨询有限公司邮箱的备份文件，并以备份文件作为替代电子投标文件，如投标方未按照规定时间前按要求提供有效备份文件，同时乐采云上投标文件解密失败的，将导致投标无效。</w:t>
      </w:r>
    </w:p>
    <w:p w14:paraId="42FCBC6E">
      <w:pPr>
        <w:pStyle w:val="15"/>
        <w:adjustRightInd w:val="0"/>
        <w:spacing w:line="288" w:lineRule="auto"/>
        <w:ind w:firstLine="482" w:firstLineChars="200"/>
        <w:rPr>
          <w:rFonts w:ascii="宋体" w:hAnsi="宋体" w:cs="宋体"/>
          <w:b/>
          <w:color w:val="000000" w:themeColor="text1"/>
          <w:kern w:val="0"/>
          <w:szCs w:val="24"/>
          <w:highlight w:val="none"/>
          <w:u w:val="single"/>
          <w14:textFill>
            <w14:solidFill>
              <w14:schemeClr w14:val="tx1"/>
            </w14:solidFill>
          </w14:textFill>
        </w:rPr>
      </w:pPr>
      <w:r>
        <w:rPr>
          <w:rFonts w:hint="eastAsia" w:ascii="宋体" w:hAnsi="宋体" w:cs="宋体"/>
          <w:b/>
          <w:color w:val="000000" w:themeColor="text1"/>
          <w:kern w:val="0"/>
          <w:szCs w:val="24"/>
          <w:highlight w:val="none"/>
          <w:u w:val="single"/>
          <w14:textFill>
            <w14:solidFill>
              <w14:schemeClr w14:val="tx1"/>
            </w14:solidFill>
          </w14:textFill>
        </w:rPr>
        <w:t>投标方无需在开标当天到达开标现场对电子投标进行解密，可在公司办公场地在规定时间内对电子投标文件进行解密。</w:t>
      </w:r>
    </w:p>
    <w:p w14:paraId="3EF55CDF">
      <w:pPr>
        <w:pStyle w:val="15"/>
        <w:adjustRightInd w:val="0"/>
        <w:spacing w:line="288" w:lineRule="auto"/>
        <w:ind w:firstLine="482" w:firstLineChars="20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开标时间后30分钟内供应商可以登录“乐采云”平台，用“项目采购-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w:t>
      </w:r>
    </w:p>
    <w:p w14:paraId="0A68FA33">
      <w:pPr>
        <w:pStyle w:val="8"/>
        <w:spacing w:before="120" w:after="120" w:line="300" w:lineRule="exac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kern w:val="0"/>
          <w:sz w:val="24"/>
          <w:szCs w:val="24"/>
          <w:highlight w:val="none"/>
          <w14:textFill>
            <w14:solidFill>
              <w14:schemeClr w14:val="tx1"/>
            </w14:solidFill>
          </w14:textFill>
        </w:rPr>
        <w:t>九、</w:t>
      </w:r>
      <w:bookmarkEnd w:id="23"/>
      <w:bookmarkEnd w:id="24"/>
      <w:bookmarkEnd w:id="25"/>
      <w:bookmarkEnd w:id="26"/>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对本次采购提出询问，请按以下方式联系</w:t>
      </w:r>
    </w:p>
    <w:p w14:paraId="5CBC7A64">
      <w:pPr>
        <w:pStyle w:val="21"/>
        <w:spacing w:before="0" w:beforeAutospacing="0" w:after="156" w:afterLines="50" w:afterAutospacing="0" w:line="300" w:lineRule="exact"/>
        <w:ind w:firstLine="556"/>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1.采购人信息</w:t>
      </w:r>
    </w:p>
    <w:p w14:paraId="2D2C572C">
      <w:pPr>
        <w:pStyle w:val="21"/>
        <w:spacing w:before="0" w:beforeAutospacing="0" w:after="156" w:afterLines="50" w:afterAutospacing="0" w:line="300" w:lineRule="exact"/>
        <w:ind w:firstLine="556"/>
        <w:rPr>
          <w:rFonts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名</w:t>
      </w:r>
      <w:r>
        <w:rPr>
          <w:rStyle w:val="33"/>
          <w:rFonts w:hint="eastAsia" w:asciiTheme="minorEastAsia" w:hAnsiTheme="minorEastAsia" w:eastAsiaTheme="minorEastAsia" w:cstheme="minorEastAsia"/>
          <w:color w:val="000000" w:themeColor="text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称：</w:t>
      </w:r>
      <w:r>
        <w:rPr>
          <w:rFonts w:hint="eastAsia" w:eastAsia="宋体" w:cs="宋体"/>
          <w:bCs/>
          <w:color w:val="000000" w:themeColor="text1"/>
          <w:kern w:val="2"/>
          <w:highlight w:val="none"/>
          <w14:textFill>
            <w14:solidFill>
              <w14:schemeClr w14:val="tx1"/>
            </w14:solidFill>
          </w14:textFill>
        </w:rPr>
        <w:t>诸暨市八方混凝土建材有限公司</w:t>
      </w:r>
    </w:p>
    <w:p w14:paraId="008A42A9">
      <w:pPr>
        <w:pStyle w:val="21"/>
        <w:spacing w:before="0" w:beforeAutospacing="0" w:after="156" w:afterLines="50" w:afterAutospacing="0" w:line="300" w:lineRule="exact"/>
        <w:ind w:firstLine="556"/>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地 址：诸暨市陶朱街道陆家村</w:t>
      </w:r>
    </w:p>
    <w:p w14:paraId="36045A8C">
      <w:pPr>
        <w:pStyle w:val="21"/>
        <w:spacing w:before="0" w:beforeAutospacing="0" w:after="156" w:afterLines="50" w:afterAutospacing="0" w:line="300" w:lineRule="exact"/>
        <w:ind w:firstLine="556"/>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eastAsia="宋体" w:cs="宋体"/>
          <w:bCs/>
          <w:color w:val="000000" w:themeColor="text1"/>
          <w:kern w:val="2"/>
          <w:highlight w:val="none"/>
          <w14:textFill>
            <w14:solidFill>
              <w14:schemeClr w14:val="tx1"/>
            </w14:solidFill>
          </w14:textFill>
        </w:rPr>
        <w:t>项目联系人</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赵龙</w:t>
      </w:r>
    </w:p>
    <w:p w14:paraId="095619A8">
      <w:pPr>
        <w:pStyle w:val="21"/>
        <w:spacing w:before="0" w:beforeAutospacing="0" w:after="156" w:afterLines="50" w:afterAutospacing="0" w:line="300" w:lineRule="exact"/>
        <w:ind w:firstLine="556"/>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工作电话：13606851881</w:t>
      </w:r>
    </w:p>
    <w:p w14:paraId="5753F195">
      <w:pPr>
        <w:pStyle w:val="21"/>
        <w:spacing w:before="0" w:beforeAutospacing="0" w:after="156" w:afterLines="50" w:afterAutospacing="0" w:line="300" w:lineRule="exact"/>
        <w:ind w:firstLine="556"/>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2.采购代理机构信息</w:t>
      </w:r>
    </w:p>
    <w:p w14:paraId="22B97043">
      <w:pPr>
        <w:pStyle w:val="21"/>
        <w:spacing w:before="0" w:beforeAutospacing="0" w:after="156" w:afterLines="50" w:afterAutospacing="0" w:line="300" w:lineRule="exact"/>
        <w:ind w:firstLine="556"/>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名 称：浙江诚远工程咨询有限公司</w:t>
      </w:r>
    </w:p>
    <w:p w14:paraId="28725170">
      <w:pPr>
        <w:pStyle w:val="21"/>
        <w:spacing w:before="0" w:beforeAutospacing="0" w:after="156" w:afterLines="50" w:afterAutospacing="0" w:line="300" w:lineRule="exact"/>
        <w:ind w:firstLine="556"/>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地 址：诸暨市乐家大厦3幢东单元13楼</w:t>
      </w:r>
    </w:p>
    <w:p w14:paraId="3223BF1D">
      <w:pPr>
        <w:pStyle w:val="21"/>
        <w:spacing w:before="0" w:beforeAutospacing="0" w:after="156" w:afterLines="50" w:afterAutospacing="0" w:line="300" w:lineRule="exact"/>
        <w:ind w:firstLine="556"/>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项目联系人：余佳维、李红丽</w:t>
      </w:r>
    </w:p>
    <w:p w14:paraId="3F52CC11">
      <w:pPr>
        <w:pStyle w:val="21"/>
        <w:spacing w:before="0" w:beforeAutospacing="0" w:after="156" w:afterLines="50" w:afterAutospacing="0" w:line="300" w:lineRule="exact"/>
        <w:ind w:firstLine="556"/>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工作电话：13600630407、13576086814</w:t>
      </w:r>
    </w:p>
    <w:p w14:paraId="7EAE9FC5">
      <w:pPr>
        <w:spacing w:line="288" w:lineRule="auto"/>
        <w:ind w:firstLine="480" w:firstLineChars="200"/>
        <w:rPr>
          <w:rStyle w:val="25"/>
          <w:rFonts w:ascii="宋体" w:hAnsi="宋体" w:cs="宋体"/>
          <w:color w:val="000000" w:themeColor="text1"/>
          <w:sz w:val="24"/>
          <w:szCs w:val="24"/>
          <w:highlight w:val="none"/>
          <w:shd w:val="clear" w:color="auto" w:fill="FFFFFF"/>
          <w14:textFill>
            <w14:solidFill>
              <w14:schemeClr w14:val="tx1"/>
            </w14:solidFill>
          </w14:textFill>
        </w:rPr>
      </w:pPr>
    </w:p>
    <w:p w14:paraId="135090E2">
      <w:pPr>
        <w:spacing w:line="288" w:lineRule="auto"/>
        <w:ind w:firstLine="420" w:firstLineChars="200"/>
        <w:rPr>
          <w:rFonts w:ascii="宋体" w:hAnsi="宋体"/>
          <w:b/>
          <w:bCs/>
          <w:color w:val="000000" w:themeColor="text1"/>
          <w:sz w:val="36"/>
          <w:szCs w:val="36"/>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若对项目采购电子交易系统操作有疑问，可登录乐采云（</w:t>
      </w:r>
      <w:r>
        <w:rPr>
          <w:rFonts w:hint="eastAsia" w:asciiTheme="minorEastAsia" w:hAnsiTheme="minorEastAsia" w:eastAsiaTheme="minorEastAsia" w:cstheme="minorEastAsia"/>
          <w:color w:val="000000" w:themeColor="text1"/>
          <w:highlight w:val="none"/>
          <w14:textFill>
            <w14:solidFill>
              <w14:schemeClr w14:val="tx1"/>
            </w14:solidFill>
          </w14:textFill>
        </w:rPr>
        <w:t>https://www.lecaiyun.com</w:t>
      </w:r>
      <w:r>
        <w:rPr>
          <w:rFonts w:hint="eastAsia" w:ascii="宋体" w:hAnsi="宋体" w:cs="宋体"/>
          <w:color w:val="000000" w:themeColor="text1"/>
          <w:highlight w:val="none"/>
          <w:shd w:val="clear" w:color="auto" w:fill="FFFFFF"/>
          <w14:textFill>
            <w14:solidFill>
              <w14:schemeClr w14:val="tx1"/>
            </w14:solidFill>
          </w14:textFill>
        </w:rPr>
        <w:t>），点击右侧咨询小采，获取采小蜜智能服务管家帮助，或拨打乐采云服务热线95763获取热线服务帮助。</w:t>
      </w:r>
    </w:p>
    <w:p w14:paraId="0048607C">
      <w:pPr>
        <w:spacing w:line="360" w:lineRule="auto"/>
        <w:jc w:val="center"/>
        <w:rPr>
          <w:rFonts w:ascii="宋体" w:hAnsi="宋体"/>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br w:type="page"/>
      </w:r>
      <w:r>
        <w:rPr>
          <w:rFonts w:hint="eastAsia" w:ascii="宋体" w:hAnsi="宋体"/>
          <w:b/>
          <w:bCs/>
          <w:color w:val="000000" w:themeColor="text1"/>
          <w:sz w:val="36"/>
          <w:szCs w:val="36"/>
          <w:highlight w:val="none"/>
          <w14:textFill>
            <w14:solidFill>
              <w14:schemeClr w14:val="tx1"/>
            </w14:solidFill>
          </w14:textFill>
        </w:rPr>
        <w:t>第二章   投标须知</w:t>
      </w:r>
    </w:p>
    <w:p w14:paraId="10A2AB00">
      <w:pPr>
        <w:kinsoku w:val="0"/>
        <w:overflowPunct w:val="0"/>
        <w:snapToGrid w:val="0"/>
        <w:spacing w:line="360" w:lineRule="auto"/>
        <w:jc w:val="center"/>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前  附  表</w:t>
      </w:r>
    </w:p>
    <w:tbl>
      <w:tblPr>
        <w:tblStyle w:val="22"/>
        <w:tblW w:w="106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1770"/>
        <w:gridCol w:w="8130"/>
      </w:tblGrid>
      <w:tr w14:paraId="14436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6623A8BF">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序号</w:t>
            </w:r>
          </w:p>
        </w:tc>
        <w:tc>
          <w:tcPr>
            <w:tcW w:w="1770" w:type="dxa"/>
            <w:tcBorders>
              <w:top w:val="single" w:color="auto" w:sz="4" w:space="0"/>
              <w:left w:val="single" w:color="auto" w:sz="4" w:space="0"/>
              <w:bottom w:val="single" w:color="auto" w:sz="4" w:space="0"/>
              <w:right w:val="single" w:color="auto" w:sz="4" w:space="0"/>
            </w:tcBorders>
            <w:vAlign w:val="center"/>
          </w:tcPr>
          <w:p w14:paraId="050033B6">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内容</w:t>
            </w:r>
          </w:p>
        </w:tc>
        <w:tc>
          <w:tcPr>
            <w:tcW w:w="8130" w:type="dxa"/>
            <w:tcBorders>
              <w:top w:val="single" w:color="auto" w:sz="4" w:space="0"/>
              <w:left w:val="single" w:color="auto" w:sz="4" w:space="0"/>
              <w:bottom w:val="single" w:color="auto" w:sz="4" w:space="0"/>
              <w:right w:val="single" w:color="auto" w:sz="4" w:space="0"/>
            </w:tcBorders>
            <w:vAlign w:val="center"/>
          </w:tcPr>
          <w:p w14:paraId="26285E1A">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说明与要求</w:t>
            </w:r>
          </w:p>
        </w:tc>
      </w:tr>
      <w:tr w14:paraId="452FD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0B8F3BC9">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1</w:t>
            </w:r>
          </w:p>
        </w:tc>
        <w:tc>
          <w:tcPr>
            <w:tcW w:w="1770" w:type="dxa"/>
            <w:tcBorders>
              <w:top w:val="single" w:color="auto" w:sz="4" w:space="0"/>
              <w:left w:val="single" w:color="auto" w:sz="4" w:space="0"/>
              <w:bottom w:val="single" w:color="auto" w:sz="4" w:space="0"/>
              <w:right w:val="single" w:color="auto" w:sz="4" w:space="0"/>
            </w:tcBorders>
            <w:vAlign w:val="center"/>
          </w:tcPr>
          <w:p w14:paraId="2C852950">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8130" w:type="dxa"/>
            <w:tcBorders>
              <w:top w:val="single" w:color="auto" w:sz="4" w:space="0"/>
              <w:left w:val="single" w:color="auto" w:sz="4" w:space="0"/>
              <w:bottom w:val="single" w:color="auto" w:sz="4" w:space="0"/>
              <w:right w:val="single" w:color="auto" w:sz="4" w:space="0"/>
            </w:tcBorders>
            <w:vAlign w:val="center"/>
          </w:tcPr>
          <w:p w14:paraId="7C735A3E">
            <w:pPr>
              <w:autoSpaceDE/>
              <w:autoSpaceDN/>
              <w:spacing w:line="300" w:lineRule="auto"/>
              <w:rPr>
                <w:rFonts w:ascii="宋体" w:hAnsi="宋体"/>
                <w:color w:val="000000" w:themeColor="text1"/>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诸暨市八方混凝土建材有限公司2025-2027年混凝土（砂浆）运输、泵送业务采购项目</w:t>
            </w:r>
          </w:p>
        </w:tc>
      </w:tr>
      <w:tr w14:paraId="6A0E3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38C82448">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2</w:t>
            </w:r>
          </w:p>
        </w:tc>
        <w:tc>
          <w:tcPr>
            <w:tcW w:w="1770" w:type="dxa"/>
            <w:tcBorders>
              <w:top w:val="single" w:color="auto" w:sz="4" w:space="0"/>
              <w:left w:val="single" w:color="auto" w:sz="4" w:space="0"/>
              <w:bottom w:val="single" w:color="auto" w:sz="4" w:space="0"/>
              <w:right w:val="single" w:color="auto" w:sz="4" w:space="0"/>
            </w:tcBorders>
            <w:vAlign w:val="center"/>
          </w:tcPr>
          <w:p w14:paraId="1AEE3F25">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采购方式</w:t>
            </w:r>
          </w:p>
        </w:tc>
        <w:tc>
          <w:tcPr>
            <w:tcW w:w="8130" w:type="dxa"/>
            <w:tcBorders>
              <w:top w:val="single" w:color="auto" w:sz="4" w:space="0"/>
              <w:left w:val="single" w:color="auto" w:sz="4" w:space="0"/>
              <w:bottom w:val="single" w:color="auto" w:sz="4" w:space="0"/>
              <w:right w:val="single" w:color="auto" w:sz="4" w:space="0"/>
            </w:tcBorders>
            <w:vAlign w:val="center"/>
          </w:tcPr>
          <w:p w14:paraId="6AC62B6A">
            <w:pPr>
              <w:pStyle w:val="15"/>
              <w:spacing w:line="300" w:lineRule="auto"/>
              <w:ind w:right="-107" w:rightChars="-51"/>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公开招标</w:t>
            </w:r>
          </w:p>
        </w:tc>
      </w:tr>
      <w:tr w14:paraId="3BA4E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7F5FD806">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3</w:t>
            </w:r>
          </w:p>
        </w:tc>
        <w:tc>
          <w:tcPr>
            <w:tcW w:w="1770" w:type="dxa"/>
            <w:tcBorders>
              <w:top w:val="single" w:color="auto" w:sz="4" w:space="0"/>
              <w:left w:val="single" w:color="auto" w:sz="4" w:space="0"/>
              <w:bottom w:val="single" w:color="auto" w:sz="4" w:space="0"/>
              <w:right w:val="single" w:color="auto" w:sz="4" w:space="0"/>
            </w:tcBorders>
            <w:vAlign w:val="center"/>
          </w:tcPr>
          <w:p w14:paraId="7A3B7A58">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评标办法</w:t>
            </w:r>
          </w:p>
        </w:tc>
        <w:tc>
          <w:tcPr>
            <w:tcW w:w="8130" w:type="dxa"/>
            <w:tcBorders>
              <w:top w:val="single" w:color="auto" w:sz="4" w:space="0"/>
              <w:left w:val="single" w:color="auto" w:sz="4" w:space="0"/>
              <w:bottom w:val="single" w:color="auto" w:sz="4" w:space="0"/>
              <w:right w:val="single" w:color="auto" w:sz="4" w:space="0"/>
            </w:tcBorders>
            <w:vAlign w:val="center"/>
          </w:tcPr>
          <w:p w14:paraId="4BB52079">
            <w:pPr>
              <w:pStyle w:val="15"/>
              <w:spacing w:line="300" w:lineRule="auto"/>
              <w:ind w:right="-107" w:rightChars="-51"/>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最低评标价法</w:t>
            </w:r>
          </w:p>
        </w:tc>
      </w:tr>
      <w:tr w14:paraId="0335E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73069BD3">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4</w:t>
            </w:r>
          </w:p>
        </w:tc>
        <w:tc>
          <w:tcPr>
            <w:tcW w:w="1770" w:type="dxa"/>
            <w:tcBorders>
              <w:top w:val="single" w:color="auto" w:sz="4" w:space="0"/>
              <w:left w:val="single" w:color="auto" w:sz="4" w:space="0"/>
              <w:bottom w:val="single" w:color="auto" w:sz="4" w:space="0"/>
              <w:right w:val="single" w:color="auto" w:sz="4" w:space="0"/>
            </w:tcBorders>
            <w:vAlign w:val="center"/>
          </w:tcPr>
          <w:p w14:paraId="04D53E7E">
            <w:pPr>
              <w:pStyle w:val="15"/>
              <w:spacing w:line="300" w:lineRule="auto"/>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最高限价</w:t>
            </w:r>
          </w:p>
        </w:tc>
        <w:tc>
          <w:tcPr>
            <w:tcW w:w="8130" w:type="dxa"/>
            <w:tcBorders>
              <w:top w:val="single" w:color="auto" w:sz="4" w:space="0"/>
              <w:left w:val="single" w:color="auto" w:sz="4" w:space="0"/>
              <w:bottom w:val="single" w:color="auto" w:sz="4" w:space="0"/>
              <w:right w:val="single" w:color="auto" w:sz="4" w:space="0"/>
            </w:tcBorders>
            <w:vAlign w:val="center"/>
          </w:tcPr>
          <w:p w14:paraId="0B4348CA">
            <w:pPr>
              <w:widowControl/>
              <w:spacing w:line="300" w:lineRule="auto"/>
              <w:rPr>
                <w:rFonts w:ascii="宋体" w:hAnsi="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详见第四章“采购需求”</w:t>
            </w:r>
          </w:p>
        </w:tc>
      </w:tr>
      <w:tr w14:paraId="5FC35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4EB5220F">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5</w:t>
            </w:r>
          </w:p>
        </w:tc>
        <w:tc>
          <w:tcPr>
            <w:tcW w:w="1770" w:type="dxa"/>
            <w:tcBorders>
              <w:top w:val="single" w:color="auto" w:sz="4" w:space="0"/>
              <w:left w:val="single" w:color="auto" w:sz="4" w:space="0"/>
              <w:bottom w:val="single" w:color="auto" w:sz="4" w:space="0"/>
              <w:right w:val="single" w:color="auto" w:sz="4" w:space="0"/>
            </w:tcBorders>
            <w:vAlign w:val="center"/>
          </w:tcPr>
          <w:p w14:paraId="0C2B1384">
            <w:pPr>
              <w:pStyle w:val="15"/>
              <w:spacing w:line="300" w:lineRule="auto"/>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投标人（供应商）资格要求</w:t>
            </w:r>
          </w:p>
        </w:tc>
        <w:tc>
          <w:tcPr>
            <w:tcW w:w="8130" w:type="dxa"/>
            <w:tcBorders>
              <w:top w:val="single" w:color="auto" w:sz="4" w:space="0"/>
              <w:left w:val="single" w:color="auto" w:sz="4" w:space="0"/>
              <w:bottom w:val="single" w:color="auto" w:sz="4" w:space="0"/>
              <w:right w:val="single" w:color="auto" w:sz="4" w:space="0"/>
            </w:tcBorders>
            <w:vAlign w:val="center"/>
          </w:tcPr>
          <w:p w14:paraId="7F3B04A1">
            <w:pPr>
              <w:pStyle w:val="29"/>
              <w:widowControl w:val="0"/>
              <w:snapToGrid/>
              <w:spacing w:afterLines="0" w:line="300" w:lineRule="auto"/>
              <w:ind w:firstLine="0" w:firstLineChars="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详见第一章“招标公告”</w:t>
            </w:r>
          </w:p>
        </w:tc>
      </w:tr>
      <w:tr w14:paraId="35B34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3E015DC2">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6</w:t>
            </w:r>
          </w:p>
        </w:tc>
        <w:tc>
          <w:tcPr>
            <w:tcW w:w="1770" w:type="dxa"/>
            <w:tcBorders>
              <w:top w:val="single" w:color="auto" w:sz="4" w:space="0"/>
              <w:left w:val="single" w:color="auto" w:sz="4" w:space="0"/>
              <w:bottom w:val="single" w:color="auto" w:sz="4" w:space="0"/>
              <w:right w:val="single" w:color="auto" w:sz="4" w:space="0"/>
            </w:tcBorders>
            <w:vAlign w:val="center"/>
          </w:tcPr>
          <w:p w14:paraId="48DE090C">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是否接受联合体投标</w:t>
            </w:r>
          </w:p>
        </w:tc>
        <w:tc>
          <w:tcPr>
            <w:tcW w:w="8130" w:type="dxa"/>
            <w:tcBorders>
              <w:top w:val="single" w:color="auto" w:sz="4" w:space="0"/>
              <w:left w:val="single" w:color="auto" w:sz="4" w:space="0"/>
              <w:bottom w:val="single" w:color="auto" w:sz="4" w:space="0"/>
              <w:right w:val="single" w:color="auto" w:sz="4" w:space="0"/>
            </w:tcBorders>
            <w:vAlign w:val="center"/>
          </w:tcPr>
          <w:p w14:paraId="16AF3413">
            <w:pPr>
              <w:pStyle w:val="15"/>
              <w:spacing w:line="300" w:lineRule="auto"/>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不接受。</w:t>
            </w:r>
          </w:p>
        </w:tc>
      </w:tr>
      <w:tr w14:paraId="7A0E9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1EBC6A6D">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7</w:t>
            </w:r>
          </w:p>
        </w:tc>
        <w:tc>
          <w:tcPr>
            <w:tcW w:w="1770" w:type="dxa"/>
            <w:tcBorders>
              <w:top w:val="single" w:color="auto" w:sz="4" w:space="0"/>
              <w:left w:val="single" w:color="auto" w:sz="4" w:space="0"/>
              <w:bottom w:val="single" w:color="auto" w:sz="4" w:space="0"/>
              <w:right w:val="single" w:color="auto" w:sz="4" w:space="0"/>
            </w:tcBorders>
            <w:vAlign w:val="center"/>
          </w:tcPr>
          <w:p w14:paraId="272DF195">
            <w:pPr>
              <w:pStyle w:val="15"/>
              <w:spacing w:line="300" w:lineRule="auto"/>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标的划分</w:t>
            </w:r>
          </w:p>
        </w:tc>
        <w:tc>
          <w:tcPr>
            <w:tcW w:w="8130" w:type="dxa"/>
            <w:tcBorders>
              <w:top w:val="single" w:color="auto" w:sz="4" w:space="0"/>
              <w:left w:val="single" w:color="auto" w:sz="4" w:space="0"/>
              <w:bottom w:val="single" w:color="auto" w:sz="4" w:space="0"/>
              <w:right w:val="single" w:color="auto" w:sz="4" w:space="0"/>
            </w:tcBorders>
            <w:vAlign w:val="center"/>
          </w:tcPr>
          <w:p w14:paraId="6C762D35">
            <w:pPr>
              <w:autoSpaceDE/>
              <w:autoSpaceDN/>
              <w:spacing w:line="300" w:lineRule="auto"/>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本次招标采购共分</w:t>
            </w:r>
            <w:r>
              <w:rPr>
                <w:rFonts w:hint="eastAsia" w:ascii="宋体" w:hAnsi="宋体" w:cs="宋体"/>
                <w:b/>
                <w:bCs/>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3</w:t>
            </w:r>
            <w:r>
              <w:rPr>
                <w:rFonts w:hint="eastAsia" w:ascii="宋体" w:hAnsi="宋体" w:cs="宋体"/>
                <w:b/>
                <w:bCs/>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个标项，投标人可以选择一个或多个标项投标，招标人将分标项择定中标人。</w:t>
            </w:r>
          </w:p>
        </w:tc>
      </w:tr>
      <w:tr w14:paraId="08E42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6A742AB3">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8</w:t>
            </w:r>
          </w:p>
        </w:tc>
        <w:tc>
          <w:tcPr>
            <w:tcW w:w="1770" w:type="dxa"/>
            <w:tcBorders>
              <w:top w:val="single" w:color="auto" w:sz="4" w:space="0"/>
              <w:left w:val="single" w:color="auto" w:sz="4" w:space="0"/>
              <w:bottom w:val="single" w:color="auto" w:sz="4" w:space="0"/>
              <w:right w:val="single" w:color="auto" w:sz="4" w:space="0"/>
            </w:tcBorders>
            <w:vAlign w:val="center"/>
          </w:tcPr>
          <w:p w14:paraId="7C555903">
            <w:pPr>
              <w:pStyle w:val="15"/>
              <w:spacing w:line="300" w:lineRule="auto"/>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资格审查</w:t>
            </w:r>
          </w:p>
        </w:tc>
        <w:tc>
          <w:tcPr>
            <w:tcW w:w="8130" w:type="dxa"/>
            <w:tcBorders>
              <w:top w:val="single" w:color="auto" w:sz="4" w:space="0"/>
              <w:left w:val="single" w:color="auto" w:sz="4" w:space="0"/>
              <w:bottom w:val="single" w:color="auto" w:sz="4" w:space="0"/>
              <w:right w:val="single" w:color="auto" w:sz="4" w:space="0"/>
            </w:tcBorders>
            <w:vAlign w:val="center"/>
          </w:tcPr>
          <w:p w14:paraId="169298AF">
            <w:pPr>
              <w:pStyle w:val="15"/>
              <w:spacing w:line="300" w:lineRule="auto"/>
              <w:rPr>
                <w:rFonts w:ascii="宋体" w:hAnsi="宋体"/>
                <w:color w:val="000000" w:themeColor="text1"/>
                <w:szCs w:val="24"/>
                <w:highlight w:val="none"/>
                <w14:textFill>
                  <w14:solidFill>
                    <w14:schemeClr w14:val="tx1"/>
                  </w14:solidFill>
                </w14:textFill>
              </w:rPr>
            </w:pPr>
            <w:r>
              <w:rPr>
                <w:rFonts w:ascii="宋体" w:hAnsi="宋体"/>
                <w:color w:val="000000" w:themeColor="text1"/>
                <w:szCs w:val="24"/>
                <w:highlight w:val="none"/>
                <w14:textFill>
                  <w14:solidFill>
                    <w14:schemeClr w14:val="tx1"/>
                  </w14:solidFill>
                </w14:textFill>
              </w:rPr>
              <w:t>采用资格后审方式进行审查。</w:t>
            </w:r>
          </w:p>
        </w:tc>
      </w:tr>
      <w:tr w14:paraId="2321F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647B74A8">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9</w:t>
            </w:r>
          </w:p>
        </w:tc>
        <w:tc>
          <w:tcPr>
            <w:tcW w:w="1770" w:type="dxa"/>
            <w:tcBorders>
              <w:top w:val="single" w:color="auto" w:sz="4" w:space="0"/>
              <w:left w:val="single" w:color="auto" w:sz="4" w:space="0"/>
              <w:bottom w:val="single" w:color="auto" w:sz="4" w:space="0"/>
              <w:right w:val="single" w:color="auto" w:sz="4" w:space="0"/>
            </w:tcBorders>
            <w:vAlign w:val="center"/>
          </w:tcPr>
          <w:p w14:paraId="6AEDC723">
            <w:pPr>
              <w:pStyle w:val="15"/>
              <w:spacing w:line="300" w:lineRule="auto"/>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招标文件的</w:t>
            </w:r>
          </w:p>
          <w:p w14:paraId="437220E8">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获取</w:t>
            </w:r>
          </w:p>
        </w:tc>
        <w:tc>
          <w:tcPr>
            <w:tcW w:w="8130" w:type="dxa"/>
            <w:tcBorders>
              <w:top w:val="single" w:color="auto" w:sz="4" w:space="0"/>
              <w:left w:val="single" w:color="auto" w:sz="4" w:space="0"/>
              <w:bottom w:val="single" w:color="auto" w:sz="4" w:space="0"/>
              <w:right w:val="single" w:color="auto" w:sz="4" w:space="0"/>
            </w:tcBorders>
            <w:vAlign w:val="center"/>
          </w:tcPr>
          <w:p w14:paraId="792F96EA">
            <w:pPr>
              <w:autoSpaceDE/>
              <w:autoSpaceDN/>
              <w:spacing w:line="300" w:lineRule="auto"/>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详见第一章“招标公告”</w:t>
            </w:r>
          </w:p>
        </w:tc>
      </w:tr>
      <w:tr w14:paraId="3D04F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7BAAB3BA">
            <w:pPr>
              <w:pStyle w:val="15"/>
              <w:adjustRightInd w:val="0"/>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10</w:t>
            </w:r>
          </w:p>
        </w:tc>
        <w:tc>
          <w:tcPr>
            <w:tcW w:w="1770" w:type="dxa"/>
            <w:tcBorders>
              <w:top w:val="single" w:color="auto" w:sz="4" w:space="0"/>
              <w:left w:val="single" w:color="auto" w:sz="4" w:space="0"/>
              <w:bottom w:val="single" w:color="auto" w:sz="4" w:space="0"/>
              <w:right w:val="single" w:color="auto" w:sz="4" w:space="0"/>
            </w:tcBorders>
            <w:vAlign w:val="center"/>
          </w:tcPr>
          <w:p w14:paraId="65AAB48E">
            <w:pPr>
              <w:pStyle w:val="15"/>
              <w:adjustRightInd w:val="0"/>
              <w:spacing w:line="300" w:lineRule="auto"/>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投标保证金</w:t>
            </w:r>
          </w:p>
        </w:tc>
        <w:tc>
          <w:tcPr>
            <w:tcW w:w="8130" w:type="dxa"/>
            <w:tcBorders>
              <w:top w:val="single" w:color="auto" w:sz="4" w:space="0"/>
              <w:left w:val="single" w:color="auto" w:sz="4" w:space="0"/>
              <w:bottom w:val="single" w:color="auto" w:sz="4" w:space="0"/>
              <w:right w:val="single" w:color="auto" w:sz="4" w:space="0"/>
            </w:tcBorders>
            <w:vAlign w:val="center"/>
          </w:tcPr>
          <w:p w14:paraId="686A4486">
            <w:pPr>
              <w:autoSpaceDE/>
              <w:autoSpaceDN/>
              <w:adjustRightInd/>
              <w:spacing w:line="288" w:lineRule="auto"/>
              <w:rPr>
                <w:rFonts w:ascii="宋体" w:hAnsi="宋体" w:cs="Arial"/>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详见第一章“招标公告”</w:t>
            </w:r>
          </w:p>
        </w:tc>
      </w:tr>
      <w:tr w14:paraId="2BE38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3521190B">
            <w:pPr>
              <w:pStyle w:val="15"/>
              <w:adjustRightInd w:val="0"/>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11</w:t>
            </w:r>
          </w:p>
        </w:tc>
        <w:tc>
          <w:tcPr>
            <w:tcW w:w="1770" w:type="dxa"/>
            <w:tcBorders>
              <w:top w:val="single" w:color="auto" w:sz="4" w:space="0"/>
              <w:left w:val="single" w:color="auto" w:sz="4" w:space="0"/>
              <w:bottom w:val="single" w:color="auto" w:sz="4" w:space="0"/>
              <w:right w:val="single" w:color="auto" w:sz="4" w:space="0"/>
            </w:tcBorders>
            <w:vAlign w:val="center"/>
          </w:tcPr>
          <w:p w14:paraId="2615270A">
            <w:pPr>
              <w:pStyle w:val="15"/>
              <w:spacing w:line="300" w:lineRule="auto"/>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资格文件</w:t>
            </w:r>
          </w:p>
        </w:tc>
        <w:tc>
          <w:tcPr>
            <w:tcW w:w="8130" w:type="dxa"/>
            <w:tcBorders>
              <w:top w:val="single" w:color="auto" w:sz="4" w:space="0"/>
              <w:left w:val="single" w:color="auto" w:sz="4" w:space="0"/>
              <w:bottom w:val="single" w:color="auto" w:sz="4" w:space="0"/>
              <w:right w:val="single" w:color="auto" w:sz="4" w:space="0"/>
            </w:tcBorders>
            <w:vAlign w:val="center"/>
          </w:tcPr>
          <w:p w14:paraId="77CF3217">
            <w:pPr>
              <w:autoSpaceDE/>
              <w:autoSpaceDN/>
              <w:spacing w:line="300" w:lineRule="auto"/>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（1）营业执照复印件（加盖单位公章）；</w:t>
            </w:r>
          </w:p>
          <w:p w14:paraId="4BFE2718">
            <w:pPr>
              <w:autoSpaceDE/>
              <w:autoSpaceDN/>
              <w:spacing w:line="300" w:lineRule="auto"/>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（2）授权委托书（法定代表人本人参加投标的，只需提供身份证复印件，以上材料均需加盖单位公章，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格式见第六章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582E3007">
            <w:pPr>
              <w:autoSpaceDE/>
              <w:autoSpaceDN/>
              <w:spacing w:line="300" w:lineRule="auto"/>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提供自招标公告发布之日起至投标截止日内任意时间的“信用中国”网站（www.creditchina.gov.cn）、中国政府采购网（www.ccgp.gov.cn）投标人信用查询网页截图。（以开标当日采购人或由采购人委托的评标委员会核实的查询结果为准）；</w:t>
            </w:r>
          </w:p>
          <w:p w14:paraId="6A361816">
            <w:pPr>
              <w:autoSpaceDE/>
              <w:autoSpaceDN/>
              <w:spacing w:line="300" w:lineRule="auto"/>
              <w:jc w:val="lef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（4）投标保证金汇款凭证（加盖单位公章）。</w:t>
            </w:r>
          </w:p>
        </w:tc>
      </w:tr>
      <w:tr w14:paraId="13495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6D34B490">
            <w:pPr>
              <w:pStyle w:val="15"/>
              <w:adjustRightInd w:val="0"/>
              <w:spacing w:line="300" w:lineRule="auto"/>
              <w:jc w:val="center"/>
              <w:rPr>
                <w:rFonts w:ascii="宋体" w:hAnsi="宋体"/>
                <w:b/>
                <w:color w:val="000000" w:themeColor="text1"/>
                <w:szCs w:val="24"/>
                <w:highlight w:val="none"/>
                <w14:textFill>
                  <w14:solidFill>
                    <w14:schemeClr w14:val="tx1"/>
                  </w14:solidFill>
                </w14:textFill>
              </w:rPr>
            </w:pPr>
          </w:p>
          <w:p w14:paraId="1B35DE5E">
            <w:pPr>
              <w:pStyle w:val="15"/>
              <w:adjustRightInd w:val="0"/>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12</w:t>
            </w:r>
          </w:p>
        </w:tc>
        <w:tc>
          <w:tcPr>
            <w:tcW w:w="1770" w:type="dxa"/>
            <w:tcBorders>
              <w:top w:val="single" w:color="auto" w:sz="4" w:space="0"/>
              <w:left w:val="single" w:color="auto" w:sz="4" w:space="0"/>
              <w:bottom w:val="single" w:color="auto" w:sz="4" w:space="0"/>
              <w:right w:val="single" w:color="auto" w:sz="4" w:space="0"/>
            </w:tcBorders>
            <w:vAlign w:val="center"/>
          </w:tcPr>
          <w:p w14:paraId="4092F7B6">
            <w:pPr>
              <w:pStyle w:val="15"/>
              <w:spacing w:line="300" w:lineRule="auto"/>
              <w:jc w:val="center"/>
              <w:rPr>
                <w:rFonts w:ascii="宋体" w:hAnsi="宋体"/>
                <w:b/>
                <w:color w:val="000000" w:themeColor="text1"/>
                <w:szCs w:val="24"/>
                <w:highlight w:val="none"/>
                <w14:textFill>
                  <w14:solidFill>
                    <w14:schemeClr w14:val="tx1"/>
                  </w14:solidFill>
                </w14:textFill>
              </w:rPr>
            </w:pPr>
          </w:p>
          <w:p w14:paraId="39E33CD4">
            <w:pPr>
              <w:pStyle w:val="15"/>
              <w:spacing w:line="300" w:lineRule="auto"/>
              <w:jc w:val="center"/>
              <w:rPr>
                <w:rFonts w:ascii="宋体" w:hAnsi="宋体"/>
                <w:b/>
                <w:color w:val="000000" w:themeColor="text1"/>
                <w:szCs w:val="24"/>
                <w:highlight w:val="none"/>
                <w14:textFill>
                  <w14:solidFill>
                    <w14:schemeClr w14:val="tx1"/>
                  </w14:solidFill>
                </w14:textFill>
              </w:rPr>
            </w:pPr>
          </w:p>
          <w:p w14:paraId="78B323A9">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投标文件</w:t>
            </w:r>
          </w:p>
        </w:tc>
        <w:tc>
          <w:tcPr>
            <w:tcW w:w="8130" w:type="dxa"/>
            <w:tcBorders>
              <w:top w:val="single" w:color="auto" w:sz="4" w:space="0"/>
              <w:left w:val="single" w:color="auto" w:sz="4" w:space="0"/>
              <w:bottom w:val="single" w:color="auto" w:sz="4" w:space="0"/>
              <w:right w:val="single" w:color="auto" w:sz="4" w:space="0"/>
            </w:tcBorders>
            <w:vAlign w:val="center"/>
          </w:tcPr>
          <w:p w14:paraId="6E2B0283">
            <w:pPr>
              <w:tabs>
                <w:tab w:val="left" w:pos="3870"/>
                <w:tab w:val="left" w:pos="4085"/>
              </w:tabs>
              <w:autoSpaceDE/>
              <w:autoSpaceDN/>
              <w:spacing w:line="300" w:lineRule="auto"/>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（1）投标函（</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格式见第六章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751EEC2A">
            <w:pPr>
              <w:tabs>
                <w:tab w:val="left" w:pos="3870"/>
                <w:tab w:val="left" w:pos="4085"/>
              </w:tabs>
              <w:autoSpaceDE/>
              <w:autoSpaceDN/>
              <w:spacing w:line="300" w:lineRule="auto"/>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（2）开标一览表（</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格式见第六章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59E22B1E">
            <w:pPr>
              <w:tabs>
                <w:tab w:val="left" w:pos="3870"/>
                <w:tab w:val="left" w:pos="4085"/>
              </w:tabs>
              <w:autoSpaceDE/>
              <w:autoSpaceDN/>
              <w:spacing w:line="300" w:lineRule="auto"/>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（3）营业执照复印件（加盖单位公章）；</w:t>
            </w:r>
          </w:p>
          <w:p w14:paraId="50AD84B4">
            <w:pPr>
              <w:tabs>
                <w:tab w:val="left" w:pos="3870"/>
                <w:tab w:val="left" w:pos="4085"/>
              </w:tabs>
              <w:autoSpaceDE/>
              <w:autoSpaceDN/>
              <w:spacing w:line="300" w:lineRule="auto"/>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（4）授权委托书（法定代表人本人参加投标的，只需提供身份证复印件，以上材料均需加盖单位公章，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格式见第六章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w:t>
            </w:r>
          </w:p>
          <w:p w14:paraId="6085BD84">
            <w:pPr>
              <w:autoSpaceDE/>
              <w:autoSpaceDN/>
              <w:spacing w:line="300" w:lineRule="auto"/>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（5）投标承诺书（</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格式见第六章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B6E6972">
            <w:pPr>
              <w:tabs>
                <w:tab w:val="left" w:pos="3870"/>
                <w:tab w:val="left" w:pos="4085"/>
              </w:tabs>
              <w:autoSpaceDE/>
              <w:autoSpaceDN/>
              <w:spacing w:line="300" w:lineRule="auto"/>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（6）商务技术偏离表（</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格式见第六章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B9894C5">
            <w:pPr>
              <w:tabs>
                <w:tab w:val="left" w:pos="3870"/>
                <w:tab w:val="left" w:pos="4085"/>
              </w:tabs>
              <w:autoSpaceDE/>
              <w:autoSpaceDN/>
              <w:spacing w:line="300" w:lineRule="auto"/>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（7）投标人需要说明的其他文件和说明（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格式见第六章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E497C28">
            <w:pPr>
              <w:pStyle w:val="15"/>
              <w:spacing w:line="300" w:lineRule="auto"/>
              <w:rPr>
                <w:rFonts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注：投标函、开标一览表、授权委托书、投标承诺书必须加盖单位公章。</w:t>
            </w:r>
          </w:p>
        </w:tc>
      </w:tr>
      <w:tr w14:paraId="047A2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6A9F9587">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13</w:t>
            </w:r>
          </w:p>
        </w:tc>
        <w:tc>
          <w:tcPr>
            <w:tcW w:w="1770" w:type="dxa"/>
            <w:tcBorders>
              <w:top w:val="single" w:color="auto" w:sz="4" w:space="0"/>
              <w:left w:val="single" w:color="auto" w:sz="4" w:space="0"/>
              <w:bottom w:val="single" w:color="auto" w:sz="4" w:space="0"/>
              <w:right w:val="single" w:color="auto" w:sz="4" w:space="0"/>
            </w:tcBorders>
            <w:vAlign w:val="center"/>
          </w:tcPr>
          <w:p w14:paraId="011B7A2E">
            <w:pPr>
              <w:pStyle w:val="15"/>
              <w:spacing w:line="300" w:lineRule="auto"/>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现场演示</w:t>
            </w:r>
          </w:p>
        </w:tc>
        <w:tc>
          <w:tcPr>
            <w:tcW w:w="8130" w:type="dxa"/>
            <w:tcBorders>
              <w:top w:val="single" w:color="auto" w:sz="4" w:space="0"/>
              <w:left w:val="single" w:color="auto" w:sz="4" w:space="0"/>
              <w:bottom w:val="single" w:color="auto" w:sz="4" w:space="0"/>
              <w:right w:val="single" w:color="auto" w:sz="4" w:space="0"/>
            </w:tcBorders>
            <w:vAlign w:val="center"/>
          </w:tcPr>
          <w:p w14:paraId="6D151072">
            <w:pPr>
              <w:tabs>
                <w:tab w:val="left" w:pos="3870"/>
                <w:tab w:val="left" w:pos="4085"/>
              </w:tabs>
              <w:autoSpaceDE/>
              <w:autoSpaceDN/>
              <w:spacing w:line="30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按招标文件要求执行</w:t>
            </w:r>
          </w:p>
        </w:tc>
      </w:tr>
      <w:tr w14:paraId="51D76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44B0085C">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14</w:t>
            </w:r>
          </w:p>
        </w:tc>
        <w:tc>
          <w:tcPr>
            <w:tcW w:w="1770" w:type="dxa"/>
            <w:tcBorders>
              <w:top w:val="single" w:color="auto" w:sz="4" w:space="0"/>
              <w:left w:val="single" w:color="auto" w:sz="4" w:space="0"/>
              <w:bottom w:val="single" w:color="auto" w:sz="4" w:space="0"/>
              <w:right w:val="single" w:color="auto" w:sz="4" w:space="0"/>
            </w:tcBorders>
            <w:vAlign w:val="center"/>
          </w:tcPr>
          <w:p w14:paraId="225CBFAB">
            <w:pPr>
              <w:pStyle w:val="15"/>
              <w:spacing w:line="300" w:lineRule="auto"/>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投标样品</w:t>
            </w:r>
          </w:p>
        </w:tc>
        <w:tc>
          <w:tcPr>
            <w:tcW w:w="8130" w:type="dxa"/>
            <w:tcBorders>
              <w:top w:val="single" w:color="auto" w:sz="4" w:space="0"/>
              <w:left w:val="single" w:color="auto" w:sz="4" w:space="0"/>
              <w:bottom w:val="single" w:color="auto" w:sz="4" w:space="0"/>
              <w:right w:val="single" w:color="auto" w:sz="4" w:space="0"/>
            </w:tcBorders>
            <w:vAlign w:val="center"/>
          </w:tcPr>
          <w:p w14:paraId="294D41AB">
            <w:pPr>
              <w:autoSpaceDE/>
              <w:autoSpaceDN/>
              <w:spacing w:line="30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按招标文件要求执行</w:t>
            </w:r>
          </w:p>
        </w:tc>
      </w:tr>
      <w:tr w14:paraId="25198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7A0FE7A3">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15</w:t>
            </w:r>
          </w:p>
        </w:tc>
        <w:tc>
          <w:tcPr>
            <w:tcW w:w="1770" w:type="dxa"/>
            <w:tcBorders>
              <w:top w:val="single" w:color="auto" w:sz="4" w:space="0"/>
              <w:left w:val="single" w:color="auto" w:sz="4" w:space="0"/>
              <w:bottom w:val="single" w:color="auto" w:sz="4" w:space="0"/>
              <w:right w:val="single" w:color="auto" w:sz="4" w:space="0"/>
            </w:tcBorders>
            <w:vAlign w:val="center"/>
          </w:tcPr>
          <w:p w14:paraId="203380D6">
            <w:pPr>
              <w:pStyle w:val="15"/>
              <w:spacing w:line="300" w:lineRule="auto"/>
              <w:jc w:val="center"/>
              <w:rPr>
                <w:rFonts w:ascii="宋体" w:hAns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投标有效期</w:t>
            </w:r>
          </w:p>
        </w:tc>
        <w:tc>
          <w:tcPr>
            <w:tcW w:w="8130" w:type="dxa"/>
            <w:tcBorders>
              <w:top w:val="single" w:color="auto" w:sz="4" w:space="0"/>
              <w:left w:val="single" w:color="auto" w:sz="4" w:space="0"/>
              <w:bottom w:val="single" w:color="auto" w:sz="4" w:space="0"/>
              <w:right w:val="single" w:color="auto" w:sz="4" w:space="0"/>
            </w:tcBorders>
            <w:vAlign w:val="center"/>
          </w:tcPr>
          <w:p w14:paraId="7B916ED0">
            <w:pPr>
              <w:pStyle w:val="15"/>
              <w:spacing w:line="300" w:lineRule="auto"/>
              <w:rPr>
                <w:rFonts w:ascii="宋体" w:hAns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自投标截止日起90天。如采购代理机构认为必要，可延长投标有效期。</w:t>
            </w:r>
          </w:p>
        </w:tc>
      </w:tr>
      <w:tr w14:paraId="7BF67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09E0EE91">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16</w:t>
            </w:r>
          </w:p>
        </w:tc>
        <w:tc>
          <w:tcPr>
            <w:tcW w:w="1770" w:type="dxa"/>
            <w:tcBorders>
              <w:top w:val="single" w:color="auto" w:sz="4" w:space="0"/>
              <w:left w:val="single" w:color="auto" w:sz="4" w:space="0"/>
              <w:bottom w:val="single" w:color="auto" w:sz="4" w:space="0"/>
              <w:right w:val="single" w:color="auto" w:sz="4" w:space="0"/>
            </w:tcBorders>
            <w:vAlign w:val="center"/>
          </w:tcPr>
          <w:p w14:paraId="7B4A69A7">
            <w:pPr>
              <w:pStyle w:val="15"/>
              <w:spacing w:line="300" w:lineRule="auto"/>
              <w:jc w:val="center"/>
              <w:rPr>
                <w:rFonts w:ascii="宋体" w:hAns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签订合同时间</w:t>
            </w:r>
          </w:p>
        </w:tc>
        <w:tc>
          <w:tcPr>
            <w:tcW w:w="8130" w:type="dxa"/>
            <w:tcBorders>
              <w:top w:val="single" w:color="auto" w:sz="4" w:space="0"/>
              <w:left w:val="single" w:color="auto" w:sz="4" w:space="0"/>
              <w:bottom w:val="single" w:color="auto" w:sz="4" w:space="0"/>
              <w:right w:val="single" w:color="auto" w:sz="4" w:space="0"/>
            </w:tcBorders>
            <w:vAlign w:val="center"/>
          </w:tcPr>
          <w:p w14:paraId="724E51C5">
            <w:pPr>
              <w:pStyle w:val="15"/>
              <w:spacing w:line="300" w:lineRule="auto"/>
              <w:rPr>
                <w:rFonts w:ascii="宋体" w:hAns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中标通知书发出后30日内</w:t>
            </w:r>
          </w:p>
        </w:tc>
      </w:tr>
      <w:tr w14:paraId="381A4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0008E916">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17</w:t>
            </w:r>
          </w:p>
        </w:tc>
        <w:tc>
          <w:tcPr>
            <w:tcW w:w="1770" w:type="dxa"/>
            <w:tcBorders>
              <w:top w:val="single" w:color="auto" w:sz="4" w:space="0"/>
              <w:left w:val="single" w:color="auto" w:sz="4" w:space="0"/>
              <w:bottom w:val="single" w:color="auto" w:sz="4" w:space="0"/>
              <w:right w:val="single" w:color="auto" w:sz="4" w:space="0"/>
            </w:tcBorders>
            <w:vAlign w:val="center"/>
          </w:tcPr>
          <w:p w14:paraId="204C52AB">
            <w:pPr>
              <w:pStyle w:val="15"/>
              <w:spacing w:line="300" w:lineRule="auto"/>
              <w:jc w:val="center"/>
              <w:rPr>
                <w:rFonts w:ascii="宋体" w:hAns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转包与分包</w:t>
            </w:r>
          </w:p>
        </w:tc>
        <w:tc>
          <w:tcPr>
            <w:tcW w:w="8130" w:type="dxa"/>
            <w:tcBorders>
              <w:top w:val="single" w:color="auto" w:sz="4" w:space="0"/>
              <w:left w:val="single" w:color="auto" w:sz="4" w:space="0"/>
              <w:bottom w:val="single" w:color="auto" w:sz="4" w:space="0"/>
              <w:right w:val="single" w:color="auto" w:sz="4" w:space="0"/>
            </w:tcBorders>
            <w:vAlign w:val="center"/>
          </w:tcPr>
          <w:p w14:paraId="51784846">
            <w:pPr>
              <w:pStyle w:val="15"/>
              <w:spacing w:line="300" w:lineRule="auto"/>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本项目不允许转包和违法分包。</w:t>
            </w:r>
          </w:p>
        </w:tc>
      </w:tr>
      <w:tr w14:paraId="520EA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11C57E39">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18</w:t>
            </w:r>
          </w:p>
        </w:tc>
        <w:tc>
          <w:tcPr>
            <w:tcW w:w="1770" w:type="dxa"/>
            <w:tcBorders>
              <w:top w:val="single" w:color="auto" w:sz="4" w:space="0"/>
              <w:left w:val="single" w:color="auto" w:sz="4" w:space="0"/>
              <w:bottom w:val="single" w:color="auto" w:sz="4" w:space="0"/>
              <w:right w:val="single" w:color="auto" w:sz="4" w:space="0"/>
            </w:tcBorders>
            <w:vAlign w:val="center"/>
          </w:tcPr>
          <w:p w14:paraId="75FBFB2D">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履约保证金</w:t>
            </w:r>
          </w:p>
        </w:tc>
        <w:tc>
          <w:tcPr>
            <w:tcW w:w="8130" w:type="dxa"/>
            <w:tcBorders>
              <w:top w:val="single" w:color="auto" w:sz="4" w:space="0"/>
              <w:left w:val="single" w:color="auto" w:sz="4" w:space="0"/>
              <w:bottom w:val="single" w:color="auto" w:sz="4" w:space="0"/>
              <w:right w:val="single" w:color="auto" w:sz="4" w:space="0"/>
            </w:tcBorders>
            <w:vAlign w:val="center"/>
          </w:tcPr>
          <w:p w14:paraId="74F076FD">
            <w:pPr>
              <w:autoSpaceDE/>
              <w:autoSpaceDN/>
              <w:adjustRightInd/>
              <w:spacing w:line="312"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详见第四章“采购需求”</w:t>
            </w:r>
          </w:p>
        </w:tc>
      </w:tr>
      <w:tr w14:paraId="3AF35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1D3CF85B">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19</w:t>
            </w:r>
          </w:p>
        </w:tc>
        <w:tc>
          <w:tcPr>
            <w:tcW w:w="1770" w:type="dxa"/>
            <w:tcBorders>
              <w:top w:val="single" w:color="auto" w:sz="4" w:space="0"/>
              <w:left w:val="single" w:color="auto" w:sz="4" w:space="0"/>
              <w:bottom w:val="single" w:color="auto" w:sz="4" w:space="0"/>
              <w:right w:val="single" w:color="auto" w:sz="4" w:space="0"/>
            </w:tcBorders>
            <w:vAlign w:val="center"/>
          </w:tcPr>
          <w:p w14:paraId="7F63CBFF">
            <w:pPr>
              <w:pStyle w:val="15"/>
              <w:spacing w:line="300" w:lineRule="auto"/>
              <w:jc w:val="center"/>
              <w:rPr>
                <w:rFonts w:ascii="宋体" w:hAns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投标文件递交截止时间</w:t>
            </w:r>
          </w:p>
        </w:tc>
        <w:tc>
          <w:tcPr>
            <w:tcW w:w="8130" w:type="dxa"/>
            <w:tcBorders>
              <w:top w:val="single" w:color="auto" w:sz="4" w:space="0"/>
              <w:left w:val="single" w:color="auto" w:sz="4" w:space="0"/>
              <w:bottom w:val="single" w:color="auto" w:sz="4" w:space="0"/>
              <w:right w:val="single" w:color="auto" w:sz="4" w:space="0"/>
            </w:tcBorders>
            <w:vAlign w:val="center"/>
          </w:tcPr>
          <w:p w14:paraId="4B3AC844">
            <w:pPr>
              <w:autoSpaceDE/>
              <w:autoSpaceDN/>
              <w:spacing w:line="300" w:lineRule="auto"/>
              <w:rPr>
                <w:rFonts w:ascii="宋体" w:hAnsi="宋体"/>
                <w:color w:val="000000" w:themeColor="text1"/>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详见第一章“招标公告”</w:t>
            </w:r>
          </w:p>
        </w:tc>
      </w:tr>
      <w:tr w14:paraId="3190C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7DB7D559">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20</w:t>
            </w:r>
          </w:p>
        </w:tc>
        <w:tc>
          <w:tcPr>
            <w:tcW w:w="1770" w:type="dxa"/>
            <w:tcBorders>
              <w:top w:val="single" w:color="auto" w:sz="4" w:space="0"/>
              <w:left w:val="single" w:color="auto" w:sz="4" w:space="0"/>
              <w:bottom w:val="single" w:color="auto" w:sz="4" w:space="0"/>
              <w:right w:val="single" w:color="auto" w:sz="4" w:space="0"/>
            </w:tcBorders>
            <w:vAlign w:val="center"/>
          </w:tcPr>
          <w:p w14:paraId="3E6C8823">
            <w:pPr>
              <w:pStyle w:val="15"/>
              <w:spacing w:line="300" w:lineRule="auto"/>
              <w:jc w:val="center"/>
              <w:rPr>
                <w:rFonts w:ascii="宋体" w:hAns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投标文件递交地点</w:t>
            </w:r>
          </w:p>
        </w:tc>
        <w:tc>
          <w:tcPr>
            <w:tcW w:w="8130" w:type="dxa"/>
            <w:tcBorders>
              <w:top w:val="single" w:color="auto" w:sz="4" w:space="0"/>
              <w:left w:val="single" w:color="auto" w:sz="4" w:space="0"/>
              <w:bottom w:val="single" w:color="auto" w:sz="4" w:space="0"/>
              <w:right w:val="single" w:color="auto" w:sz="4" w:space="0"/>
            </w:tcBorders>
            <w:vAlign w:val="center"/>
          </w:tcPr>
          <w:p w14:paraId="607FE344">
            <w:pPr>
              <w:autoSpaceDE/>
              <w:autoSpaceDN/>
              <w:spacing w:line="30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详见第一章“招标公告”</w:t>
            </w:r>
          </w:p>
        </w:tc>
      </w:tr>
      <w:tr w14:paraId="4813F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0DA2402C">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21</w:t>
            </w:r>
          </w:p>
        </w:tc>
        <w:tc>
          <w:tcPr>
            <w:tcW w:w="1770" w:type="dxa"/>
            <w:tcBorders>
              <w:top w:val="single" w:color="auto" w:sz="4" w:space="0"/>
              <w:left w:val="single" w:color="auto" w:sz="4" w:space="0"/>
              <w:bottom w:val="single" w:color="auto" w:sz="4" w:space="0"/>
              <w:right w:val="single" w:color="auto" w:sz="4" w:space="0"/>
            </w:tcBorders>
            <w:vAlign w:val="center"/>
          </w:tcPr>
          <w:p w14:paraId="1E5A029E">
            <w:pPr>
              <w:pStyle w:val="15"/>
              <w:spacing w:line="300" w:lineRule="auto"/>
              <w:jc w:val="center"/>
              <w:rPr>
                <w:rFonts w:ascii="宋体" w:hAns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开标时间</w:t>
            </w:r>
          </w:p>
        </w:tc>
        <w:tc>
          <w:tcPr>
            <w:tcW w:w="8130" w:type="dxa"/>
            <w:tcBorders>
              <w:top w:val="single" w:color="auto" w:sz="4" w:space="0"/>
              <w:left w:val="single" w:color="auto" w:sz="4" w:space="0"/>
              <w:bottom w:val="single" w:color="auto" w:sz="4" w:space="0"/>
              <w:right w:val="single" w:color="auto" w:sz="4" w:space="0"/>
            </w:tcBorders>
            <w:vAlign w:val="center"/>
          </w:tcPr>
          <w:p w14:paraId="63FC8D52">
            <w:pPr>
              <w:autoSpaceDE/>
              <w:autoSpaceDN/>
              <w:spacing w:line="30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详见第一章“招标公告”</w:t>
            </w:r>
          </w:p>
        </w:tc>
      </w:tr>
      <w:tr w14:paraId="18195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523B380B">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22</w:t>
            </w:r>
          </w:p>
        </w:tc>
        <w:tc>
          <w:tcPr>
            <w:tcW w:w="1770" w:type="dxa"/>
            <w:tcBorders>
              <w:top w:val="single" w:color="auto" w:sz="4" w:space="0"/>
              <w:left w:val="single" w:color="auto" w:sz="4" w:space="0"/>
              <w:bottom w:val="single" w:color="auto" w:sz="4" w:space="0"/>
              <w:right w:val="single" w:color="auto" w:sz="4" w:space="0"/>
            </w:tcBorders>
            <w:vAlign w:val="center"/>
          </w:tcPr>
          <w:p w14:paraId="2926DF34">
            <w:pPr>
              <w:pStyle w:val="15"/>
              <w:spacing w:line="300" w:lineRule="auto"/>
              <w:jc w:val="center"/>
              <w:rPr>
                <w:rFonts w:ascii="宋体" w:hAnsi="宋体"/>
                <w:color w:val="000000" w:themeColor="text1"/>
                <w:szCs w:val="24"/>
                <w:highlight w:val="none"/>
                <w14:textFill>
                  <w14:solidFill>
                    <w14:schemeClr w14:val="tx1"/>
                  </w14:solidFill>
                </w14:textFill>
              </w:rPr>
            </w:pPr>
            <w:r>
              <w:rPr>
                <w:rFonts w:hint="eastAsia" w:ascii="宋体"/>
                <w:color w:val="000000" w:themeColor="text1"/>
                <w:szCs w:val="24"/>
                <w:highlight w:val="none"/>
                <w14:textFill>
                  <w14:solidFill>
                    <w14:schemeClr w14:val="tx1"/>
                  </w14:solidFill>
                </w14:textFill>
              </w:rPr>
              <w:t>开标地点</w:t>
            </w:r>
          </w:p>
        </w:tc>
        <w:tc>
          <w:tcPr>
            <w:tcW w:w="8130" w:type="dxa"/>
            <w:tcBorders>
              <w:top w:val="single" w:color="auto" w:sz="4" w:space="0"/>
              <w:left w:val="single" w:color="auto" w:sz="4" w:space="0"/>
              <w:bottom w:val="single" w:color="auto" w:sz="4" w:space="0"/>
              <w:right w:val="single" w:color="auto" w:sz="4" w:space="0"/>
            </w:tcBorders>
            <w:vAlign w:val="center"/>
          </w:tcPr>
          <w:p w14:paraId="17CB731A">
            <w:pPr>
              <w:autoSpaceDE/>
              <w:autoSpaceDN/>
              <w:spacing w:line="300" w:lineRule="auto"/>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详见第一章“招标公告”</w:t>
            </w:r>
          </w:p>
        </w:tc>
      </w:tr>
      <w:tr w14:paraId="15528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65630126">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23</w:t>
            </w:r>
          </w:p>
        </w:tc>
        <w:tc>
          <w:tcPr>
            <w:tcW w:w="1770" w:type="dxa"/>
            <w:tcBorders>
              <w:top w:val="single" w:color="auto" w:sz="4" w:space="0"/>
              <w:left w:val="single" w:color="auto" w:sz="4" w:space="0"/>
              <w:bottom w:val="single" w:color="auto" w:sz="4" w:space="0"/>
              <w:right w:val="single" w:color="auto" w:sz="4" w:space="0"/>
            </w:tcBorders>
            <w:vAlign w:val="center"/>
          </w:tcPr>
          <w:p w14:paraId="10C0929A">
            <w:pPr>
              <w:pStyle w:val="15"/>
              <w:spacing w:line="300" w:lineRule="auto"/>
              <w:jc w:val="center"/>
              <w:rPr>
                <w:rFonts w:hint="eastAsia" w:ascii="宋体" w:hAnsi="宋体" w:eastAsia="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其</w:t>
            </w:r>
            <w:r>
              <w:rPr>
                <w:rFonts w:hint="eastAsia" w:ascii="宋体" w:hAnsi="宋体"/>
                <w:color w:val="000000" w:themeColor="text1"/>
                <w:szCs w:val="24"/>
                <w:highlight w:val="none"/>
                <w:lang w:val="en-US" w:eastAsia="zh-CN"/>
                <w14:textFill>
                  <w14:solidFill>
                    <w14:schemeClr w14:val="tx1"/>
                  </w14:solidFill>
                </w14:textFill>
              </w:rPr>
              <w:t>它</w:t>
            </w:r>
          </w:p>
        </w:tc>
        <w:tc>
          <w:tcPr>
            <w:tcW w:w="8130" w:type="dxa"/>
            <w:tcBorders>
              <w:top w:val="single" w:color="auto" w:sz="4" w:space="0"/>
              <w:left w:val="single" w:color="auto" w:sz="4" w:space="0"/>
              <w:bottom w:val="single" w:color="auto" w:sz="4" w:space="0"/>
              <w:right w:val="single" w:color="auto" w:sz="4" w:space="0"/>
            </w:tcBorders>
            <w:vAlign w:val="center"/>
          </w:tcPr>
          <w:p w14:paraId="14BDA4A3">
            <w:pPr>
              <w:autoSpaceDE/>
              <w:autoSpaceDN/>
              <w:spacing w:line="30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特别提醒：</w:t>
            </w:r>
          </w:p>
          <w:p w14:paraId="129CB9C2">
            <w:pPr>
              <w:pStyle w:val="21"/>
              <w:widowControl w:val="0"/>
              <w:numPr>
                <w:ilvl w:val="0"/>
                <w:numId w:val="2"/>
              </w:numPr>
              <w:autoSpaceDE w:val="0"/>
              <w:spacing w:before="0" w:beforeAutospacing="0" w:after="0" w:afterAutospacing="0" w:line="360" w:lineRule="exact"/>
              <w:rPr>
                <w:rFonts w:hint="eastAsia" w:ascii="宋体" w:hAnsi="宋体" w:eastAsia="Times New Roman"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本项目招标代理费由各标项中标方支付，具体收费标准按诸国资办[2021]5号文件执行，收费基数为采购预算总金额，最高不超过15000元，不足3000元按3000元收取。发布结果公告之日前主管部门如发布新规定的按新规定执行。</w:t>
            </w:r>
            <w:r>
              <w:rPr>
                <w:rFonts w:hint="eastAsia" w:ascii="宋体" w:hAnsi="宋体" w:eastAsia="Times New Roman" w:cs="宋体"/>
                <w:b/>
                <w:bCs/>
                <w:color w:val="000000" w:themeColor="text1"/>
                <w:sz w:val="24"/>
                <w:highlight w:val="none"/>
                <w:lang w:val="en-US" w:eastAsia="zh-CN"/>
                <w14:textFill>
                  <w14:solidFill>
                    <w14:schemeClr w14:val="tx1"/>
                  </w14:solidFill>
                </w14:textFill>
              </w:rPr>
              <w:t>所有因招标所需的评审专家费由各标项中标方支付</w:t>
            </w:r>
            <w:r>
              <w:rPr>
                <w:rFonts w:hint="eastAsia" w:ascii="宋体" w:hAnsi="宋体" w:eastAsia="Times New Roman" w:cs="宋体"/>
                <w:b/>
                <w:bCs/>
                <w:color w:val="000000" w:themeColor="text1"/>
                <w:sz w:val="24"/>
                <w:highlight w:val="none"/>
                <w14:textFill>
                  <w14:solidFill>
                    <w14:schemeClr w14:val="tx1"/>
                  </w14:solidFill>
                </w14:textFill>
              </w:rPr>
              <w:t>（</w:t>
            </w:r>
            <w:r>
              <w:rPr>
                <w:rFonts w:hint="eastAsia" w:ascii="宋体" w:hAnsi="宋体" w:eastAsia="Times New Roman" w:cs="宋体"/>
                <w:b/>
                <w:bCs/>
                <w:color w:val="000000" w:themeColor="text1"/>
                <w:sz w:val="24"/>
                <w:highlight w:val="none"/>
                <w:lang w:val="en-US" w:eastAsia="zh-CN"/>
                <w14:textFill>
                  <w14:solidFill>
                    <w14:schemeClr w14:val="tx1"/>
                  </w14:solidFill>
                </w14:textFill>
              </w:rPr>
              <w:t>具体费用及标准咨询代理机构,</w:t>
            </w:r>
            <w:r>
              <w:rPr>
                <w:rFonts w:hint="eastAsia" w:ascii="宋体" w:hAnsi="宋体" w:eastAsia="Times New Roman" w:cs="宋体"/>
                <w:b/>
                <w:bCs/>
                <w:color w:val="000000" w:themeColor="text1"/>
                <w:sz w:val="24"/>
                <w:highlight w:val="none"/>
                <w14:textFill>
                  <w14:solidFill>
                    <w14:schemeClr w14:val="tx1"/>
                  </w14:solidFill>
                </w14:textFill>
              </w:rPr>
              <w:t>以上费用请供应商在报价时一并考虑）</w:t>
            </w:r>
            <w:r>
              <w:rPr>
                <w:rFonts w:hint="eastAsia" w:ascii="宋体" w:hAnsi="宋体" w:eastAsia="Times New Roman" w:cs="宋体"/>
                <w:b/>
                <w:bCs/>
                <w:color w:val="000000" w:themeColor="text1"/>
                <w:sz w:val="24"/>
                <w:highlight w:val="none"/>
                <w:lang w:val="en-US" w:eastAsia="zh-CN"/>
                <w14:textFill>
                  <w14:solidFill>
                    <w14:schemeClr w14:val="tx1"/>
                  </w14:solidFill>
                </w14:textFill>
              </w:rPr>
              <w:t>。</w:t>
            </w:r>
          </w:p>
          <w:p w14:paraId="7A511D4F">
            <w:pPr>
              <w:spacing w:line="300" w:lineRule="auto"/>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招标代理费</w:t>
            </w:r>
            <w:r>
              <w:rPr>
                <w:rFonts w:hint="eastAsia" w:ascii="宋体" w:hAnsi="宋体" w:cs="宋体"/>
                <w:b/>
                <w:bCs/>
                <w:color w:val="000000" w:themeColor="text1"/>
                <w:sz w:val="24"/>
                <w:szCs w:val="24"/>
                <w:highlight w:val="none"/>
                <w14:textFill>
                  <w14:solidFill>
                    <w14:schemeClr w14:val="tx1"/>
                  </w14:solidFill>
                </w14:textFill>
              </w:rPr>
              <w:t>在领取中标通知书前付清。</w:t>
            </w:r>
          </w:p>
          <w:p w14:paraId="34287748">
            <w:pPr>
              <w:pStyle w:val="2"/>
              <w:autoSpaceDE/>
              <w:autoSpaceDN/>
              <w:snapToGrid/>
              <w:spacing w:line="300" w:lineRule="auto"/>
              <w:jc w:val="left"/>
              <w:textAlignment w:val="auto"/>
              <w:rPr>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（3）代理费缴纳账户：浙江诚远工程咨询有限公司诸暨分公司，开户行：华夏银行股份有限公司绍兴诸暨支行，账号：13252000000605189。</w:t>
            </w:r>
          </w:p>
        </w:tc>
      </w:tr>
      <w:tr w14:paraId="788DE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2F8E3E21">
            <w:pPr>
              <w:pStyle w:val="15"/>
              <w:spacing w:line="300" w:lineRule="auto"/>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24</w:t>
            </w:r>
          </w:p>
        </w:tc>
        <w:tc>
          <w:tcPr>
            <w:tcW w:w="1770" w:type="dxa"/>
            <w:tcBorders>
              <w:top w:val="single" w:color="auto" w:sz="4" w:space="0"/>
              <w:left w:val="single" w:color="auto" w:sz="4" w:space="0"/>
              <w:bottom w:val="single" w:color="auto" w:sz="4" w:space="0"/>
              <w:right w:val="single" w:color="auto" w:sz="4" w:space="0"/>
            </w:tcBorders>
            <w:vAlign w:val="center"/>
          </w:tcPr>
          <w:p w14:paraId="111CFF3D">
            <w:pPr>
              <w:pStyle w:val="2"/>
              <w:snapToGrid/>
              <w:spacing w:line="30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特别说明</w:t>
            </w:r>
          </w:p>
        </w:tc>
        <w:tc>
          <w:tcPr>
            <w:tcW w:w="8130" w:type="dxa"/>
            <w:tcBorders>
              <w:top w:val="single" w:color="auto" w:sz="4" w:space="0"/>
              <w:left w:val="single" w:color="auto" w:sz="4" w:space="0"/>
              <w:bottom w:val="single" w:color="auto" w:sz="4" w:space="0"/>
              <w:right w:val="single" w:color="auto" w:sz="4" w:space="0"/>
            </w:tcBorders>
            <w:vAlign w:val="center"/>
          </w:tcPr>
          <w:p w14:paraId="2B2C1239">
            <w:pPr>
              <w:pStyle w:val="2"/>
              <w:snapToGrid/>
              <w:spacing w:line="30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（1）本项目按标项一到标项</w:t>
            </w:r>
            <w:r>
              <w:rPr>
                <w:rFonts w:hint="eastAsia" w:ascii="宋体" w:hAnsi="宋体" w:cs="宋体"/>
                <w:b/>
                <w:bCs/>
                <w:color w:val="000000" w:themeColor="text1"/>
                <w:sz w:val="24"/>
                <w:highlight w:val="none"/>
                <w:lang w:val="en-US" w:eastAsia="zh-CN"/>
                <w14:textFill>
                  <w14:solidFill>
                    <w14:schemeClr w14:val="tx1"/>
                  </w14:solidFill>
                </w14:textFill>
              </w:rPr>
              <w:t>三</w:t>
            </w:r>
            <w:r>
              <w:rPr>
                <w:rFonts w:hint="eastAsia" w:ascii="宋体" w:hAnsi="宋体" w:cs="宋体"/>
                <w:b/>
                <w:bCs/>
                <w:color w:val="000000" w:themeColor="text1"/>
                <w:sz w:val="24"/>
                <w:highlight w:val="none"/>
                <w14:textFill>
                  <w14:solidFill>
                    <w14:schemeClr w14:val="tx1"/>
                  </w14:solidFill>
                </w14:textFill>
              </w:rPr>
              <w:t>的先后顺序依次进行评审。</w:t>
            </w:r>
          </w:p>
          <w:p w14:paraId="486531C7">
            <w:pPr>
              <w:pStyle w:val="2"/>
              <w:snapToGrid/>
              <w:spacing w:line="30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（2）如投标人参与多个标项投标的，按各个标项分别编制投标文件。</w:t>
            </w:r>
          </w:p>
          <w:p w14:paraId="73E1BCDE">
            <w:pPr>
              <w:pStyle w:val="2"/>
              <w:snapToGrid/>
              <w:spacing w:line="300" w:lineRule="auto"/>
              <w:jc w:val="left"/>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（3）投标人可以选择单个或多个标项投标，</w:t>
            </w:r>
            <w:r>
              <w:rPr>
                <w:rFonts w:hint="eastAsia" w:ascii="宋体" w:hAnsi="宋体" w:cs="宋体"/>
                <w:b/>
                <w:bCs/>
                <w:color w:val="000000" w:themeColor="text1"/>
                <w:sz w:val="24"/>
                <w:highlight w:val="none"/>
                <w:lang w:val="en-US" w:eastAsia="zh-CN"/>
                <w14:textFill>
                  <w14:solidFill>
                    <w14:schemeClr w14:val="tx1"/>
                  </w14:solidFill>
                </w14:textFill>
              </w:rPr>
              <w:t>已在标项一</w:t>
            </w:r>
            <w:r>
              <w:rPr>
                <w:rFonts w:hint="eastAsia" w:ascii="宋体" w:hAnsi="宋体" w:cs="宋体"/>
                <w:b/>
                <w:bCs/>
                <w:color w:val="000000" w:themeColor="text1"/>
                <w:sz w:val="24"/>
                <w:highlight w:val="none"/>
                <w14:textFill>
                  <w14:solidFill>
                    <w14:schemeClr w14:val="tx1"/>
                  </w14:solidFill>
                </w14:textFill>
              </w:rPr>
              <w:t>被推荐为第一中标候选人的供应商不再进入标项</w:t>
            </w:r>
            <w:r>
              <w:rPr>
                <w:rFonts w:hint="eastAsia" w:ascii="宋体" w:hAnsi="宋体" w:cs="宋体"/>
                <w:b/>
                <w:bCs/>
                <w:color w:val="000000" w:themeColor="text1"/>
                <w:sz w:val="24"/>
                <w:highlight w:val="none"/>
                <w:lang w:val="en-US" w:eastAsia="zh-CN"/>
                <w14:textFill>
                  <w14:solidFill>
                    <w14:schemeClr w14:val="tx1"/>
                  </w14:solidFill>
                </w14:textFill>
              </w:rPr>
              <w:t>二</w:t>
            </w:r>
            <w:r>
              <w:rPr>
                <w:rFonts w:hint="eastAsia" w:ascii="宋体" w:hAnsi="宋体" w:cs="宋体"/>
                <w:b/>
                <w:bCs/>
                <w:color w:val="000000" w:themeColor="text1"/>
                <w:sz w:val="24"/>
                <w:highlight w:val="none"/>
                <w14:textFill>
                  <w14:solidFill>
                    <w14:schemeClr w14:val="tx1"/>
                  </w14:solidFill>
                </w14:textFill>
              </w:rPr>
              <w:t>的评审</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但能进入标项三的评审。即一个供应商可以同时成为“标项一和标项三”或“标项二和标项三”的</w:t>
            </w:r>
            <w:r>
              <w:rPr>
                <w:rFonts w:hint="eastAsia" w:ascii="宋体" w:hAnsi="宋体" w:cs="宋体"/>
                <w:b/>
                <w:bCs/>
                <w:color w:val="000000" w:themeColor="text1"/>
                <w:sz w:val="24"/>
                <w:highlight w:val="none"/>
                <w14:textFill>
                  <w14:solidFill>
                    <w14:schemeClr w14:val="tx1"/>
                  </w14:solidFill>
                </w14:textFill>
              </w:rPr>
              <w:t>第一中标候选人</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但一个供应商不能同时成为“标项一和标项二”的</w:t>
            </w:r>
            <w:r>
              <w:rPr>
                <w:rFonts w:hint="eastAsia" w:ascii="宋体" w:hAnsi="宋体" w:cs="宋体"/>
                <w:b/>
                <w:bCs/>
                <w:color w:val="000000" w:themeColor="text1"/>
                <w:sz w:val="24"/>
                <w:highlight w:val="none"/>
                <w14:textFill>
                  <w14:solidFill>
                    <w14:schemeClr w14:val="tx1"/>
                  </w14:solidFill>
                </w14:textFill>
              </w:rPr>
              <w:t>第一中标候选人</w:t>
            </w:r>
            <w:r>
              <w:rPr>
                <w:rFonts w:hint="eastAsia" w:ascii="宋体" w:hAnsi="宋体" w:cs="宋体"/>
                <w:b/>
                <w:bCs/>
                <w:color w:val="000000" w:themeColor="text1"/>
                <w:sz w:val="24"/>
                <w:highlight w:val="none"/>
                <w:lang w:eastAsia="zh-CN"/>
                <w14:textFill>
                  <w14:solidFill>
                    <w14:schemeClr w14:val="tx1"/>
                  </w14:solidFill>
                </w14:textFill>
              </w:rPr>
              <w:t>。</w:t>
            </w:r>
          </w:p>
        </w:tc>
      </w:tr>
    </w:tbl>
    <w:p w14:paraId="07231131">
      <w:pPr>
        <w:pStyle w:val="8"/>
        <w:spacing w:line="360" w:lineRule="exact"/>
        <w:jc w:val="center"/>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br w:type="page"/>
      </w:r>
      <w:r>
        <w:rPr>
          <w:rFonts w:hint="eastAsia" w:ascii="宋体" w:hAnsi="宋体" w:eastAsia="宋体"/>
          <w:color w:val="000000" w:themeColor="text1"/>
          <w:sz w:val="28"/>
          <w:szCs w:val="28"/>
          <w:highlight w:val="none"/>
          <w14:textFill>
            <w14:solidFill>
              <w14:schemeClr w14:val="tx1"/>
            </w14:solidFill>
          </w14:textFill>
        </w:rPr>
        <w:t>一、总   则</w:t>
      </w:r>
      <w:bookmarkEnd w:id="1"/>
    </w:p>
    <w:p w14:paraId="5F471A2E">
      <w:pPr>
        <w:ind w:firstLine="482" w:firstLineChars="200"/>
        <w:rPr>
          <w:rFonts w:ascii="宋体" w:hAnsi="宋体"/>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适用范围</w:t>
      </w:r>
    </w:p>
    <w:p w14:paraId="70833DF9">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本招标文件适用于本次所述项目的招标。</w:t>
      </w:r>
    </w:p>
    <w:p w14:paraId="2C2321CC">
      <w:pPr>
        <w:numPr>
          <w:ilvl w:val="0"/>
          <w:numId w:val="3"/>
        </w:numPr>
        <w:snapToGrid w:val="0"/>
        <w:ind w:firstLine="472" w:firstLineChars="196"/>
        <w:jc w:val="left"/>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定义</w:t>
      </w:r>
    </w:p>
    <w:p w14:paraId="42832627">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2.1“采购</w:t>
      </w:r>
      <w:r>
        <w:rPr>
          <w:rFonts w:ascii="宋体" w:hAnsi="宋体"/>
          <w:color w:val="000000" w:themeColor="text1"/>
          <w:sz w:val="24"/>
          <w:highlight w:val="none"/>
          <w14:textFill>
            <w14:solidFill>
              <w14:schemeClr w14:val="tx1"/>
            </w14:solidFill>
          </w14:textFill>
        </w:rPr>
        <w:t>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系指</w:t>
      </w:r>
      <w:r>
        <w:rPr>
          <w:rFonts w:hint="eastAsia" w:ascii="宋体" w:hAnsi="宋体"/>
          <w:color w:val="000000" w:themeColor="text1"/>
          <w:sz w:val="24"/>
          <w:highlight w:val="none"/>
          <w14:textFill>
            <w14:solidFill>
              <w14:schemeClr w14:val="tx1"/>
            </w14:solidFill>
          </w14:textFill>
        </w:rPr>
        <w:t>组织</w:t>
      </w:r>
      <w:r>
        <w:rPr>
          <w:rFonts w:ascii="宋体" w:hAnsi="宋体"/>
          <w:color w:val="000000" w:themeColor="text1"/>
          <w:sz w:val="24"/>
          <w:highlight w:val="none"/>
          <w14:textFill>
            <w14:solidFill>
              <w14:schemeClr w14:val="tx1"/>
            </w14:solidFill>
          </w14:textFill>
        </w:rPr>
        <w:t>本次招标的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w:t>
      </w:r>
    </w:p>
    <w:p w14:paraId="511BD950">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采购代理机构</w:t>
      </w:r>
      <w:r>
        <w:rPr>
          <w:rFonts w:ascii="宋体" w:hAnsi="宋体"/>
          <w:color w:val="000000" w:themeColor="text1"/>
          <w:sz w:val="24"/>
          <w:highlight w:val="none"/>
          <w14:textFill>
            <w14:solidFill>
              <w14:schemeClr w14:val="tx1"/>
            </w14:solidFill>
          </w14:textFill>
        </w:rPr>
        <w:t>”系指</w:t>
      </w:r>
      <w:r>
        <w:rPr>
          <w:rFonts w:hint="eastAsia" w:ascii="宋体" w:hAnsi="宋体"/>
          <w:color w:val="000000" w:themeColor="text1"/>
          <w:sz w:val="24"/>
          <w:highlight w:val="none"/>
          <w14:textFill>
            <w14:solidFill>
              <w14:schemeClr w14:val="tx1"/>
            </w14:solidFill>
          </w14:textFill>
        </w:rPr>
        <w:t>浙江诚远工程咨询有限公司</w:t>
      </w:r>
      <w:r>
        <w:rPr>
          <w:rFonts w:ascii="宋体" w:hAnsi="宋体"/>
          <w:color w:val="000000" w:themeColor="text1"/>
          <w:sz w:val="24"/>
          <w:highlight w:val="none"/>
          <w14:textFill>
            <w14:solidFill>
              <w14:schemeClr w14:val="tx1"/>
            </w14:solidFill>
          </w14:textFill>
        </w:rPr>
        <w:t>。</w:t>
      </w:r>
    </w:p>
    <w:p w14:paraId="439C8B76">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w:t>
      </w:r>
      <w:r>
        <w:rPr>
          <w:rFonts w:ascii="宋体" w:hAnsi="宋体"/>
          <w:color w:val="000000" w:themeColor="text1"/>
          <w:sz w:val="24"/>
          <w:highlight w:val="none"/>
          <w14:textFill>
            <w14:solidFill>
              <w14:schemeClr w14:val="tx1"/>
            </w14:solidFill>
          </w14:textFill>
        </w:rPr>
        <w:t>投标人”系指向</w:t>
      </w:r>
      <w:r>
        <w:rPr>
          <w:rFonts w:hint="eastAsia" w:ascii="宋体" w:hAnsi="宋体"/>
          <w:color w:val="000000" w:themeColor="text1"/>
          <w:sz w:val="24"/>
          <w:highlight w:val="none"/>
          <w14:textFill>
            <w14:solidFill>
              <w14:schemeClr w14:val="tx1"/>
            </w14:solidFill>
          </w14:textFill>
        </w:rPr>
        <w:t>采购人和采购代理机构</w:t>
      </w:r>
      <w:r>
        <w:rPr>
          <w:rFonts w:ascii="宋体" w:hAnsi="宋体"/>
          <w:color w:val="000000" w:themeColor="text1"/>
          <w:sz w:val="24"/>
          <w:highlight w:val="none"/>
          <w14:textFill>
            <w14:solidFill>
              <w14:schemeClr w14:val="tx1"/>
            </w14:solidFill>
          </w14:textFill>
        </w:rPr>
        <w:t>提交投标文件的</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w:t>
      </w:r>
    </w:p>
    <w:p w14:paraId="0BF08531">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2.4</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货物</w:t>
      </w:r>
      <w:r>
        <w:rPr>
          <w:rFonts w:ascii="宋体" w:hAnsi="宋体"/>
          <w:color w:val="000000" w:themeColor="text1"/>
          <w:sz w:val="24"/>
          <w:highlight w:val="none"/>
          <w14:textFill>
            <w14:solidFill>
              <w14:schemeClr w14:val="tx1"/>
            </w14:solidFill>
          </w14:textFill>
        </w:rPr>
        <w:t>”系指供方按招标文件规定，须向采购人提供的一切设备、保险、税</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金、备品备件、工具、手册及其它有关技术资料和材料。</w:t>
      </w:r>
    </w:p>
    <w:p w14:paraId="5D5DC357">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w:t>
      </w:r>
      <w:r>
        <w:rPr>
          <w:rFonts w:ascii="宋体" w:hAnsi="宋体"/>
          <w:color w:val="000000" w:themeColor="text1"/>
          <w:sz w:val="24"/>
          <w:highlight w:val="none"/>
          <w14:textFill>
            <w14:solidFill>
              <w14:schemeClr w14:val="tx1"/>
            </w14:solidFill>
          </w14:textFill>
        </w:rPr>
        <w:t>“服务”系指招标文件规定投标人须承担的安装、调试、技术协助、校准、培训、技术指导以及其他类似的义务。</w:t>
      </w:r>
    </w:p>
    <w:p w14:paraId="73AD1092">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w:t>
      </w:r>
      <w:r>
        <w:rPr>
          <w:rFonts w:ascii="宋体" w:hAnsi="宋体"/>
          <w:color w:val="000000" w:themeColor="text1"/>
          <w:sz w:val="24"/>
          <w:highlight w:val="none"/>
          <w14:textFill>
            <w14:solidFill>
              <w14:schemeClr w14:val="tx1"/>
            </w14:solidFill>
          </w14:textFill>
        </w:rPr>
        <w:t>“项目”系指投标人按招标文件规定向采购人提供的</w:t>
      </w:r>
      <w:r>
        <w:rPr>
          <w:rFonts w:hint="eastAsia" w:ascii="宋体" w:hAnsi="宋体"/>
          <w:color w:val="000000" w:themeColor="text1"/>
          <w:sz w:val="24"/>
          <w:highlight w:val="none"/>
          <w14:textFill>
            <w14:solidFill>
              <w14:schemeClr w14:val="tx1"/>
            </w14:solidFill>
          </w14:textFill>
        </w:rPr>
        <w:t>货物</w:t>
      </w:r>
      <w:r>
        <w:rPr>
          <w:rFonts w:ascii="宋体" w:hAnsi="宋体"/>
          <w:color w:val="000000" w:themeColor="text1"/>
          <w:sz w:val="24"/>
          <w:highlight w:val="none"/>
          <w14:textFill>
            <w14:solidFill>
              <w14:schemeClr w14:val="tx1"/>
            </w14:solidFill>
          </w14:textFill>
        </w:rPr>
        <w:t>和服务。</w:t>
      </w:r>
    </w:p>
    <w:p w14:paraId="4B656C3A">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w:t>
      </w:r>
      <w:r>
        <w:rPr>
          <w:rFonts w:ascii="宋体" w:hAnsi="宋体"/>
          <w:color w:val="000000" w:themeColor="text1"/>
          <w:sz w:val="24"/>
          <w:highlight w:val="none"/>
          <w14:textFill>
            <w14:solidFill>
              <w14:schemeClr w14:val="tx1"/>
            </w14:solidFill>
          </w14:textFill>
        </w:rPr>
        <w:t>“书面形式”包括信函、传真、电报等。</w:t>
      </w:r>
    </w:p>
    <w:p w14:paraId="5C42DEE4">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本招标文件所述设备品牌、型号是结合实际现有情况的推荐性参考方案，投标人也可根据招标文件的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14:paraId="6962BCE7">
      <w:pPr>
        <w:snapToGrid w:val="0"/>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3.采购方式</w:t>
      </w:r>
    </w:p>
    <w:p w14:paraId="6F6BBF35">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本次</w:t>
      </w:r>
      <w:r>
        <w:rPr>
          <w:rFonts w:hint="eastAsia" w:ascii="宋体" w:hAnsi="宋体"/>
          <w:color w:val="000000" w:themeColor="text1"/>
          <w:sz w:val="24"/>
          <w:highlight w:val="none"/>
          <w14:textFill>
            <w14:solidFill>
              <w14:schemeClr w14:val="tx1"/>
            </w14:solidFill>
          </w14:textFill>
        </w:rPr>
        <w:t>采购</w:t>
      </w:r>
      <w:r>
        <w:rPr>
          <w:rFonts w:ascii="宋体" w:hAnsi="宋体"/>
          <w:color w:val="000000" w:themeColor="text1"/>
          <w:sz w:val="24"/>
          <w:highlight w:val="none"/>
          <w14:textFill>
            <w14:solidFill>
              <w14:schemeClr w14:val="tx1"/>
            </w14:solidFill>
          </w14:textFill>
        </w:rPr>
        <w:t>采用公开招标方式进行。</w:t>
      </w:r>
    </w:p>
    <w:p w14:paraId="674C2147">
      <w:pPr>
        <w:snapToGrid w:val="0"/>
        <w:ind w:firstLine="472" w:firstLineChars="196"/>
        <w:jc w:val="left"/>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4.投标人及投标委托有关说明</w:t>
      </w:r>
    </w:p>
    <w:p w14:paraId="2EA46179">
      <w:pPr>
        <w:snapToGrid w:val="0"/>
        <w:ind w:firstLine="482" w:firstLineChars="200"/>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4.1投标文件中需提供授权委托书，法定代表人和被授权人身份证复印件加盖投标人公章。法定代表人本人参加投标的，只需提供身份证复印件。</w:t>
      </w:r>
    </w:p>
    <w:p w14:paraId="5F15C33D">
      <w:pPr>
        <w:snapToGrid w:val="0"/>
        <w:ind w:firstLine="472" w:firstLineChars="196"/>
        <w:jc w:val="left"/>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5.投标费用</w:t>
      </w:r>
    </w:p>
    <w:p w14:paraId="4BFB2FEC">
      <w:pPr>
        <w:snapToGrid w:val="0"/>
        <w:ind w:firstLine="480"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投标人应自行承担获得招标文件和编制、提交投标文件所涉及的一切费用。不论投标结果如何，投标人均应自行承担所有与投标有关的全部费用。</w:t>
      </w:r>
      <w:r>
        <w:rPr>
          <w:rFonts w:hint="eastAsia" w:ascii="宋体" w:hAnsi="宋体"/>
          <w:b/>
          <w:color w:val="000000" w:themeColor="text1"/>
          <w:sz w:val="24"/>
          <w:highlight w:val="none"/>
          <w14:textFill>
            <w14:solidFill>
              <w14:schemeClr w14:val="tx1"/>
            </w14:solidFill>
          </w14:textFill>
        </w:rPr>
        <w:t>对中标人收取采购代理服务费</w:t>
      </w:r>
      <w:r>
        <w:rPr>
          <w:rFonts w:hint="eastAsia" w:ascii="宋体" w:hAnsi="宋体"/>
          <w:b/>
          <w:color w:val="000000" w:themeColor="text1"/>
          <w:sz w:val="24"/>
          <w:highlight w:val="none"/>
          <w:lang w:val="en-US" w:eastAsia="zh-CN"/>
          <w14:textFill>
            <w14:solidFill>
              <w14:schemeClr w14:val="tx1"/>
            </w14:solidFill>
          </w14:textFill>
        </w:rPr>
        <w:t>及专家评审费</w:t>
      </w:r>
      <w:r>
        <w:rPr>
          <w:rFonts w:hint="eastAsia" w:ascii="宋体" w:hAnsi="宋体"/>
          <w:b/>
          <w:color w:val="000000" w:themeColor="text1"/>
          <w:sz w:val="24"/>
          <w:highlight w:val="none"/>
          <w14:textFill>
            <w14:solidFill>
              <w14:schemeClr w14:val="tx1"/>
            </w14:solidFill>
          </w14:textFill>
        </w:rPr>
        <w:t>。</w:t>
      </w:r>
    </w:p>
    <w:p w14:paraId="20F2EDA9">
      <w:pPr>
        <w:snapToGrid w:val="0"/>
        <w:ind w:firstLine="472" w:firstLineChars="196"/>
        <w:jc w:val="left"/>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6.特别说明：</w:t>
      </w:r>
    </w:p>
    <w:p w14:paraId="0C04DF35">
      <w:pPr>
        <w:pStyle w:val="15"/>
        <w:snapToGrid w:val="0"/>
        <w:ind w:firstLine="48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6.1</w:t>
      </w:r>
      <w:r>
        <w:rPr>
          <w:rFonts w:ascii="宋体" w:hAnsi="宋体"/>
          <w:color w:val="000000" w:themeColor="text1"/>
          <w:highlight w:val="none"/>
          <w14:textFill>
            <w14:solidFill>
              <w14:schemeClr w14:val="tx1"/>
            </w14:solidFill>
          </w14:textFill>
        </w:rPr>
        <w:t>投标人应仔细阅读招标文件的所有内容，按照招标文件的要求提交投标文件，并对所提供的全部资料的真实性承担法律责任。</w:t>
      </w:r>
    </w:p>
    <w:p w14:paraId="576EEB34">
      <w:pPr>
        <w:pStyle w:val="15"/>
        <w:snapToGrid w:val="0"/>
        <w:ind w:firstLine="48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r>
        <w:rPr>
          <w:rFonts w:ascii="宋体" w:hAnsi="宋体"/>
          <w:color w:val="000000" w:themeColor="text1"/>
          <w:highlight w:val="none"/>
          <w14:textFill>
            <w14:solidFill>
              <w14:schemeClr w14:val="tx1"/>
            </w14:solidFill>
          </w14:textFill>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C663372">
      <w:pPr>
        <w:pStyle w:val="15"/>
        <w:snapToGrid w:val="0"/>
        <w:ind w:firstLine="48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05075AB7">
      <w:pPr>
        <w:pStyle w:val="15"/>
        <w:snapToGrid w:val="0"/>
        <w:ind w:left="2" w:leftChars="1"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6.4供应商在采购项目投标过程中应诚实守信，不弄虚作假，不隐瞒真实情况，不围标串标，不恶意质疑投诉。如违反上述要求，经核实后，供应商的投标将作废，将该供应商列入不良记录名单并在网上曝光，同时提请监督管理部门给予一定年限内禁止参加采购活动的处罚或其他处罚。</w:t>
      </w:r>
    </w:p>
    <w:p w14:paraId="4D1A90B3">
      <w:pPr>
        <w:pStyle w:val="15"/>
        <w:snapToGrid w:val="0"/>
        <w:ind w:left="2" w:leftChars="1"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本项目涉及采购货物必须是全新、未使用过的原装合格正品（包括零部件），如安装或配置了软件的，须为正版软件。</w:t>
      </w:r>
    </w:p>
    <w:p w14:paraId="215FB728">
      <w:pPr>
        <w:pStyle w:val="15"/>
        <w:snapToGrid w:val="0"/>
        <w:ind w:left="2" w:leftChars="1"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6.6国产的货物及其有关服务必须符合中华人民共和国的设计和制造生产标准或行业标准。招标公告有其他要求的，亦应符合其要求。</w:t>
      </w:r>
    </w:p>
    <w:p w14:paraId="419A248F">
      <w:pPr>
        <w:pStyle w:val="15"/>
        <w:snapToGrid w:val="0"/>
        <w:ind w:left="2" w:leftChars="1"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FFEF2A3">
      <w:pPr>
        <w:pStyle w:val="15"/>
        <w:snapToGrid w:val="0"/>
        <w:ind w:firstLine="472" w:firstLineChars="196"/>
        <w:outlineLvl w:val="1"/>
        <w:rPr>
          <w:rFonts w:ascii="宋体" w:hAnsi="宋体"/>
          <w:b/>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7.</w:t>
      </w:r>
      <w:r>
        <w:rPr>
          <w:rFonts w:ascii="宋体" w:hAnsi="宋体"/>
          <w:b/>
          <w:bCs/>
          <w:color w:val="000000" w:themeColor="text1"/>
          <w:highlight w:val="none"/>
          <w14:textFill>
            <w14:solidFill>
              <w14:schemeClr w14:val="tx1"/>
            </w14:solidFill>
          </w14:textFill>
        </w:rPr>
        <w:t>质疑和投诉</w:t>
      </w:r>
    </w:p>
    <w:p w14:paraId="5E06B7A2">
      <w:pPr>
        <w:pStyle w:val="15"/>
        <w:snapToGrid w:val="0"/>
        <w:ind w:left="1" w:firstLine="480" w:firstLineChars="200"/>
        <w:rPr>
          <w:rFonts w:ascii="宋体" w:hAnsi="宋体"/>
          <w:color w:val="000000" w:themeColor="text1"/>
          <w:highlight w:val="none"/>
          <w14:textFill>
            <w14:solidFill>
              <w14:schemeClr w14:val="tx1"/>
            </w14:solidFill>
          </w14:textFill>
        </w:rPr>
      </w:pPr>
      <w:bookmarkStart w:id="27" w:name="_Toc125344504"/>
      <w:r>
        <w:rPr>
          <w:rFonts w:hint="eastAsia" w:ascii="宋体" w:hAnsi="宋体"/>
          <w:bCs/>
          <w:color w:val="000000" w:themeColor="text1"/>
          <w:highlight w:val="none"/>
          <w14:textFill>
            <w14:solidFill>
              <w14:schemeClr w14:val="tx1"/>
            </w14:solidFill>
          </w14:textFill>
        </w:rPr>
        <w:t>7.</w:t>
      </w:r>
      <w:r>
        <w:rPr>
          <w:rFonts w:ascii="宋体" w:hAnsi="宋体"/>
          <w:bCs/>
          <w:color w:val="000000" w:themeColor="text1"/>
          <w:highlight w:val="none"/>
          <w14:textFill>
            <w14:solidFill>
              <w14:schemeClr w14:val="tx1"/>
            </w14:solidFill>
          </w14:textFill>
        </w:rPr>
        <w:t>1投标人认为招标文件、招标过程和中标结果使自己的合法权益受到损害的，应当在知道或者</w:t>
      </w:r>
      <w:r>
        <w:rPr>
          <w:rFonts w:ascii="宋体" w:hAnsi="宋体"/>
          <w:color w:val="000000" w:themeColor="text1"/>
          <w:highlight w:val="none"/>
          <w14:textFill>
            <w14:solidFill>
              <w14:schemeClr w14:val="tx1"/>
            </w14:solidFill>
          </w14:textFill>
        </w:rPr>
        <w:t>应知其权益受到损害之日起七个工作日内，以书面形式向采购人、采购代理机构提出质疑。投标人对采购人的质疑答复不满意或者采购人未在规定时间内作出答复的，可以在答复期满后十五个工作日内向同级采购监管部门投诉。</w:t>
      </w:r>
      <w:r>
        <w:rPr>
          <w:rFonts w:hint="eastAsia" w:ascii="宋体" w:hAnsi="宋体"/>
          <w:color w:val="000000" w:themeColor="text1"/>
          <w:highlight w:val="none"/>
          <w14:textFill>
            <w14:solidFill>
              <w14:schemeClr w14:val="tx1"/>
            </w14:solidFill>
          </w14:textFill>
        </w:rPr>
        <w:t>逾期提出的，采购代理机构不予受理、答复。</w:t>
      </w:r>
    </w:p>
    <w:p w14:paraId="3D832937">
      <w:pPr>
        <w:pStyle w:val="15"/>
        <w:snapToGrid w:val="0"/>
        <w:ind w:left="1" w:firstLine="480" w:firstLineChars="200"/>
        <w:rPr>
          <w:rFonts w:ascii="宋体" w:hAnsi="宋体"/>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7.</w:t>
      </w:r>
      <w:r>
        <w:rPr>
          <w:rFonts w:ascii="宋体" w:hAnsi="宋体"/>
          <w:bCs/>
          <w:color w:val="000000" w:themeColor="text1"/>
          <w:highlight w:val="none"/>
          <w14:textFill>
            <w14:solidFill>
              <w14:schemeClr w14:val="tx1"/>
            </w14:solidFill>
          </w14:textFill>
        </w:rPr>
        <w:t>2质疑、投诉应当采用书面形式，质疑书、投诉书均应明确阐述招标文件、招标过程和中标结果中使自己合法权益受到损害的实质性内容，提供相关事实、依据和证据及</w:t>
      </w:r>
      <w:r>
        <w:rPr>
          <w:rFonts w:ascii="宋体" w:hAnsi="宋体"/>
          <w:color w:val="000000" w:themeColor="text1"/>
          <w:highlight w:val="none"/>
          <w14:textFill>
            <w14:solidFill>
              <w14:schemeClr w14:val="tx1"/>
            </w14:solidFill>
          </w14:textFill>
        </w:rPr>
        <w:t>其来源或线索，便于有关单位调查、答复和处理</w:t>
      </w:r>
      <w:r>
        <w:rPr>
          <w:rFonts w:hint="eastAsia" w:ascii="宋体" w:hAnsi="宋体"/>
          <w:color w:val="000000" w:themeColor="text1"/>
          <w:highlight w:val="none"/>
          <w14:textFill>
            <w14:solidFill>
              <w14:schemeClr w14:val="tx1"/>
            </w14:solidFill>
          </w14:textFill>
        </w:rPr>
        <w:t>。</w:t>
      </w:r>
    </w:p>
    <w:p w14:paraId="7E304D0B">
      <w:pPr>
        <w:pStyle w:val="15"/>
        <w:snapToGrid w:val="0"/>
        <w:ind w:left="1" w:firstLine="480" w:firstLineChars="20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7.3</w:t>
      </w:r>
      <w:r>
        <w:rPr>
          <w:rFonts w:hint="eastAsia" w:ascii="宋体" w:hAnsi="宋体"/>
          <w:color w:val="000000" w:themeColor="text1"/>
          <w:szCs w:val="24"/>
          <w:highlight w:val="none"/>
          <w14:textFill>
            <w14:solidFill>
              <w14:schemeClr w14:val="tx1"/>
            </w14:solidFill>
          </w14:textFill>
        </w:rPr>
        <w:t>采购代理机构与采购人研究后，对认为有必要回答的问题，采购人和采购代理机构将补充（更正）以网上发布公告的形式通知所有投标人，补充（更正）公告是招标文件的组成部分。</w:t>
      </w:r>
    </w:p>
    <w:p w14:paraId="2D2082A2">
      <w:pPr>
        <w:pStyle w:val="15"/>
        <w:snapToGrid w:val="0"/>
        <w:ind w:left="1" w:firstLine="480" w:firstLineChars="20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7.4</w:t>
      </w:r>
      <w:r>
        <w:rPr>
          <w:rFonts w:hint="eastAsia"/>
          <w:b/>
          <w:color w:val="000000" w:themeColor="text1"/>
          <w:highlight w:val="none"/>
          <w:u w:val="single"/>
          <w14:textFill>
            <w14:solidFill>
              <w14:schemeClr w14:val="tx1"/>
            </w14:solidFill>
          </w14:textFill>
        </w:rPr>
        <w:t>质疑供应商</w:t>
      </w:r>
      <w:r>
        <w:rPr>
          <w:b/>
          <w:color w:val="000000" w:themeColor="text1"/>
          <w:highlight w:val="none"/>
          <w:u w:val="single"/>
          <w14:textFill>
            <w14:solidFill>
              <w14:schemeClr w14:val="tx1"/>
            </w14:solidFill>
          </w14:textFill>
        </w:rPr>
        <w:t>在收到该</w:t>
      </w:r>
      <w:r>
        <w:rPr>
          <w:rFonts w:hint="eastAsia" w:hAnsi="宋体"/>
          <w:b/>
          <w:color w:val="000000" w:themeColor="text1"/>
          <w:highlight w:val="none"/>
          <w:u w:val="single"/>
          <w14:textFill>
            <w14:solidFill>
              <w14:schemeClr w14:val="tx1"/>
            </w14:solidFill>
          </w14:textFill>
        </w:rPr>
        <w:t>更正（补充）</w:t>
      </w:r>
      <w:r>
        <w:rPr>
          <w:rFonts w:hint="eastAsia"/>
          <w:b/>
          <w:color w:val="000000" w:themeColor="text1"/>
          <w:highlight w:val="none"/>
          <w:u w:val="single"/>
          <w14:textFill>
            <w14:solidFill>
              <w14:schemeClr w14:val="tx1"/>
            </w14:solidFill>
          </w14:textFill>
        </w:rPr>
        <w:t>公告</w:t>
      </w:r>
      <w:r>
        <w:rPr>
          <w:b/>
          <w:color w:val="000000" w:themeColor="text1"/>
          <w:highlight w:val="none"/>
          <w:u w:val="single"/>
          <w14:textFill>
            <w14:solidFill>
              <w14:schemeClr w14:val="tx1"/>
            </w14:solidFill>
          </w14:textFill>
        </w:rPr>
        <w:t>后应于1日内，以书面或传真形式（签署意见并加盖公章）向</w:t>
      </w:r>
      <w:r>
        <w:rPr>
          <w:rFonts w:hint="eastAsia"/>
          <w:b/>
          <w:color w:val="000000" w:themeColor="text1"/>
          <w:highlight w:val="none"/>
          <w:u w:val="single"/>
          <w14:textFill>
            <w14:solidFill>
              <w14:schemeClr w14:val="tx1"/>
            </w14:solidFill>
          </w14:textFill>
        </w:rPr>
        <w:t>采购</w:t>
      </w:r>
      <w:r>
        <w:rPr>
          <w:b/>
          <w:color w:val="000000" w:themeColor="text1"/>
          <w:highlight w:val="none"/>
          <w:u w:val="single"/>
          <w14:textFill>
            <w14:solidFill>
              <w14:schemeClr w14:val="tx1"/>
            </w14:solidFill>
          </w14:textFill>
        </w:rPr>
        <w:t>代理机构回函给予确认。过期未回复的，视为默认接受。</w:t>
      </w:r>
    </w:p>
    <w:p w14:paraId="216B62C4">
      <w:pPr>
        <w:pStyle w:val="8"/>
        <w:spacing w:line="360" w:lineRule="exact"/>
        <w:jc w:val="center"/>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二、招标文件</w:t>
      </w:r>
      <w:bookmarkEnd w:id="27"/>
    </w:p>
    <w:p w14:paraId="751A7921">
      <w:pPr>
        <w:snapToGrid w:val="0"/>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8.招标文件的构成。</w:t>
      </w:r>
    </w:p>
    <w:p w14:paraId="3DE520A6">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本招标文件由以下部分组成：</w:t>
      </w:r>
    </w:p>
    <w:p w14:paraId="463A0480">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1招标公告</w:t>
      </w:r>
      <w:r>
        <w:rPr>
          <w:rFonts w:hint="eastAsia" w:ascii="宋体" w:hAnsi="宋体"/>
          <w:color w:val="000000" w:themeColor="text1"/>
          <w:sz w:val="24"/>
          <w:highlight w:val="none"/>
          <w14:textFill>
            <w14:solidFill>
              <w14:schemeClr w14:val="tx1"/>
            </w14:solidFill>
          </w14:textFill>
        </w:rPr>
        <w:t>；</w:t>
      </w:r>
    </w:p>
    <w:p w14:paraId="5D812CBB">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8.2投标须知；</w:t>
      </w:r>
    </w:p>
    <w:p w14:paraId="49A11719">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8.3采购需求；</w:t>
      </w:r>
    </w:p>
    <w:p w14:paraId="79AD172E">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8.4应提交的有关格式范例；</w:t>
      </w:r>
    </w:p>
    <w:p w14:paraId="0861566C">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8.5本项目</w:t>
      </w:r>
      <w:r>
        <w:rPr>
          <w:rFonts w:ascii="宋体" w:hAnsi="宋体"/>
          <w:color w:val="000000" w:themeColor="text1"/>
          <w:sz w:val="24"/>
          <w:highlight w:val="none"/>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14:textFill>
            <w14:solidFill>
              <w14:schemeClr w14:val="tx1"/>
            </w14:solidFill>
          </w14:textFill>
        </w:rPr>
        <w:t>澄清、答复、修改、补充的内容</w:t>
      </w:r>
      <w:r>
        <w:rPr>
          <w:rFonts w:hint="eastAsia" w:ascii="宋体" w:hAnsi="宋体"/>
          <w:color w:val="000000" w:themeColor="text1"/>
          <w:sz w:val="24"/>
          <w:highlight w:val="none"/>
          <w14:textFill>
            <w14:solidFill>
              <w14:schemeClr w14:val="tx1"/>
            </w14:solidFill>
          </w14:textFill>
        </w:rPr>
        <w:t>。</w:t>
      </w:r>
    </w:p>
    <w:p w14:paraId="21DE2850">
      <w:pPr>
        <w:snapToGrid w:val="0"/>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9.投标人的风险</w:t>
      </w:r>
    </w:p>
    <w:p w14:paraId="3DA3CE6E">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369E72B1">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0876C919">
      <w:pPr>
        <w:pStyle w:val="9"/>
        <w:numPr>
          <w:ilvl w:val="0"/>
          <w:numId w:val="0"/>
        </w:numPr>
        <w:tabs>
          <w:tab w:val="left" w:pos="720"/>
        </w:tabs>
        <w:autoSpaceDE/>
        <w:autoSpaceDN/>
        <w:adjustRightInd/>
        <w:ind w:firstLine="413" w:firstLineChars="196"/>
        <w:jc w:val="left"/>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10.招标文件的澄清与修改</w:t>
      </w:r>
      <w:r>
        <w:rPr>
          <w:rFonts w:ascii="宋体" w:hAnsi="宋体"/>
          <w:b/>
          <w:color w:val="000000" w:themeColor="text1"/>
          <w:szCs w:val="24"/>
          <w:highlight w:val="none"/>
          <w14:textFill>
            <w14:solidFill>
              <w14:schemeClr w14:val="tx1"/>
            </w14:solidFill>
          </w14:textFill>
        </w:rPr>
        <w:t xml:space="preserve"> </w:t>
      </w:r>
    </w:p>
    <w:p w14:paraId="1784BB1A">
      <w:pPr>
        <w:pStyle w:val="15"/>
        <w:snapToGrid w:val="0"/>
        <w:ind w:firstLine="480" w:firstLineChars="200"/>
        <w:rPr>
          <w:rFonts w:ascii="宋体" w:hAnsi="宋体"/>
          <w:color w:val="000000" w:themeColor="text1"/>
          <w:szCs w:val="24"/>
          <w:highlight w:val="none"/>
          <w14:textFill>
            <w14:solidFill>
              <w14:schemeClr w14:val="tx1"/>
            </w14:solidFill>
          </w14:textFill>
        </w:rPr>
      </w:pPr>
      <w:bookmarkStart w:id="28" w:name="_Toc125344505"/>
      <w:r>
        <w:rPr>
          <w:rFonts w:hint="eastAsia" w:ascii="宋体" w:hAnsi="宋体"/>
          <w:color w:val="000000" w:themeColor="text1"/>
          <w:highlight w:val="none"/>
          <w14:textFill>
            <w14:solidFill>
              <w14:schemeClr w14:val="tx1"/>
            </w14:solidFill>
          </w14:textFill>
        </w:rPr>
        <w:t>10.1</w:t>
      </w:r>
      <w:r>
        <w:rPr>
          <w:rFonts w:ascii="宋体" w:hAnsi="宋体"/>
          <w:bCs/>
          <w:color w:val="000000" w:themeColor="text1"/>
          <w:highlight w:val="none"/>
          <w14:textFill>
            <w14:solidFill>
              <w14:schemeClr w14:val="tx1"/>
            </w14:solidFill>
          </w14:textFill>
        </w:rPr>
        <w:t>投标人</w:t>
      </w:r>
      <w:r>
        <w:rPr>
          <w:rFonts w:hint="eastAsia" w:ascii="宋体" w:hAnsi="宋体"/>
          <w:bCs/>
          <w:color w:val="000000" w:themeColor="text1"/>
          <w:highlight w:val="none"/>
          <w14:textFill>
            <w14:solidFill>
              <w14:schemeClr w14:val="tx1"/>
            </w14:solidFill>
          </w14:textFill>
        </w:rPr>
        <w:t>下载招标文件后，</w:t>
      </w:r>
      <w:r>
        <w:rPr>
          <w:rFonts w:ascii="宋体" w:hAnsi="宋体"/>
          <w:bCs/>
          <w:color w:val="000000" w:themeColor="text1"/>
          <w:highlight w:val="none"/>
          <w14:textFill>
            <w14:solidFill>
              <w14:schemeClr w14:val="tx1"/>
            </w14:solidFill>
          </w14:textFill>
        </w:rPr>
        <w:t>应认真阅读本招标文件</w:t>
      </w:r>
      <w:r>
        <w:rPr>
          <w:rFonts w:hint="eastAsia" w:ascii="宋体" w:hAnsi="宋体"/>
          <w:bCs/>
          <w:color w:val="000000" w:themeColor="text1"/>
          <w:highlight w:val="none"/>
          <w14:textFill>
            <w14:solidFill>
              <w14:schemeClr w14:val="tx1"/>
            </w14:solidFill>
          </w14:textFill>
        </w:rPr>
        <w:t>的所有内容</w:t>
      </w:r>
      <w:r>
        <w:rPr>
          <w:rFonts w:ascii="宋体" w:hAnsi="宋体"/>
          <w:bCs/>
          <w:color w:val="000000" w:themeColor="text1"/>
          <w:highlight w:val="none"/>
          <w14:textFill>
            <w14:solidFill>
              <w14:schemeClr w14:val="tx1"/>
            </w14:solidFill>
          </w14:textFill>
        </w:rPr>
        <w:t>，发现其中有误或有不合理要求的，投标人必须</w:t>
      </w:r>
      <w:r>
        <w:rPr>
          <w:rFonts w:hint="eastAsia" w:ascii="宋体" w:hAnsi="宋体"/>
          <w:bCs/>
          <w:color w:val="000000" w:themeColor="text1"/>
          <w:highlight w:val="none"/>
          <w14:textFill>
            <w14:solidFill>
              <w14:schemeClr w14:val="tx1"/>
            </w14:solidFill>
          </w14:textFill>
        </w:rPr>
        <w:t>按前附表规定的时间</w:t>
      </w:r>
      <w:r>
        <w:rPr>
          <w:rFonts w:ascii="宋体" w:hAnsi="宋体"/>
          <w:bCs/>
          <w:color w:val="000000" w:themeColor="text1"/>
          <w:highlight w:val="none"/>
          <w14:textFill>
            <w14:solidFill>
              <w14:schemeClr w14:val="tx1"/>
            </w14:solidFill>
          </w14:textFill>
        </w:rPr>
        <w:t>前以书面形</w:t>
      </w:r>
      <w:r>
        <w:rPr>
          <w:rFonts w:hint="eastAsia" w:ascii="宋体" w:hAnsi="宋体"/>
          <w:bCs/>
          <w:color w:val="000000" w:themeColor="text1"/>
          <w:highlight w:val="none"/>
          <w14:textFill>
            <w14:solidFill>
              <w14:schemeClr w14:val="tx1"/>
            </w14:solidFill>
          </w14:textFill>
        </w:rPr>
        <w:t>式</w:t>
      </w:r>
      <w:r>
        <w:rPr>
          <w:rFonts w:hint="eastAsia" w:ascii="宋体" w:hAnsi="宋体"/>
          <w:color w:val="000000" w:themeColor="text1"/>
          <w:highlight w:val="none"/>
          <w14:textFill>
            <w14:solidFill>
              <w14:schemeClr w14:val="tx1"/>
            </w14:solidFill>
          </w14:textFill>
        </w:rPr>
        <w:t>(包括书面文字、传真等)</w:t>
      </w:r>
      <w:r>
        <w:rPr>
          <w:rFonts w:hint="eastAsia" w:ascii="宋体" w:hAnsi="宋体"/>
          <w:bCs/>
          <w:color w:val="000000" w:themeColor="text1"/>
          <w:highlight w:val="none"/>
          <w14:textFill>
            <w14:solidFill>
              <w14:schemeClr w14:val="tx1"/>
            </w14:solidFill>
          </w14:textFill>
        </w:rPr>
        <w:t>要求采购人澄清</w:t>
      </w:r>
      <w:r>
        <w:rPr>
          <w:rFonts w:hint="eastAsia" w:ascii="宋体" w:hAnsi="宋体"/>
          <w:color w:val="000000" w:themeColor="text1"/>
          <w:highlight w:val="none"/>
          <w14:textFill>
            <w14:solidFill>
              <w14:schemeClr w14:val="tx1"/>
            </w14:solidFill>
          </w14:textFill>
        </w:rPr>
        <w:t>。逾期提出的，采购人将不予受理。</w:t>
      </w:r>
      <w:r>
        <w:rPr>
          <w:rFonts w:hint="eastAsia" w:ascii="宋体" w:hAnsi="宋体"/>
          <w:color w:val="000000" w:themeColor="text1"/>
          <w:szCs w:val="24"/>
          <w:highlight w:val="none"/>
          <w14:textFill>
            <w14:solidFill>
              <w14:schemeClr w14:val="tx1"/>
            </w14:solidFill>
          </w14:textFill>
        </w:rPr>
        <w:t>采购代理机构与采购人研究后，对认为有必要回答的问题，采购人将补充（更正内容）以网上发布公告的形式通知所有投标人，补充（更正）内容是招标文件的组成部分。投标人可以通过诸暨市公共资源交易网自行下载，以确认已阅知该澄清或修改内容，否则，由此导致的风险由投标人自行承担，采购人不承担任何责任。</w:t>
      </w:r>
    </w:p>
    <w:p w14:paraId="2C3B2079">
      <w:pPr>
        <w:pStyle w:val="15"/>
        <w:snapToGrid w:val="0"/>
        <w:ind w:firstLine="480" w:firstLineChars="20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10.2</w:t>
      </w:r>
      <w:r>
        <w:rPr>
          <w:rFonts w:ascii="宋体" w:hAnsi="宋体"/>
          <w:color w:val="000000" w:themeColor="text1"/>
          <w:highlight w:val="none"/>
          <w14:textFill>
            <w14:solidFill>
              <w14:schemeClr w14:val="tx1"/>
            </w14:solidFill>
          </w14:textFill>
        </w:rPr>
        <w:t>招标文件澄清、答复、修改、补充的内容为招标文件的组成部分。</w:t>
      </w:r>
      <w:r>
        <w:rPr>
          <w:rFonts w:hAnsi="宋体"/>
          <w:color w:val="000000" w:themeColor="text1"/>
          <w:highlight w:val="none"/>
          <w14:textFill>
            <w14:solidFill>
              <w14:schemeClr w14:val="tx1"/>
            </w14:solidFill>
          </w14:textFill>
        </w:rPr>
        <w:t>当招标文件与招标文件的答复、澄清、修改、补充公告就同一内容的表述不一致时，以最后发出的文件</w:t>
      </w:r>
      <w:r>
        <w:rPr>
          <w:rFonts w:hint="eastAsia" w:hAnsi="宋体"/>
          <w:color w:val="000000" w:themeColor="text1"/>
          <w:highlight w:val="none"/>
          <w14:textFill>
            <w14:solidFill>
              <w14:schemeClr w14:val="tx1"/>
            </w14:solidFill>
          </w14:textFill>
        </w:rPr>
        <w:t>或公告或通知</w:t>
      </w:r>
      <w:r>
        <w:rPr>
          <w:rFonts w:hAnsi="宋体"/>
          <w:color w:val="000000" w:themeColor="text1"/>
          <w:highlight w:val="none"/>
          <w14:textFill>
            <w14:solidFill>
              <w14:schemeClr w14:val="tx1"/>
            </w14:solidFill>
          </w14:textFill>
        </w:rPr>
        <w:t>为准。</w:t>
      </w:r>
    </w:p>
    <w:p w14:paraId="14836D22">
      <w:pPr>
        <w:pStyle w:val="15"/>
        <w:snapToGrid w:val="0"/>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14:paraId="2699DCFB">
      <w:pPr>
        <w:pStyle w:val="15"/>
        <w:snapToGrid w:val="0"/>
        <w:ind w:firstLine="480" w:firstLineChars="200"/>
        <w:rPr>
          <w:rFonts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10.4为使投标人在编制投标文件时，把补充公告内容进行研究，采购代理机构可以酌情推迟递交投标文件的截止时间。</w:t>
      </w:r>
    </w:p>
    <w:p w14:paraId="1F91EE57">
      <w:pPr>
        <w:pStyle w:val="15"/>
        <w:snapToGrid w:val="0"/>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10.5投标人一旦参与本次招标活动，即被视为接受了本招标文件的所有内容，如有任何异议，均须在答疑截止时间前提出。</w:t>
      </w:r>
    </w:p>
    <w:p w14:paraId="1DC13C2A">
      <w:pPr>
        <w:pStyle w:val="8"/>
        <w:spacing w:line="360" w:lineRule="exact"/>
        <w:jc w:val="center"/>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三、投标文件编制</w:t>
      </w:r>
      <w:bookmarkEnd w:id="28"/>
      <w:r>
        <w:rPr>
          <w:rFonts w:hint="eastAsia" w:ascii="宋体" w:hAnsi="宋体" w:eastAsia="宋体"/>
          <w:color w:val="000000" w:themeColor="text1"/>
          <w:sz w:val="28"/>
          <w:szCs w:val="28"/>
          <w:highlight w:val="none"/>
          <w14:textFill>
            <w14:solidFill>
              <w14:schemeClr w14:val="tx1"/>
            </w14:solidFill>
          </w14:textFill>
        </w:rPr>
        <w:t>和提交</w:t>
      </w:r>
    </w:p>
    <w:p w14:paraId="07913E69">
      <w:pPr>
        <w:snapToGrid w:val="0"/>
        <w:ind w:firstLine="472" w:firstLineChars="196"/>
        <w:jc w:val="left"/>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11.投标文件的组成</w:t>
      </w:r>
    </w:p>
    <w:p w14:paraId="2271A364">
      <w:pPr>
        <w:snapToGrid w:val="0"/>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投标文件组成详见前附表。</w:t>
      </w:r>
    </w:p>
    <w:p w14:paraId="00B4972E">
      <w:pPr>
        <w:snapToGrid w:val="0"/>
        <w:ind w:firstLine="472" w:firstLineChars="196"/>
        <w:jc w:val="left"/>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12.投标文件的语言及计量</w:t>
      </w:r>
    </w:p>
    <w:p w14:paraId="28279F0A">
      <w:pPr>
        <w:pStyle w:val="15"/>
        <w:snapToGrid w:val="0"/>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12.1</w:t>
      </w:r>
      <w:r>
        <w:rPr>
          <w:rFonts w:ascii="宋体" w:hAnsi="宋体"/>
          <w:color w:val="000000" w:themeColor="text1"/>
          <w:highlight w:val="none"/>
          <w14:textFill>
            <w14:solidFill>
              <w14:schemeClr w14:val="tx1"/>
            </w14:solidFill>
          </w14:textFill>
        </w:rPr>
        <w:t>投标文件以及投标</w:t>
      </w:r>
      <w:r>
        <w:rPr>
          <w:rFonts w:hint="eastAsia" w:ascii="宋体" w:hAnsi="宋体"/>
          <w:color w:val="000000" w:themeColor="text1"/>
          <w:highlight w:val="none"/>
          <w14:textFill>
            <w14:solidFill>
              <w14:schemeClr w14:val="tx1"/>
            </w14:solidFill>
          </w14:textFill>
        </w:rPr>
        <w:t>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14:textFill>
            <w14:solidFill>
              <w14:schemeClr w14:val="tx1"/>
            </w14:solidFill>
          </w14:textFill>
        </w:rPr>
        <w:t>采购代理机构</w:t>
      </w:r>
      <w:r>
        <w:rPr>
          <w:rFonts w:ascii="宋体" w:hAnsi="宋体"/>
          <w:color w:val="000000" w:themeColor="text1"/>
          <w:highlight w:val="none"/>
          <w14:textFill>
            <w14:solidFill>
              <w14:schemeClr w14:val="tx1"/>
            </w14:solidFill>
          </w14:textFill>
        </w:rPr>
        <w:t>就有关投标事宜的所有往来</w:t>
      </w:r>
      <w:r>
        <w:rPr>
          <w:rFonts w:hint="eastAsia" w:ascii="宋体" w:hAnsi="宋体"/>
          <w:color w:val="000000" w:themeColor="text1"/>
          <w:highlight w:val="none"/>
          <w14:textFill>
            <w14:solidFill>
              <w14:schemeClr w14:val="tx1"/>
            </w14:solidFill>
          </w14:textFill>
        </w:rPr>
        <w:t>通知、</w:t>
      </w:r>
      <w:r>
        <w:rPr>
          <w:rFonts w:ascii="宋体" w:hAnsi="宋体"/>
          <w:color w:val="000000" w:themeColor="text1"/>
          <w:highlight w:val="none"/>
          <w14:textFill>
            <w14:solidFill>
              <w14:schemeClr w14:val="tx1"/>
            </w14:solidFill>
          </w14:textFill>
        </w:rPr>
        <w:t>函电，均应以中文汉语书写。除签名、盖章、专用名称等特殊情形外，以中文汉语以外的文字表述的投标文件视同未提供。</w:t>
      </w:r>
      <w:r>
        <w:rPr>
          <w:rFonts w:hint="eastAsia" w:ascii="宋体" w:hAnsi="宋体"/>
          <w:color w:val="000000" w:themeColor="text1"/>
          <w:highlight w:val="none"/>
          <w14:textFill>
            <w14:solidFill>
              <w14:schemeClr w14:val="tx1"/>
            </w14:solidFill>
          </w14:textFill>
        </w:rPr>
        <w:t>投标人随投标文件提供的证明文件和资料可以为其它语言，但必须附中文译文。翻译的中文资料与外文资料如果出现差异时，以中文为准，但翻译错误的除外。</w:t>
      </w:r>
    </w:p>
    <w:p w14:paraId="1DB83EFF">
      <w:pPr>
        <w:pStyle w:val="15"/>
        <w:snapToGrid w:val="0"/>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12.2</w:t>
      </w:r>
      <w:r>
        <w:rPr>
          <w:rFonts w:ascii="宋体" w:hAnsi="宋体"/>
          <w:color w:val="000000" w:themeColor="text1"/>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投标计量单位，招标文件已有明确规定的，使用招标文件规定的计量单位；招标文件没有规定的，应采用中华人民共和国法定计量单位（货币单位：人民币元），否则视同未响应。</w:t>
      </w:r>
    </w:p>
    <w:p w14:paraId="3A595382">
      <w:pPr>
        <w:snapToGrid w:val="0"/>
        <w:ind w:firstLine="472" w:firstLineChars="196"/>
        <w:jc w:val="left"/>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13.投标报价</w:t>
      </w:r>
    </w:p>
    <w:p w14:paraId="364AE206">
      <w:pPr>
        <w:pStyle w:val="15"/>
        <w:snapToGrid w:val="0"/>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13.1</w:t>
      </w:r>
      <w:r>
        <w:rPr>
          <w:rFonts w:ascii="宋体" w:hAnsi="宋体"/>
          <w:color w:val="000000" w:themeColor="text1"/>
          <w:highlight w:val="none"/>
          <w14:textFill>
            <w14:solidFill>
              <w14:schemeClr w14:val="tx1"/>
            </w14:solidFill>
          </w14:textFill>
        </w:rPr>
        <w:t>投标报价应按招标文件中相关附表格式填写。</w:t>
      </w:r>
      <w:r>
        <w:rPr>
          <w:rFonts w:hint="eastAsia" w:ascii="宋体" w:hAnsi="宋体"/>
          <w:color w:val="000000" w:themeColor="text1"/>
          <w:highlight w:val="none"/>
          <w14:textFill>
            <w14:solidFill>
              <w14:schemeClr w14:val="tx1"/>
            </w14:solidFill>
          </w14:textFill>
        </w:rPr>
        <w:t>本项目的投标应以人民币计。</w:t>
      </w:r>
    </w:p>
    <w:p w14:paraId="5541D0FB">
      <w:pPr>
        <w:pStyle w:val="15"/>
        <w:snapToGrid w:val="0"/>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13.2投标报价应包括</w:t>
      </w:r>
      <w:r>
        <w:rPr>
          <w:rFonts w:ascii="宋体" w:hAnsi="宋体"/>
          <w:color w:val="000000" w:themeColor="text1"/>
          <w:highlight w:val="none"/>
          <w14:textFill>
            <w14:solidFill>
              <w14:schemeClr w14:val="tx1"/>
            </w14:solidFill>
          </w14:textFill>
        </w:rPr>
        <w:t>货款、标准附件、备品备件、专用工具、包装、运输、装卸、保险、税金、货到就位以及安装、调试、培训、保修等一切税金和费用。</w:t>
      </w:r>
      <w:r>
        <w:rPr>
          <w:rFonts w:hint="eastAsia" w:ascii="宋体" w:hAnsi="宋体"/>
          <w:color w:val="000000" w:themeColor="text1"/>
          <w:highlight w:val="none"/>
          <w14:textFill>
            <w14:solidFill>
              <w14:schemeClr w14:val="tx1"/>
            </w14:solidFill>
          </w14:textFill>
        </w:rPr>
        <w:t>投标报价（包括单价、总价等）可保留到小数点后两位（如：90.00 %/88.88元）。投标人必须报有合理单价，其将作为设备增减的主要依据。如有漏项，视同已包含在其它项目中，合同总价和单价不作调整。</w:t>
      </w:r>
    </w:p>
    <w:p w14:paraId="6F9BEA62">
      <w:pPr>
        <w:pStyle w:val="15"/>
        <w:snapToGrid w:val="0"/>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13.3</w:t>
      </w:r>
      <w:r>
        <w:rPr>
          <w:rFonts w:ascii="宋体" w:hAnsi="宋体"/>
          <w:color w:val="000000" w:themeColor="text1"/>
          <w:highlight w:val="none"/>
          <w14:textFill>
            <w14:solidFill>
              <w14:schemeClr w14:val="tx1"/>
            </w14:solidFill>
          </w14:textFill>
        </w:rPr>
        <w:t>投标文件只允许有一个报价，有选择的</w:t>
      </w:r>
      <w:r>
        <w:rPr>
          <w:rFonts w:hint="eastAsia" w:ascii="宋体" w:hAnsi="宋体"/>
          <w:color w:val="000000" w:themeColor="text1"/>
          <w:highlight w:val="none"/>
          <w14:textFill>
            <w14:solidFill>
              <w14:schemeClr w14:val="tx1"/>
            </w14:solidFill>
          </w14:textFill>
        </w:rPr>
        <w:t>或有条件的</w:t>
      </w:r>
      <w:r>
        <w:rPr>
          <w:rFonts w:ascii="宋体" w:hAnsi="宋体"/>
          <w:color w:val="000000" w:themeColor="text1"/>
          <w:highlight w:val="none"/>
          <w14:textFill>
            <w14:solidFill>
              <w14:schemeClr w14:val="tx1"/>
            </w14:solidFill>
          </w14:textFill>
        </w:rPr>
        <w:t>报价将不予接受。</w:t>
      </w:r>
    </w:p>
    <w:p w14:paraId="2FF31887">
      <w:pPr>
        <w:pStyle w:val="15"/>
        <w:snapToGrid w:val="0"/>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13.4招标文件未列明，而投标人认为必需的费用也需列入报价。</w:t>
      </w:r>
    </w:p>
    <w:p w14:paraId="56D43961">
      <w:pPr>
        <w:pStyle w:val="15"/>
        <w:snapToGrid w:val="0"/>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13.5中标后，中标人所填写的单价在合同实施期间不因市场变化因素而变动，投标人在计算报价时应考虑一定的风险系数。</w:t>
      </w:r>
    </w:p>
    <w:p w14:paraId="0C39CF0D">
      <w:pPr>
        <w:pStyle w:val="9"/>
        <w:numPr>
          <w:ilvl w:val="0"/>
          <w:numId w:val="0"/>
        </w:numPr>
        <w:tabs>
          <w:tab w:val="left" w:pos="720"/>
        </w:tabs>
        <w:autoSpaceDE/>
        <w:autoSpaceDN/>
        <w:adjustRightInd/>
        <w:ind w:firstLine="413" w:firstLineChars="196"/>
        <w:jc w:val="left"/>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14.投标文件的有效期</w:t>
      </w:r>
    </w:p>
    <w:p w14:paraId="31FD016A">
      <w:pPr>
        <w:pStyle w:val="15"/>
        <w:snapToGrid w:val="0"/>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14.1投标有效期为从投标截止之日算起的日历天数，</w:t>
      </w:r>
      <w:r>
        <w:rPr>
          <w:rFonts w:ascii="宋体" w:hAnsi="宋体"/>
          <w:color w:val="000000" w:themeColor="text1"/>
          <w:highlight w:val="none"/>
          <w14:textFill>
            <w14:solidFill>
              <w14:schemeClr w14:val="tx1"/>
            </w14:solidFill>
          </w14:textFill>
        </w:rPr>
        <w:t>自投标截止日起</w:t>
      </w:r>
      <w:r>
        <w:rPr>
          <w:rFonts w:hint="eastAsia" w:ascii="宋体" w:hAnsi="宋体"/>
          <w:color w:val="000000" w:themeColor="text1"/>
          <w:highlight w:val="none"/>
          <w14:textFill>
            <w14:solidFill>
              <w14:schemeClr w14:val="tx1"/>
            </w14:solidFill>
          </w14:textFill>
        </w:rPr>
        <w:t>90</w:t>
      </w:r>
      <w:r>
        <w:rPr>
          <w:rFonts w:ascii="宋体" w:hAnsi="宋体"/>
          <w:color w:val="000000" w:themeColor="text1"/>
          <w:highlight w:val="none"/>
          <w14:textFill>
            <w14:solidFill>
              <w14:schemeClr w14:val="tx1"/>
            </w14:solidFill>
          </w14:textFill>
        </w:rPr>
        <w:t>天投标书应保持有效。</w:t>
      </w:r>
      <w:r>
        <w:rPr>
          <w:rFonts w:hint="eastAsia" w:ascii="宋体" w:hAnsi="宋体"/>
          <w:color w:val="000000" w:themeColor="text1"/>
          <w:highlight w:val="none"/>
          <w14:textFill>
            <w14:solidFill>
              <w14:schemeClr w14:val="tx1"/>
            </w14:solidFill>
          </w14:textFill>
        </w:rPr>
        <w:t>如采购人认为必要，可延长投标有效期。</w:t>
      </w:r>
      <w:r>
        <w:rPr>
          <w:rFonts w:ascii="宋体" w:hAnsi="宋体"/>
          <w:color w:val="000000" w:themeColor="text1"/>
          <w:highlight w:val="none"/>
          <w14:textFill>
            <w14:solidFill>
              <w14:schemeClr w14:val="tx1"/>
            </w14:solidFill>
          </w14:textFill>
        </w:rPr>
        <w:t>有效期短于这个规定期限的投标将被拒绝。</w:t>
      </w:r>
    </w:p>
    <w:p w14:paraId="4AC1F404">
      <w:pPr>
        <w:pStyle w:val="15"/>
        <w:snapToGrid w:val="0"/>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14.2</w:t>
      </w:r>
      <w:r>
        <w:rPr>
          <w:rFonts w:ascii="宋体" w:hAnsi="宋体"/>
          <w:color w:val="000000" w:themeColor="text1"/>
          <w:highlight w:val="none"/>
          <w14:textFill>
            <w14:solidFill>
              <w14:schemeClr w14:val="tx1"/>
            </w14:solidFill>
          </w14:textFill>
        </w:rPr>
        <w:t>在特殊情况下，采购人可与投标人协商延长投标书的有效期，这种要求和答复均以书面形式进行。</w:t>
      </w:r>
    </w:p>
    <w:p w14:paraId="16A59E4B">
      <w:pPr>
        <w:pStyle w:val="15"/>
        <w:snapToGrid w:val="0"/>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14.3</w:t>
      </w:r>
      <w:r>
        <w:rPr>
          <w:rFonts w:ascii="宋体" w:hAnsi="宋体"/>
          <w:color w:val="000000" w:themeColor="text1"/>
          <w:highlight w:val="none"/>
          <w14:textFill>
            <w14:solidFill>
              <w14:schemeClr w14:val="tx1"/>
            </w14:solidFill>
          </w14:textFill>
        </w:rPr>
        <w:t>投标人可拒绝接受延期要求</w:t>
      </w:r>
      <w:r>
        <w:rPr>
          <w:rFonts w:hint="eastAsia" w:ascii="宋体" w:hAnsi="宋体"/>
          <w:color w:val="000000" w:themeColor="text1"/>
          <w:highlight w:val="none"/>
          <w14:textFill>
            <w14:solidFill>
              <w14:schemeClr w14:val="tx1"/>
            </w14:solidFill>
          </w14:textFill>
        </w:rPr>
        <w:t>，但其投标在原投标有效期满后不再有效。</w:t>
      </w:r>
      <w:r>
        <w:rPr>
          <w:rFonts w:ascii="宋体" w:hAnsi="宋体"/>
          <w:color w:val="000000" w:themeColor="text1"/>
          <w:highlight w:val="none"/>
          <w14:textFill>
            <w14:solidFill>
              <w14:schemeClr w14:val="tx1"/>
            </w14:solidFill>
          </w14:textFill>
        </w:rPr>
        <w:t xml:space="preserve">同意延长有效期的投标人不能修改投标文件。 </w:t>
      </w:r>
    </w:p>
    <w:p w14:paraId="0B8ADD25">
      <w:pPr>
        <w:pStyle w:val="15"/>
        <w:snapToGrid w:val="0"/>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14.4</w:t>
      </w:r>
      <w:r>
        <w:rPr>
          <w:rFonts w:ascii="宋体" w:hAnsi="宋体"/>
          <w:color w:val="000000" w:themeColor="text1"/>
          <w:highlight w:val="none"/>
          <w14:textFill>
            <w14:solidFill>
              <w14:schemeClr w14:val="tx1"/>
            </w14:solidFill>
          </w14:textFill>
        </w:rPr>
        <w:t>中标人的投标文件自开标之日起至合同履行完毕止均应保持有效。</w:t>
      </w:r>
    </w:p>
    <w:p w14:paraId="483B3539">
      <w:pPr>
        <w:snapToGrid w:val="0"/>
        <w:ind w:firstLine="472" w:firstLineChars="196"/>
        <w:jc w:val="left"/>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15.投标保证金</w:t>
      </w:r>
    </w:p>
    <w:p w14:paraId="624101BE">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15.1投标人应提供前附表规定的投标保证金，作为投标文件的一个组成部分。否则，其投标将被拒绝。</w:t>
      </w:r>
    </w:p>
    <w:p w14:paraId="47A70802">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15.2</w:t>
      </w:r>
      <w:bookmarkStart w:id="29" w:name="OLE_LINK6"/>
      <w:r>
        <w:rPr>
          <w:rFonts w:hint="eastAsia" w:ascii="宋体" w:hAnsi="宋体"/>
          <w:color w:val="000000" w:themeColor="text1"/>
          <w:sz w:val="24"/>
          <w:szCs w:val="24"/>
          <w:highlight w:val="none"/>
          <w14:textFill>
            <w14:solidFill>
              <w14:schemeClr w14:val="tx1"/>
            </w14:solidFill>
          </w14:textFill>
        </w:rPr>
        <w:t>投标保证金可以以电汇、转账、汇票等非现金形式提交，且必须在投标文件提交截止时间前缴入前附表中的指定账户，以到账为准。采购代理机构将拒绝未能按规定时间和数额提交投标保证金的投标人。</w:t>
      </w:r>
      <w:bookmarkEnd w:id="29"/>
    </w:p>
    <w:p w14:paraId="2B32BB4A">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15.3未中标人的投标保证金在中标通知书发出后5个工作日退还。</w:t>
      </w:r>
    </w:p>
    <w:p w14:paraId="11345D6B">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15.4中标人的投标保证金，在中标人按招标文件规定签订合同后5个工作日内无息退还。</w:t>
      </w:r>
    </w:p>
    <w:p w14:paraId="3E6AD33E">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15.5投标保证金均以转账或电汇或汇票方式退还，恕不退还现金。保证金不计息。</w:t>
      </w:r>
    </w:p>
    <w:p w14:paraId="3871550F">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15.6下列情况，投标保证金将不予退还，已缴纳年度保证金的，其保证金或相应数额的年度保证金将不予退还，并按有关规定处理：</w:t>
      </w:r>
    </w:p>
    <w:p w14:paraId="37534B36">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15.6.1投标人在投标有效期内撤回投标文件的；</w:t>
      </w:r>
    </w:p>
    <w:p w14:paraId="506BA4E8">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15.6.2未按规定提交履约保证金的；</w:t>
      </w:r>
    </w:p>
    <w:p w14:paraId="546483D7">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15.6.3投标人在投标过程中弄虚作假，提供虚假材料的；</w:t>
      </w:r>
    </w:p>
    <w:p w14:paraId="355AA380">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15.6.4中标人无正当理由在规定的时间内不与采购单位签订合同的；</w:t>
      </w:r>
    </w:p>
    <w:p w14:paraId="1DD57AB0">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15.6.5将中标项目转让给他人或者在投标文件中未说明且未经招标人同意，将中标项目分包给他人的；</w:t>
      </w:r>
    </w:p>
    <w:p w14:paraId="33734CE9">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15.6.6拒绝履行合同义务的；</w:t>
      </w:r>
    </w:p>
    <w:p w14:paraId="13D8E1BB">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15.6.7其他严重扰乱招投标程序的；</w:t>
      </w:r>
    </w:p>
    <w:p w14:paraId="48984C3D">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15.6.8向有关人员行贿或者采取其他不正当手段谋取中标的；</w:t>
      </w:r>
    </w:p>
    <w:p w14:paraId="3E42EA7F">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15.6.9中标人无正当理由放弃中标的；</w:t>
      </w:r>
    </w:p>
    <w:p w14:paraId="48B2A039">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15.6.10存在法律、法规规定的其它损害招标人或用户单位利益或社会公共利益的情形的。</w:t>
      </w:r>
    </w:p>
    <w:p w14:paraId="24AC3F0A">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15.7如投标人或招标人有下列情形之一的，应按串通投标行为认定，除有关方投标保证金不予退还外，禁止其一至三年内进入本市采购市场，情节严重的移送有关部门依法处理。</w:t>
      </w:r>
    </w:p>
    <w:p w14:paraId="57293950">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15.7.1不同投标人的投标文件由同一单位或人员编制的； </w:t>
      </w:r>
    </w:p>
    <w:p w14:paraId="0C69B53E">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15.7.2不同投标人使用同一单位或人员的资金交纳投标保证金的； </w:t>
      </w:r>
    </w:p>
    <w:p w14:paraId="6695C5DB">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15.7.3不同供应商委托同一单位或人员办理投标事宜的；</w:t>
      </w:r>
    </w:p>
    <w:p w14:paraId="476B1D33">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15.7.4不同投标人的投标文件中的内容出现非正常的一致，或者报价细目呈明显规律性变化，或在完全可比的情况下投标总价均高于市场平均价的； </w:t>
      </w:r>
    </w:p>
    <w:p w14:paraId="7D12BFC7">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15.7.5不同投标人的投标文件载明的项目管理或实施人员出现同一单位的工作人员或同一人的；</w:t>
      </w:r>
    </w:p>
    <w:p w14:paraId="152CE567">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15.7.6不同投标人的授权代表为同一单位的工作人员的； </w:t>
      </w:r>
    </w:p>
    <w:p w14:paraId="3CCC5C92">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15.7.7不同投标人的投标文件相互混装，或在一个投标人的投标文件内遗留有其他投标人的签名、盖章等不属于本投标人参加采购必需的信息资料的； </w:t>
      </w:r>
    </w:p>
    <w:p w14:paraId="3368700B">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15.7.8采购响应截止时间后，招标人协助投标人撤换或更改投标文件的； </w:t>
      </w:r>
    </w:p>
    <w:p w14:paraId="35F23C76">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15.7.9招标人泄露有意向参加采购的投标人名称、数量等应当保密的事项的；</w:t>
      </w:r>
    </w:p>
    <w:p w14:paraId="6A22EFAD">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15.7.10不同投标人之间私下达成书面或口头协议，指定一家投标人中标或轮流中标的；</w:t>
      </w:r>
    </w:p>
    <w:p w14:paraId="3A299C6A">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15.7.11法律、法规或规章规定的其他串通行为。</w:t>
      </w:r>
    </w:p>
    <w:p w14:paraId="25EB72B6">
      <w:pPr>
        <w:snapToGrid w:val="0"/>
        <w:ind w:firstLine="472" w:firstLineChars="196"/>
        <w:jc w:val="left"/>
        <w:outlineLvl w:val="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16.</w:t>
      </w:r>
      <w:r>
        <w:rPr>
          <w:rFonts w:hint="eastAsia" w:ascii="宋体" w:hAnsi="宋体"/>
          <w:b/>
          <w:color w:val="000000" w:themeColor="text1"/>
          <w:sz w:val="24"/>
          <w:szCs w:val="24"/>
          <w:highlight w:val="none"/>
          <w14:textFill>
            <w14:solidFill>
              <w14:schemeClr w14:val="tx1"/>
            </w14:solidFill>
          </w14:textFill>
        </w:rPr>
        <w:t>投标文件的制作</w:t>
      </w:r>
    </w:p>
    <w:p w14:paraId="18574C35">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16.1投标人应按招标文件前附表规定的内容编制投标文件。</w:t>
      </w:r>
    </w:p>
    <w:p w14:paraId="7810E012">
      <w:pPr>
        <w:snapToGrid w:val="0"/>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16.2</w:t>
      </w:r>
      <w:r>
        <w:rPr>
          <w:rFonts w:ascii="宋体" w:hAnsi="宋体"/>
          <w:color w:val="000000" w:themeColor="text1"/>
          <w:sz w:val="24"/>
          <w:szCs w:val="24"/>
          <w:highlight w:val="none"/>
          <w14:textFill>
            <w14:solidFill>
              <w14:schemeClr w14:val="tx1"/>
            </w14:solidFill>
          </w14:textFill>
        </w:rPr>
        <w:t>投标人应</w:t>
      </w:r>
      <w:r>
        <w:rPr>
          <w:rFonts w:hint="eastAsia" w:ascii="宋体" w:hAnsi="宋体"/>
          <w:color w:val="000000" w:themeColor="text1"/>
          <w:sz w:val="24"/>
          <w:szCs w:val="24"/>
          <w:highlight w:val="none"/>
          <w14:textFill>
            <w14:solidFill>
              <w14:schemeClr w14:val="tx1"/>
            </w14:solidFill>
          </w14:textFill>
        </w:rPr>
        <w:t>按</w:t>
      </w:r>
      <w:r>
        <w:rPr>
          <w:rFonts w:ascii="宋体" w:hAnsi="宋体"/>
          <w:color w:val="000000" w:themeColor="text1"/>
          <w:sz w:val="24"/>
          <w:szCs w:val="24"/>
          <w:highlight w:val="none"/>
          <w14:textFill>
            <w14:solidFill>
              <w14:schemeClr w14:val="tx1"/>
            </w14:solidFill>
          </w14:textFill>
        </w:rPr>
        <w:t>本招标文件规定的格式和顺序编制投标文件</w:t>
      </w:r>
      <w:r>
        <w:rPr>
          <w:rFonts w:hint="eastAsia" w:ascii="宋体" w:hAnsi="宋体"/>
          <w:color w:val="000000" w:themeColor="text1"/>
          <w:sz w:val="24"/>
          <w:szCs w:val="24"/>
          <w:highlight w:val="none"/>
          <w14:textFill>
            <w14:solidFill>
              <w14:schemeClr w14:val="tx1"/>
            </w14:solidFill>
          </w14:textFill>
        </w:rPr>
        <w:t>并标注页码</w:t>
      </w:r>
      <w:r>
        <w:rPr>
          <w:rFonts w:ascii="宋体" w:hAnsi="宋体"/>
          <w:color w:val="000000" w:themeColor="text1"/>
          <w:sz w:val="24"/>
          <w:szCs w:val="24"/>
          <w:highlight w:val="none"/>
          <w14:textFill>
            <w14:solidFill>
              <w14:schemeClr w14:val="tx1"/>
            </w14:solidFill>
          </w14:textFill>
        </w:rPr>
        <w:t>，投标文件内容不完整、编排混乱导致投标文件被误读、漏读或者查找不到相关内容的，是投标人的责任。</w:t>
      </w:r>
    </w:p>
    <w:p w14:paraId="015F5798">
      <w:pPr>
        <w:snapToGrid w:val="0"/>
        <w:ind w:firstLine="480" w:firstLineChars="200"/>
        <w:jc w:val="left"/>
        <w:rPr>
          <w:b/>
          <w:color w:val="000000" w:themeColor="text1"/>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16.3</w:t>
      </w:r>
      <w:r>
        <w:rPr>
          <w:rFonts w:ascii="宋体" w:hAnsi="宋体"/>
          <w:color w:val="000000" w:themeColor="text1"/>
          <w:sz w:val="24"/>
          <w:szCs w:val="24"/>
          <w:highlight w:val="none"/>
          <w14:textFill>
            <w14:solidFill>
              <w14:schemeClr w14:val="tx1"/>
            </w14:solidFill>
          </w14:textFill>
        </w:rPr>
        <w:t>投标文件须由投标人在规定位置盖章，投标人应写全称。</w:t>
      </w:r>
      <w:r>
        <w:rPr>
          <w:rFonts w:hint="eastAsia" w:ascii="宋体" w:hAnsi="宋体"/>
          <w:b/>
          <w:color w:val="000000" w:themeColor="text1"/>
          <w:sz w:val="24"/>
          <w:szCs w:val="24"/>
          <w:highlight w:val="none"/>
          <w14:textFill>
            <w14:solidFill>
              <w14:schemeClr w14:val="tx1"/>
            </w14:solidFill>
          </w14:textFill>
        </w:rPr>
        <w:t>电子投标文件中所有加盖公章均采用CA签章。</w:t>
      </w:r>
    </w:p>
    <w:p w14:paraId="5C895B8D">
      <w:pPr>
        <w:snapToGrid w:val="0"/>
        <w:ind w:firstLine="480" w:firstLineChars="200"/>
        <w:jc w:val="left"/>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16.4</w:t>
      </w:r>
      <w:r>
        <w:rPr>
          <w:rFonts w:ascii="宋体" w:hAnsi="宋体"/>
          <w:color w:val="000000" w:themeColor="text1"/>
          <w:sz w:val="24"/>
          <w:szCs w:val="24"/>
          <w:highlight w:val="none"/>
          <w14:textFill>
            <w14:solidFill>
              <w14:schemeClr w14:val="tx1"/>
            </w14:solidFill>
          </w14:textFill>
        </w:rPr>
        <w:t>投标文件不得涂改，若有修改错漏处，须加盖单位公章。投标文件因表达不清所引起的后果由投标人负责。</w:t>
      </w:r>
    </w:p>
    <w:p w14:paraId="565191B2">
      <w:pPr>
        <w:snapToGrid w:val="0"/>
        <w:ind w:firstLine="482"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16.5投标人应认真阅读招标文件中所有的内容。如果投标人编制的投标文件实质上不响应招标文件的要求，其投标文件将作无效标处理。</w:t>
      </w:r>
    </w:p>
    <w:p w14:paraId="2AF96D49">
      <w:pPr>
        <w:snapToGrid w:val="0"/>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17.投标文件的包装、递交、修改和撤回</w:t>
      </w:r>
    </w:p>
    <w:p w14:paraId="78CF74B2">
      <w:pPr>
        <w:pStyle w:val="10"/>
        <w:snapToGrid w:val="0"/>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17.1投标人应在开标前在“乐采云”上自行加密上传电子投标文件，</w:t>
      </w:r>
      <w:r>
        <w:rPr>
          <w:rFonts w:ascii="宋体" w:hAnsi="宋体"/>
          <w:b/>
          <w:color w:val="000000" w:themeColor="text1"/>
          <w:sz w:val="24"/>
          <w:szCs w:val="24"/>
          <w:highlight w:val="none"/>
          <w14:textFill>
            <w14:solidFill>
              <w14:schemeClr w14:val="tx1"/>
            </w14:solidFill>
          </w14:textFill>
        </w:rPr>
        <w:t>逾期</w:t>
      </w:r>
      <w:r>
        <w:rPr>
          <w:rFonts w:hint="eastAsia" w:ascii="宋体" w:hAnsi="宋体"/>
          <w:b/>
          <w:color w:val="000000" w:themeColor="text1"/>
          <w:sz w:val="24"/>
          <w:szCs w:val="24"/>
          <w:highlight w:val="none"/>
          <w14:textFill>
            <w14:solidFill>
              <w14:schemeClr w14:val="tx1"/>
            </w14:solidFill>
          </w14:textFill>
        </w:rPr>
        <w:t>上传</w:t>
      </w:r>
      <w:r>
        <w:rPr>
          <w:rFonts w:ascii="宋体" w:hAnsi="宋体"/>
          <w:b/>
          <w:color w:val="000000" w:themeColor="text1"/>
          <w:sz w:val="24"/>
          <w:szCs w:val="24"/>
          <w:highlight w:val="none"/>
          <w14:textFill>
            <w14:solidFill>
              <w14:schemeClr w14:val="tx1"/>
            </w14:solidFill>
          </w14:textFill>
        </w:rPr>
        <w:t>或未按要求</w:t>
      </w:r>
      <w:r>
        <w:rPr>
          <w:rFonts w:hint="eastAsia" w:ascii="宋体" w:hAnsi="宋体"/>
          <w:b/>
          <w:color w:val="000000" w:themeColor="text1"/>
          <w:sz w:val="24"/>
          <w:szCs w:val="24"/>
          <w:highlight w:val="none"/>
          <w14:textFill>
            <w14:solidFill>
              <w14:schemeClr w14:val="tx1"/>
            </w14:solidFill>
          </w14:textFill>
        </w:rPr>
        <w:t>上传</w:t>
      </w:r>
      <w:r>
        <w:rPr>
          <w:rFonts w:ascii="宋体" w:hAnsi="宋体"/>
          <w:b/>
          <w:color w:val="000000" w:themeColor="text1"/>
          <w:sz w:val="24"/>
          <w:szCs w:val="24"/>
          <w:highlight w:val="none"/>
          <w14:textFill>
            <w14:solidFill>
              <w14:schemeClr w14:val="tx1"/>
            </w14:solidFill>
          </w14:textFill>
        </w:rPr>
        <w:t>的投标文件将予以拒收。</w:t>
      </w:r>
    </w:p>
    <w:p w14:paraId="2B3423E0">
      <w:pPr>
        <w:pStyle w:val="10"/>
        <w:snapToGrid w:val="0"/>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17.2</w:t>
      </w:r>
      <w:r>
        <w:rPr>
          <w:rFonts w:hint="eastAsia" w:ascii="宋体" w:hAnsi="宋体"/>
          <w:color w:val="000000" w:themeColor="text1"/>
          <w:sz w:val="24"/>
          <w:szCs w:val="24"/>
          <w:highlight w:val="none"/>
          <w14:textFill>
            <w14:solidFill>
              <w14:schemeClr w14:val="tx1"/>
            </w14:solidFill>
          </w14:textFill>
        </w:rPr>
        <w:t>投标人在投标截止时间之前，可以对已提交的投标文件进行修改或撤回，补充、修改的内容为投标文件的组成部分。</w:t>
      </w:r>
    </w:p>
    <w:p w14:paraId="0CA513FC">
      <w:pPr>
        <w:pStyle w:val="10"/>
        <w:snapToGrid w:val="0"/>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17.3投标截止时间后，投标人不得撤回、修改投标文件。</w:t>
      </w:r>
    </w:p>
    <w:p w14:paraId="0EEEBC6D">
      <w:pPr>
        <w:pStyle w:val="10"/>
        <w:snapToGrid w:val="0"/>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17.4不论投标人中标与否，投标人文件均不得撤回其投标。</w:t>
      </w:r>
    </w:p>
    <w:p w14:paraId="07B2720D">
      <w:pPr>
        <w:pStyle w:val="10"/>
        <w:snapToGrid w:val="0"/>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17.5未按时解密的，视为投标文件撤回。</w:t>
      </w:r>
    </w:p>
    <w:p w14:paraId="1615C9F7">
      <w:pPr>
        <w:snapToGrid w:val="0"/>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18.投标无效的情形</w:t>
      </w:r>
    </w:p>
    <w:p w14:paraId="3E17E362">
      <w:pPr>
        <w:snapToGrid w:val="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5622242A">
      <w:pPr>
        <w:pStyle w:val="14"/>
        <w:snapToGrid w:val="0"/>
        <w:spacing w:after="0"/>
        <w:ind w:left="0" w:leftChars="0" w:firstLine="472" w:firstLineChars="196"/>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18.1</w:t>
      </w:r>
      <w:r>
        <w:rPr>
          <w:rFonts w:ascii="宋体" w:hAnsi="宋体"/>
          <w:b/>
          <w:bCs/>
          <w:color w:val="000000" w:themeColor="text1"/>
          <w:sz w:val="24"/>
          <w:szCs w:val="24"/>
          <w:highlight w:val="none"/>
          <w14:textFill>
            <w14:solidFill>
              <w14:schemeClr w14:val="tx1"/>
            </w14:solidFill>
          </w14:textFill>
        </w:rPr>
        <w:t>在符合性审查和</w:t>
      </w:r>
      <w:r>
        <w:rPr>
          <w:rFonts w:hint="eastAsia" w:ascii="宋体" w:hAnsi="宋体"/>
          <w:b/>
          <w:bCs/>
          <w:color w:val="000000" w:themeColor="text1"/>
          <w:sz w:val="24"/>
          <w:szCs w:val="24"/>
          <w:highlight w:val="none"/>
          <w14:textFill>
            <w14:solidFill>
              <w14:schemeClr w14:val="tx1"/>
            </w14:solidFill>
          </w14:textFill>
        </w:rPr>
        <w:t>资格性审查</w:t>
      </w:r>
      <w:r>
        <w:rPr>
          <w:rFonts w:ascii="宋体" w:hAnsi="宋体"/>
          <w:b/>
          <w:bCs/>
          <w:color w:val="000000" w:themeColor="text1"/>
          <w:sz w:val="24"/>
          <w:szCs w:val="24"/>
          <w:highlight w:val="none"/>
          <w14:textFill>
            <w14:solidFill>
              <w14:schemeClr w14:val="tx1"/>
            </w14:solidFill>
          </w14:textFill>
        </w:rPr>
        <w:t>时，如发现下列情形之一的，投标文件将被视为无效投标：</w:t>
      </w:r>
    </w:p>
    <w:p w14:paraId="12DDE24A">
      <w:pPr>
        <w:snapToGrid w:val="0"/>
        <w:ind w:firstLine="470" w:firstLineChars="196"/>
        <w:rPr>
          <w:rFonts w:ascii="宋体" w:hAnsi="宋体"/>
          <w:color w:val="000000" w:themeColor="text1"/>
          <w:sz w:val="24"/>
          <w:highlight w:val="none"/>
          <w14:textFill>
            <w14:solidFill>
              <w14:schemeClr w14:val="tx1"/>
            </w14:solidFill>
          </w14:textFill>
        </w:rPr>
      </w:pPr>
      <w:bookmarkStart w:id="30" w:name="_Toc125344507"/>
      <w:r>
        <w:rPr>
          <w:rFonts w:hint="eastAsia" w:ascii="宋体" w:hAnsi="宋体"/>
          <w:color w:val="000000" w:themeColor="text1"/>
          <w:sz w:val="24"/>
          <w:highlight w:val="none"/>
          <w14:textFill>
            <w14:solidFill>
              <w14:schemeClr w14:val="tx1"/>
            </w14:solidFill>
          </w14:textFill>
        </w:rPr>
        <w:t>18.1.1</w:t>
      </w:r>
      <w:r>
        <w:rPr>
          <w:rFonts w:ascii="宋体" w:hAnsi="宋体"/>
          <w:color w:val="000000" w:themeColor="text1"/>
          <w:sz w:val="24"/>
          <w:highlight w:val="none"/>
          <w14:textFill>
            <w14:solidFill>
              <w14:schemeClr w14:val="tx1"/>
            </w14:solidFill>
          </w14:textFill>
        </w:rPr>
        <w:t>资格证明文件不全的，或者不符合招标文件标明的资格要求的</w:t>
      </w:r>
      <w:r>
        <w:rPr>
          <w:rFonts w:hint="eastAsia" w:ascii="宋体" w:hAnsi="宋体"/>
          <w:color w:val="000000" w:themeColor="text1"/>
          <w:sz w:val="24"/>
          <w:highlight w:val="none"/>
          <w14:textFill>
            <w14:solidFill>
              <w14:schemeClr w14:val="tx1"/>
            </w14:solidFill>
          </w14:textFill>
        </w:rPr>
        <w:t>；</w:t>
      </w:r>
    </w:p>
    <w:p w14:paraId="71662EF0">
      <w:pPr>
        <w:pStyle w:val="13"/>
        <w:spacing w:after="0"/>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18.1.2未按照招标文件规定要求盖章</w:t>
      </w:r>
    </w:p>
    <w:p w14:paraId="67FC0344">
      <w:pPr>
        <w:snapToGrid w:val="0"/>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18.1.3</w:t>
      </w:r>
      <w:r>
        <w:rPr>
          <w:rFonts w:ascii="宋体" w:hAnsi="宋体"/>
          <w:color w:val="000000" w:themeColor="text1"/>
          <w:sz w:val="24"/>
          <w:highlight w:val="none"/>
          <w14:textFill>
            <w14:solidFill>
              <w14:schemeClr w14:val="tx1"/>
            </w14:solidFill>
          </w14:textFill>
        </w:rPr>
        <w:t>投标文件项目不齐全或者内容虚假的；</w:t>
      </w:r>
    </w:p>
    <w:p w14:paraId="2D149FE5">
      <w:pPr>
        <w:snapToGrid w:val="0"/>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18.1.4</w:t>
      </w:r>
      <w:r>
        <w:rPr>
          <w:rFonts w:ascii="宋体" w:hAnsi="宋体"/>
          <w:color w:val="000000" w:themeColor="text1"/>
          <w:sz w:val="24"/>
          <w:highlight w:val="none"/>
          <w14:textFill>
            <w14:solidFill>
              <w14:schemeClr w14:val="tx1"/>
            </w14:solidFill>
          </w14:textFill>
        </w:rPr>
        <w:t>投标文件的实质性内容未使用中文表述、意思表述不明确、前后矛盾或者使用计量单位不符合招标文件要求的</w:t>
      </w:r>
      <w:r>
        <w:rPr>
          <w:rFonts w:hint="eastAsia" w:ascii="宋体" w:hAnsi="宋体"/>
          <w:color w:val="000000" w:themeColor="text1"/>
          <w:sz w:val="24"/>
          <w:highlight w:val="none"/>
          <w14:textFill>
            <w14:solidFill>
              <w14:schemeClr w14:val="tx1"/>
            </w14:solidFill>
          </w14:textFill>
        </w:rPr>
        <w:t>；</w:t>
      </w:r>
    </w:p>
    <w:p w14:paraId="61A69A35">
      <w:pPr>
        <w:snapToGrid w:val="0"/>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18.1.5</w:t>
      </w:r>
      <w:r>
        <w:rPr>
          <w:rFonts w:ascii="宋体" w:hAnsi="宋体"/>
          <w:color w:val="000000" w:themeColor="text1"/>
          <w:sz w:val="24"/>
          <w:highlight w:val="none"/>
          <w14:textFill>
            <w14:solidFill>
              <w14:schemeClr w14:val="tx1"/>
            </w14:solidFill>
          </w14:textFill>
        </w:rPr>
        <w:t>投标有效期、交货时间、质保期</w:t>
      </w:r>
      <w:r>
        <w:rPr>
          <w:rFonts w:hint="eastAsia" w:ascii="宋体" w:hAnsi="宋体"/>
          <w:color w:val="000000" w:themeColor="text1"/>
          <w:sz w:val="24"/>
          <w:highlight w:val="none"/>
          <w14:textFill>
            <w14:solidFill>
              <w14:schemeClr w14:val="tx1"/>
            </w14:solidFill>
          </w14:textFill>
        </w:rPr>
        <w:t>、售后服务承诺</w:t>
      </w:r>
      <w:r>
        <w:rPr>
          <w:rFonts w:ascii="宋体" w:hAnsi="宋体"/>
          <w:color w:val="000000" w:themeColor="text1"/>
          <w:sz w:val="24"/>
          <w:highlight w:val="none"/>
          <w14:textFill>
            <w14:solidFill>
              <w14:schemeClr w14:val="tx1"/>
            </w14:solidFill>
          </w14:textFill>
        </w:rPr>
        <w:t>等条款不能满足招标文件要求的；</w:t>
      </w:r>
    </w:p>
    <w:p w14:paraId="205018A4">
      <w:pPr>
        <w:snapToGrid w:val="0"/>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18.1.6</w:t>
      </w:r>
      <w:r>
        <w:rPr>
          <w:rFonts w:hint="eastAsia" w:ascii="宋体" w:hAnsi="宋体"/>
          <w:color w:val="000000" w:themeColor="text1"/>
          <w:sz w:val="24"/>
          <w:szCs w:val="24"/>
          <w:highlight w:val="none"/>
          <w14:textFill>
            <w14:solidFill>
              <w14:schemeClr w14:val="tx1"/>
            </w14:solidFill>
          </w14:textFill>
        </w:rPr>
        <w:t>商务条款存在偏离情况的；</w:t>
      </w:r>
    </w:p>
    <w:p w14:paraId="027AB821">
      <w:pPr>
        <w:snapToGrid w:val="0"/>
        <w:ind w:firstLine="470" w:firstLineChars="19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18.1.7不符合法律、法规或未实质性</w:t>
      </w:r>
      <w:r>
        <w:rPr>
          <w:rFonts w:ascii="宋体" w:hAnsi="宋体"/>
          <w:color w:val="000000" w:themeColor="text1"/>
          <w:sz w:val="24"/>
          <w:szCs w:val="24"/>
          <w:highlight w:val="none"/>
          <w14:textFill>
            <w14:solidFill>
              <w14:schemeClr w14:val="tx1"/>
            </w14:solidFill>
          </w14:textFill>
        </w:rPr>
        <w:t>响应招标文件要求或者投标文件有</w:t>
      </w:r>
      <w:r>
        <w:rPr>
          <w:rFonts w:hint="eastAsia" w:ascii="宋体" w:hAnsi="宋体"/>
          <w:color w:val="000000" w:themeColor="text1"/>
          <w:sz w:val="24"/>
          <w:szCs w:val="24"/>
          <w:highlight w:val="none"/>
          <w14:textFill>
            <w14:solidFill>
              <w14:schemeClr w14:val="tx1"/>
            </w14:solidFill>
          </w14:textFill>
        </w:rPr>
        <w:t>采购人</w:t>
      </w:r>
      <w:r>
        <w:rPr>
          <w:rFonts w:ascii="宋体" w:hAnsi="宋体"/>
          <w:color w:val="000000" w:themeColor="text1"/>
          <w:sz w:val="24"/>
          <w:szCs w:val="24"/>
          <w:highlight w:val="none"/>
          <w14:textFill>
            <w14:solidFill>
              <w14:schemeClr w14:val="tx1"/>
            </w14:solidFill>
          </w14:textFill>
        </w:rPr>
        <w:t>不能接受的附加条件的</w:t>
      </w:r>
      <w:r>
        <w:rPr>
          <w:rFonts w:hint="eastAsia" w:ascii="宋体" w:hAnsi="宋体"/>
          <w:color w:val="000000" w:themeColor="text1"/>
          <w:sz w:val="24"/>
          <w:szCs w:val="24"/>
          <w:highlight w:val="none"/>
          <w14:textFill>
            <w14:solidFill>
              <w14:schemeClr w14:val="tx1"/>
            </w14:solidFill>
          </w14:textFill>
        </w:rPr>
        <w:t>。</w:t>
      </w:r>
    </w:p>
    <w:p w14:paraId="4064A2C4">
      <w:pPr>
        <w:pStyle w:val="14"/>
        <w:snapToGrid w:val="0"/>
        <w:spacing w:after="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18.2</w:t>
      </w:r>
      <w:r>
        <w:rPr>
          <w:rFonts w:ascii="宋体" w:hAnsi="宋体"/>
          <w:b/>
          <w:bCs/>
          <w:color w:val="000000" w:themeColor="text1"/>
          <w:sz w:val="24"/>
          <w:szCs w:val="24"/>
          <w:highlight w:val="none"/>
          <w14:textFill>
            <w14:solidFill>
              <w14:schemeClr w14:val="tx1"/>
            </w14:solidFill>
          </w14:textFill>
        </w:rPr>
        <w:t>在技术评审时，如发现下列情形之一的，投标文件将被视为无效：</w:t>
      </w:r>
    </w:p>
    <w:p w14:paraId="078B00E6">
      <w:pPr>
        <w:snapToGrid w:val="0"/>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18.2.1</w:t>
      </w:r>
      <w:r>
        <w:rPr>
          <w:rFonts w:ascii="宋体" w:hAnsi="宋体"/>
          <w:color w:val="000000" w:themeColor="text1"/>
          <w:sz w:val="24"/>
          <w:highlight w:val="none"/>
          <w14:textFill>
            <w14:solidFill>
              <w14:schemeClr w14:val="tx1"/>
            </w14:solidFill>
          </w14:textFill>
        </w:rPr>
        <w:t>未提供或未如实提供投标货物的技术参数，或者投标文件标明的响应或偏离与事实不符或虚假投标的；</w:t>
      </w:r>
    </w:p>
    <w:p w14:paraId="59C5C8BF">
      <w:pPr>
        <w:snapToGrid w:val="0"/>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18.2.2</w:t>
      </w:r>
      <w:r>
        <w:rPr>
          <w:rFonts w:ascii="宋体" w:hAnsi="宋体"/>
          <w:color w:val="000000" w:themeColor="text1"/>
          <w:sz w:val="24"/>
          <w:highlight w:val="none"/>
          <w14:textFill>
            <w14:solidFill>
              <w14:schemeClr w14:val="tx1"/>
            </w14:solidFill>
          </w14:textFill>
        </w:rPr>
        <w:t>明显不符合招标文件要求的规格型号、质量标准，或者与招标文件中标“</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”的技术指标、主要功能项目发生实质性偏离的；</w:t>
      </w:r>
    </w:p>
    <w:p w14:paraId="23F73836">
      <w:pPr>
        <w:snapToGrid w:val="0"/>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18.2.3</w:t>
      </w:r>
      <w:r>
        <w:rPr>
          <w:rFonts w:ascii="宋体" w:hAnsi="宋体"/>
          <w:color w:val="000000" w:themeColor="text1"/>
          <w:sz w:val="24"/>
          <w:highlight w:val="none"/>
          <w14:textFill>
            <w14:solidFill>
              <w14:schemeClr w14:val="tx1"/>
            </w14:solidFill>
          </w14:textFill>
        </w:rPr>
        <w:t>允许偏离的技术、性能指标或者辅助功能项目发生负偏离达</w:t>
      </w:r>
      <w:r>
        <w:rPr>
          <w:rFonts w:hint="eastAsia" w:ascii="宋体" w:hAnsi="宋体"/>
          <w:color w:val="000000" w:themeColor="text1"/>
          <w:sz w:val="24"/>
          <w:highlight w:val="none"/>
          <w14:textFill>
            <w14:solidFill>
              <w14:schemeClr w14:val="tx1"/>
            </w14:solidFill>
          </w14:textFill>
        </w:rPr>
        <w:t>20</w:t>
      </w:r>
      <w:r>
        <w:rPr>
          <w:rFonts w:ascii="宋体" w:hAnsi="宋体"/>
          <w:color w:val="000000" w:themeColor="text1"/>
          <w:sz w:val="24"/>
          <w:highlight w:val="none"/>
          <w14:textFill>
            <w14:solidFill>
              <w14:schemeClr w14:val="tx1"/>
            </w14:solidFill>
          </w14:textFill>
        </w:rPr>
        <w:t>项（含）以上的；</w:t>
      </w:r>
    </w:p>
    <w:p w14:paraId="374E6917">
      <w:pPr>
        <w:snapToGrid w:val="0"/>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18.2.4</w:t>
      </w:r>
      <w:r>
        <w:rPr>
          <w:rFonts w:ascii="宋体" w:hAnsi="宋体"/>
          <w:color w:val="000000" w:themeColor="text1"/>
          <w:sz w:val="24"/>
          <w:highlight w:val="none"/>
          <w14:textFill>
            <w14:solidFill>
              <w14:schemeClr w14:val="tx1"/>
            </w14:solidFill>
          </w14:textFill>
        </w:rPr>
        <w:t>投标技术方案不明确，存在一个或一个以上备选（替代）投标方案的；</w:t>
      </w:r>
    </w:p>
    <w:p w14:paraId="17E223CB">
      <w:pPr>
        <w:snapToGrid w:val="0"/>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18.2.5</w:t>
      </w:r>
      <w:r>
        <w:rPr>
          <w:rFonts w:hint="eastAsia" w:ascii="宋体" w:hAnsi="宋体"/>
          <w:b/>
          <w:color w:val="000000" w:themeColor="text1"/>
          <w:sz w:val="24"/>
          <w:highlight w:val="none"/>
          <w14:textFill>
            <w14:solidFill>
              <w14:schemeClr w14:val="tx1"/>
            </w14:solidFill>
          </w14:textFill>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06B1559D">
      <w:pPr>
        <w:pStyle w:val="14"/>
        <w:snapToGrid w:val="0"/>
        <w:spacing w:after="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18.3</w:t>
      </w:r>
      <w:r>
        <w:rPr>
          <w:rFonts w:ascii="宋体" w:hAnsi="宋体"/>
          <w:b/>
          <w:bCs/>
          <w:color w:val="000000" w:themeColor="text1"/>
          <w:sz w:val="24"/>
          <w:szCs w:val="24"/>
          <w:highlight w:val="none"/>
          <w14:textFill>
            <w14:solidFill>
              <w14:schemeClr w14:val="tx1"/>
            </w14:solidFill>
          </w14:textFill>
        </w:rPr>
        <w:t>在报价评审时，如发现下列情形之一的，投标文件将被视为无效：</w:t>
      </w:r>
    </w:p>
    <w:p w14:paraId="139A11FB">
      <w:pPr>
        <w:snapToGrid w:val="0"/>
        <w:ind w:firstLine="470" w:firstLineChars="196"/>
        <w:rPr>
          <w:rFonts w:ascii="宋体" w:hAnsi="宋体"/>
          <w:color w:val="000000" w:themeColor="text1"/>
          <w:sz w:val="24"/>
          <w:highlight w:val="none"/>
          <w14:textFill>
            <w14:solidFill>
              <w14:schemeClr w14:val="tx1"/>
            </w14:solidFill>
          </w14:textFill>
        </w:rPr>
      </w:pPr>
      <w:bookmarkStart w:id="31" w:name="OLE_LINK5"/>
      <w:r>
        <w:rPr>
          <w:rFonts w:ascii="宋体" w:hAnsi="宋体"/>
          <w:color w:val="000000" w:themeColor="text1"/>
          <w:sz w:val="24"/>
          <w:highlight w:val="none"/>
          <w14:textFill>
            <w14:solidFill>
              <w14:schemeClr w14:val="tx1"/>
            </w14:solidFill>
          </w14:textFill>
        </w:rPr>
        <w:t>（1）未采用人民币报价或者未按照招标文件标明的币种报价的；</w:t>
      </w:r>
    </w:p>
    <w:bookmarkEnd w:id="31"/>
    <w:p w14:paraId="17907248">
      <w:pPr>
        <w:snapToGrid w:val="0"/>
        <w:ind w:firstLine="470" w:firstLineChars="196"/>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投标</w:t>
      </w:r>
      <w:r>
        <w:rPr>
          <w:rFonts w:ascii="宋体" w:hAnsi="宋体"/>
          <w:color w:val="000000" w:themeColor="text1"/>
          <w:sz w:val="24"/>
          <w:szCs w:val="24"/>
          <w:highlight w:val="none"/>
          <w14:textFill>
            <w14:solidFill>
              <w14:schemeClr w14:val="tx1"/>
            </w14:solidFill>
          </w14:textFill>
        </w:rPr>
        <w:t>报价超</w:t>
      </w:r>
      <w:r>
        <w:rPr>
          <w:rFonts w:hint="eastAsia" w:ascii="宋体" w:hAnsi="宋体"/>
          <w:color w:val="000000" w:themeColor="text1"/>
          <w:sz w:val="24"/>
          <w:szCs w:val="24"/>
          <w:highlight w:val="none"/>
          <w14:textFill>
            <w14:solidFill>
              <w14:schemeClr w14:val="tx1"/>
            </w14:solidFill>
          </w14:textFill>
        </w:rPr>
        <w:t>过招标文件中规定的</w:t>
      </w:r>
      <w:r>
        <w:rPr>
          <w:rFonts w:ascii="宋体" w:hAnsi="宋体"/>
          <w:color w:val="000000" w:themeColor="text1"/>
          <w:sz w:val="24"/>
          <w:szCs w:val="24"/>
          <w:highlight w:val="none"/>
          <w14:textFill>
            <w14:solidFill>
              <w14:schemeClr w14:val="tx1"/>
            </w14:solidFill>
          </w14:textFill>
        </w:rPr>
        <w:t>最高限价</w:t>
      </w:r>
      <w:r>
        <w:rPr>
          <w:rFonts w:hint="eastAsia" w:ascii="宋体" w:hAnsi="宋体"/>
          <w:color w:val="000000" w:themeColor="text1"/>
          <w:sz w:val="24"/>
          <w:szCs w:val="24"/>
          <w:highlight w:val="none"/>
          <w14:textFill>
            <w14:solidFill>
              <w14:schemeClr w14:val="tx1"/>
            </w14:solidFill>
          </w14:textFill>
        </w:rPr>
        <w:t>的</w:t>
      </w:r>
      <w:r>
        <w:rPr>
          <w:rFonts w:ascii="宋体" w:hAnsi="宋体"/>
          <w:color w:val="000000" w:themeColor="text1"/>
          <w:sz w:val="24"/>
          <w:szCs w:val="24"/>
          <w:highlight w:val="none"/>
          <w14:textFill>
            <w14:solidFill>
              <w14:schemeClr w14:val="tx1"/>
            </w14:solidFill>
          </w14:textFill>
        </w:rPr>
        <w:t>；</w:t>
      </w:r>
    </w:p>
    <w:p w14:paraId="23B32E0E">
      <w:pPr>
        <w:snapToGrid w:val="0"/>
        <w:ind w:firstLine="470" w:firstLineChars="196"/>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评标委员会认为投标人的报价明显低于其他通过符合性审查投标人的报价，有可能影响产品质量或者不能诚信履约，且投标人不能证明其报价合理性的；</w:t>
      </w:r>
    </w:p>
    <w:p w14:paraId="66089B11">
      <w:pPr>
        <w:snapToGrid w:val="0"/>
        <w:ind w:firstLine="470" w:firstLineChars="19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（4）投标人不接受报价文件中修正后的报价的；</w:t>
      </w:r>
    </w:p>
    <w:p w14:paraId="2682191A">
      <w:pPr>
        <w:snapToGrid w:val="0"/>
        <w:ind w:firstLine="470" w:firstLineChars="19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投标报价具有选择性</w:t>
      </w:r>
      <w:r>
        <w:rPr>
          <w:rFonts w:hint="eastAsia" w:ascii="宋体" w:hAnsi="宋体"/>
          <w:color w:val="000000" w:themeColor="text1"/>
          <w:sz w:val="24"/>
          <w:szCs w:val="24"/>
          <w:highlight w:val="none"/>
          <w14:textFill>
            <w14:solidFill>
              <w14:schemeClr w14:val="tx1"/>
            </w14:solidFill>
          </w14:textFill>
        </w:rPr>
        <w:t>。</w:t>
      </w:r>
    </w:p>
    <w:p w14:paraId="58C505DA">
      <w:pPr>
        <w:pStyle w:val="14"/>
        <w:snapToGrid w:val="0"/>
        <w:spacing w:after="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18.4</w:t>
      </w:r>
      <w:r>
        <w:rPr>
          <w:rFonts w:ascii="宋体" w:hAnsi="宋体"/>
          <w:b/>
          <w:bCs/>
          <w:color w:val="000000" w:themeColor="text1"/>
          <w:sz w:val="24"/>
          <w:szCs w:val="24"/>
          <w:highlight w:val="none"/>
          <w14:textFill>
            <w14:solidFill>
              <w14:schemeClr w14:val="tx1"/>
            </w14:solidFill>
          </w14:textFill>
        </w:rPr>
        <w:t>符合招标文件明确规定的其他无效投标条款的。</w:t>
      </w:r>
    </w:p>
    <w:p w14:paraId="4081FA91">
      <w:pPr>
        <w:pStyle w:val="8"/>
        <w:spacing w:line="360" w:lineRule="exact"/>
        <w:jc w:val="center"/>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四、开  标</w:t>
      </w:r>
      <w:bookmarkEnd w:id="30"/>
    </w:p>
    <w:p w14:paraId="710FD729">
      <w:pPr>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19.</w:t>
      </w:r>
      <w:r>
        <w:rPr>
          <w:rFonts w:hint="eastAsia" w:ascii="宋体" w:hAnsi="宋体"/>
          <w:b/>
          <w:color w:val="000000" w:themeColor="text1"/>
          <w:sz w:val="24"/>
          <w:highlight w:val="none"/>
          <w14:textFill>
            <w14:solidFill>
              <w14:schemeClr w14:val="tx1"/>
            </w14:solidFill>
          </w14:textFill>
        </w:rPr>
        <w:t>开标</w:t>
      </w:r>
    </w:p>
    <w:p w14:paraId="1BC60BA0">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19.1采购代理机构将在前附表规定的时间、地点进行开标。无关人员不得进入开标现场。</w:t>
      </w:r>
    </w:p>
    <w:p w14:paraId="5BCF6730">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19.2本项目实行电子开评标，投标人无需前往开评标现场，只需在规定时间内在“乐采云”平台上上传电子投标文件。</w:t>
      </w:r>
      <w:r>
        <w:rPr>
          <w:rFonts w:ascii="宋体" w:hAnsi="宋体"/>
          <w:color w:val="000000" w:themeColor="text1"/>
          <w:sz w:val="24"/>
          <w:highlight w:val="none"/>
          <w14:textFill>
            <w14:solidFill>
              <w14:schemeClr w14:val="tx1"/>
            </w14:solidFill>
          </w14:textFill>
        </w:rPr>
        <w:t xml:space="preserve"> </w:t>
      </w:r>
    </w:p>
    <w:p w14:paraId="357504C8">
      <w:pPr>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20.开标程序</w:t>
      </w:r>
    </w:p>
    <w:p w14:paraId="7CC6F9C1">
      <w:pPr>
        <w:ind w:firstLine="482" w:firstLineChars="200"/>
        <w:rPr>
          <w:rFonts w:ascii="宋体" w:hAnsi="宋体"/>
          <w:b/>
          <w:color w:val="000000" w:themeColor="text1"/>
          <w:sz w:val="24"/>
          <w:highlight w:val="none"/>
          <w14:textFill>
            <w14:solidFill>
              <w14:schemeClr w14:val="tx1"/>
            </w14:solidFill>
          </w14:textFill>
        </w:rPr>
      </w:pPr>
      <w:bookmarkStart w:id="32" w:name="_Toc125344508"/>
      <w:r>
        <w:rPr>
          <w:rFonts w:hint="eastAsia" w:ascii="宋体" w:hAnsi="宋体"/>
          <w:b/>
          <w:color w:val="000000" w:themeColor="text1"/>
          <w:sz w:val="24"/>
          <w:highlight w:val="none"/>
          <w14:textFill>
            <w14:solidFill>
              <w14:schemeClr w14:val="tx1"/>
            </w14:solidFill>
          </w14:textFill>
        </w:rPr>
        <w:t>20.1</w:t>
      </w:r>
      <w:r>
        <w:rPr>
          <w:rFonts w:ascii="宋体" w:hAnsi="宋体"/>
          <w:b/>
          <w:color w:val="000000" w:themeColor="text1"/>
          <w:sz w:val="24"/>
          <w:highlight w:val="none"/>
          <w14:textFill>
            <w14:solidFill>
              <w14:schemeClr w14:val="tx1"/>
            </w14:solidFill>
          </w14:textFill>
        </w:rPr>
        <w:t>投标截止时间后</w:t>
      </w:r>
      <w:r>
        <w:rPr>
          <w:rFonts w:hint="eastAsia" w:ascii="宋体" w:hAnsi="宋体"/>
          <w:b/>
          <w:color w:val="000000" w:themeColor="text1"/>
          <w:sz w:val="24"/>
          <w:highlight w:val="none"/>
          <w14:textFill>
            <w14:solidFill>
              <w14:schemeClr w14:val="tx1"/>
            </w14:solidFill>
          </w14:textFill>
        </w:rPr>
        <w:t>的30分钟内</w:t>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由各投标人自行</w:t>
      </w:r>
      <w:r>
        <w:rPr>
          <w:rFonts w:ascii="宋体" w:hAnsi="宋体"/>
          <w:b/>
          <w:color w:val="000000" w:themeColor="text1"/>
          <w:sz w:val="24"/>
          <w:highlight w:val="none"/>
          <w14:textFill>
            <w14:solidFill>
              <w14:schemeClr w14:val="tx1"/>
            </w14:solidFill>
          </w14:textFill>
        </w:rPr>
        <w:t>对</w:t>
      </w:r>
      <w:r>
        <w:rPr>
          <w:rFonts w:hint="eastAsia" w:ascii="宋体" w:hAnsi="宋体"/>
          <w:b/>
          <w:color w:val="000000" w:themeColor="text1"/>
          <w:sz w:val="24"/>
          <w:highlight w:val="none"/>
          <w14:textFill>
            <w14:solidFill>
              <w14:schemeClr w14:val="tx1"/>
            </w14:solidFill>
          </w14:textFill>
        </w:rPr>
        <w:t>电子</w:t>
      </w:r>
      <w:r>
        <w:rPr>
          <w:rFonts w:ascii="宋体" w:hAnsi="宋体"/>
          <w:b/>
          <w:color w:val="000000" w:themeColor="text1"/>
          <w:sz w:val="24"/>
          <w:highlight w:val="none"/>
          <w14:textFill>
            <w14:solidFill>
              <w14:schemeClr w14:val="tx1"/>
            </w14:solidFill>
          </w14:textFill>
        </w:rPr>
        <w:t>投标文件进行解密</w:t>
      </w:r>
      <w:r>
        <w:rPr>
          <w:rFonts w:hint="eastAsia" w:ascii="宋体" w:hAnsi="宋体"/>
          <w:b/>
          <w:color w:val="000000" w:themeColor="text1"/>
          <w:sz w:val="24"/>
          <w:highlight w:val="none"/>
          <w14:textFill>
            <w14:solidFill>
              <w14:schemeClr w14:val="tx1"/>
            </w14:solidFill>
          </w14:textFill>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0C442AC6">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20.2采购单位或采购单位委托的代理机构对供应商的资格进行审查，评标委员会对供应商的商务技术响应文件进行评审；</w:t>
      </w:r>
    </w:p>
    <w:p w14:paraId="4C07C686">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20.3对有效的投标单位的投标报价在“乐采云”平台上予以公开；</w:t>
      </w:r>
    </w:p>
    <w:p w14:paraId="39E35936">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20.4评标委员会对有效的投标单位进行投标报价评审，确定投标报价评审有效投标单位；</w:t>
      </w:r>
    </w:p>
    <w:p w14:paraId="4BD5FC8B">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20.5确定预中标人。</w:t>
      </w:r>
    </w:p>
    <w:p w14:paraId="1E6D8A54">
      <w:pPr>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特别说明：</w:t>
      </w:r>
    </w:p>
    <w:p w14:paraId="4144690A">
      <w:pPr>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1、乐采云公司如对电子化开标及评审程序有调整的，按调整后的程序操作。</w:t>
      </w:r>
    </w:p>
    <w:p w14:paraId="2A7EE52E">
      <w:pPr>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2、如中标单位投标文件和招标文件要求不一致，且评审过程中未发现的，履约应按有利于采购人的要求执行。</w:t>
      </w:r>
    </w:p>
    <w:p w14:paraId="4A30B13C">
      <w:pPr>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3、采购过程中出现以下情形，导致电子交易平台无法正常运行，或者无法保证电子交易的公平、公正和安全时，采购组织机构可中止电子交易活动：</w:t>
      </w:r>
    </w:p>
    <w:p w14:paraId="53AE358F">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（一）电子交易平台发生故障而无法登录访问的； </w:t>
      </w:r>
    </w:p>
    <w:p w14:paraId="373BE614">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（二）电子交易平台应用或数据库出现错误，不能进行正常操作的；</w:t>
      </w:r>
    </w:p>
    <w:p w14:paraId="4CF8EFEA">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（三）电子交易平台发现严重安全漏洞，有潜在泄密危险的；</w:t>
      </w:r>
    </w:p>
    <w:p w14:paraId="3FC143C8">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（四）病毒发作导致不能进行正常操作的； </w:t>
      </w:r>
    </w:p>
    <w:p w14:paraId="7A52D93B">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（五）其他无法保证电子交易的公平、公正和安全的情况。</w:t>
      </w:r>
    </w:p>
    <w:p w14:paraId="293EA79F">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出现前款规定情形，不影响采购公平、公正性的，采购组织机构可以待上述情形消除后继续组织电子交易活动；影响或可能影响采购公平、公正性的，应当重新采购。</w:t>
      </w:r>
    </w:p>
    <w:p w14:paraId="4C80F1A0">
      <w:pPr>
        <w:pStyle w:val="8"/>
        <w:spacing w:before="0" w:after="0" w:line="240" w:lineRule="auto"/>
        <w:jc w:val="center"/>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五、评　标</w:t>
      </w:r>
      <w:bookmarkEnd w:id="32"/>
    </w:p>
    <w:p w14:paraId="33B67EE8">
      <w:pPr>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21. 组建评标委员会</w:t>
      </w:r>
    </w:p>
    <w:p w14:paraId="070D6626">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评标委员会按照有关规定组建。</w:t>
      </w:r>
    </w:p>
    <w:p w14:paraId="36B41094">
      <w:pPr>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22.评标原则</w:t>
      </w:r>
    </w:p>
    <w:p w14:paraId="788DCDBD">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22.1评标委员会必须公平、公正、客观，不带任何倾向性和启发性；</w:t>
      </w:r>
    </w:p>
    <w:p w14:paraId="1D42837D">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22.2不得向外界透露任何与评标有关的内容；</w:t>
      </w:r>
    </w:p>
    <w:p w14:paraId="3E05DCCA">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22.3任何单位和个人不得干扰、影响评标的正常进行；</w:t>
      </w:r>
    </w:p>
    <w:p w14:paraId="5CDA5708">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22.4评标委员会及有关工作人员不得私下与投标人接触。</w:t>
      </w:r>
    </w:p>
    <w:p w14:paraId="293477F3">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11AF96D5">
      <w:pPr>
        <w:snapToGrid w:val="0"/>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22.6</w:t>
      </w:r>
      <w:r>
        <w:rPr>
          <w:rFonts w:ascii="宋体" w:hAnsi="宋体"/>
          <w:b/>
          <w:color w:val="000000" w:themeColor="text1"/>
          <w:sz w:val="24"/>
          <w:highlight w:val="none"/>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8F314BC">
      <w:pPr>
        <w:snapToGrid w:val="0"/>
        <w:ind w:firstLine="482" w:firstLineChars="200"/>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3A48DFAE">
      <w:pPr>
        <w:snapToGrid w:val="0"/>
        <w:ind w:firstLine="482" w:firstLineChars="200"/>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22.7</w:t>
      </w:r>
      <w:r>
        <w:rPr>
          <w:rFonts w:hint="eastAsia" w:ascii="宋体" w:hAnsi="宋体"/>
          <w:color w:val="000000" w:themeColor="text1"/>
          <w:sz w:val="24"/>
          <w:highlight w:val="none"/>
          <w14:textFill>
            <w14:solidFill>
              <w14:schemeClr w14:val="tx1"/>
            </w14:solidFill>
          </w14:textFill>
        </w:rPr>
        <w:t>以联合体形式参加采购活动的，联合体各方不得再单独参加或者与其他供应商另外组成联合体参加同一合同项下的采购活动。</w:t>
      </w:r>
    </w:p>
    <w:p w14:paraId="0817952B">
      <w:pPr>
        <w:snapToGrid w:val="0"/>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22.8除单一来源采购以外，为采购项目提供整体设计、规范编制或者项目管理、监理、检测等服务的供应商，不得参加本采购项目。</w:t>
      </w:r>
    </w:p>
    <w:p w14:paraId="419C5B88">
      <w:pPr>
        <w:snapToGrid w:val="0"/>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22.9单位负责人为同一人或者存在直接控股、管理关系的不同供应商，不得参加同一合同项下的采购活动。</w:t>
      </w:r>
    </w:p>
    <w:p w14:paraId="642082C8">
      <w:pPr>
        <w:pStyle w:val="15"/>
        <w:snapToGrid w:val="0"/>
        <w:ind w:left="2" w:leftChars="1" w:firstLine="48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22.10本项目涉及提供的有关资质证书，若原有资质证书处于年审期间，投标人提供年审证明的可按原资质投标；若投标人正在申报上一级别资质，在未获批准之前，仍按原级别资质投标。</w:t>
      </w:r>
    </w:p>
    <w:p w14:paraId="4456E5C5">
      <w:pPr>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23.评标程序</w:t>
      </w:r>
    </w:p>
    <w:p w14:paraId="0FBDEB30">
      <w:pPr>
        <w:snapToGrid w:val="0"/>
        <w:ind w:firstLine="472" w:firstLineChars="196"/>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23.1</w:t>
      </w:r>
      <w:r>
        <w:rPr>
          <w:rFonts w:ascii="宋体" w:hAnsi="宋体"/>
          <w:b/>
          <w:bCs/>
          <w:color w:val="000000" w:themeColor="text1"/>
          <w:sz w:val="24"/>
          <w:highlight w:val="none"/>
          <w14:textFill>
            <w14:solidFill>
              <w14:schemeClr w14:val="tx1"/>
            </w14:solidFill>
          </w14:textFill>
        </w:rPr>
        <w:t>形式审查</w:t>
      </w:r>
    </w:p>
    <w:p w14:paraId="453D5D3B">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评标委员会对投标人的</w:t>
      </w:r>
      <w:r>
        <w:rPr>
          <w:rFonts w:ascii="宋体" w:hAnsi="宋体"/>
          <w:color w:val="000000" w:themeColor="text1"/>
          <w:sz w:val="24"/>
          <w:highlight w:val="none"/>
          <w14:textFill>
            <w14:solidFill>
              <w14:schemeClr w14:val="tx1"/>
            </w14:solidFill>
          </w14:textFill>
        </w:rPr>
        <w:t>投标文件的完整性、合法性等进行审查。</w:t>
      </w:r>
    </w:p>
    <w:p w14:paraId="265D994F">
      <w:pPr>
        <w:snapToGrid w:val="0"/>
        <w:ind w:firstLine="472" w:firstLineChars="196"/>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23.2</w:t>
      </w:r>
      <w:r>
        <w:rPr>
          <w:rFonts w:ascii="宋体" w:hAnsi="宋体"/>
          <w:b/>
          <w:bCs/>
          <w:color w:val="000000" w:themeColor="text1"/>
          <w:sz w:val="24"/>
          <w:highlight w:val="none"/>
          <w14:textFill>
            <w14:solidFill>
              <w14:schemeClr w14:val="tx1"/>
            </w14:solidFill>
          </w14:textFill>
        </w:rPr>
        <w:t>实质审查与比较</w:t>
      </w:r>
    </w:p>
    <w:p w14:paraId="4C89C1D1">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14:paraId="0CE49F17">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23.2.2</w:t>
      </w:r>
      <w:r>
        <w:rPr>
          <w:rFonts w:ascii="宋体" w:hAnsi="宋体"/>
          <w:color w:val="000000" w:themeColor="text1"/>
          <w:sz w:val="24"/>
          <w:highlight w:val="none"/>
          <w14:textFill>
            <w14:solidFill>
              <w14:schemeClr w14:val="tx1"/>
            </w14:solidFill>
          </w14:textFill>
        </w:rPr>
        <w:t>评标委员会将根据投标人的投标文件进行审查、核对,如有疑问,将对投标人进行询标,投标人要向评标委员会澄清有关问题,并最终以</w:t>
      </w:r>
      <w:r>
        <w:rPr>
          <w:rFonts w:hint="eastAsia" w:ascii="宋体" w:hAnsi="宋体"/>
          <w:color w:val="000000" w:themeColor="text1"/>
          <w:sz w:val="24"/>
          <w:highlight w:val="none"/>
          <w14:textFill>
            <w14:solidFill>
              <w14:schemeClr w14:val="tx1"/>
            </w14:solidFill>
          </w14:textFill>
        </w:rPr>
        <w:t>“乐采云”在线询标或其他有效形式进行</w:t>
      </w:r>
      <w:r>
        <w:rPr>
          <w:rFonts w:ascii="宋体" w:hAnsi="宋体"/>
          <w:color w:val="000000" w:themeColor="text1"/>
          <w:sz w:val="24"/>
          <w:highlight w:val="none"/>
          <w14:textFill>
            <w14:solidFill>
              <w14:schemeClr w14:val="tx1"/>
            </w14:solidFill>
          </w14:textFill>
        </w:rPr>
        <w:t>答复。</w:t>
      </w:r>
      <w:r>
        <w:rPr>
          <w:rFonts w:hint="eastAsia" w:ascii="宋体" w:hAnsi="宋体"/>
          <w:color w:val="000000" w:themeColor="text1"/>
          <w:sz w:val="24"/>
          <w:highlight w:val="none"/>
          <w14:textFill>
            <w14:solidFill>
              <w14:schemeClr w14:val="tx1"/>
            </w14:solidFill>
          </w14:textFill>
        </w:rPr>
        <w:t>投标人代表拒绝澄清或者澄清的内容改变了投标文件的实质性内容的，评标委员会有权对该投标文件作出不利于投标人的评判。</w:t>
      </w:r>
    </w:p>
    <w:p w14:paraId="259FC779">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23.2.3如果投标文件实质不响应招标文件的各项要求，评标委员会将予以拒绝，并且不允许投标人通过修改或撤销其不符合要求的差异或保留，使之成为具有响应性的投标。</w:t>
      </w:r>
    </w:p>
    <w:p w14:paraId="451B7636">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23.2.4</w:t>
      </w:r>
      <w:r>
        <w:rPr>
          <w:rFonts w:ascii="宋体" w:hAnsi="宋体"/>
          <w:color w:val="000000" w:themeColor="text1"/>
          <w:sz w:val="24"/>
          <w:highlight w:val="none"/>
          <w14:textFill>
            <w14:solidFill>
              <w14:schemeClr w14:val="tx1"/>
            </w14:solidFill>
          </w14:textFill>
        </w:rPr>
        <w:t>评标委员会完成评标后,按评标原则推荐中标候选人同时起草评标报告。</w:t>
      </w:r>
    </w:p>
    <w:p w14:paraId="08AE64D3">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23.3.5评标委员会认为供应商的报价明显低于其他通过符合性审查供应商的报价，有可能影响产品质量或者不能诚信履约的，应当要求其在评标现场合理的时间内（不少于30分钟）提供书面说明，必要时提交相关证明材料；供应商不能证明其报价合理性的，评标委员会应当将其作为无效投标处理。</w:t>
      </w:r>
    </w:p>
    <w:p w14:paraId="6D5D936F">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政府采购评审中出现下列情形之一的，评标委员会应当启动异常低价投标审查程序：</w:t>
      </w:r>
    </w:p>
    <w:p w14:paraId="4BE73650">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①投标报价低于全部通过符合性审查供应商投标报价平均值50%的，即投标报价&lt;全部通过符合性审查供应商投标报价平均值×50%；</w:t>
      </w:r>
    </w:p>
    <w:p w14:paraId="2C59B2B6">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②投标报价低于通过符合性审查且报价次低供应商投标报价50%的，即投标报价&lt;通过符合性审查且报价次低供应商投标报价×50%；</w:t>
      </w:r>
    </w:p>
    <w:p w14:paraId="236774DB">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③投标报价低于采购项目最高限价45%的，即投标报价&lt;采购项目最高限价×45%；</w:t>
      </w:r>
    </w:p>
    <w:p w14:paraId="1A21D2FB">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④其他评标委员会认为供应商报价过低，有可能影响产品质量或者不能诚信履约的情形。</w:t>
      </w:r>
    </w:p>
    <w:p w14:paraId="63411111">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64CE8EC7">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3E2C5382">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23.3.6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15A0ABC1">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23.3.7</w:t>
      </w:r>
      <w:r>
        <w:rPr>
          <w:rFonts w:ascii="宋体" w:hAnsi="宋体"/>
          <w:color w:val="000000" w:themeColor="text1"/>
          <w:sz w:val="24"/>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0F14582">
      <w:pPr>
        <w:ind w:firstLine="479" w:firstLineChars="199"/>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如投标人或采购人有下列情形之一的，应按串通投标行为认定，禁止其一至三年内进入本市采购市场，情节严重的移送有关部门依法处理。</w:t>
      </w:r>
    </w:p>
    <w:p w14:paraId="0A8FFE5E">
      <w:pPr>
        <w:ind w:firstLine="477" w:firstLineChars="19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24.1</w:t>
      </w:r>
      <w:r>
        <w:rPr>
          <w:rFonts w:ascii="宋体" w:hAnsi="宋体"/>
          <w:color w:val="000000" w:themeColor="text1"/>
          <w:sz w:val="24"/>
          <w:szCs w:val="24"/>
          <w:highlight w:val="none"/>
          <w14:textFill>
            <w14:solidFill>
              <w14:schemeClr w14:val="tx1"/>
            </w14:solidFill>
          </w14:textFill>
        </w:rPr>
        <w:t>不同</w:t>
      </w:r>
      <w:r>
        <w:rPr>
          <w:rFonts w:hint="eastAsia" w:ascii="宋体" w:hAnsi="宋体"/>
          <w:color w:val="000000" w:themeColor="text1"/>
          <w:sz w:val="24"/>
          <w:szCs w:val="24"/>
          <w:highlight w:val="none"/>
          <w14:textFill>
            <w14:solidFill>
              <w14:schemeClr w14:val="tx1"/>
            </w14:solidFill>
          </w14:textFill>
        </w:rPr>
        <w:t>投标人</w:t>
      </w:r>
      <w:r>
        <w:rPr>
          <w:rFonts w:ascii="宋体" w:hAnsi="宋体"/>
          <w:color w:val="000000" w:themeColor="text1"/>
          <w:sz w:val="24"/>
          <w:szCs w:val="24"/>
          <w:highlight w:val="none"/>
          <w14:textFill>
            <w14:solidFill>
              <w14:schemeClr w14:val="tx1"/>
            </w14:solidFill>
          </w14:textFill>
        </w:rPr>
        <w:t>的</w:t>
      </w:r>
      <w:r>
        <w:rPr>
          <w:rFonts w:hint="eastAsia" w:ascii="宋体" w:hAnsi="宋体"/>
          <w:color w:val="000000" w:themeColor="text1"/>
          <w:sz w:val="24"/>
          <w:szCs w:val="24"/>
          <w:highlight w:val="none"/>
          <w14:textFill>
            <w14:solidFill>
              <w14:schemeClr w14:val="tx1"/>
            </w14:solidFill>
          </w14:textFill>
        </w:rPr>
        <w:t>投标</w:t>
      </w:r>
      <w:r>
        <w:rPr>
          <w:rFonts w:ascii="宋体" w:hAnsi="宋体"/>
          <w:color w:val="000000" w:themeColor="text1"/>
          <w:sz w:val="24"/>
          <w:szCs w:val="24"/>
          <w:highlight w:val="none"/>
          <w14:textFill>
            <w14:solidFill>
              <w14:schemeClr w14:val="tx1"/>
            </w14:solidFill>
          </w14:textFill>
        </w:rPr>
        <w:t xml:space="preserve">文件由同一单位或人员编制； </w:t>
      </w:r>
    </w:p>
    <w:p w14:paraId="4139C4FE">
      <w:pPr>
        <w:ind w:firstLine="477" w:firstLineChars="19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24.2</w:t>
      </w:r>
      <w:r>
        <w:rPr>
          <w:rFonts w:ascii="宋体" w:hAnsi="宋体"/>
          <w:color w:val="000000" w:themeColor="text1"/>
          <w:sz w:val="24"/>
          <w:szCs w:val="24"/>
          <w:highlight w:val="none"/>
          <w14:textFill>
            <w14:solidFill>
              <w14:schemeClr w14:val="tx1"/>
            </w14:solidFill>
          </w14:textFill>
        </w:rPr>
        <w:t>不同</w:t>
      </w:r>
      <w:r>
        <w:rPr>
          <w:rFonts w:hint="eastAsia" w:ascii="宋体" w:hAnsi="宋体"/>
          <w:color w:val="000000" w:themeColor="text1"/>
          <w:sz w:val="24"/>
          <w:szCs w:val="24"/>
          <w:highlight w:val="none"/>
          <w14:textFill>
            <w14:solidFill>
              <w14:schemeClr w14:val="tx1"/>
            </w14:solidFill>
          </w14:textFill>
        </w:rPr>
        <w:t>投标人</w:t>
      </w:r>
      <w:r>
        <w:rPr>
          <w:rFonts w:ascii="宋体" w:hAnsi="宋体"/>
          <w:color w:val="000000" w:themeColor="text1"/>
          <w:sz w:val="24"/>
          <w:szCs w:val="24"/>
          <w:highlight w:val="none"/>
          <w14:textFill>
            <w14:solidFill>
              <w14:schemeClr w14:val="tx1"/>
            </w14:solidFill>
          </w14:textFill>
        </w:rPr>
        <w:t>委托同一单位或</w:t>
      </w:r>
      <w:r>
        <w:rPr>
          <w:rFonts w:hint="eastAsia" w:ascii="宋体" w:hAnsi="宋体"/>
          <w:color w:val="000000" w:themeColor="text1"/>
          <w:sz w:val="24"/>
          <w:szCs w:val="24"/>
          <w:highlight w:val="none"/>
          <w14:textFill>
            <w14:solidFill>
              <w14:schemeClr w14:val="tx1"/>
            </w14:solidFill>
          </w14:textFill>
        </w:rPr>
        <w:t>个人</w:t>
      </w:r>
      <w:r>
        <w:rPr>
          <w:rFonts w:ascii="宋体" w:hAnsi="宋体"/>
          <w:color w:val="000000" w:themeColor="text1"/>
          <w:sz w:val="24"/>
          <w:szCs w:val="24"/>
          <w:highlight w:val="none"/>
          <w14:textFill>
            <w14:solidFill>
              <w14:schemeClr w14:val="tx1"/>
            </w14:solidFill>
          </w14:textFill>
        </w:rPr>
        <w:t>办理投标事宜；</w:t>
      </w:r>
    </w:p>
    <w:p w14:paraId="6B40FF33">
      <w:pPr>
        <w:ind w:firstLine="477" w:firstLineChars="19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24.3</w:t>
      </w:r>
      <w:r>
        <w:rPr>
          <w:rFonts w:ascii="宋体" w:hAnsi="宋体"/>
          <w:color w:val="000000" w:themeColor="text1"/>
          <w:sz w:val="24"/>
          <w:szCs w:val="24"/>
          <w:highlight w:val="none"/>
          <w14:textFill>
            <w14:solidFill>
              <w14:schemeClr w14:val="tx1"/>
            </w14:solidFill>
          </w14:textFill>
        </w:rPr>
        <w:t>不同</w:t>
      </w:r>
      <w:r>
        <w:rPr>
          <w:rFonts w:hint="eastAsia" w:ascii="宋体" w:hAnsi="宋体"/>
          <w:color w:val="000000" w:themeColor="text1"/>
          <w:sz w:val="24"/>
          <w:szCs w:val="24"/>
          <w:highlight w:val="none"/>
          <w14:textFill>
            <w14:solidFill>
              <w14:schemeClr w14:val="tx1"/>
            </w14:solidFill>
          </w14:textFill>
        </w:rPr>
        <w:t>投标人</w:t>
      </w:r>
      <w:r>
        <w:rPr>
          <w:rFonts w:ascii="宋体" w:hAnsi="宋体"/>
          <w:color w:val="000000" w:themeColor="text1"/>
          <w:sz w:val="24"/>
          <w:szCs w:val="24"/>
          <w:highlight w:val="none"/>
          <w14:textFill>
            <w14:solidFill>
              <w14:schemeClr w14:val="tx1"/>
            </w14:solidFill>
          </w14:textFill>
        </w:rPr>
        <w:t>的</w:t>
      </w:r>
      <w:r>
        <w:rPr>
          <w:rFonts w:hint="eastAsia" w:ascii="宋体" w:hAnsi="宋体"/>
          <w:color w:val="000000" w:themeColor="text1"/>
          <w:sz w:val="24"/>
          <w:szCs w:val="24"/>
          <w:highlight w:val="none"/>
          <w14:textFill>
            <w14:solidFill>
              <w14:schemeClr w14:val="tx1"/>
            </w14:solidFill>
          </w14:textFill>
        </w:rPr>
        <w:t>投标</w:t>
      </w:r>
      <w:r>
        <w:rPr>
          <w:rFonts w:ascii="宋体" w:hAnsi="宋体"/>
          <w:color w:val="000000" w:themeColor="text1"/>
          <w:sz w:val="24"/>
          <w:szCs w:val="24"/>
          <w:highlight w:val="none"/>
          <w14:textFill>
            <w14:solidFill>
              <w14:schemeClr w14:val="tx1"/>
            </w14:solidFill>
          </w14:textFill>
        </w:rPr>
        <w:t>文件载明的项目管理或</w:t>
      </w:r>
      <w:r>
        <w:rPr>
          <w:rFonts w:hint="eastAsia" w:ascii="宋体" w:hAnsi="宋体"/>
          <w:color w:val="000000" w:themeColor="text1"/>
          <w:sz w:val="24"/>
          <w:szCs w:val="24"/>
          <w:highlight w:val="none"/>
          <w14:textFill>
            <w14:solidFill>
              <w14:schemeClr w14:val="tx1"/>
            </w14:solidFill>
          </w14:textFill>
        </w:rPr>
        <w:t>联系人员为</w:t>
      </w:r>
      <w:r>
        <w:rPr>
          <w:rFonts w:ascii="宋体" w:hAnsi="宋体"/>
          <w:color w:val="000000" w:themeColor="text1"/>
          <w:sz w:val="24"/>
          <w:szCs w:val="24"/>
          <w:highlight w:val="none"/>
          <w14:textFill>
            <w14:solidFill>
              <w14:schemeClr w14:val="tx1"/>
            </w14:solidFill>
          </w14:textFill>
        </w:rPr>
        <w:t>同一人；</w:t>
      </w:r>
    </w:p>
    <w:p w14:paraId="41A1C624">
      <w:pPr>
        <w:ind w:firstLine="477" w:firstLineChars="19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24.4</w:t>
      </w:r>
      <w:r>
        <w:rPr>
          <w:rFonts w:ascii="宋体" w:hAnsi="宋体"/>
          <w:color w:val="000000" w:themeColor="text1"/>
          <w:sz w:val="24"/>
          <w:szCs w:val="24"/>
          <w:highlight w:val="none"/>
          <w14:textFill>
            <w14:solidFill>
              <w14:schemeClr w14:val="tx1"/>
            </w14:solidFill>
          </w14:textFill>
        </w:rPr>
        <w:t>不同</w:t>
      </w:r>
      <w:r>
        <w:rPr>
          <w:rFonts w:hint="eastAsia" w:ascii="宋体" w:hAnsi="宋体"/>
          <w:color w:val="000000" w:themeColor="text1"/>
          <w:sz w:val="24"/>
          <w:szCs w:val="24"/>
          <w:highlight w:val="none"/>
          <w14:textFill>
            <w14:solidFill>
              <w14:schemeClr w14:val="tx1"/>
            </w14:solidFill>
          </w14:textFill>
        </w:rPr>
        <w:t>投标人</w:t>
      </w:r>
      <w:r>
        <w:rPr>
          <w:rFonts w:ascii="宋体" w:hAnsi="宋体"/>
          <w:color w:val="000000" w:themeColor="text1"/>
          <w:sz w:val="24"/>
          <w:szCs w:val="24"/>
          <w:highlight w:val="none"/>
          <w14:textFill>
            <w14:solidFill>
              <w14:schemeClr w14:val="tx1"/>
            </w14:solidFill>
          </w14:textFill>
        </w:rPr>
        <w:t>的</w:t>
      </w:r>
      <w:r>
        <w:rPr>
          <w:rFonts w:hint="eastAsia" w:ascii="宋体" w:hAnsi="宋体"/>
          <w:color w:val="000000" w:themeColor="text1"/>
          <w:sz w:val="24"/>
          <w:szCs w:val="24"/>
          <w:highlight w:val="none"/>
          <w14:textFill>
            <w14:solidFill>
              <w14:schemeClr w14:val="tx1"/>
            </w14:solidFill>
          </w14:textFill>
        </w:rPr>
        <w:t>投标</w:t>
      </w:r>
      <w:r>
        <w:rPr>
          <w:rFonts w:ascii="宋体" w:hAnsi="宋体"/>
          <w:color w:val="000000" w:themeColor="text1"/>
          <w:sz w:val="24"/>
          <w:szCs w:val="24"/>
          <w:highlight w:val="none"/>
          <w14:textFill>
            <w14:solidFill>
              <w14:schemeClr w14:val="tx1"/>
            </w14:solidFill>
          </w14:textFill>
        </w:rPr>
        <w:t>文件</w:t>
      </w:r>
      <w:r>
        <w:rPr>
          <w:rFonts w:hint="eastAsia" w:ascii="宋体" w:hAnsi="宋体"/>
          <w:color w:val="000000" w:themeColor="text1"/>
          <w:sz w:val="24"/>
          <w:szCs w:val="24"/>
          <w:highlight w:val="none"/>
          <w14:textFill>
            <w14:solidFill>
              <w14:schemeClr w14:val="tx1"/>
            </w14:solidFill>
          </w14:textFill>
        </w:rPr>
        <w:t>异常一致</w:t>
      </w:r>
      <w:r>
        <w:rPr>
          <w:rFonts w:ascii="宋体" w:hAnsi="宋体"/>
          <w:color w:val="000000" w:themeColor="text1"/>
          <w:sz w:val="24"/>
          <w:szCs w:val="24"/>
          <w:highlight w:val="none"/>
          <w14:textFill>
            <w14:solidFill>
              <w14:schemeClr w14:val="tx1"/>
            </w14:solidFill>
          </w14:textFill>
        </w:rPr>
        <w:t>或者</w:t>
      </w:r>
      <w:r>
        <w:rPr>
          <w:rFonts w:hint="eastAsia" w:ascii="宋体" w:hAnsi="宋体"/>
          <w:color w:val="000000" w:themeColor="text1"/>
          <w:sz w:val="24"/>
          <w:szCs w:val="24"/>
          <w:highlight w:val="none"/>
          <w14:textFill>
            <w14:solidFill>
              <w14:schemeClr w14:val="tx1"/>
            </w14:solidFill>
          </w14:textFill>
        </w:rPr>
        <w:t>投标</w:t>
      </w:r>
      <w:r>
        <w:rPr>
          <w:rFonts w:ascii="宋体" w:hAnsi="宋体"/>
          <w:color w:val="000000" w:themeColor="text1"/>
          <w:sz w:val="24"/>
          <w:szCs w:val="24"/>
          <w:highlight w:val="none"/>
          <w14:textFill>
            <w14:solidFill>
              <w14:schemeClr w14:val="tx1"/>
            </w14:solidFill>
          </w14:textFill>
        </w:rPr>
        <w:t>报价呈规律性</w:t>
      </w:r>
      <w:r>
        <w:rPr>
          <w:rFonts w:hint="eastAsia" w:ascii="宋体" w:hAnsi="宋体"/>
          <w:color w:val="000000" w:themeColor="text1"/>
          <w:sz w:val="24"/>
          <w:szCs w:val="24"/>
          <w:highlight w:val="none"/>
          <w14:textFill>
            <w14:solidFill>
              <w14:schemeClr w14:val="tx1"/>
            </w14:solidFill>
          </w14:textFill>
        </w:rPr>
        <w:t>差异</w:t>
      </w:r>
      <w:r>
        <w:rPr>
          <w:rFonts w:ascii="宋体" w:hAnsi="宋体"/>
          <w:color w:val="000000" w:themeColor="text1"/>
          <w:sz w:val="24"/>
          <w:szCs w:val="24"/>
          <w:highlight w:val="none"/>
          <w14:textFill>
            <w14:solidFill>
              <w14:schemeClr w14:val="tx1"/>
            </w14:solidFill>
          </w14:textFill>
        </w:rPr>
        <w:t xml:space="preserve">； </w:t>
      </w:r>
    </w:p>
    <w:p w14:paraId="0CB7D364">
      <w:pPr>
        <w:ind w:firstLine="477" w:firstLineChars="19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24.5</w:t>
      </w:r>
      <w:r>
        <w:rPr>
          <w:rFonts w:ascii="宋体" w:hAnsi="宋体"/>
          <w:color w:val="000000" w:themeColor="text1"/>
          <w:sz w:val="24"/>
          <w:szCs w:val="24"/>
          <w:highlight w:val="none"/>
          <w14:textFill>
            <w14:solidFill>
              <w14:schemeClr w14:val="tx1"/>
            </w14:solidFill>
          </w14:textFill>
        </w:rPr>
        <w:t>不同</w:t>
      </w:r>
      <w:r>
        <w:rPr>
          <w:rFonts w:hint="eastAsia" w:ascii="宋体" w:hAnsi="宋体"/>
          <w:color w:val="000000" w:themeColor="text1"/>
          <w:sz w:val="24"/>
          <w:szCs w:val="24"/>
          <w:highlight w:val="none"/>
          <w14:textFill>
            <w14:solidFill>
              <w14:schemeClr w14:val="tx1"/>
            </w14:solidFill>
          </w14:textFill>
        </w:rPr>
        <w:t>投标人</w:t>
      </w:r>
      <w:r>
        <w:rPr>
          <w:rFonts w:ascii="宋体" w:hAnsi="宋体"/>
          <w:color w:val="000000" w:themeColor="text1"/>
          <w:sz w:val="24"/>
          <w:szCs w:val="24"/>
          <w:highlight w:val="none"/>
          <w14:textFill>
            <w14:solidFill>
              <w14:schemeClr w14:val="tx1"/>
            </w14:solidFill>
          </w14:textFill>
        </w:rPr>
        <w:t>的</w:t>
      </w:r>
      <w:r>
        <w:rPr>
          <w:rFonts w:hint="eastAsia" w:ascii="宋体" w:hAnsi="宋体"/>
          <w:color w:val="000000" w:themeColor="text1"/>
          <w:sz w:val="24"/>
          <w:szCs w:val="24"/>
          <w:highlight w:val="none"/>
          <w14:textFill>
            <w14:solidFill>
              <w14:schemeClr w14:val="tx1"/>
            </w14:solidFill>
          </w14:textFill>
        </w:rPr>
        <w:t>投标</w:t>
      </w:r>
      <w:r>
        <w:rPr>
          <w:rFonts w:ascii="宋体" w:hAnsi="宋体"/>
          <w:color w:val="000000" w:themeColor="text1"/>
          <w:sz w:val="24"/>
          <w:szCs w:val="24"/>
          <w:highlight w:val="none"/>
          <w14:textFill>
            <w14:solidFill>
              <w14:schemeClr w14:val="tx1"/>
            </w14:solidFill>
          </w14:textFill>
        </w:rPr>
        <w:t>文件遗留其他</w:t>
      </w:r>
      <w:r>
        <w:rPr>
          <w:rFonts w:hint="eastAsia" w:ascii="宋体" w:hAnsi="宋体"/>
          <w:color w:val="000000" w:themeColor="text1"/>
          <w:sz w:val="24"/>
          <w:szCs w:val="24"/>
          <w:highlight w:val="none"/>
          <w14:textFill>
            <w14:solidFill>
              <w14:schemeClr w14:val="tx1"/>
            </w14:solidFill>
          </w14:textFill>
        </w:rPr>
        <w:t>投标人</w:t>
      </w:r>
      <w:r>
        <w:rPr>
          <w:rFonts w:ascii="宋体" w:hAnsi="宋体"/>
          <w:color w:val="000000" w:themeColor="text1"/>
          <w:sz w:val="24"/>
          <w:szCs w:val="24"/>
          <w:highlight w:val="none"/>
          <w14:textFill>
            <w14:solidFill>
              <w14:schemeClr w14:val="tx1"/>
            </w14:solidFill>
          </w14:textFill>
        </w:rPr>
        <w:t>不属于本</w:t>
      </w:r>
      <w:r>
        <w:rPr>
          <w:rFonts w:hint="eastAsia" w:ascii="宋体" w:hAnsi="宋体"/>
          <w:color w:val="000000" w:themeColor="text1"/>
          <w:sz w:val="24"/>
          <w:szCs w:val="24"/>
          <w:highlight w:val="none"/>
          <w14:textFill>
            <w14:solidFill>
              <w14:schemeClr w14:val="tx1"/>
            </w14:solidFill>
          </w14:textFill>
        </w:rPr>
        <w:t>投标人</w:t>
      </w:r>
      <w:r>
        <w:rPr>
          <w:rFonts w:ascii="宋体" w:hAnsi="宋体"/>
          <w:color w:val="000000" w:themeColor="text1"/>
          <w:sz w:val="24"/>
          <w:szCs w:val="24"/>
          <w:highlight w:val="none"/>
          <w14:textFill>
            <w14:solidFill>
              <w14:schemeClr w14:val="tx1"/>
            </w14:solidFill>
          </w14:textFill>
        </w:rPr>
        <w:t>参加采购必需的信息资料的；</w:t>
      </w:r>
    </w:p>
    <w:p w14:paraId="7E9A5FE3">
      <w:pPr>
        <w:ind w:firstLine="477" w:firstLineChars="19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24.6</w:t>
      </w:r>
      <w:r>
        <w:rPr>
          <w:rFonts w:ascii="宋体" w:hAnsi="宋体"/>
          <w:color w:val="000000" w:themeColor="text1"/>
          <w:sz w:val="24"/>
          <w:szCs w:val="24"/>
          <w:highlight w:val="none"/>
          <w14:textFill>
            <w14:solidFill>
              <w14:schemeClr w14:val="tx1"/>
            </w14:solidFill>
          </w14:textFill>
        </w:rPr>
        <w:t>不同</w:t>
      </w:r>
      <w:r>
        <w:rPr>
          <w:rFonts w:hint="eastAsia" w:ascii="宋体" w:hAnsi="宋体"/>
          <w:color w:val="000000" w:themeColor="text1"/>
          <w:sz w:val="24"/>
          <w:szCs w:val="24"/>
          <w:highlight w:val="none"/>
          <w14:textFill>
            <w14:solidFill>
              <w14:schemeClr w14:val="tx1"/>
            </w14:solidFill>
          </w14:textFill>
        </w:rPr>
        <w:t>投标人</w:t>
      </w:r>
      <w:r>
        <w:rPr>
          <w:rFonts w:ascii="宋体" w:hAnsi="宋体"/>
          <w:color w:val="000000" w:themeColor="text1"/>
          <w:sz w:val="24"/>
          <w:szCs w:val="24"/>
          <w:highlight w:val="none"/>
          <w14:textFill>
            <w14:solidFill>
              <w14:schemeClr w14:val="tx1"/>
            </w14:solidFill>
          </w14:textFill>
        </w:rPr>
        <w:t xml:space="preserve">的授权代表为同一单位的工作人员的； </w:t>
      </w:r>
      <w:r>
        <w:rPr>
          <w:rFonts w:hint="eastAsia" w:ascii="宋体" w:hAnsi="宋体"/>
          <w:color w:val="000000" w:themeColor="text1"/>
          <w:sz w:val="24"/>
          <w:szCs w:val="24"/>
          <w:highlight w:val="none"/>
          <w14:textFill>
            <w14:solidFill>
              <w14:schemeClr w14:val="tx1"/>
            </w14:solidFill>
          </w14:textFill>
        </w:rPr>
        <w:t xml:space="preserve">  </w:t>
      </w:r>
    </w:p>
    <w:p w14:paraId="61CAF43A">
      <w:pPr>
        <w:ind w:firstLine="477" w:firstLineChars="19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24.7</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不同投标人的投标文件相互混装，或在一个投标人的投标文件内遗留有其他供应商的签名、盖章等不属于本投标人参加采购必需的信息资料的；</w:t>
      </w:r>
    </w:p>
    <w:p w14:paraId="6F147296">
      <w:pPr>
        <w:ind w:firstLine="477" w:firstLineChars="19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24.8</w:t>
      </w:r>
      <w:r>
        <w:rPr>
          <w:rFonts w:ascii="宋体" w:hAnsi="宋体"/>
          <w:color w:val="000000" w:themeColor="text1"/>
          <w:sz w:val="24"/>
          <w:szCs w:val="24"/>
          <w:highlight w:val="none"/>
          <w14:textFill>
            <w14:solidFill>
              <w14:schemeClr w14:val="tx1"/>
            </w14:solidFill>
          </w14:textFill>
        </w:rPr>
        <w:t>采购响应截止时间后，</w:t>
      </w:r>
      <w:r>
        <w:rPr>
          <w:rFonts w:hint="eastAsia" w:ascii="宋体" w:hAnsi="宋体"/>
          <w:color w:val="000000" w:themeColor="text1"/>
          <w:sz w:val="24"/>
          <w:szCs w:val="24"/>
          <w:highlight w:val="none"/>
          <w14:textFill>
            <w14:solidFill>
              <w14:schemeClr w14:val="tx1"/>
            </w14:solidFill>
          </w14:textFill>
        </w:rPr>
        <w:t>采购人</w:t>
      </w:r>
      <w:r>
        <w:rPr>
          <w:rFonts w:ascii="宋体" w:hAnsi="宋体"/>
          <w:color w:val="000000" w:themeColor="text1"/>
          <w:sz w:val="24"/>
          <w:szCs w:val="24"/>
          <w:highlight w:val="none"/>
          <w14:textFill>
            <w14:solidFill>
              <w14:schemeClr w14:val="tx1"/>
            </w14:solidFill>
          </w14:textFill>
        </w:rPr>
        <w:t>协助</w:t>
      </w:r>
      <w:r>
        <w:rPr>
          <w:rFonts w:hint="eastAsia" w:ascii="宋体" w:hAnsi="宋体"/>
          <w:color w:val="000000" w:themeColor="text1"/>
          <w:sz w:val="24"/>
          <w:szCs w:val="24"/>
          <w:highlight w:val="none"/>
          <w14:textFill>
            <w14:solidFill>
              <w14:schemeClr w14:val="tx1"/>
            </w14:solidFill>
          </w14:textFill>
        </w:rPr>
        <w:t>投标人</w:t>
      </w:r>
      <w:r>
        <w:rPr>
          <w:rFonts w:ascii="宋体" w:hAnsi="宋体"/>
          <w:color w:val="000000" w:themeColor="text1"/>
          <w:sz w:val="24"/>
          <w:szCs w:val="24"/>
          <w:highlight w:val="none"/>
          <w14:textFill>
            <w14:solidFill>
              <w14:schemeClr w14:val="tx1"/>
            </w14:solidFill>
          </w14:textFill>
        </w:rPr>
        <w:t>撤换或更改</w:t>
      </w:r>
      <w:r>
        <w:rPr>
          <w:rFonts w:hint="eastAsia" w:ascii="宋体" w:hAnsi="宋体"/>
          <w:color w:val="000000" w:themeColor="text1"/>
          <w:sz w:val="24"/>
          <w:szCs w:val="24"/>
          <w:highlight w:val="none"/>
          <w14:textFill>
            <w14:solidFill>
              <w14:schemeClr w14:val="tx1"/>
            </w14:solidFill>
          </w14:textFill>
        </w:rPr>
        <w:t>投标</w:t>
      </w:r>
      <w:r>
        <w:rPr>
          <w:rFonts w:ascii="宋体" w:hAnsi="宋体"/>
          <w:color w:val="000000" w:themeColor="text1"/>
          <w:sz w:val="24"/>
          <w:szCs w:val="24"/>
          <w:highlight w:val="none"/>
          <w14:textFill>
            <w14:solidFill>
              <w14:schemeClr w14:val="tx1"/>
            </w14:solidFill>
          </w14:textFill>
        </w:rPr>
        <w:t>文件的；</w:t>
      </w:r>
    </w:p>
    <w:p w14:paraId="2C13F590">
      <w:pPr>
        <w:ind w:firstLine="477" w:firstLineChars="19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24.9采购人</w:t>
      </w:r>
      <w:r>
        <w:rPr>
          <w:rFonts w:ascii="宋体" w:hAnsi="宋体"/>
          <w:color w:val="000000" w:themeColor="text1"/>
          <w:sz w:val="24"/>
          <w:szCs w:val="24"/>
          <w:highlight w:val="none"/>
          <w14:textFill>
            <w14:solidFill>
              <w14:schemeClr w14:val="tx1"/>
            </w14:solidFill>
          </w14:textFill>
        </w:rPr>
        <w:t>泄露有意向参加</w:t>
      </w:r>
      <w:r>
        <w:rPr>
          <w:rFonts w:hint="eastAsia" w:ascii="宋体" w:hAnsi="宋体"/>
          <w:color w:val="000000" w:themeColor="text1"/>
          <w:sz w:val="24"/>
          <w:szCs w:val="24"/>
          <w:highlight w:val="none"/>
          <w14:textFill>
            <w14:solidFill>
              <w14:schemeClr w14:val="tx1"/>
            </w14:solidFill>
          </w14:textFill>
        </w:rPr>
        <w:t>采购</w:t>
      </w:r>
      <w:r>
        <w:rPr>
          <w:rFonts w:ascii="宋体" w:hAnsi="宋体"/>
          <w:color w:val="000000" w:themeColor="text1"/>
          <w:sz w:val="24"/>
          <w:szCs w:val="24"/>
          <w:highlight w:val="none"/>
          <w14:textFill>
            <w14:solidFill>
              <w14:schemeClr w14:val="tx1"/>
            </w14:solidFill>
          </w14:textFill>
        </w:rPr>
        <w:t>的</w:t>
      </w:r>
      <w:r>
        <w:rPr>
          <w:rFonts w:hint="eastAsia" w:ascii="宋体" w:hAnsi="宋体"/>
          <w:color w:val="000000" w:themeColor="text1"/>
          <w:sz w:val="24"/>
          <w:szCs w:val="24"/>
          <w:highlight w:val="none"/>
          <w14:textFill>
            <w14:solidFill>
              <w14:schemeClr w14:val="tx1"/>
            </w14:solidFill>
          </w14:textFill>
        </w:rPr>
        <w:t>投标人</w:t>
      </w:r>
      <w:r>
        <w:rPr>
          <w:rFonts w:ascii="宋体" w:hAnsi="宋体"/>
          <w:color w:val="000000" w:themeColor="text1"/>
          <w:sz w:val="24"/>
          <w:szCs w:val="24"/>
          <w:highlight w:val="none"/>
          <w14:textFill>
            <w14:solidFill>
              <w14:schemeClr w14:val="tx1"/>
            </w14:solidFill>
          </w14:textFill>
        </w:rPr>
        <w:t>名称、数量等应当保密的事项的；</w:t>
      </w:r>
    </w:p>
    <w:p w14:paraId="125ECB93">
      <w:pPr>
        <w:ind w:firstLine="477" w:firstLineChars="19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24.10</w:t>
      </w:r>
      <w:r>
        <w:rPr>
          <w:rFonts w:ascii="宋体" w:hAnsi="宋体"/>
          <w:color w:val="000000" w:themeColor="text1"/>
          <w:sz w:val="24"/>
          <w:szCs w:val="24"/>
          <w:highlight w:val="none"/>
          <w14:textFill>
            <w14:solidFill>
              <w14:schemeClr w14:val="tx1"/>
            </w14:solidFill>
          </w14:textFill>
        </w:rPr>
        <w:t>不同</w:t>
      </w:r>
      <w:r>
        <w:rPr>
          <w:rFonts w:hint="eastAsia" w:ascii="宋体" w:hAnsi="宋体"/>
          <w:color w:val="000000" w:themeColor="text1"/>
          <w:sz w:val="24"/>
          <w:szCs w:val="24"/>
          <w:highlight w:val="none"/>
          <w14:textFill>
            <w14:solidFill>
              <w14:schemeClr w14:val="tx1"/>
            </w14:solidFill>
          </w14:textFill>
        </w:rPr>
        <w:t>投标人</w:t>
      </w:r>
      <w:r>
        <w:rPr>
          <w:rFonts w:ascii="宋体" w:hAnsi="宋体"/>
          <w:color w:val="000000" w:themeColor="text1"/>
          <w:sz w:val="24"/>
          <w:szCs w:val="24"/>
          <w:highlight w:val="none"/>
          <w14:textFill>
            <w14:solidFill>
              <w14:schemeClr w14:val="tx1"/>
            </w14:solidFill>
          </w14:textFill>
        </w:rPr>
        <w:t>之间私下达成书面或口头协议，指定一家</w:t>
      </w:r>
      <w:r>
        <w:rPr>
          <w:rFonts w:hint="eastAsia" w:ascii="宋体" w:hAnsi="宋体"/>
          <w:color w:val="000000" w:themeColor="text1"/>
          <w:sz w:val="24"/>
          <w:szCs w:val="24"/>
          <w:highlight w:val="none"/>
          <w14:textFill>
            <w14:solidFill>
              <w14:schemeClr w14:val="tx1"/>
            </w14:solidFill>
          </w14:textFill>
        </w:rPr>
        <w:t>投标人</w:t>
      </w:r>
      <w:r>
        <w:rPr>
          <w:rFonts w:ascii="宋体" w:hAnsi="宋体"/>
          <w:color w:val="000000" w:themeColor="text1"/>
          <w:sz w:val="24"/>
          <w:szCs w:val="24"/>
          <w:highlight w:val="none"/>
          <w14:textFill>
            <w14:solidFill>
              <w14:schemeClr w14:val="tx1"/>
            </w14:solidFill>
          </w14:textFill>
        </w:rPr>
        <w:t>中标或轮流中标的；</w:t>
      </w:r>
    </w:p>
    <w:p w14:paraId="53FBC6D0">
      <w:pPr>
        <w:ind w:firstLine="477" w:firstLineChars="19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24.11属于同一集团、协会、商会等组织成员的投标人按照该组织要求协同的投标；</w:t>
      </w:r>
    </w:p>
    <w:p w14:paraId="33C96787">
      <w:pPr>
        <w:ind w:firstLine="477" w:firstLineChars="19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24.12投标人之间为谋取中标或者排斥特定投标人而采取的其他联合行动；</w:t>
      </w:r>
    </w:p>
    <w:p w14:paraId="47D52C79">
      <w:pPr>
        <w:ind w:firstLine="477" w:firstLineChars="19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24.13不同投标人与同一投标人联合投标的；</w:t>
      </w:r>
    </w:p>
    <w:p w14:paraId="1933B457">
      <w:pPr>
        <w:ind w:firstLine="477" w:firstLineChars="19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24.14采购人（或采购代理机构）明示或者暗示投标人压低或者抬高投标报价；</w:t>
      </w:r>
    </w:p>
    <w:p w14:paraId="0BB30BC6">
      <w:pPr>
        <w:ind w:firstLine="477" w:firstLineChars="19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24.15采购人（或采购代理机构）明示或者暗示投标人为特定投标人中标提供方便；</w:t>
      </w:r>
    </w:p>
    <w:p w14:paraId="574C3BA9">
      <w:pPr>
        <w:snapToGrid w:val="0"/>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24.16采购人（或采购代理机构）与投标人为谋求特定投标人中标而采取的其他串通行为；</w:t>
      </w:r>
    </w:p>
    <w:p w14:paraId="3231B994">
      <w:pPr>
        <w:snapToGrid w:val="0"/>
        <w:ind w:firstLine="480"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24.17</w:t>
      </w:r>
      <w:r>
        <w:rPr>
          <w:rFonts w:ascii="宋体" w:hAnsi="宋体"/>
          <w:color w:val="000000" w:themeColor="text1"/>
          <w:sz w:val="24"/>
          <w:szCs w:val="24"/>
          <w:highlight w:val="none"/>
          <w14:textFill>
            <w14:solidFill>
              <w14:schemeClr w14:val="tx1"/>
            </w14:solidFill>
          </w14:textFill>
        </w:rPr>
        <w:t>法律、法规或规章规定的其他串通行为。</w:t>
      </w:r>
    </w:p>
    <w:p w14:paraId="3B466959">
      <w:pPr>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25.投标文件的澄清</w:t>
      </w:r>
    </w:p>
    <w:p w14:paraId="64089B57">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对投标文件中含义不明确、同类问题表述不一致或者有明显文字错误的内容，评标委员会可以在“乐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14:paraId="7A386001">
      <w:pPr>
        <w:pStyle w:val="15"/>
        <w:snapToGrid w:val="0"/>
        <w:ind w:left="720" w:leftChars="228" w:hanging="241" w:hangingChars="1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26.</w:t>
      </w:r>
      <w:r>
        <w:rPr>
          <w:rFonts w:ascii="宋体" w:hAnsi="宋体"/>
          <w:b/>
          <w:color w:val="000000" w:themeColor="text1"/>
          <w:highlight w:val="none"/>
          <w14:textFill>
            <w14:solidFill>
              <w14:schemeClr w14:val="tx1"/>
            </w14:solidFill>
          </w14:textFill>
        </w:rPr>
        <w:t>错误修正</w:t>
      </w:r>
    </w:p>
    <w:p w14:paraId="017C7EE0">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投标文件报价出现前后不一致的，按照下列规定修正：</w:t>
      </w:r>
    </w:p>
    <w:p w14:paraId="7A069859">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26.1投标文件中开标一览表（报价表）内容与投标文件中相应内容不一致的，以开标一览表（报价表）为准。</w:t>
      </w:r>
    </w:p>
    <w:p w14:paraId="28F30CC3">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26.2大写金额和小写金额不一致的，以大写金额为准。</w:t>
      </w:r>
    </w:p>
    <w:p w14:paraId="576B8786">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26.3单价金额小数点或者百分比有明显错位的，以开标一览表的总价为准，并修改单价。</w:t>
      </w:r>
    </w:p>
    <w:p w14:paraId="7A1E1091">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26.4总价金额与按单价汇总金额不一致的，以单价金额计算结果为准。</w:t>
      </w:r>
    </w:p>
    <w:p w14:paraId="42378F65">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同时出现两种以上不一致的，按照上述规定的顺序修正。</w:t>
      </w:r>
    </w:p>
    <w:p w14:paraId="54B66EE6">
      <w:pPr>
        <w:pStyle w:val="20"/>
        <w:ind w:firstLine="480" w:firstLineChars="200"/>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按上述修正错误的原则及方法调整或修正投标文件的投标报价，投标人同意</w:t>
      </w:r>
      <w:r>
        <w:rPr>
          <w:rFonts w:hint="eastAsia" w:ascii="宋体" w:hAnsi="宋体"/>
          <w:color w:val="000000" w:themeColor="text1"/>
          <w:sz w:val="24"/>
          <w:highlight w:val="none"/>
          <w14:textFill>
            <w14:solidFill>
              <w14:schemeClr w14:val="tx1"/>
            </w14:solidFill>
          </w14:textFill>
        </w:rPr>
        <w:t>并加盖公章确认</w:t>
      </w:r>
      <w:r>
        <w:rPr>
          <w:rFonts w:ascii="宋体" w:hAnsi="宋体"/>
          <w:color w:val="000000" w:themeColor="text1"/>
          <w:sz w:val="24"/>
          <w:highlight w:val="none"/>
          <w14:textFill>
            <w14:solidFill>
              <w14:schemeClr w14:val="tx1"/>
            </w14:solidFill>
          </w14:textFill>
        </w:rPr>
        <w:t>，调整后的投标报价对投标人具有约束作用。如果投标人不接受修正后的报价，则其投标将</w:t>
      </w:r>
      <w:r>
        <w:rPr>
          <w:rFonts w:hint="eastAsia" w:ascii="宋体" w:hAnsi="宋体"/>
          <w:color w:val="000000" w:themeColor="text1"/>
          <w:sz w:val="24"/>
          <w:highlight w:val="none"/>
          <w14:textFill>
            <w14:solidFill>
              <w14:schemeClr w14:val="tx1"/>
            </w14:solidFill>
          </w14:textFill>
        </w:rPr>
        <w:t>作为无效投标处理</w:t>
      </w:r>
      <w:r>
        <w:rPr>
          <w:rFonts w:ascii="宋体" w:hAnsi="宋体"/>
          <w:color w:val="000000" w:themeColor="text1"/>
          <w:sz w:val="24"/>
          <w:highlight w:val="none"/>
          <w14:textFill>
            <w14:solidFill>
              <w14:schemeClr w14:val="tx1"/>
            </w14:solidFill>
          </w14:textFill>
        </w:rPr>
        <w:t>。</w:t>
      </w:r>
      <w:r>
        <w:rPr>
          <w:rFonts w:ascii="宋体" w:hAnsi="宋体" w:cs="宋体"/>
          <w:color w:val="000000" w:themeColor="text1"/>
          <w:kern w:val="0"/>
          <w:sz w:val="24"/>
          <w:highlight w:val="none"/>
          <w:lang w:bidi="ar"/>
          <w14:textFill>
            <w14:solidFill>
              <w14:schemeClr w14:val="tx1"/>
            </w14:solidFill>
          </w14:textFill>
        </w:rPr>
        <w:br w:type="textWrapping"/>
      </w:r>
      <w:r>
        <w:rPr>
          <w:rFonts w:hint="eastAsia" w:ascii="宋体" w:hAnsi="宋体" w:cs="宋体"/>
          <w:color w:val="000000" w:themeColor="text1"/>
          <w:kern w:val="0"/>
          <w:sz w:val="24"/>
          <w:highlight w:val="none"/>
          <w:lang w:bidi="ar"/>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27.评标办法。</w:t>
      </w:r>
    </w:p>
    <w:p w14:paraId="44F7BBC2">
      <w:pPr>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详见第三章《评标办法》。</w:t>
      </w:r>
    </w:p>
    <w:p w14:paraId="362B29A4">
      <w:pPr>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28.</w:t>
      </w:r>
      <w:r>
        <w:rPr>
          <w:rFonts w:hint="eastAsia" w:ascii="宋体" w:hAnsi="宋体"/>
          <w:b/>
          <w:bCs/>
          <w:color w:val="000000" w:themeColor="text1"/>
          <w:sz w:val="24"/>
          <w:highlight w:val="none"/>
          <w14:textFill>
            <w14:solidFill>
              <w14:schemeClr w14:val="tx1"/>
            </w14:solidFill>
          </w14:textFill>
        </w:rPr>
        <w:t>评标过程的保密</w:t>
      </w:r>
    </w:p>
    <w:p w14:paraId="1335E709">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28.1开标后，直到宣布授予中标人合同为止，凡属于审查、澄清、评价和比较投标文件的有关资料和授予合同的信息，采购人、评标委员会成员都不应向投标人或与该过程无关的其他人员泄露。</w:t>
      </w:r>
    </w:p>
    <w:p w14:paraId="2E446138">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07AB837D">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28.3中标人确定后，采购人不对未中标人就评标过程以及未能中标原因作出任何解释。未中标人不得向评标委员会或其他有关人员索问评标过程的情况和材料。</w:t>
      </w:r>
    </w:p>
    <w:p w14:paraId="151578CC">
      <w:pPr>
        <w:pStyle w:val="8"/>
        <w:spacing w:before="0" w:after="0" w:line="240" w:lineRule="auto"/>
        <w:jc w:val="center"/>
        <w:rPr>
          <w:rFonts w:ascii="宋体" w:hAnsi="宋体" w:eastAsia="宋体"/>
          <w:color w:val="000000" w:themeColor="text1"/>
          <w:sz w:val="28"/>
          <w:szCs w:val="28"/>
          <w:highlight w:val="none"/>
          <w14:textFill>
            <w14:solidFill>
              <w14:schemeClr w14:val="tx1"/>
            </w14:solidFill>
          </w14:textFill>
        </w:rPr>
      </w:pPr>
      <w:bookmarkStart w:id="33" w:name="_Toc125344509"/>
      <w:r>
        <w:rPr>
          <w:rFonts w:hint="eastAsia" w:ascii="宋体" w:hAnsi="宋体" w:eastAsia="宋体"/>
          <w:color w:val="000000" w:themeColor="text1"/>
          <w:sz w:val="28"/>
          <w:szCs w:val="28"/>
          <w:highlight w:val="none"/>
          <w14:textFill>
            <w14:solidFill>
              <w14:schemeClr w14:val="tx1"/>
            </w14:solidFill>
          </w14:textFill>
        </w:rPr>
        <w:t>六、</w:t>
      </w:r>
      <w:bookmarkEnd w:id="33"/>
      <w:r>
        <w:rPr>
          <w:rFonts w:hint="eastAsia" w:ascii="宋体" w:hAnsi="宋体" w:eastAsia="宋体"/>
          <w:color w:val="000000" w:themeColor="text1"/>
          <w:sz w:val="28"/>
          <w:szCs w:val="28"/>
          <w:highlight w:val="none"/>
          <w14:textFill>
            <w14:solidFill>
              <w14:schemeClr w14:val="tx1"/>
            </w14:solidFill>
          </w14:textFill>
        </w:rPr>
        <w:t>定标</w:t>
      </w:r>
    </w:p>
    <w:p w14:paraId="5E4D6720">
      <w:pPr>
        <w:pStyle w:val="20"/>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29.确定中标人。本项目由采购人确定中标人。</w:t>
      </w:r>
    </w:p>
    <w:p w14:paraId="5EF3B95E">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482D2B1F">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29.2第一名中标候选人无正当理由放弃中标成交或被取消中标资格的，同时上报</w:t>
      </w:r>
      <w:r>
        <w:rPr>
          <w:rFonts w:hint="eastAsia" w:ascii="宋体" w:hAnsi="宋体"/>
          <w:color w:val="000000" w:themeColor="text1"/>
          <w:sz w:val="24"/>
          <w:highlight w:val="none"/>
          <w:lang w:val="en-US" w:eastAsia="zh-CN"/>
          <w14:textFill>
            <w14:solidFill>
              <w14:schemeClr w14:val="tx1"/>
            </w14:solidFill>
          </w14:textFill>
        </w:rPr>
        <w:t>采购单位</w:t>
      </w:r>
      <w:r>
        <w:rPr>
          <w:rFonts w:hint="eastAsia" w:ascii="宋体" w:hAnsi="宋体"/>
          <w:color w:val="000000" w:themeColor="text1"/>
          <w:sz w:val="24"/>
          <w:highlight w:val="none"/>
          <w14:textFill>
            <w14:solidFill>
              <w14:schemeClr w14:val="tx1"/>
            </w14:solidFill>
          </w14:textFill>
        </w:rPr>
        <w:t>招投标监管领导小组办公室，</w:t>
      </w:r>
      <w:r>
        <w:rPr>
          <w:rFonts w:hint="eastAsia" w:ascii="宋体" w:hAnsi="宋体"/>
          <w:color w:val="000000" w:themeColor="text1"/>
          <w:sz w:val="24"/>
          <w:highlight w:val="none"/>
          <w:lang w:val="en-US" w:eastAsia="zh-CN"/>
          <w14:textFill>
            <w14:solidFill>
              <w14:schemeClr w14:val="tx1"/>
            </w14:solidFill>
          </w14:textFill>
        </w:rPr>
        <w:t>采购单位</w:t>
      </w:r>
      <w:r>
        <w:rPr>
          <w:rFonts w:hint="eastAsia" w:ascii="宋体" w:hAnsi="宋体"/>
          <w:color w:val="000000" w:themeColor="text1"/>
          <w:sz w:val="24"/>
          <w:highlight w:val="none"/>
          <w14:textFill>
            <w14:solidFill>
              <w14:schemeClr w14:val="tx1"/>
            </w14:solidFill>
          </w14:textFill>
        </w:rPr>
        <w:t>招投标监管领导小组办公室将按《诸暨市招投标市场不良行为记录暂行规定》等有关法律、法规、制度进行处理。</w:t>
      </w:r>
      <w:r>
        <w:rPr>
          <w:rFonts w:hint="eastAsia" w:ascii="宋体" w:hAnsi="宋体"/>
          <w:b/>
          <w:color w:val="000000" w:themeColor="text1"/>
          <w:sz w:val="24"/>
          <w:highlight w:val="none"/>
          <w14:textFill>
            <w14:solidFill>
              <w14:schemeClr w14:val="tx1"/>
            </w14:solidFill>
          </w14:textFill>
        </w:rPr>
        <w:t>此标的将另行组织采购</w:t>
      </w:r>
      <w:r>
        <w:rPr>
          <w:rFonts w:hint="eastAsia" w:ascii="宋体" w:hAnsi="宋体"/>
          <w:color w:val="000000" w:themeColor="text1"/>
          <w:sz w:val="24"/>
          <w:highlight w:val="none"/>
          <w14:textFill>
            <w14:solidFill>
              <w14:schemeClr w14:val="tx1"/>
            </w14:solidFill>
          </w14:textFill>
        </w:rPr>
        <w:t>。</w:t>
      </w:r>
    </w:p>
    <w:p w14:paraId="669F36AC">
      <w:pPr>
        <w:pStyle w:val="20"/>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30.中标通知</w:t>
      </w:r>
    </w:p>
    <w:p w14:paraId="7CDB0510">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30.1采购结果经采购人确认后，采购代理机构将于2个工作日内在浙江省政府采购网上发布中标公告，由采购代理机构通过“乐采云”平台确认并签发《中标通知书》。</w:t>
      </w:r>
      <w:r>
        <w:rPr>
          <w:rFonts w:ascii="宋体" w:hAnsi="宋体"/>
          <w:color w:val="000000" w:themeColor="text1"/>
          <w:sz w:val="24"/>
          <w:highlight w:val="none"/>
          <w14:textFill>
            <w14:solidFill>
              <w14:schemeClr w14:val="tx1"/>
            </w14:solidFill>
          </w14:textFill>
        </w:rPr>
        <w:t>《中标通知书》一经发出即发生法律效力</w:t>
      </w:r>
      <w:r>
        <w:rPr>
          <w:rFonts w:hint="eastAsia" w:ascii="宋体" w:hAnsi="宋体"/>
          <w:color w:val="000000" w:themeColor="text1"/>
          <w:sz w:val="24"/>
          <w:highlight w:val="none"/>
          <w14:textFill>
            <w14:solidFill>
              <w14:schemeClr w14:val="tx1"/>
            </w14:solidFill>
          </w14:textFill>
        </w:rPr>
        <w:t>。</w:t>
      </w:r>
    </w:p>
    <w:p w14:paraId="5E244470">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30.2</w:t>
      </w:r>
      <w:r>
        <w:rPr>
          <w:rFonts w:ascii="宋体" w:hAnsi="宋体"/>
          <w:color w:val="000000" w:themeColor="text1"/>
          <w:sz w:val="24"/>
          <w:highlight w:val="none"/>
          <w14:textFill>
            <w14:solidFill>
              <w14:schemeClr w14:val="tx1"/>
            </w14:solidFill>
          </w14:textFill>
        </w:rPr>
        <w:t>中标结果公告内容包括采购人及其委托的采购</w:t>
      </w:r>
      <w:r>
        <w:rPr>
          <w:rFonts w:hint="eastAsia" w:ascii="宋体" w:hAnsi="宋体"/>
          <w:color w:val="000000" w:themeColor="text1"/>
          <w:sz w:val="24"/>
          <w:highlight w:val="none"/>
          <w14:textFill>
            <w14:solidFill>
              <w14:schemeClr w14:val="tx1"/>
            </w14:solidFill>
          </w14:textFill>
        </w:rPr>
        <w:t>代理机构</w:t>
      </w:r>
      <w:r>
        <w:rPr>
          <w:rFonts w:ascii="宋体" w:hAnsi="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的名称、地址、联系方式，项目名称和项目编号，中标人名称、地址和中标金额，主要中标标的的名称、规格型号、数量、单价、服务要求，中标公告期限以及评审专家名单。</w:t>
      </w:r>
    </w:p>
    <w:p w14:paraId="2F2DFE0D">
      <w:pPr>
        <w:snapToGrid w:val="0"/>
        <w:ind w:firstLine="472" w:firstLineChars="196"/>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31. 中标无效情形</w:t>
      </w:r>
    </w:p>
    <w:p w14:paraId="6ACEBF76">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中标人存在下列情形之一的，中标无效：</w:t>
      </w:r>
    </w:p>
    <w:p w14:paraId="761A2336">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31.1提供虚假材料谋取中标的；</w:t>
      </w:r>
    </w:p>
    <w:p w14:paraId="144DFA81">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31.2采取不正当手段诋毁、排挤其他投标人的；</w:t>
      </w:r>
    </w:p>
    <w:p w14:paraId="377ADDA6">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31.3与采购人、其他投标人恶意串通的；</w:t>
      </w:r>
    </w:p>
    <w:p w14:paraId="322ED5FB">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31.4向采购人、采购代理机构行贿或者提供其他不正当利益的；</w:t>
      </w:r>
    </w:p>
    <w:p w14:paraId="054EDDD3">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31.5在招标过程中与采购人进行协商谈判；不按照招标文件和投标文件订立合同或者与采购人另行背离合同实质性内容的协议的；</w:t>
      </w:r>
    </w:p>
    <w:p w14:paraId="11CE8BFE">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31.6拖延、拒签合同的；</w:t>
      </w:r>
    </w:p>
    <w:p w14:paraId="716861F9">
      <w:pPr>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31.7存在法律、法规规定的其它损害采购人或采购单位利益或社会公共利益的情形的</w:t>
      </w:r>
      <w:r>
        <w:rPr>
          <w:rFonts w:hint="eastAsia" w:ascii="宋体" w:hAnsi="宋体"/>
          <w:color w:val="000000" w:themeColor="text1"/>
          <w:sz w:val="24"/>
          <w:szCs w:val="24"/>
          <w:highlight w:val="none"/>
          <w14:textFill>
            <w14:solidFill>
              <w14:schemeClr w14:val="tx1"/>
            </w14:solidFill>
          </w14:textFill>
        </w:rPr>
        <w:t>。</w:t>
      </w:r>
    </w:p>
    <w:p w14:paraId="1756CBF7">
      <w:pPr>
        <w:snapToGrid w:val="0"/>
        <w:ind w:firstLine="472" w:firstLineChars="196"/>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32.重新招标</w:t>
      </w:r>
    </w:p>
    <w:p w14:paraId="42DD5193">
      <w:pPr>
        <w:pStyle w:val="2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32.1根据诸国资办〔2021〕5号文件有关事项的通知，通过公开招标方式进行采购的，经评审，只有两家单位符合采购条件，且采购文件公告期间无异议，专家组一致认为采购文件没有限制性、排他性条款的，可以继续开标。</w:t>
      </w:r>
    </w:p>
    <w:p w14:paraId="4ECA5357">
      <w:pPr>
        <w:snapToGrid w:val="0"/>
        <w:ind w:firstLine="470" w:firstLineChars="196"/>
        <w:rPr>
          <w:rFonts w:ascii="宋体" w:hAnsi="宋体"/>
          <w:color w:val="000000" w:themeColor="text1"/>
          <w:sz w:val="24"/>
          <w:highlight w:val="none"/>
          <w14:textFill>
            <w14:solidFill>
              <w14:schemeClr w14:val="tx1"/>
            </w14:solidFill>
          </w14:textFill>
        </w:rPr>
      </w:pPr>
    </w:p>
    <w:p w14:paraId="034788ED">
      <w:pPr>
        <w:pStyle w:val="8"/>
        <w:spacing w:before="0" w:after="0" w:line="240" w:lineRule="auto"/>
        <w:jc w:val="center"/>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七、授予合同</w:t>
      </w:r>
    </w:p>
    <w:p w14:paraId="3809E1F4">
      <w:pPr>
        <w:snapToGrid w:val="0"/>
        <w:ind w:firstLine="472" w:firstLineChars="196"/>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33.签订合同</w:t>
      </w:r>
    </w:p>
    <w:p w14:paraId="032F8E96">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33.1采购人与中标人应当在《中标通知书》发出之日起30日内签订合同。</w:t>
      </w:r>
    </w:p>
    <w:p w14:paraId="3743FE8F">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33.2招标文件、中标人的投标文件和评标过程中投标人的询标时作出的承诺及其澄清文件等作为合同签订的依据和主要附件。</w:t>
      </w:r>
    </w:p>
    <w:p w14:paraId="0606CE5E">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33.3合同一式四份，采购单位和中标人各执一份，代理公司、招标办存档一份。</w:t>
      </w:r>
    </w:p>
    <w:p w14:paraId="5EB9EB6C">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33.4中标人和采购单位不得擅自变更、中止或者终止合同，不得另外订立背离合同实质性内容的其它协议。</w:t>
      </w:r>
    </w:p>
    <w:p w14:paraId="011432F4">
      <w:pPr>
        <w:snapToGrid w:val="0"/>
        <w:ind w:firstLine="472" w:firstLineChars="196"/>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34.</w:t>
      </w:r>
      <w:r>
        <w:rPr>
          <w:rFonts w:ascii="宋体" w:hAnsi="宋体"/>
          <w:b/>
          <w:bCs/>
          <w:color w:val="000000" w:themeColor="text1"/>
          <w:sz w:val="24"/>
          <w:highlight w:val="none"/>
          <w14:textFill>
            <w14:solidFill>
              <w14:schemeClr w14:val="tx1"/>
            </w14:solidFill>
          </w14:textFill>
        </w:rPr>
        <w:t>履约保证金</w:t>
      </w:r>
    </w:p>
    <w:p w14:paraId="6630C9E0">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34.1</w:t>
      </w:r>
      <w:r>
        <w:rPr>
          <w:rFonts w:ascii="宋体" w:hAnsi="宋体"/>
          <w:color w:val="000000" w:themeColor="text1"/>
          <w:sz w:val="24"/>
          <w:highlight w:val="none"/>
          <w14:textFill>
            <w14:solidFill>
              <w14:schemeClr w14:val="tx1"/>
            </w14:solidFill>
          </w14:textFill>
        </w:rPr>
        <w:t>中标人</w:t>
      </w:r>
      <w:r>
        <w:rPr>
          <w:rFonts w:hint="eastAsia" w:ascii="宋体" w:hAnsi="宋体"/>
          <w:color w:val="000000" w:themeColor="text1"/>
          <w:sz w:val="24"/>
          <w:highlight w:val="none"/>
          <w14:textFill>
            <w14:solidFill>
              <w14:schemeClr w14:val="tx1"/>
            </w14:solidFill>
          </w14:textFill>
        </w:rPr>
        <w:t>应按招标文件要求向采购人</w:t>
      </w:r>
      <w:r>
        <w:rPr>
          <w:rFonts w:ascii="宋体" w:hAnsi="宋体"/>
          <w:color w:val="000000" w:themeColor="text1"/>
          <w:sz w:val="24"/>
          <w:highlight w:val="none"/>
          <w14:textFill>
            <w14:solidFill>
              <w14:schemeClr w14:val="tx1"/>
            </w14:solidFill>
          </w14:textFill>
        </w:rPr>
        <w:t>提交</w:t>
      </w:r>
      <w:r>
        <w:rPr>
          <w:rFonts w:hint="eastAsia" w:ascii="宋体" w:hAnsi="宋体"/>
          <w:color w:val="000000" w:themeColor="text1"/>
          <w:sz w:val="24"/>
          <w:highlight w:val="none"/>
          <w14:textFill>
            <w14:solidFill>
              <w14:schemeClr w14:val="tx1"/>
            </w14:solidFill>
          </w14:textFill>
        </w:rPr>
        <w:t>履约保</w:t>
      </w:r>
      <w:r>
        <w:rPr>
          <w:rFonts w:ascii="宋体" w:hAnsi="宋体"/>
          <w:color w:val="000000" w:themeColor="text1"/>
          <w:sz w:val="24"/>
          <w:highlight w:val="none"/>
          <w14:textFill>
            <w14:solidFill>
              <w14:schemeClr w14:val="tx1"/>
            </w14:solidFill>
          </w14:textFill>
        </w:rPr>
        <w:t>证金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履约保证金</w:t>
      </w:r>
      <w:r>
        <w:rPr>
          <w:rFonts w:hint="eastAsia" w:ascii="宋体" w:hAnsi="宋体"/>
          <w:color w:val="000000" w:themeColor="text1"/>
          <w:sz w:val="24"/>
          <w:highlight w:val="none"/>
          <w14:textFill>
            <w14:solidFill>
              <w14:schemeClr w14:val="tx1"/>
            </w14:solidFill>
          </w14:textFill>
        </w:rPr>
        <w:t>作为中标人在履行合同和服务承诺的保证。</w:t>
      </w:r>
    </w:p>
    <w:p w14:paraId="2C597CF5">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34.2中标人应当以支票、汇票、本票等非现金形式提交。中标人在履行完合同约定事项后，采购人应及时退还履约保证金。履约保证金不计息。</w:t>
      </w:r>
    </w:p>
    <w:p w14:paraId="6B9BF968">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34.3签订合同后，如中标人不按双方合同约定履约，则没收其全部履约保证金，履约保证金不足以赔偿损失的，按实际损失赔偿。</w:t>
      </w:r>
    </w:p>
    <w:p w14:paraId="75426E69">
      <w:pPr>
        <w:snapToGrid w:val="0"/>
        <w:ind w:firstLine="472" w:firstLineChars="196"/>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35.合同备案</w:t>
      </w:r>
    </w:p>
    <w:p w14:paraId="6F759C2E">
      <w:pPr>
        <w:ind w:firstLine="480" w:firstLineChars="200"/>
        <w:rPr>
          <w:color w:val="000000" w:themeColor="text1"/>
          <w:sz w:val="24"/>
          <w:highlight w:val="none"/>
          <w14:textFill>
            <w14:solidFill>
              <w14:schemeClr w14:val="tx1"/>
            </w14:solidFill>
          </w14:textFill>
        </w:rPr>
      </w:pPr>
      <w:bookmarkStart w:id="34" w:name="_Toc339459646"/>
      <w:bookmarkStart w:id="35" w:name="_Toc352165696"/>
      <w:bookmarkStart w:id="36" w:name="_Toc125344511"/>
      <w:r>
        <w:rPr>
          <w:rFonts w:hint="eastAsia"/>
          <w:color w:val="000000" w:themeColor="text1"/>
          <w:sz w:val="24"/>
          <w:highlight w:val="none"/>
          <w14:textFill>
            <w14:solidFill>
              <w14:schemeClr w14:val="tx1"/>
            </w14:solidFill>
          </w14:textFill>
        </w:rPr>
        <w:t>采购单位应当自采购合同签订之日起七个工作日内，按照有关规定将采购合同送至浙江诚远工程咨询有限公司备案。</w:t>
      </w:r>
    </w:p>
    <w:p w14:paraId="002C97F4">
      <w:pPr>
        <w:jc w:val="center"/>
        <w:rPr>
          <w:color w:val="000000" w:themeColor="text1"/>
          <w:sz w:val="24"/>
          <w:highlight w:val="none"/>
          <w14:textFill>
            <w14:solidFill>
              <w14:schemeClr w14:val="tx1"/>
            </w14:solidFill>
          </w14:textFill>
        </w:rPr>
      </w:pPr>
    </w:p>
    <w:p w14:paraId="12BB5379">
      <w:pPr>
        <w:pStyle w:val="15"/>
        <w:tabs>
          <w:tab w:val="left" w:pos="900"/>
        </w:tabs>
        <w:spacing w:line="360" w:lineRule="exact"/>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八、质疑和投诉</w:t>
      </w:r>
    </w:p>
    <w:p w14:paraId="162B37B2">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36.1开标过程中，投标人对开标有异议的，应当在“乐采云”平台上及时提出，评审委员应对异常情况制作相关记录。</w:t>
      </w:r>
    </w:p>
    <w:p w14:paraId="22A4C94E">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14:paraId="07B922D1">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36.3质疑投诉的相关规定</w:t>
      </w:r>
    </w:p>
    <w:p w14:paraId="013CDB33">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（一）质疑投诉递交的资料需为书面材料。质疑投诉书面材料需法人代表人（或负责人）或授权代表签字并加盖公章。</w:t>
      </w:r>
    </w:p>
    <w:p w14:paraId="4F707276">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（二）质疑投诉属于以下情况之一的，将不予受理：</w:t>
      </w:r>
    </w:p>
    <w:p w14:paraId="46A34580">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(1).质疑投诉人不是所投诉项目的参与者，或者与质疑投诉项目无任何利害关系。</w:t>
      </w:r>
    </w:p>
    <w:p w14:paraId="5CA18672">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(2).质疑投诉事项不具体，且未提供有效线索，难以查证。</w:t>
      </w:r>
    </w:p>
    <w:p w14:paraId="4DD22AFE">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(3).未提供书面质疑或者质疑未加盖公章的；投诉人为法人或者其他组织，其投诉书未经法定代表人或者主要负责人签字并加盖公章的。</w:t>
      </w:r>
    </w:p>
    <w:p w14:paraId="621B7E36">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(4).已超过招标文件规定质疑投诉提出期限的事项。</w:t>
      </w:r>
    </w:p>
    <w:p w14:paraId="0C4AB5E3">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(5).投诉事项已作出处理决定，并且投诉人没有提出新的证据</w:t>
      </w:r>
    </w:p>
    <w:p w14:paraId="655925FE">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(6).质疑投诉的事项已经进入行政复议或者行政诉讼程序的；投诉事项应先提出质疑而没有提出质疑的。</w:t>
      </w:r>
    </w:p>
    <w:p w14:paraId="19149585">
      <w:pPr>
        <w:pStyle w:val="8"/>
        <w:spacing w:before="0" w:after="0" w:line="240" w:lineRule="auto"/>
        <w:ind w:firstLine="480" w:firstLineChars="200"/>
        <w:rPr>
          <w:rFonts w:ascii="宋体" w:hAnsi="宋体" w:eastAsia="宋体"/>
          <w:b w:val="0"/>
          <w:bCs w:val="0"/>
          <w:color w:val="000000" w:themeColor="text1"/>
          <w:kern w:val="0"/>
          <w:sz w:val="24"/>
          <w:szCs w:val="21"/>
          <w:highlight w:val="none"/>
          <w14:textFill>
            <w14:solidFill>
              <w14:schemeClr w14:val="tx1"/>
            </w14:solidFill>
          </w14:textFill>
        </w:rPr>
      </w:pPr>
      <w:r>
        <w:rPr>
          <w:rFonts w:hint="eastAsia" w:ascii="宋体" w:hAnsi="宋体" w:eastAsia="宋体"/>
          <w:b w:val="0"/>
          <w:bCs w:val="0"/>
          <w:color w:val="000000" w:themeColor="text1"/>
          <w:kern w:val="0"/>
          <w:sz w:val="24"/>
          <w:szCs w:val="21"/>
          <w:highlight w:val="none"/>
          <w14:textFill>
            <w14:solidFill>
              <w14:schemeClr w14:val="tx1"/>
            </w14:solidFill>
          </w14:textFill>
        </w:rPr>
        <w:t>(7).不符合采购相关法律法规等有关规定的投诉。</w:t>
      </w:r>
    </w:p>
    <w:p w14:paraId="57932D26">
      <w:pPr>
        <w:pStyle w:val="8"/>
        <w:spacing w:before="0" w:after="0" w:line="240" w:lineRule="auto"/>
        <w:ind w:firstLine="562" w:firstLineChars="200"/>
        <w:jc w:val="center"/>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九、不良行为记录</w:t>
      </w:r>
      <w:bookmarkEnd w:id="34"/>
      <w:bookmarkEnd w:id="35"/>
    </w:p>
    <w:p w14:paraId="2FE3E0BC">
      <w:pPr>
        <w:ind w:firstLine="480" w:firstLineChars="200"/>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投标人在采购活动中出现下列违规行为的将记入</w:t>
      </w:r>
      <w:r>
        <w:rPr>
          <w:rFonts w:hint="eastAsia"/>
          <w:color w:val="000000" w:themeColor="text1"/>
          <w:sz w:val="24"/>
          <w:highlight w:val="none"/>
          <w:lang w:val="en-US" w:eastAsia="zh-CN"/>
          <w14:textFill>
            <w14:solidFill>
              <w14:schemeClr w14:val="tx1"/>
            </w14:solidFill>
          </w14:textFill>
        </w:rPr>
        <w:t>采购</w:t>
      </w:r>
      <w:r>
        <w:rPr>
          <w:rFonts w:hint="eastAsia"/>
          <w:color w:val="000000" w:themeColor="text1"/>
          <w:sz w:val="24"/>
          <w:highlight w:val="none"/>
          <w14:textFill>
            <w14:solidFill>
              <w14:schemeClr w14:val="tx1"/>
            </w14:solidFill>
          </w14:textFill>
        </w:rPr>
        <w:t>单位采购不良行为记录，并在记录时限内暂停其</w:t>
      </w:r>
      <w:r>
        <w:rPr>
          <w:rFonts w:hint="eastAsia"/>
          <w:color w:val="000000" w:themeColor="text1"/>
          <w:sz w:val="24"/>
          <w:highlight w:val="none"/>
          <w:lang w:val="en-US" w:eastAsia="zh-CN"/>
          <w14:textFill>
            <w14:solidFill>
              <w14:schemeClr w14:val="tx1"/>
            </w14:solidFill>
          </w14:textFill>
        </w:rPr>
        <w:t>采购</w:t>
      </w:r>
      <w:r>
        <w:rPr>
          <w:rFonts w:hint="eastAsia"/>
          <w:color w:val="000000" w:themeColor="text1"/>
          <w:sz w:val="24"/>
          <w:highlight w:val="none"/>
          <w14:textFill>
            <w14:solidFill>
              <w14:schemeClr w14:val="tx1"/>
            </w14:solidFill>
          </w14:textFill>
        </w:rPr>
        <w:t>单位范围内采购交易资格。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949"/>
        <w:gridCol w:w="1530"/>
      </w:tblGrid>
      <w:tr w14:paraId="5222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7" w:type="dxa"/>
            <w:vAlign w:val="center"/>
          </w:tcPr>
          <w:p w14:paraId="36F98396">
            <w:pPr>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序号</w:t>
            </w:r>
          </w:p>
        </w:tc>
        <w:tc>
          <w:tcPr>
            <w:tcW w:w="6949" w:type="dxa"/>
            <w:vAlign w:val="center"/>
          </w:tcPr>
          <w:p w14:paraId="77072EBD">
            <w:pPr>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不良行为</w:t>
            </w:r>
          </w:p>
        </w:tc>
        <w:tc>
          <w:tcPr>
            <w:tcW w:w="1530" w:type="dxa"/>
            <w:vAlign w:val="center"/>
          </w:tcPr>
          <w:p w14:paraId="165EDCB6">
            <w:pPr>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记录时限</w:t>
            </w:r>
          </w:p>
        </w:tc>
      </w:tr>
      <w:tr w14:paraId="34A3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7CB6AB8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6949" w:type="dxa"/>
            <w:vAlign w:val="center"/>
          </w:tcPr>
          <w:p w14:paraId="61EBE9C6">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在招标采购过程中，与采购人进行协商谈判的</w:t>
            </w:r>
          </w:p>
        </w:tc>
        <w:tc>
          <w:tcPr>
            <w:tcW w:w="1530" w:type="dxa"/>
            <w:vAlign w:val="center"/>
          </w:tcPr>
          <w:p w14:paraId="78277876">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6个月</w:t>
            </w:r>
          </w:p>
        </w:tc>
      </w:tr>
      <w:tr w14:paraId="2D1D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56B46319">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6949" w:type="dxa"/>
            <w:vAlign w:val="center"/>
          </w:tcPr>
          <w:p w14:paraId="64BD580E">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投标有效期内撤回其投标文件的</w:t>
            </w:r>
          </w:p>
        </w:tc>
        <w:tc>
          <w:tcPr>
            <w:tcW w:w="1530" w:type="dxa"/>
            <w:vAlign w:val="center"/>
          </w:tcPr>
          <w:p w14:paraId="65A36A00">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6个月</w:t>
            </w:r>
          </w:p>
        </w:tc>
      </w:tr>
      <w:tr w14:paraId="5870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512501F2">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6949" w:type="dxa"/>
            <w:vAlign w:val="center"/>
          </w:tcPr>
          <w:p w14:paraId="5463796B">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拒绝有关部门监督检查的</w:t>
            </w:r>
          </w:p>
        </w:tc>
        <w:tc>
          <w:tcPr>
            <w:tcW w:w="1530" w:type="dxa"/>
            <w:vAlign w:val="center"/>
          </w:tcPr>
          <w:p w14:paraId="691455B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6个月</w:t>
            </w:r>
          </w:p>
        </w:tc>
      </w:tr>
      <w:tr w14:paraId="4F3B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31EFC317">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6949" w:type="dxa"/>
            <w:vAlign w:val="center"/>
          </w:tcPr>
          <w:p w14:paraId="1DCFE659">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不积极配合采购人做好标的验收工作的</w:t>
            </w:r>
          </w:p>
        </w:tc>
        <w:tc>
          <w:tcPr>
            <w:tcW w:w="1530" w:type="dxa"/>
            <w:vAlign w:val="center"/>
          </w:tcPr>
          <w:p w14:paraId="6DA189C2">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6个月</w:t>
            </w:r>
          </w:p>
        </w:tc>
      </w:tr>
      <w:tr w14:paraId="67C7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09E55B36">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6949" w:type="dxa"/>
            <w:vAlign w:val="center"/>
          </w:tcPr>
          <w:p w14:paraId="7113B179">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在有关部门的监督检查或考核中被通报批评或处以警告及以上处罚的</w:t>
            </w:r>
          </w:p>
        </w:tc>
        <w:tc>
          <w:tcPr>
            <w:tcW w:w="1530" w:type="dxa"/>
            <w:vAlign w:val="center"/>
          </w:tcPr>
          <w:p w14:paraId="1BB9A747">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6个月</w:t>
            </w:r>
          </w:p>
        </w:tc>
      </w:tr>
      <w:tr w14:paraId="3589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1E7540BE">
            <w:pPr>
              <w:spacing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p>
        </w:tc>
        <w:tc>
          <w:tcPr>
            <w:tcW w:w="6949" w:type="dxa"/>
            <w:vAlign w:val="center"/>
          </w:tcPr>
          <w:p w14:paraId="2189250A">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不遵守投标会场纪律，无理取闹，扰乱交易秩序的</w:t>
            </w:r>
          </w:p>
        </w:tc>
        <w:tc>
          <w:tcPr>
            <w:tcW w:w="1530" w:type="dxa"/>
            <w:vAlign w:val="center"/>
          </w:tcPr>
          <w:p w14:paraId="6C555D02">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1年</w:t>
            </w:r>
          </w:p>
        </w:tc>
      </w:tr>
      <w:tr w14:paraId="62DA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3AAE4F9A">
            <w:pPr>
              <w:spacing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p>
        </w:tc>
        <w:tc>
          <w:tcPr>
            <w:tcW w:w="6949" w:type="dxa"/>
            <w:vAlign w:val="center"/>
          </w:tcPr>
          <w:p w14:paraId="399D1DAA">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中标后无正当理由放弃中标，或在规定时间内不与采购人签订采购合同，或在签订合同时提出附加条件或更改合同实质性内容，或拒不提交所要求的履约保证金的</w:t>
            </w:r>
          </w:p>
        </w:tc>
        <w:tc>
          <w:tcPr>
            <w:tcW w:w="1530" w:type="dxa"/>
            <w:vAlign w:val="center"/>
          </w:tcPr>
          <w:p w14:paraId="48EBF9E4">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1年</w:t>
            </w:r>
          </w:p>
        </w:tc>
      </w:tr>
      <w:tr w14:paraId="1950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2B929F45">
            <w:pPr>
              <w:spacing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p>
        </w:tc>
        <w:tc>
          <w:tcPr>
            <w:tcW w:w="6949" w:type="dxa"/>
            <w:vAlign w:val="center"/>
          </w:tcPr>
          <w:p w14:paraId="533DF53C">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虚假投诉、恶意投诉和不按程序、规定时间进行质疑投诉而影响采购工作正常进行或造成不良影响的</w:t>
            </w:r>
          </w:p>
        </w:tc>
        <w:tc>
          <w:tcPr>
            <w:tcW w:w="1530" w:type="dxa"/>
            <w:vAlign w:val="center"/>
          </w:tcPr>
          <w:p w14:paraId="14673D46">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1年</w:t>
            </w:r>
          </w:p>
        </w:tc>
      </w:tr>
      <w:tr w14:paraId="5196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4E2CDC2C">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6949" w:type="dxa"/>
            <w:vAlign w:val="center"/>
          </w:tcPr>
          <w:p w14:paraId="7434FFF0">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不按照与采购人订立的合同履行义务（包括提供标的、售后服务、技术支持等），严重违反合同规定和廉政合同要求的</w:t>
            </w:r>
          </w:p>
        </w:tc>
        <w:tc>
          <w:tcPr>
            <w:tcW w:w="1530" w:type="dxa"/>
            <w:vAlign w:val="center"/>
          </w:tcPr>
          <w:p w14:paraId="49236BE2">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1年</w:t>
            </w:r>
          </w:p>
        </w:tc>
      </w:tr>
      <w:tr w14:paraId="488D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76FF7CB1">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p>
        </w:tc>
        <w:tc>
          <w:tcPr>
            <w:tcW w:w="6949" w:type="dxa"/>
            <w:vAlign w:val="center"/>
          </w:tcPr>
          <w:p w14:paraId="7F25C865">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项目负责人不到位，或擅自变换项目负责人，或不认真履行职责造成采购人损失的</w:t>
            </w:r>
          </w:p>
        </w:tc>
        <w:tc>
          <w:tcPr>
            <w:tcW w:w="1530" w:type="dxa"/>
            <w:vAlign w:val="center"/>
          </w:tcPr>
          <w:p w14:paraId="363C06A0">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1年</w:t>
            </w:r>
          </w:p>
        </w:tc>
      </w:tr>
      <w:tr w14:paraId="4086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25CC8FE6">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w:t>
            </w:r>
          </w:p>
        </w:tc>
        <w:tc>
          <w:tcPr>
            <w:tcW w:w="6949" w:type="dxa"/>
            <w:vAlign w:val="center"/>
          </w:tcPr>
          <w:p w14:paraId="0AA72A90">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发生经营状况重大变化以及重要担保、重大合同纠纷或诉讼、信用等级和资质变化等可能影响履约能力的重大事项，未及时提供书面报告，因而造成采购人损失的</w:t>
            </w:r>
          </w:p>
        </w:tc>
        <w:tc>
          <w:tcPr>
            <w:tcW w:w="1530" w:type="dxa"/>
            <w:vAlign w:val="center"/>
          </w:tcPr>
          <w:p w14:paraId="339EF154">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1年</w:t>
            </w:r>
          </w:p>
        </w:tc>
      </w:tr>
      <w:tr w14:paraId="13ED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3AA8A0DC">
            <w:pPr>
              <w:spacing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w:t>
            </w:r>
          </w:p>
        </w:tc>
        <w:tc>
          <w:tcPr>
            <w:tcW w:w="6949" w:type="dxa"/>
            <w:vAlign w:val="center"/>
          </w:tcPr>
          <w:p w14:paraId="58A6F5A5">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与采购人、其他供应商或者采购代理机构相互串通的</w:t>
            </w:r>
          </w:p>
        </w:tc>
        <w:tc>
          <w:tcPr>
            <w:tcW w:w="1530" w:type="dxa"/>
            <w:vAlign w:val="center"/>
          </w:tcPr>
          <w:p w14:paraId="5C7AE6F6">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2年</w:t>
            </w:r>
          </w:p>
        </w:tc>
      </w:tr>
      <w:tr w14:paraId="452C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19CE26A5">
            <w:pPr>
              <w:spacing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p>
        </w:tc>
        <w:tc>
          <w:tcPr>
            <w:tcW w:w="6949" w:type="dxa"/>
            <w:vAlign w:val="center"/>
          </w:tcPr>
          <w:p w14:paraId="1600D4C3">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采取不正当手段排挤其他供应商，进行不公平竞争的</w:t>
            </w:r>
          </w:p>
        </w:tc>
        <w:tc>
          <w:tcPr>
            <w:tcW w:w="1530" w:type="dxa"/>
            <w:vAlign w:val="center"/>
          </w:tcPr>
          <w:p w14:paraId="5DA0884F">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2年</w:t>
            </w:r>
          </w:p>
        </w:tc>
      </w:tr>
      <w:tr w14:paraId="6226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6383BCB4">
            <w:pPr>
              <w:spacing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p>
        </w:tc>
        <w:tc>
          <w:tcPr>
            <w:tcW w:w="6949" w:type="dxa"/>
            <w:vAlign w:val="center"/>
          </w:tcPr>
          <w:p w14:paraId="754BF103">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中标后与采购人另行订立背离合同实质内容的协议的</w:t>
            </w:r>
          </w:p>
        </w:tc>
        <w:tc>
          <w:tcPr>
            <w:tcW w:w="1530" w:type="dxa"/>
            <w:vAlign w:val="center"/>
          </w:tcPr>
          <w:p w14:paraId="74065425">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2年</w:t>
            </w:r>
          </w:p>
        </w:tc>
      </w:tr>
      <w:tr w14:paraId="194E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7408BCAB">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w:t>
            </w:r>
          </w:p>
        </w:tc>
        <w:tc>
          <w:tcPr>
            <w:tcW w:w="6949" w:type="dxa"/>
            <w:vAlign w:val="center"/>
          </w:tcPr>
          <w:p w14:paraId="4072C3FA">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事先有承诺，而事后违反承诺内容的</w:t>
            </w:r>
          </w:p>
        </w:tc>
        <w:tc>
          <w:tcPr>
            <w:tcW w:w="1530" w:type="dxa"/>
            <w:vAlign w:val="center"/>
          </w:tcPr>
          <w:p w14:paraId="6372C014">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2年</w:t>
            </w:r>
          </w:p>
        </w:tc>
      </w:tr>
      <w:tr w14:paraId="41F8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7777CABC">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w:t>
            </w:r>
          </w:p>
        </w:tc>
        <w:tc>
          <w:tcPr>
            <w:tcW w:w="6949" w:type="dxa"/>
            <w:vAlign w:val="center"/>
          </w:tcPr>
          <w:p w14:paraId="4CD36DE8">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将中标项目转包或违反规定进行分包的</w:t>
            </w:r>
          </w:p>
        </w:tc>
        <w:tc>
          <w:tcPr>
            <w:tcW w:w="1530" w:type="dxa"/>
            <w:vAlign w:val="center"/>
          </w:tcPr>
          <w:p w14:paraId="20BB70DE">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2年</w:t>
            </w:r>
          </w:p>
        </w:tc>
      </w:tr>
      <w:tr w14:paraId="642B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24C4A49C">
            <w:pPr>
              <w:spacing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w:t>
            </w:r>
          </w:p>
        </w:tc>
        <w:tc>
          <w:tcPr>
            <w:tcW w:w="6949" w:type="dxa"/>
            <w:vAlign w:val="center"/>
          </w:tcPr>
          <w:p w14:paraId="5ADAE710">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提供虚假资料参加投标的</w:t>
            </w:r>
          </w:p>
        </w:tc>
        <w:tc>
          <w:tcPr>
            <w:tcW w:w="1530" w:type="dxa"/>
            <w:vAlign w:val="center"/>
          </w:tcPr>
          <w:p w14:paraId="05C31D6F">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3年</w:t>
            </w:r>
          </w:p>
        </w:tc>
      </w:tr>
      <w:tr w14:paraId="445E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5741D602">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w:t>
            </w:r>
          </w:p>
        </w:tc>
        <w:tc>
          <w:tcPr>
            <w:tcW w:w="6949" w:type="dxa"/>
            <w:vAlign w:val="center"/>
          </w:tcPr>
          <w:p w14:paraId="0DE6BF4C">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以他人名义投标或允许他人以自己名义投标，或者以其他方式弄虚作假的</w:t>
            </w:r>
          </w:p>
        </w:tc>
        <w:tc>
          <w:tcPr>
            <w:tcW w:w="1530" w:type="dxa"/>
            <w:vAlign w:val="center"/>
          </w:tcPr>
          <w:p w14:paraId="67F72788">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3年</w:t>
            </w:r>
          </w:p>
        </w:tc>
      </w:tr>
      <w:tr w14:paraId="3B76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947" w:type="dxa"/>
            <w:vAlign w:val="center"/>
          </w:tcPr>
          <w:p w14:paraId="03E014AF">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19</w:t>
            </w:r>
          </w:p>
        </w:tc>
        <w:tc>
          <w:tcPr>
            <w:tcW w:w="6949" w:type="dxa"/>
            <w:vAlign w:val="center"/>
          </w:tcPr>
          <w:p w14:paraId="54951C19">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未按照采购合同约定及时提供全部货物的，或无故拖延工期的</w:t>
            </w:r>
          </w:p>
        </w:tc>
        <w:tc>
          <w:tcPr>
            <w:tcW w:w="1530" w:type="dxa"/>
            <w:vAlign w:val="center"/>
          </w:tcPr>
          <w:p w14:paraId="323432B2">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3年</w:t>
            </w:r>
          </w:p>
        </w:tc>
      </w:tr>
      <w:tr w14:paraId="43E8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 w:type="dxa"/>
            <w:vAlign w:val="center"/>
          </w:tcPr>
          <w:p w14:paraId="388CBEAC">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w:t>
            </w:r>
          </w:p>
        </w:tc>
        <w:tc>
          <w:tcPr>
            <w:tcW w:w="6949" w:type="dxa"/>
            <w:vAlign w:val="center"/>
          </w:tcPr>
          <w:p w14:paraId="01C7A6A5">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无故不提供中标要求的型号、配置等产品的，或有拆换、调换、截留产品零部件和备品备件的行为的</w:t>
            </w:r>
          </w:p>
        </w:tc>
        <w:tc>
          <w:tcPr>
            <w:tcW w:w="1530" w:type="dxa"/>
            <w:vAlign w:val="center"/>
          </w:tcPr>
          <w:p w14:paraId="272BE9DF">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3年</w:t>
            </w:r>
          </w:p>
        </w:tc>
      </w:tr>
      <w:tr w14:paraId="637F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1F66EFA8">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w:t>
            </w:r>
          </w:p>
        </w:tc>
        <w:tc>
          <w:tcPr>
            <w:tcW w:w="6949" w:type="dxa"/>
            <w:vAlign w:val="center"/>
          </w:tcPr>
          <w:p w14:paraId="3F83056E">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为获取自身利益，向采购人及其他有利害关系的单位或个人提供不正当利益的</w:t>
            </w:r>
          </w:p>
        </w:tc>
        <w:tc>
          <w:tcPr>
            <w:tcW w:w="1530" w:type="dxa"/>
            <w:vAlign w:val="center"/>
          </w:tcPr>
          <w:p w14:paraId="6E94B6C2">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3年</w:t>
            </w:r>
          </w:p>
        </w:tc>
      </w:tr>
      <w:tr w14:paraId="484C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291599B9">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w:t>
            </w:r>
          </w:p>
        </w:tc>
        <w:tc>
          <w:tcPr>
            <w:tcW w:w="6949" w:type="dxa"/>
            <w:vAlign w:val="center"/>
          </w:tcPr>
          <w:p w14:paraId="028D3625">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提供假冒伪劣产品或走私物品的</w:t>
            </w:r>
          </w:p>
        </w:tc>
        <w:tc>
          <w:tcPr>
            <w:tcW w:w="1530" w:type="dxa"/>
            <w:vAlign w:val="center"/>
          </w:tcPr>
          <w:p w14:paraId="43DC2EA6">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5年</w:t>
            </w:r>
          </w:p>
        </w:tc>
      </w:tr>
      <w:tr w14:paraId="7678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3C8555E2">
            <w:pPr>
              <w:spacing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w:t>
            </w:r>
          </w:p>
        </w:tc>
        <w:tc>
          <w:tcPr>
            <w:tcW w:w="6949" w:type="dxa"/>
            <w:vAlign w:val="center"/>
          </w:tcPr>
          <w:p w14:paraId="73AAAC01">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擅自变更、中止、终止或解除采购合同的</w:t>
            </w:r>
          </w:p>
        </w:tc>
        <w:tc>
          <w:tcPr>
            <w:tcW w:w="1530" w:type="dxa"/>
            <w:vAlign w:val="center"/>
          </w:tcPr>
          <w:p w14:paraId="0434BA0E">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5年</w:t>
            </w:r>
          </w:p>
        </w:tc>
      </w:tr>
      <w:tr w14:paraId="016C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1E98C9E3">
            <w:pPr>
              <w:spacing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24</w:t>
            </w:r>
          </w:p>
        </w:tc>
        <w:tc>
          <w:tcPr>
            <w:tcW w:w="6949" w:type="dxa"/>
            <w:vAlign w:val="center"/>
          </w:tcPr>
          <w:p w14:paraId="1E51938E">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向有关人员行贿或者提供不正当利益谋取中标的</w:t>
            </w:r>
          </w:p>
        </w:tc>
        <w:tc>
          <w:tcPr>
            <w:tcW w:w="1530" w:type="dxa"/>
            <w:vAlign w:val="center"/>
          </w:tcPr>
          <w:p w14:paraId="30F6B326">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5年</w:t>
            </w:r>
          </w:p>
        </w:tc>
      </w:tr>
      <w:tr w14:paraId="3AE6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470EBF39">
            <w:pPr>
              <w:spacing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w:t>
            </w:r>
          </w:p>
        </w:tc>
        <w:tc>
          <w:tcPr>
            <w:tcW w:w="6949" w:type="dxa"/>
            <w:vAlign w:val="center"/>
          </w:tcPr>
          <w:p w14:paraId="279E4CE1">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在采购活动期间，对管理机构、采购人、其他投标人、评标专家、中介机构等采购相关机构和人员，采取诋毁、诽谤、胁迫、暴力等不正当手段的</w:t>
            </w:r>
          </w:p>
        </w:tc>
        <w:tc>
          <w:tcPr>
            <w:tcW w:w="1530" w:type="dxa"/>
            <w:vAlign w:val="center"/>
          </w:tcPr>
          <w:p w14:paraId="6A5A99B7">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5年</w:t>
            </w:r>
          </w:p>
        </w:tc>
      </w:tr>
      <w:tr w14:paraId="242E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vAlign w:val="center"/>
          </w:tcPr>
          <w:p w14:paraId="1A4CE1D5">
            <w:pPr>
              <w:spacing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w:t>
            </w:r>
          </w:p>
        </w:tc>
        <w:tc>
          <w:tcPr>
            <w:tcW w:w="6949" w:type="dxa"/>
            <w:vAlign w:val="center"/>
          </w:tcPr>
          <w:p w14:paraId="753F1A48">
            <w:pPr>
              <w:autoSpaceDE/>
              <w:autoSpaceDN/>
              <w:adjustRightInd/>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采购单位</w:t>
            </w:r>
            <w:r>
              <w:rPr>
                <w:rFonts w:hint="eastAsia" w:ascii="宋体" w:hAnsi="宋体"/>
                <w:color w:val="000000" w:themeColor="text1"/>
                <w:sz w:val="24"/>
                <w:highlight w:val="none"/>
                <w14:textFill>
                  <w14:solidFill>
                    <w14:schemeClr w14:val="tx1"/>
                  </w14:solidFill>
                </w14:textFill>
              </w:rPr>
              <w:t>招投标监管领导小组办公室认定的其他违反采购管理的行为</w:t>
            </w:r>
          </w:p>
        </w:tc>
        <w:tc>
          <w:tcPr>
            <w:tcW w:w="1530" w:type="dxa"/>
            <w:vAlign w:val="center"/>
          </w:tcPr>
          <w:p w14:paraId="4E8CEE17">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酌情处理</w:t>
            </w:r>
          </w:p>
        </w:tc>
      </w:tr>
    </w:tbl>
    <w:p w14:paraId="687DF9EF">
      <w:pPr>
        <w:pStyle w:val="8"/>
        <w:spacing w:before="0" w:after="0" w:line="240" w:lineRule="auto"/>
        <w:jc w:val="center"/>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十、监督和解释</w:t>
      </w:r>
      <w:bookmarkEnd w:id="36"/>
    </w:p>
    <w:p w14:paraId="4FC3F4C9">
      <w:pPr>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35.</w:t>
      </w:r>
      <w:r>
        <w:rPr>
          <w:rFonts w:hint="eastAsia" w:ascii="宋体" w:hAnsi="宋体"/>
          <w:color w:val="000000" w:themeColor="text1"/>
          <w:sz w:val="24"/>
          <w:highlight w:val="none"/>
          <w14:textFill>
            <w14:solidFill>
              <w14:schemeClr w14:val="tx1"/>
            </w14:solidFill>
          </w14:textFill>
        </w:rPr>
        <w:t>本次招标活动接受</w:t>
      </w:r>
      <w:r>
        <w:rPr>
          <w:rFonts w:hint="eastAsia" w:ascii="宋体" w:hAnsi="宋体"/>
          <w:color w:val="000000" w:themeColor="text1"/>
          <w:sz w:val="24"/>
          <w:highlight w:val="none"/>
          <w:lang w:val="en-US" w:eastAsia="zh-CN"/>
          <w14:textFill>
            <w14:solidFill>
              <w14:schemeClr w14:val="tx1"/>
            </w14:solidFill>
          </w14:textFill>
        </w:rPr>
        <w:t>采购单位</w:t>
      </w:r>
      <w:r>
        <w:rPr>
          <w:rFonts w:hint="eastAsia" w:ascii="宋体" w:hAnsi="宋体"/>
          <w:color w:val="000000" w:themeColor="text1"/>
          <w:sz w:val="24"/>
          <w:highlight w:val="none"/>
          <w14:textFill>
            <w14:solidFill>
              <w14:schemeClr w14:val="tx1"/>
            </w14:solidFill>
          </w14:textFill>
        </w:rPr>
        <w:t>招投标监管领导小组办公室监督。</w:t>
      </w:r>
    </w:p>
    <w:p w14:paraId="3729F1B3">
      <w:pPr>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36.</w:t>
      </w:r>
      <w:r>
        <w:rPr>
          <w:rFonts w:hint="eastAsia" w:ascii="宋体" w:hAnsi="宋体"/>
          <w:color w:val="000000" w:themeColor="text1"/>
          <w:sz w:val="24"/>
          <w:highlight w:val="none"/>
          <w14:textFill>
            <w14:solidFill>
              <w14:schemeClr w14:val="tx1"/>
            </w14:solidFill>
          </w14:textFill>
        </w:rPr>
        <w:t>本招标文件的解释权属于采购单位和浙江诚远工程咨询有限公司。</w:t>
      </w:r>
    </w:p>
    <w:p w14:paraId="15A47E34">
      <w:pPr>
        <w:ind w:firstLine="480" w:firstLineChars="200"/>
        <w:jc w:val="center"/>
        <w:rPr>
          <w:rFonts w:ascii="宋体" w:hAnsi="宋体"/>
          <w:b/>
          <w:bCs/>
          <w:color w:val="000000" w:themeColor="text1"/>
          <w:sz w:val="44"/>
          <w:szCs w:val="4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44"/>
          <w:szCs w:val="44"/>
          <w:highlight w:val="none"/>
          <w14:textFill>
            <w14:solidFill>
              <w14:schemeClr w14:val="tx1"/>
            </w14:solidFill>
          </w14:textFill>
        </w:rPr>
        <w:t>第三章 评标办法</w:t>
      </w:r>
    </w:p>
    <w:p w14:paraId="042F22C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1、采用</w:t>
      </w:r>
      <w:r>
        <w:rPr>
          <w:rFonts w:hint="eastAsia" w:ascii="宋体" w:hAnsi="宋体"/>
          <w:color w:val="000000" w:themeColor="text1"/>
          <w:sz w:val="24"/>
          <w:highlight w:val="none"/>
          <w:u w:val="single"/>
          <w14:textFill>
            <w14:solidFill>
              <w14:schemeClr w14:val="tx1"/>
            </w14:solidFill>
          </w14:textFill>
        </w:rPr>
        <w:t>　最低评标价法　</w:t>
      </w:r>
      <w:r>
        <w:rPr>
          <w:rFonts w:hint="eastAsia" w:ascii="宋体" w:hAnsi="宋体"/>
          <w:color w:val="000000" w:themeColor="text1"/>
          <w:sz w:val="24"/>
          <w:highlight w:val="none"/>
          <w14:textFill>
            <w14:solidFill>
              <w14:schemeClr w14:val="tx1"/>
            </w14:solidFill>
          </w14:textFill>
        </w:rPr>
        <w:t>。即在符合招标文件要求的前提下，择定各标项评标报价最低的单位为中标候选人，即预中标人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1D766F4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2、各标项中标候选资格按评标报价由低到高顺序排列，如有两个或两个以上投标人的报价相同且均为最低报价的，则当场抽签确定预中标人。</w:t>
      </w:r>
    </w:p>
    <w:p w14:paraId="37E354A8">
      <w:pPr>
        <w:pStyle w:val="7"/>
        <w:spacing w:before="0" w:after="0" w:line="360" w:lineRule="auto"/>
        <w:ind w:firstLine="480" w:firstLineChars="200"/>
        <w:rPr>
          <w:rFonts w:ascii="宋体" w:hAnsi="宋体"/>
          <w:b w:val="0"/>
          <w:color w:val="000000" w:themeColor="text1"/>
          <w:kern w:val="0"/>
          <w:sz w:val="24"/>
          <w:highlight w:val="none"/>
          <w14:textFill>
            <w14:solidFill>
              <w14:schemeClr w14:val="tx1"/>
            </w14:solidFill>
          </w14:textFill>
        </w:rPr>
      </w:pPr>
      <w:r>
        <w:rPr>
          <w:rFonts w:hint="eastAsia" w:ascii="宋体" w:hAnsi="宋体"/>
          <w:b w:val="0"/>
          <w:color w:val="000000" w:themeColor="text1"/>
          <w:kern w:val="0"/>
          <w:sz w:val="24"/>
          <w:highlight w:val="none"/>
          <w14:textFill>
            <w14:solidFill>
              <w14:schemeClr w14:val="tx1"/>
            </w14:solidFill>
          </w14:textFill>
        </w:rPr>
        <w:t>3、若评审小组一致认为投标人的投标报价明显不合理，有降低质量、不能诚信履约的可能时，评审小组有权通知该投标人限期进行解释。如投标方未在规定期限内作出解释，或所作解释不合理，经评审小组取得一致意见后，可确定该投标人的报价无效。评审小组确定评标价次低的投标人为中标候选人。</w:t>
      </w:r>
    </w:p>
    <w:p w14:paraId="3EDD0CC4">
      <w:pPr>
        <w:pStyle w:val="7"/>
        <w:spacing w:before="0" w:after="0" w:line="360" w:lineRule="auto"/>
        <w:ind w:left="402"/>
        <w:rPr>
          <w:rFonts w:ascii="宋体" w:hAnsi="宋体"/>
          <w:b w:val="0"/>
          <w:color w:val="000000" w:themeColor="text1"/>
          <w:kern w:val="0"/>
          <w:sz w:val="24"/>
          <w:highlight w:val="none"/>
          <w14:textFill>
            <w14:solidFill>
              <w14:schemeClr w14:val="tx1"/>
            </w14:solidFill>
          </w14:textFill>
        </w:rPr>
      </w:pPr>
      <w:r>
        <w:rPr>
          <w:rFonts w:hint="eastAsia" w:ascii="宋体" w:hAnsi="宋体"/>
          <w:b w:val="0"/>
          <w:color w:val="000000" w:themeColor="text1"/>
          <w:kern w:val="0"/>
          <w:sz w:val="24"/>
          <w:highlight w:val="none"/>
          <w14:textFill>
            <w14:solidFill>
              <w14:schemeClr w14:val="tx1"/>
            </w14:solidFill>
          </w14:textFill>
        </w:rPr>
        <w:t>4、若投标文件均不能满足采购文件要求的，将被废标。</w:t>
      </w:r>
    </w:p>
    <w:p w14:paraId="26A44085">
      <w:pPr>
        <w:pStyle w:val="30"/>
        <w:ind w:left="0" w:leftChars="0" w:firstLine="0"/>
        <w:rPr>
          <w:rFonts w:ascii="宋体" w:hAnsi="宋体"/>
          <w:b/>
          <w:bCs/>
          <w:color w:val="000000" w:themeColor="text1"/>
          <w:sz w:val="44"/>
          <w:szCs w:val="44"/>
          <w:highlight w:val="none"/>
          <w14:textFill>
            <w14:solidFill>
              <w14:schemeClr w14:val="tx1"/>
            </w14:solidFill>
          </w14:textFill>
        </w:rPr>
        <w:sectPr>
          <w:headerReference r:id="rId3" w:type="first"/>
          <w:footerReference r:id="rId4" w:type="default"/>
          <w:footerReference r:id="rId5" w:type="even"/>
          <w:pgSz w:w="11906" w:h="16838"/>
          <w:pgMar w:top="1236" w:right="1236" w:bottom="1236" w:left="1236" w:header="851" w:footer="907" w:gutter="0"/>
          <w:pgNumType w:start="0"/>
          <w:cols w:space="720" w:num="1"/>
          <w:titlePg/>
          <w:docGrid w:type="lines" w:linePitch="312" w:charSpace="0"/>
        </w:sectPr>
      </w:pPr>
    </w:p>
    <w:p w14:paraId="6D558077">
      <w:pPr>
        <w:pStyle w:val="7"/>
        <w:snapToGrid w:val="0"/>
        <w:spacing w:before="0" w:after="0" w:line="240" w:lineRule="auto"/>
        <w:jc w:val="center"/>
        <w:rPr>
          <w:rFonts w:ascii="宋体" w:hAnsi="宋体"/>
          <w:color w:val="000000" w:themeColor="text1"/>
          <w:szCs w:val="44"/>
          <w:highlight w:val="none"/>
          <w14:textFill>
            <w14:solidFill>
              <w14:schemeClr w14:val="tx1"/>
            </w14:solidFill>
          </w14:textFill>
        </w:rPr>
      </w:pPr>
      <w:bookmarkStart w:id="37" w:name="_Toc125344512"/>
      <w:r>
        <w:rPr>
          <w:rFonts w:hint="eastAsia" w:ascii="宋体" w:hAnsi="宋体"/>
          <w:color w:val="000000" w:themeColor="text1"/>
          <w:szCs w:val="44"/>
          <w:highlight w:val="none"/>
          <w14:textFill>
            <w14:solidFill>
              <w14:schemeClr w14:val="tx1"/>
            </w14:solidFill>
          </w14:textFill>
        </w:rPr>
        <w:t>第四章 采购需求</w:t>
      </w:r>
      <w:bookmarkEnd w:id="37"/>
    </w:p>
    <w:p w14:paraId="355E6BD4">
      <w:pPr>
        <w:autoSpaceDE/>
        <w:autoSpaceDN/>
        <w:adjustRightInd/>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一、项目基本情况 </w:t>
      </w:r>
    </w:p>
    <w:p w14:paraId="41BFF61F">
      <w:pPr>
        <w:pStyle w:val="29"/>
        <w:widowControl w:val="0"/>
        <w:spacing w:afterLines="0" w:line="360" w:lineRule="auto"/>
        <w:ind w:firstLine="480"/>
        <w:rPr>
          <w:rFonts w:hint="default" w:ascii="宋体" w:hAnsi="宋体" w:eastAsia="宋体" w:cs="宋体"/>
          <w:bCs/>
          <w:color w:val="000000" w:themeColor="text1"/>
          <w:highlight w:val="none"/>
          <w:lang w:val="en-US" w:eastAsia="zh-CN"/>
          <w14:textFill>
            <w14:solidFill>
              <w14:schemeClr w14:val="tx1"/>
            </w14:solidFill>
          </w14:textFill>
        </w:rPr>
      </w:pPr>
      <w:bookmarkStart w:id="38" w:name="_Toc47814510"/>
      <w:r>
        <w:rPr>
          <w:rFonts w:hint="eastAsia" w:ascii="宋体" w:hAnsi="宋体" w:cs="宋体"/>
          <w:color w:val="000000" w:themeColor="text1"/>
          <w:szCs w:val="24"/>
          <w:highlight w:val="none"/>
          <w14:textFill>
            <w14:solidFill>
              <w14:schemeClr w14:val="tx1"/>
            </w14:solidFill>
          </w14:textFill>
        </w:rPr>
        <w:t>诸暨市八方混凝土建材有限公司2025-2027年混凝土（砂浆）运输、泵送业务采购项目</w:t>
      </w:r>
      <w:r>
        <w:rPr>
          <w:rFonts w:hint="eastAsia" w:ascii="宋体" w:hAnsi="宋体" w:cs="宋体"/>
          <w:bCs/>
          <w:color w:val="000000" w:themeColor="text1"/>
          <w:highlight w:val="none"/>
          <w14:textFill>
            <w14:solidFill>
              <w14:schemeClr w14:val="tx1"/>
            </w14:solidFill>
          </w14:textFill>
        </w:rPr>
        <w:t>，服务时间为自合同签订之日起两年或本项目各标项采购预算</w:t>
      </w:r>
      <w:r>
        <w:rPr>
          <w:rFonts w:hint="eastAsia" w:ascii="宋体" w:hAnsi="宋体" w:cs="宋体"/>
          <w:bCs/>
          <w:color w:val="000000" w:themeColor="text1"/>
          <w:highlight w:val="none"/>
          <w:lang w:val="en-US" w:eastAsia="zh-CN"/>
          <w14:textFill>
            <w14:solidFill>
              <w14:schemeClr w14:val="tx1"/>
            </w14:solidFill>
          </w14:textFill>
        </w:rPr>
        <w:t>总</w:t>
      </w:r>
      <w:r>
        <w:rPr>
          <w:rFonts w:hint="eastAsia" w:ascii="宋体" w:hAnsi="宋体" w:cs="宋体"/>
          <w:bCs/>
          <w:color w:val="000000" w:themeColor="text1"/>
          <w:highlight w:val="none"/>
          <w14:textFill>
            <w14:solidFill>
              <w14:schemeClr w14:val="tx1"/>
            </w14:solidFill>
          </w14:textFill>
        </w:rPr>
        <w:t>金额满止。</w:t>
      </w:r>
      <w:r>
        <w:rPr>
          <w:rFonts w:hint="eastAsia" w:ascii="宋体" w:hAnsi="宋体" w:cs="宋体"/>
          <w:bCs/>
          <w:color w:val="000000" w:themeColor="text1"/>
          <w:highlight w:val="none"/>
          <w:lang w:val="en-US" w:eastAsia="zh-CN"/>
          <w14:textFill>
            <w14:solidFill>
              <w14:schemeClr w14:val="tx1"/>
            </w14:solidFill>
          </w14:textFill>
        </w:rPr>
        <w:t>标项一两年</w:t>
      </w:r>
      <w:r>
        <w:rPr>
          <w:rFonts w:hint="eastAsia" w:ascii="宋体" w:hAnsi="宋体" w:cs="宋体"/>
          <w:bCs/>
          <w:color w:val="000000" w:themeColor="text1"/>
          <w:highlight w:val="none"/>
          <w14:textFill>
            <w14:solidFill>
              <w14:schemeClr w14:val="tx1"/>
            </w14:solidFill>
          </w14:textFill>
        </w:rPr>
        <w:t>采购预算</w:t>
      </w:r>
      <w:r>
        <w:rPr>
          <w:rFonts w:hint="eastAsia" w:ascii="宋体" w:hAnsi="宋体" w:cs="宋体"/>
          <w:bCs/>
          <w:color w:val="000000" w:themeColor="text1"/>
          <w:highlight w:val="none"/>
          <w:lang w:val="en-US" w:eastAsia="zh-CN"/>
          <w14:textFill>
            <w14:solidFill>
              <w14:schemeClr w14:val="tx1"/>
            </w14:solidFill>
          </w14:textFill>
        </w:rPr>
        <w:t>总</w:t>
      </w:r>
      <w:r>
        <w:rPr>
          <w:rFonts w:hint="eastAsia" w:ascii="宋体" w:hAnsi="宋体" w:cs="宋体"/>
          <w:bCs/>
          <w:color w:val="000000" w:themeColor="text1"/>
          <w:highlight w:val="none"/>
          <w14:textFill>
            <w14:solidFill>
              <w14:schemeClr w14:val="tx1"/>
            </w14:solidFill>
          </w14:textFill>
        </w:rPr>
        <w:t>金额</w:t>
      </w:r>
      <w:r>
        <w:rPr>
          <w:rFonts w:hint="eastAsia" w:ascii="宋体" w:hAnsi="宋体" w:cs="宋体"/>
          <w:bCs/>
          <w:color w:val="000000" w:themeColor="text1"/>
          <w:highlight w:val="none"/>
          <w:lang w:val="en-US" w:eastAsia="zh-CN"/>
          <w14:textFill>
            <w14:solidFill>
              <w14:schemeClr w14:val="tx1"/>
            </w14:solidFill>
          </w14:textFill>
        </w:rPr>
        <w:t>为880.00万元，标项二两年</w:t>
      </w:r>
      <w:r>
        <w:rPr>
          <w:rFonts w:hint="eastAsia" w:ascii="宋体" w:hAnsi="宋体" w:cs="宋体"/>
          <w:bCs/>
          <w:color w:val="000000" w:themeColor="text1"/>
          <w:highlight w:val="none"/>
          <w14:textFill>
            <w14:solidFill>
              <w14:schemeClr w14:val="tx1"/>
            </w14:solidFill>
          </w14:textFill>
        </w:rPr>
        <w:t>采购预算</w:t>
      </w:r>
      <w:r>
        <w:rPr>
          <w:rFonts w:hint="eastAsia" w:ascii="宋体" w:hAnsi="宋体" w:cs="宋体"/>
          <w:bCs/>
          <w:color w:val="000000" w:themeColor="text1"/>
          <w:highlight w:val="none"/>
          <w:lang w:val="en-US" w:eastAsia="zh-CN"/>
          <w14:textFill>
            <w14:solidFill>
              <w14:schemeClr w14:val="tx1"/>
            </w14:solidFill>
          </w14:textFill>
        </w:rPr>
        <w:t>总</w:t>
      </w:r>
      <w:r>
        <w:rPr>
          <w:rFonts w:hint="eastAsia" w:ascii="宋体" w:hAnsi="宋体" w:cs="宋体"/>
          <w:bCs/>
          <w:color w:val="000000" w:themeColor="text1"/>
          <w:highlight w:val="none"/>
          <w14:textFill>
            <w14:solidFill>
              <w14:schemeClr w14:val="tx1"/>
            </w14:solidFill>
          </w14:textFill>
        </w:rPr>
        <w:t>金额</w:t>
      </w:r>
      <w:r>
        <w:rPr>
          <w:rFonts w:hint="eastAsia" w:ascii="宋体" w:hAnsi="宋体" w:cs="宋体"/>
          <w:bCs/>
          <w:color w:val="000000" w:themeColor="text1"/>
          <w:highlight w:val="none"/>
          <w:lang w:val="en-US" w:eastAsia="zh-CN"/>
          <w14:textFill>
            <w14:solidFill>
              <w14:schemeClr w14:val="tx1"/>
            </w14:solidFill>
          </w14:textFill>
        </w:rPr>
        <w:t>为880.00万元，标项三两年</w:t>
      </w:r>
      <w:r>
        <w:rPr>
          <w:rFonts w:hint="eastAsia" w:ascii="宋体" w:hAnsi="宋体" w:cs="宋体"/>
          <w:bCs/>
          <w:color w:val="000000" w:themeColor="text1"/>
          <w:highlight w:val="none"/>
          <w14:textFill>
            <w14:solidFill>
              <w14:schemeClr w14:val="tx1"/>
            </w14:solidFill>
          </w14:textFill>
        </w:rPr>
        <w:t>采购预算</w:t>
      </w:r>
      <w:r>
        <w:rPr>
          <w:rFonts w:hint="eastAsia" w:ascii="宋体" w:hAnsi="宋体" w:cs="宋体"/>
          <w:bCs/>
          <w:color w:val="000000" w:themeColor="text1"/>
          <w:highlight w:val="none"/>
          <w:lang w:val="en-US" w:eastAsia="zh-CN"/>
          <w14:textFill>
            <w14:solidFill>
              <w14:schemeClr w14:val="tx1"/>
            </w14:solidFill>
          </w14:textFill>
        </w:rPr>
        <w:t>总</w:t>
      </w:r>
      <w:r>
        <w:rPr>
          <w:rFonts w:hint="eastAsia" w:ascii="宋体" w:hAnsi="宋体" w:cs="宋体"/>
          <w:bCs/>
          <w:color w:val="000000" w:themeColor="text1"/>
          <w:highlight w:val="none"/>
          <w14:textFill>
            <w14:solidFill>
              <w14:schemeClr w14:val="tx1"/>
            </w14:solidFill>
          </w14:textFill>
        </w:rPr>
        <w:t>金额</w:t>
      </w:r>
      <w:r>
        <w:rPr>
          <w:rFonts w:hint="eastAsia" w:ascii="宋体" w:hAnsi="宋体" w:cs="宋体"/>
          <w:bCs/>
          <w:color w:val="000000" w:themeColor="text1"/>
          <w:highlight w:val="none"/>
          <w:lang w:val="en-US" w:eastAsia="zh-CN"/>
          <w14:textFill>
            <w14:solidFill>
              <w14:schemeClr w14:val="tx1"/>
            </w14:solidFill>
          </w14:textFill>
        </w:rPr>
        <w:t>为1100.88万元。</w:t>
      </w:r>
    </w:p>
    <w:p w14:paraId="7AA580EA">
      <w:pPr>
        <w:pStyle w:val="29"/>
        <w:widowControl w:val="0"/>
        <w:spacing w:afterLines="0" w:line="360" w:lineRule="auto"/>
        <w:ind w:firstLine="48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根据近几年产销量预算，考虑生产能力与运输、泵送能力匹配，以及后续政府相关部门对车辆的要求，拟暂定各车型数量：</w:t>
      </w:r>
    </w:p>
    <w:p w14:paraId="04AA5D08">
      <w:pPr>
        <w:pStyle w:val="29"/>
        <w:widowControl w:val="0"/>
        <w:numPr>
          <w:ilvl w:val="0"/>
          <w:numId w:val="4"/>
        </w:numPr>
        <w:spacing w:afterLines="0" w:line="360" w:lineRule="auto"/>
        <w:ind w:firstLine="48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混凝土（砂浆）运输车：28台</w:t>
      </w:r>
      <w:r>
        <w:rPr>
          <w:rFonts w:hint="eastAsia" w:ascii="宋体" w:hAnsi="宋体" w:cs="宋体"/>
          <w:bCs/>
          <w:color w:val="000000" w:themeColor="text1"/>
          <w:highlight w:val="none"/>
          <w:lang w:eastAsia="zh-CN"/>
          <w14:textFill>
            <w14:solidFill>
              <w14:schemeClr w14:val="tx1"/>
            </w14:solidFill>
          </w14:textFill>
        </w:rPr>
        <w:t>（</w:t>
      </w:r>
      <w:r>
        <w:rPr>
          <w:rFonts w:hint="eastAsia" w:ascii="宋体" w:hAnsi="宋体" w:cs="宋体"/>
          <w:bCs/>
          <w:color w:val="000000" w:themeColor="text1"/>
          <w:highlight w:val="none"/>
          <w:lang w:val="en-US" w:eastAsia="zh-CN"/>
          <w14:textFill>
            <w14:solidFill>
              <w14:schemeClr w14:val="tx1"/>
            </w14:solidFill>
          </w14:textFill>
        </w:rPr>
        <w:t>实际以采购人需求为准</w:t>
      </w:r>
      <w:r>
        <w:rPr>
          <w:rFonts w:hint="eastAsia" w:ascii="宋体" w:hAnsi="宋体" w:cs="宋体"/>
          <w:bCs/>
          <w:color w:val="000000" w:themeColor="text1"/>
          <w:highlight w:val="none"/>
          <w:lang w:eastAsia="zh-CN"/>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w:t>
      </w:r>
    </w:p>
    <w:p w14:paraId="41DEF886">
      <w:pPr>
        <w:pStyle w:val="29"/>
        <w:widowControl w:val="0"/>
        <w:spacing w:afterLines="0" w:line="360" w:lineRule="auto"/>
        <w:ind w:firstLine="480"/>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标项一、标项二各</w:t>
      </w:r>
      <w:r>
        <w:rPr>
          <w:rFonts w:hint="eastAsia" w:ascii="宋体" w:hAnsi="宋体" w:cs="宋体"/>
          <w:bCs/>
          <w:color w:val="000000" w:themeColor="text1"/>
          <w:highlight w:val="none"/>
          <w:lang w:val="en-US" w:eastAsia="zh-CN"/>
          <w14:textFill>
            <w14:solidFill>
              <w14:schemeClr w14:val="tx1"/>
            </w14:solidFill>
          </w14:textFill>
        </w:rPr>
        <w:t>投标人须提供最少12台（含12台），</w:t>
      </w:r>
      <w:r>
        <w:rPr>
          <w:rFonts w:hint="eastAsia" w:ascii="宋体" w:hAnsi="宋体" w:cs="宋体"/>
          <w:bCs/>
          <w:color w:val="000000" w:themeColor="text1"/>
          <w:highlight w:val="none"/>
          <w14:textFill>
            <w14:solidFill>
              <w14:schemeClr w14:val="tx1"/>
            </w14:solidFill>
          </w14:textFill>
        </w:rPr>
        <w:t>最多1</w:t>
      </w:r>
      <w:r>
        <w:rPr>
          <w:rFonts w:hint="eastAsia" w:ascii="宋体" w:hAnsi="宋体" w:cs="宋体"/>
          <w:bCs/>
          <w:color w:val="000000" w:themeColor="text1"/>
          <w:highlight w:val="none"/>
          <w:lang w:val="en-US" w:eastAsia="zh-CN"/>
          <w14:textFill>
            <w14:solidFill>
              <w14:schemeClr w14:val="tx1"/>
            </w14:solidFill>
          </w14:textFill>
        </w:rPr>
        <w:t>4</w:t>
      </w:r>
      <w:r>
        <w:rPr>
          <w:rFonts w:hint="eastAsia" w:ascii="宋体" w:hAnsi="宋体" w:cs="宋体"/>
          <w:bCs/>
          <w:color w:val="000000" w:themeColor="text1"/>
          <w:highlight w:val="none"/>
          <w14:textFill>
            <w14:solidFill>
              <w14:schemeClr w14:val="tx1"/>
            </w14:solidFill>
          </w14:textFill>
        </w:rPr>
        <w:t>台（含1</w:t>
      </w:r>
      <w:r>
        <w:rPr>
          <w:rFonts w:hint="eastAsia" w:ascii="宋体" w:hAnsi="宋体" w:cs="宋体"/>
          <w:bCs/>
          <w:color w:val="000000" w:themeColor="text1"/>
          <w:highlight w:val="none"/>
          <w:lang w:val="en-US" w:eastAsia="zh-CN"/>
          <w14:textFill>
            <w14:solidFill>
              <w14:schemeClr w14:val="tx1"/>
            </w14:solidFill>
          </w14:textFill>
        </w:rPr>
        <w:t>4</w:t>
      </w:r>
      <w:r>
        <w:rPr>
          <w:rFonts w:hint="eastAsia" w:ascii="宋体" w:hAnsi="宋体" w:cs="宋体"/>
          <w:bCs/>
          <w:color w:val="000000" w:themeColor="text1"/>
          <w:highlight w:val="none"/>
          <w14:textFill>
            <w14:solidFill>
              <w14:schemeClr w14:val="tx1"/>
            </w14:solidFill>
          </w14:textFill>
        </w:rPr>
        <w:t>台）</w:t>
      </w:r>
      <w:r>
        <w:rPr>
          <w:rFonts w:hint="eastAsia" w:ascii="宋体" w:hAnsi="宋体" w:cs="宋体"/>
          <w:bCs/>
          <w:color w:val="000000" w:themeColor="text1"/>
          <w:highlight w:val="none"/>
          <w:lang w:val="en-US" w:eastAsia="zh-CN"/>
          <w14:textFill>
            <w14:solidFill>
              <w14:schemeClr w14:val="tx1"/>
            </w14:solidFill>
          </w14:textFill>
        </w:rPr>
        <w:t>的</w:t>
      </w:r>
      <w:r>
        <w:rPr>
          <w:rFonts w:hint="eastAsia" w:ascii="宋体" w:hAnsi="宋体" w:cs="宋体"/>
          <w:bCs/>
          <w:color w:val="000000" w:themeColor="text1"/>
          <w:highlight w:val="none"/>
          <w14:textFill>
            <w14:solidFill>
              <w14:schemeClr w14:val="tx1"/>
            </w14:solidFill>
          </w14:textFill>
        </w:rPr>
        <w:t>混凝土（砂浆）运输车</w:t>
      </w:r>
      <w:r>
        <w:rPr>
          <w:rFonts w:hint="eastAsia" w:ascii="宋体" w:hAnsi="宋体" w:cs="宋体"/>
          <w:bCs/>
          <w:color w:val="000000" w:themeColor="text1"/>
          <w:highlight w:val="none"/>
          <w:lang w:eastAsia="zh-CN"/>
          <w14:textFill>
            <w14:solidFill>
              <w14:schemeClr w14:val="tx1"/>
            </w14:solidFill>
          </w14:textFill>
        </w:rPr>
        <w:t>，</w:t>
      </w:r>
      <w:r>
        <w:rPr>
          <w:rFonts w:hint="eastAsia" w:ascii="宋体" w:hAnsi="宋体" w:cs="宋体"/>
          <w:bCs/>
          <w:color w:val="000000" w:themeColor="text1"/>
          <w:highlight w:val="none"/>
          <w:lang w:val="en-US" w:eastAsia="zh-CN"/>
          <w14:textFill>
            <w14:solidFill>
              <w14:schemeClr w14:val="tx1"/>
            </w14:solidFill>
          </w14:textFill>
        </w:rPr>
        <w:t>最终中标车辆台数</w:t>
      </w:r>
      <w:r>
        <w:rPr>
          <w:rFonts w:hint="eastAsia" w:ascii="宋体" w:hAnsi="宋体" w:cs="宋体"/>
          <w:bCs/>
          <w:color w:val="000000" w:themeColor="text1"/>
          <w:highlight w:val="none"/>
          <w14:textFill>
            <w14:solidFill>
              <w14:schemeClr w14:val="tx1"/>
            </w14:solidFill>
          </w14:textFill>
        </w:rPr>
        <w:t>以</w:t>
      </w:r>
      <w:r>
        <w:rPr>
          <w:rFonts w:hint="eastAsia" w:ascii="宋体" w:hAnsi="宋体" w:cs="宋体"/>
          <w:bCs/>
          <w:color w:val="000000" w:themeColor="text1"/>
          <w:highlight w:val="none"/>
          <w:lang w:val="en-US" w:eastAsia="zh-CN"/>
          <w14:textFill>
            <w14:solidFill>
              <w14:schemeClr w14:val="tx1"/>
            </w14:solidFill>
          </w14:textFill>
        </w:rPr>
        <w:t>各标项</w:t>
      </w:r>
      <w:r>
        <w:rPr>
          <w:rFonts w:hint="eastAsia" w:ascii="宋体" w:hAnsi="宋体" w:cs="宋体"/>
          <w:bCs/>
          <w:color w:val="000000" w:themeColor="text1"/>
          <w:highlight w:val="none"/>
          <w14:textFill>
            <w14:solidFill>
              <w14:schemeClr w14:val="tx1"/>
            </w14:solidFill>
          </w14:textFill>
        </w:rPr>
        <w:t>中标单位提供的车辆台数为准</w:t>
      </w:r>
      <w:r>
        <w:rPr>
          <w:rFonts w:hint="eastAsia" w:ascii="宋体" w:hAnsi="宋体" w:cs="宋体"/>
          <w:bCs/>
          <w:color w:val="000000" w:themeColor="text1"/>
          <w:highlight w:val="none"/>
          <w:lang w:eastAsia="zh-CN"/>
          <w14:textFill>
            <w14:solidFill>
              <w14:schemeClr w14:val="tx1"/>
            </w14:solidFill>
          </w14:textFill>
        </w:rPr>
        <w:t>。</w:t>
      </w:r>
      <w:r>
        <w:rPr>
          <w:rFonts w:hint="eastAsia" w:ascii="宋体" w:hAnsi="宋体" w:cs="宋体"/>
          <w:bCs/>
          <w:color w:val="000000" w:themeColor="text1"/>
          <w:highlight w:val="none"/>
          <w:lang w:val="en-US" w:eastAsia="zh-CN"/>
          <w14:textFill>
            <w14:solidFill>
              <w14:schemeClr w14:val="tx1"/>
            </w14:solidFill>
          </w14:textFill>
        </w:rPr>
        <w:t>各标项投标人</w:t>
      </w:r>
      <w:r>
        <w:rPr>
          <w:rFonts w:hint="eastAsia" w:ascii="宋体" w:hAnsi="宋体" w:cs="宋体"/>
          <w:bCs/>
          <w:color w:val="000000" w:themeColor="text1"/>
          <w:highlight w:val="none"/>
          <w14:textFill>
            <w14:solidFill>
              <w14:schemeClr w14:val="tx1"/>
            </w14:solidFill>
          </w14:textFill>
        </w:rPr>
        <w:t>另外</w:t>
      </w:r>
      <w:r>
        <w:rPr>
          <w:rFonts w:hint="eastAsia" w:ascii="宋体" w:hAnsi="宋体" w:cs="宋体"/>
          <w:bCs/>
          <w:color w:val="000000" w:themeColor="text1"/>
          <w:highlight w:val="none"/>
          <w:lang w:val="en-US" w:eastAsia="zh-CN"/>
          <w14:textFill>
            <w14:solidFill>
              <w14:schemeClr w14:val="tx1"/>
            </w14:solidFill>
          </w14:textFill>
        </w:rPr>
        <w:t>须</w:t>
      </w:r>
      <w:r>
        <w:rPr>
          <w:rFonts w:hint="eastAsia" w:ascii="宋体" w:hAnsi="宋体" w:cs="宋体"/>
          <w:bCs/>
          <w:color w:val="000000" w:themeColor="text1"/>
          <w:highlight w:val="none"/>
          <w14:textFill>
            <w14:solidFill>
              <w14:schemeClr w14:val="tx1"/>
            </w14:solidFill>
          </w14:textFill>
        </w:rPr>
        <w:t>提供1-2台备用车辆。</w:t>
      </w:r>
    </w:p>
    <w:p w14:paraId="2DA36B0C">
      <w:pPr>
        <w:pStyle w:val="29"/>
        <w:widowControl w:val="0"/>
        <w:numPr>
          <w:ilvl w:val="0"/>
          <w:numId w:val="4"/>
        </w:numPr>
        <w:spacing w:afterLines="0" w:line="360" w:lineRule="auto"/>
        <w:ind w:firstLine="48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泵送设备：汽车泵6台（常驻5台+备用1台）；车载泵3台（常驻2台+备用1台），如因业务需要，可应急调配。</w:t>
      </w:r>
    </w:p>
    <w:bookmarkEnd w:id="38"/>
    <w:p w14:paraId="40865E62">
      <w:pPr>
        <w:autoSpaceDE/>
        <w:autoSpaceDN/>
        <w:adjustRightInd/>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二、车辆要求</w:t>
      </w:r>
    </w:p>
    <w:p w14:paraId="25AA2AE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混凝土（砂浆）运输车需符合国五及以上环保排放标准且车辆核载量不超过16方，泵送设备需符合国五及以上环保排放标准，如按国家相关政策要求，需要更新车辆或投入部分新能源车的，应按政策响应执行。另外汽车泵要求配备37-44米（三桥）、47-52米（三桥）、52米、56米、60-63米各1台，备有52-67米泵车1台，车载泵要求能根据工程施工高度、施工难度等因素变化，合理调配，满足施工需求。开标时提供车辆清单和行驶证复印件，否则按无效投标处理。</w:t>
      </w:r>
    </w:p>
    <w:p w14:paraId="6E67AF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须</w:t>
      </w:r>
      <w:r>
        <w:rPr>
          <w:rFonts w:ascii="宋体" w:hAnsi="宋体" w:cs="宋体"/>
          <w:color w:val="000000" w:themeColor="text1"/>
          <w:sz w:val="24"/>
          <w:highlight w:val="none"/>
          <w14:textFill>
            <w14:solidFill>
              <w14:schemeClr w14:val="tx1"/>
            </w14:solidFill>
          </w14:textFill>
        </w:rPr>
        <w:t>在投标文件中提交投标保证金的转账回单，不提交按无效投标处理。</w:t>
      </w:r>
    </w:p>
    <w:p w14:paraId="4C88B35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车辆符合行业主管部门要求，配置满足行业主管部门及公司的安全管理要求的GPS系统、4G监控探头等安全防护设施；不接受非公司化运营车辆投标（其中混凝土（砂浆）运输车不接受外地牌照车辆投标。汽车泵和车载泵在证照齐全符合招标文件要求的前提下允许外地牌照车辆投标）。</w:t>
      </w:r>
    </w:p>
    <w:p w14:paraId="6D66C4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4、中标车辆承运过程中车况无法满足运营要求的，必须无条件更新，否则</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可单方面要求相应车辆退出。</w:t>
      </w:r>
    </w:p>
    <w:p w14:paraId="18D8D6A6">
      <w:pPr>
        <w:spacing w:line="360" w:lineRule="auto"/>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5、各标的车辆必须是投标人自有或租赁的车辆，自有车辆的投标时须在投标文件内提供行驶证复印件加盖单位公章。采用租赁形式的投标时须在投标文件内提供车辆租赁合同（租赁合同到期日须在2027年7月31日及以后，同时租赁合同必须唯一，租赁合同内的车辆不得再签订另外合同）、安全协议、行驶证复印件加盖单位公章。中标后采购单位有权要求中标单位提供上述资料的原件复核，中标的车辆同时锁定，未经采购单位同意不得擅自更换。若有提供虚假资料的，按相关规定处理。</w:t>
      </w:r>
    </w:p>
    <w:p w14:paraId="0D2D79C9">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三、运输、泵送业务费执行标准：</w:t>
      </w:r>
    </w:p>
    <w:p w14:paraId="0327EBAE">
      <w:pPr>
        <w:widowControl/>
        <w:autoSpaceDE/>
        <w:autoSpaceDN/>
        <w:adjustRightInd/>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1、搅拌车（混凝土运输车）：</w:t>
      </w:r>
    </w:p>
    <w:tbl>
      <w:tblPr>
        <w:tblStyle w:val="22"/>
        <w:tblW w:w="0" w:type="auto"/>
        <w:jc w:val="center"/>
        <w:tblLayout w:type="fixed"/>
        <w:tblCellMar>
          <w:top w:w="0" w:type="dxa"/>
          <w:left w:w="108" w:type="dxa"/>
          <w:bottom w:w="0" w:type="dxa"/>
          <w:right w:w="108" w:type="dxa"/>
        </w:tblCellMar>
      </w:tblPr>
      <w:tblGrid>
        <w:gridCol w:w="3096"/>
        <w:gridCol w:w="5963"/>
      </w:tblGrid>
      <w:tr w14:paraId="59EFBF03">
        <w:tblPrEx>
          <w:tblCellMar>
            <w:top w:w="0" w:type="dxa"/>
            <w:left w:w="108" w:type="dxa"/>
            <w:bottom w:w="0" w:type="dxa"/>
            <w:right w:w="108" w:type="dxa"/>
          </w:tblCellMar>
        </w:tblPrEx>
        <w:trPr>
          <w:trHeight w:val="23" w:hRule="atLeast"/>
          <w:jc w:val="center"/>
        </w:trPr>
        <w:tc>
          <w:tcPr>
            <w:tcW w:w="3096" w:type="dxa"/>
            <w:vMerge w:val="restart"/>
            <w:tcBorders>
              <w:top w:val="single" w:color="auto" w:sz="4" w:space="0"/>
              <w:left w:val="single" w:color="auto" w:sz="4" w:space="0"/>
              <w:right w:val="single" w:color="000000" w:sz="4" w:space="0"/>
            </w:tcBorders>
            <w:vAlign w:val="center"/>
          </w:tcPr>
          <w:p w14:paraId="20A07BDA">
            <w:pPr>
              <w:widowControl/>
              <w:autoSpaceDE/>
              <w:autoSpaceDN/>
              <w:adjustRightInd/>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运距范围（</w:t>
            </w:r>
            <w:r>
              <w:rPr>
                <w:rFonts w:hint="eastAsia" w:ascii="宋体" w:hAnsi="宋体" w:cs="宋体"/>
                <w:bCs/>
                <w:color w:val="000000" w:themeColor="text1"/>
                <w:sz w:val="24"/>
                <w:szCs w:val="24"/>
                <w:highlight w:val="none"/>
                <w14:textFill>
                  <w14:solidFill>
                    <w14:schemeClr w14:val="tx1"/>
                  </w14:solidFill>
                </w14:textFill>
              </w:rPr>
              <w:t>公里）</w:t>
            </w:r>
          </w:p>
        </w:tc>
        <w:tc>
          <w:tcPr>
            <w:tcW w:w="5963" w:type="dxa"/>
            <w:tcBorders>
              <w:top w:val="single" w:color="auto" w:sz="4" w:space="0"/>
              <w:left w:val="single" w:color="auto" w:sz="4" w:space="0"/>
              <w:bottom w:val="single" w:color="auto" w:sz="4" w:space="0"/>
              <w:right w:val="single" w:color="000000" w:sz="4" w:space="0"/>
            </w:tcBorders>
            <w:vAlign w:val="center"/>
          </w:tcPr>
          <w:p w14:paraId="0CD4E7C0">
            <w:pPr>
              <w:widowControl/>
              <w:autoSpaceDE/>
              <w:autoSpaceDN/>
              <w:adjustRightInd/>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运输价格最高单价限价（</w:t>
            </w:r>
            <w:r>
              <w:rPr>
                <w:rFonts w:hint="eastAsia" w:ascii="宋体" w:hAnsi="宋体" w:cs="宋体"/>
                <w:bCs/>
                <w:color w:val="000000" w:themeColor="text1"/>
                <w:sz w:val="24"/>
                <w:szCs w:val="24"/>
                <w:highlight w:val="none"/>
                <w14:textFill>
                  <w14:solidFill>
                    <w14:schemeClr w14:val="tx1"/>
                  </w14:solidFill>
                </w14:textFill>
              </w:rPr>
              <w:t>单位：元/方）</w:t>
            </w:r>
          </w:p>
        </w:tc>
      </w:tr>
      <w:tr w14:paraId="2E5E243E">
        <w:tblPrEx>
          <w:tblCellMar>
            <w:top w:w="0" w:type="dxa"/>
            <w:left w:w="108" w:type="dxa"/>
            <w:bottom w:w="0" w:type="dxa"/>
            <w:right w:w="108" w:type="dxa"/>
          </w:tblCellMar>
        </w:tblPrEx>
        <w:trPr>
          <w:trHeight w:val="23" w:hRule="atLeast"/>
          <w:jc w:val="center"/>
        </w:trPr>
        <w:tc>
          <w:tcPr>
            <w:tcW w:w="3096" w:type="dxa"/>
            <w:vMerge w:val="continue"/>
            <w:tcBorders>
              <w:left w:val="single" w:color="auto" w:sz="4" w:space="0"/>
              <w:bottom w:val="single" w:color="auto" w:sz="4" w:space="0"/>
              <w:right w:val="single" w:color="000000" w:sz="4" w:space="0"/>
            </w:tcBorders>
            <w:vAlign w:val="center"/>
          </w:tcPr>
          <w:p w14:paraId="1188DE58">
            <w:pPr>
              <w:widowControl/>
              <w:autoSpaceDE/>
              <w:autoSpaceDN/>
              <w:adjustRightInd/>
              <w:jc w:val="center"/>
              <w:rPr>
                <w:rFonts w:ascii="宋体" w:hAnsi="宋体" w:cs="宋体"/>
                <w:color w:val="000000" w:themeColor="text1"/>
                <w:sz w:val="24"/>
                <w:szCs w:val="24"/>
                <w:highlight w:val="none"/>
                <w14:textFill>
                  <w14:solidFill>
                    <w14:schemeClr w14:val="tx1"/>
                  </w14:solidFill>
                </w14:textFill>
              </w:rPr>
            </w:pPr>
          </w:p>
        </w:tc>
        <w:tc>
          <w:tcPr>
            <w:tcW w:w="5963" w:type="dxa"/>
            <w:tcBorders>
              <w:top w:val="single" w:color="auto" w:sz="4" w:space="0"/>
              <w:left w:val="single" w:color="auto" w:sz="4" w:space="0"/>
              <w:bottom w:val="single" w:color="auto" w:sz="4" w:space="0"/>
              <w:right w:val="single" w:color="000000" w:sz="4" w:space="0"/>
            </w:tcBorders>
            <w:vAlign w:val="center"/>
          </w:tcPr>
          <w:p w14:paraId="2E51346F">
            <w:pPr>
              <w:widowControl/>
              <w:autoSpaceDE/>
              <w:autoSpaceDN/>
              <w:adjustRightInd/>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基准价</w:t>
            </w:r>
          </w:p>
        </w:tc>
      </w:tr>
      <w:tr w14:paraId="7D3DA030">
        <w:tblPrEx>
          <w:tblCellMar>
            <w:top w:w="0" w:type="dxa"/>
            <w:left w:w="108" w:type="dxa"/>
            <w:bottom w:w="0" w:type="dxa"/>
            <w:right w:w="108" w:type="dxa"/>
          </w:tblCellMar>
        </w:tblPrEx>
        <w:trPr>
          <w:trHeight w:val="23" w:hRule="atLeast"/>
          <w:jc w:val="center"/>
        </w:trPr>
        <w:tc>
          <w:tcPr>
            <w:tcW w:w="3096" w:type="dxa"/>
            <w:tcBorders>
              <w:top w:val="single" w:color="auto" w:sz="4" w:space="0"/>
              <w:left w:val="single" w:color="auto" w:sz="4" w:space="0"/>
              <w:bottom w:val="single" w:color="auto" w:sz="4" w:space="0"/>
              <w:right w:val="single" w:color="000000" w:sz="4" w:space="0"/>
            </w:tcBorders>
            <w:vAlign w:val="center"/>
          </w:tcPr>
          <w:p w14:paraId="762F5775">
            <w:pPr>
              <w:widowControl/>
              <w:autoSpaceDE/>
              <w:autoSpaceDN/>
              <w:adjustRightInd/>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5963" w:type="dxa"/>
            <w:tcBorders>
              <w:top w:val="single" w:color="auto" w:sz="4" w:space="0"/>
              <w:left w:val="nil"/>
              <w:bottom w:val="single" w:color="auto" w:sz="4" w:space="0"/>
              <w:right w:val="single" w:color="000000" w:sz="4" w:space="0"/>
            </w:tcBorders>
            <w:vAlign w:val="center"/>
          </w:tcPr>
          <w:p w14:paraId="76993FDC">
            <w:pPr>
              <w:widowControl/>
              <w:autoSpaceDE/>
              <w:autoSpaceDN/>
              <w:adjustRightInd/>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17.25</w:t>
            </w:r>
          </w:p>
        </w:tc>
      </w:tr>
      <w:tr w14:paraId="4D43DE24">
        <w:tblPrEx>
          <w:tblCellMar>
            <w:top w:w="0" w:type="dxa"/>
            <w:left w:w="108" w:type="dxa"/>
            <w:bottom w:w="0" w:type="dxa"/>
            <w:right w:w="108" w:type="dxa"/>
          </w:tblCellMar>
        </w:tblPrEx>
        <w:trPr>
          <w:trHeight w:val="23" w:hRule="atLeast"/>
          <w:jc w:val="center"/>
        </w:trPr>
        <w:tc>
          <w:tcPr>
            <w:tcW w:w="3096" w:type="dxa"/>
            <w:tcBorders>
              <w:top w:val="single" w:color="auto" w:sz="4" w:space="0"/>
              <w:left w:val="single" w:color="auto" w:sz="4" w:space="0"/>
              <w:bottom w:val="single" w:color="auto" w:sz="4" w:space="0"/>
              <w:right w:val="single" w:color="000000" w:sz="4" w:space="0"/>
            </w:tcBorders>
            <w:vAlign w:val="center"/>
          </w:tcPr>
          <w:p w14:paraId="5509FAC0">
            <w:pPr>
              <w:widowControl/>
              <w:autoSpaceDE/>
              <w:autoSpaceDN/>
              <w:adjustRightInd/>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 — 6</w:t>
            </w:r>
          </w:p>
        </w:tc>
        <w:tc>
          <w:tcPr>
            <w:tcW w:w="5963" w:type="dxa"/>
            <w:tcBorders>
              <w:top w:val="single" w:color="auto" w:sz="4" w:space="0"/>
              <w:left w:val="nil"/>
              <w:bottom w:val="single" w:color="auto" w:sz="4" w:space="0"/>
              <w:right w:val="single" w:color="000000" w:sz="4" w:space="0"/>
            </w:tcBorders>
            <w:vAlign w:val="center"/>
          </w:tcPr>
          <w:p w14:paraId="64C2C2A3">
            <w:pPr>
              <w:widowControl/>
              <w:autoSpaceDE/>
              <w:autoSpaceDN/>
              <w:adjustRightInd/>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19.45</w:t>
            </w:r>
          </w:p>
        </w:tc>
      </w:tr>
      <w:tr w14:paraId="2E3CB111">
        <w:tblPrEx>
          <w:tblCellMar>
            <w:top w:w="0" w:type="dxa"/>
            <w:left w:w="108" w:type="dxa"/>
            <w:bottom w:w="0" w:type="dxa"/>
            <w:right w:w="108" w:type="dxa"/>
          </w:tblCellMar>
        </w:tblPrEx>
        <w:trPr>
          <w:trHeight w:val="23" w:hRule="atLeast"/>
          <w:jc w:val="center"/>
        </w:trPr>
        <w:tc>
          <w:tcPr>
            <w:tcW w:w="3096" w:type="dxa"/>
            <w:tcBorders>
              <w:top w:val="single" w:color="auto" w:sz="4" w:space="0"/>
              <w:left w:val="single" w:color="auto" w:sz="4" w:space="0"/>
              <w:bottom w:val="single" w:color="auto" w:sz="4" w:space="0"/>
              <w:right w:val="single" w:color="000000" w:sz="4" w:space="0"/>
            </w:tcBorders>
            <w:vAlign w:val="center"/>
          </w:tcPr>
          <w:p w14:paraId="790D2030">
            <w:pPr>
              <w:widowControl/>
              <w:autoSpaceDE/>
              <w:autoSpaceDN/>
              <w:adjustRightInd/>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 — 13</w:t>
            </w:r>
          </w:p>
        </w:tc>
        <w:tc>
          <w:tcPr>
            <w:tcW w:w="5963" w:type="dxa"/>
            <w:tcBorders>
              <w:top w:val="single" w:color="auto" w:sz="4" w:space="0"/>
              <w:left w:val="nil"/>
              <w:bottom w:val="single" w:color="auto" w:sz="4" w:space="0"/>
              <w:right w:val="single" w:color="000000" w:sz="4" w:space="0"/>
            </w:tcBorders>
            <w:vAlign w:val="center"/>
          </w:tcPr>
          <w:p w14:paraId="2A3207F6">
            <w:pPr>
              <w:widowControl/>
              <w:autoSpaceDE/>
              <w:autoSpaceDN/>
              <w:adjustRightInd/>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21.75</w:t>
            </w:r>
          </w:p>
        </w:tc>
      </w:tr>
      <w:tr w14:paraId="03BB2FEA">
        <w:tblPrEx>
          <w:tblCellMar>
            <w:top w:w="0" w:type="dxa"/>
            <w:left w:w="108" w:type="dxa"/>
            <w:bottom w:w="0" w:type="dxa"/>
            <w:right w:w="108" w:type="dxa"/>
          </w:tblCellMar>
        </w:tblPrEx>
        <w:trPr>
          <w:trHeight w:val="23" w:hRule="atLeast"/>
          <w:jc w:val="center"/>
        </w:trPr>
        <w:tc>
          <w:tcPr>
            <w:tcW w:w="3096" w:type="dxa"/>
            <w:tcBorders>
              <w:top w:val="single" w:color="auto" w:sz="4" w:space="0"/>
              <w:left w:val="single" w:color="auto" w:sz="4" w:space="0"/>
              <w:bottom w:val="single" w:color="auto" w:sz="4" w:space="0"/>
              <w:right w:val="single" w:color="000000" w:sz="4" w:space="0"/>
            </w:tcBorders>
            <w:vAlign w:val="center"/>
          </w:tcPr>
          <w:p w14:paraId="37FE91D2">
            <w:pPr>
              <w:widowControl/>
              <w:autoSpaceDE/>
              <w:autoSpaceDN/>
              <w:adjustRightInd/>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 — 20</w:t>
            </w:r>
          </w:p>
        </w:tc>
        <w:tc>
          <w:tcPr>
            <w:tcW w:w="5963" w:type="dxa"/>
            <w:tcBorders>
              <w:top w:val="single" w:color="auto" w:sz="4" w:space="0"/>
              <w:left w:val="nil"/>
              <w:bottom w:val="single" w:color="auto" w:sz="4" w:space="0"/>
              <w:right w:val="single" w:color="000000" w:sz="4" w:space="0"/>
            </w:tcBorders>
            <w:vAlign w:val="center"/>
          </w:tcPr>
          <w:p w14:paraId="645DF212">
            <w:pPr>
              <w:widowControl/>
              <w:autoSpaceDE/>
              <w:autoSpaceDN/>
              <w:adjustRightInd/>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24.85</w:t>
            </w:r>
          </w:p>
        </w:tc>
      </w:tr>
      <w:tr w14:paraId="0D391F20">
        <w:tblPrEx>
          <w:tblCellMar>
            <w:top w:w="0" w:type="dxa"/>
            <w:left w:w="108" w:type="dxa"/>
            <w:bottom w:w="0" w:type="dxa"/>
            <w:right w:w="108" w:type="dxa"/>
          </w:tblCellMar>
        </w:tblPrEx>
        <w:trPr>
          <w:trHeight w:val="23" w:hRule="atLeast"/>
          <w:jc w:val="center"/>
        </w:trPr>
        <w:tc>
          <w:tcPr>
            <w:tcW w:w="3096" w:type="dxa"/>
            <w:tcBorders>
              <w:top w:val="single" w:color="auto" w:sz="4" w:space="0"/>
              <w:left w:val="single" w:color="auto" w:sz="4" w:space="0"/>
              <w:bottom w:val="single" w:color="auto" w:sz="4" w:space="0"/>
              <w:right w:val="single" w:color="000000" w:sz="4" w:space="0"/>
            </w:tcBorders>
            <w:vAlign w:val="center"/>
          </w:tcPr>
          <w:p w14:paraId="1611C661">
            <w:pPr>
              <w:widowControl/>
              <w:autoSpaceDE/>
              <w:autoSpaceDN/>
              <w:adjustRightInd/>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20.1 — 25</w:t>
            </w:r>
          </w:p>
        </w:tc>
        <w:tc>
          <w:tcPr>
            <w:tcW w:w="5963" w:type="dxa"/>
            <w:tcBorders>
              <w:top w:val="single" w:color="auto" w:sz="4" w:space="0"/>
              <w:left w:val="nil"/>
              <w:bottom w:val="single" w:color="auto" w:sz="4" w:space="0"/>
              <w:right w:val="single" w:color="000000" w:sz="4" w:space="0"/>
            </w:tcBorders>
            <w:vAlign w:val="center"/>
          </w:tcPr>
          <w:p w14:paraId="24DF03BB">
            <w:pPr>
              <w:widowControl/>
              <w:autoSpaceDE/>
              <w:autoSpaceDN/>
              <w:adjustRightInd/>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27.35</w:t>
            </w:r>
          </w:p>
        </w:tc>
      </w:tr>
      <w:tr w14:paraId="06E19E90">
        <w:tblPrEx>
          <w:tblCellMar>
            <w:top w:w="0" w:type="dxa"/>
            <w:left w:w="108" w:type="dxa"/>
            <w:bottom w:w="0" w:type="dxa"/>
            <w:right w:w="108" w:type="dxa"/>
          </w:tblCellMar>
        </w:tblPrEx>
        <w:trPr>
          <w:trHeight w:val="23" w:hRule="atLeast"/>
          <w:jc w:val="center"/>
        </w:trPr>
        <w:tc>
          <w:tcPr>
            <w:tcW w:w="3096" w:type="dxa"/>
            <w:tcBorders>
              <w:top w:val="single" w:color="auto" w:sz="4" w:space="0"/>
              <w:left w:val="single" w:color="auto" w:sz="4" w:space="0"/>
              <w:bottom w:val="single" w:color="auto" w:sz="4" w:space="0"/>
              <w:right w:val="single" w:color="000000" w:sz="4" w:space="0"/>
            </w:tcBorders>
            <w:vAlign w:val="center"/>
          </w:tcPr>
          <w:p w14:paraId="386D20A9">
            <w:pPr>
              <w:widowControl/>
              <w:autoSpaceDE/>
              <w:autoSpaceDN/>
              <w:adjustRightInd/>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25</w:t>
            </w:r>
          </w:p>
        </w:tc>
        <w:tc>
          <w:tcPr>
            <w:tcW w:w="5963" w:type="dxa"/>
            <w:tcBorders>
              <w:top w:val="single" w:color="auto" w:sz="4" w:space="0"/>
              <w:left w:val="nil"/>
              <w:bottom w:val="single" w:color="auto" w:sz="4" w:space="0"/>
              <w:right w:val="single" w:color="000000" w:sz="4" w:space="0"/>
            </w:tcBorders>
            <w:vAlign w:val="center"/>
          </w:tcPr>
          <w:p w14:paraId="44CB03B2">
            <w:pPr>
              <w:widowControl/>
              <w:autoSpaceDE/>
              <w:autoSpaceDN/>
              <w:adjustRightInd/>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27.35</w:t>
            </w:r>
            <w:r>
              <w:rPr>
                <w:rFonts w:hint="eastAsia" w:ascii="宋体" w:hAnsi="宋体" w:cs="宋体"/>
                <w:color w:val="000000" w:themeColor="text1"/>
                <w:sz w:val="24"/>
                <w:szCs w:val="24"/>
                <w:highlight w:val="none"/>
                <w14:textFill>
                  <w14:solidFill>
                    <w14:schemeClr w14:val="tx1"/>
                  </w14:solidFill>
                </w14:textFill>
              </w:rPr>
              <w:t>基数上每公里加</w:t>
            </w:r>
            <w:r>
              <w:rPr>
                <w:rFonts w:hint="eastAsia" w:ascii="宋体" w:hAnsi="宋体" w:cs="宋体"/>
                <w:color w:val="000000" w:themeColor="text1"/>
                <w:sz w:val="24"/>
                <w:szCs w:val="24"/>
                <w:highlight w:val="none"/>
                <w:u w:val="single"/>
                <w14:textFill>
                  <w14:solidFill>
                    <w14:schemeClr w14:val="tx1"/>
                  </w14:solidFill>
                </w14:textFill>
              </w:rPr>
              <w:t>0.80</w:t>
            </w:r>
            <w:r>
              <w:rPr>
                <w:rFonts w:hint="eastAsia" w:ascii="宋体" w:hAnsi="宋体" w:cs="宋体"/>
                <w:color w:val="000000" w:themeColor="text1"/>
                <w:sz w:val="24"/>
                <w:szCs w:val="24"/>
                <w:highlight w:val="none"/>
                <w14:textFill>
                  <w14:solidFill>
                    <w14:schemeClr w14:val="tx1"/>
                  </w14:solidFill>
                </w14:textFill>
              </w:rPr>
              <w:t>元/方</w:t>
            </w:r>
          </w:p>
        </w:tc>
      </w:tr>
    </w:tbl>
    <w:p w14:paraId="0DB7A825">
      <w:pPr>
        <w:autoSpaceDE/>
        <w:autoSpaceDN/>
        <w:adjustRightIn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油价浮动调整：表内价格以西亚加油站0#柴油2025年1-3月份挂牌价格均价7.22元/升为基准油价，油价每上升或下浮0.25元/升（含0.25元/升），运价相应上升或下浮0.25元/方（当月油价以采购单位物资管理科参照西亚加油站挂牌价折算为准，油价浮动在0.25元/升以内（不含0.25元/升），运输价格不作调整）。</w:t>
      </w:r>
    </w:p>
    <w:p w14:paraId="1238EFE5">
      <w:pPr>
        <w:autoSpaceDE/>
        <w:autoSpaceDN/>
        <w:adjustRightIn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（2）小方量补贴：实载量低于6方的，按6方/车次结算。</w:t>
      </w:r>
    </w:p>
    <w:p w14:paraId="18049DE4">
      <w:pPr>
        <w:autoSpaceDE/>
        <w:autoSpaceDN/>
        <w:adjustRightIn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（3）拉水、拖泵每次均按采购单位许可的荷载量统一按8方结算；</w:t>
      </w:r>
    </w:p>
    <w:p w14:paraId="46D24ED5">
      <w:pPr>
        <w:autoSpaceDE/>
        <w:autoSpaceDN/>
        <w:adjustRightIn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（4）因工地原因、泵送设备故障、混凝土和易性差等原因造成混凝土返回公司，或工地调配的，均按实结算。</w:t>
      </w:r>
    </w:p>
    <w:p w14:paraId="694F3346">
      <w:pPr>
        <w:autoSpaceDE/>
        <w:autoSpaceDN/>
        <w:adjustRightIn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（5）因道路原因发生通行费用的，经采购单位审核后按实报销。</w:t>
      </w:r>
    </w:p>
    <w:p w14:paraId="5DF1780D">
      <w:pPr>
        <w:autoSpaceDE/>
        <w:autoSpaceDN/>
        <w:adjustRightInd/>
        <w:spacing w:line="360" w:lineRule="auto"/>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（6）采购单位在应急情况下可调配使用中标单位车辆运输砂浆，费用按砂浆运输价格结算。</w:t>
      </w:r>
    </w:p>
    <w:p w14:paraId="42EDF61A">
      <w:pPr>
        <w:autoSpaceDE/>
        <w:autoSpaceDN/>
        <w:adjustRightInd/>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2、砂浆运输车：</w:t>
      </w:r>
    </w:p>
    <w:tbl>
      <w:tblPr>
        <w:tblStyle w:val="22"/>
        <w:tblW w:w="0" w:type="auto"/>
        <w:jc w:val="center"/>
        <w:tblLayout w:type="fixed"/>
        <w:tblCellMar>
          <w:top w:w="0" w:type="dxa"/>
          <w:left w:w="108" w:type="dxa"/>
          <w:bottom w:w="0" w:type="dxa"/>
          <w:right w:w="108" w:type="dxa"/>
        </w:tblCellMar>
      </w:tblPr>
      <w:tblGrid>
        <w:gridCol w:w="3158"/>
        <w:gridCol w:w="5921"/>
      </w:tblGrid>
      <w:tr w14:paraId="2D38DD06">
        <w:tblPrEx>
          <w:tblCellMar>
            <w:top w:w="0" w:type="dxa"/>
            <w:left w:w="108" w:type="dxa"/>
            <w:bottom w:w="0" w:type="dxa"/>
            <w:right w:w="108" w:type="dxa"/>
          </w:tblCellMar>
        </w:tblPrEx>
        <w:trPr>
          <w:trHeight w:val="23" w:hRule="atLeast"/>
          <w:jc w:val="center"/>
        </w:trPr>
        <w:tc>
          <w:tcPr>
            <w:tcW w:w="3158" w:type="dxa"/>
            <w:vMerge w:val="restart"/>
            <w:tcBorders>
              <w:top w:val="single" w:color="auto" w:sz="4" w:space="0"/>
              <w:left w:val="single" w:color="auto" w:sz="4" w:space="0"/>
              <w:right w:val="single" w:color="000000" w:sz="4" w:space="0"/>
            </w:tcBorders>
            <w:vAlign w:val="center"/>
          </w:tcPr>
          <w:p w14:paraId="2C257C5D">
            <w:pPr>
              <w:widowControl/>
              <w:autoSpaceDE/>
              <w:autoSpaceDN/>
              <w:adjustRightInd/>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运距范围（</w:t>
            </w:r>
            <w:r>
              <w:rPr>
                <w:rFonts w:hint="eastAsia" w:ascii="宋体" w:hAnsi="宋体" w:cs="宋体"/>
                <w:bCs/>
                <w:color w:val="000000" w:themeColor="text1"/>
                <w:sz w:val="24"/>
                <w:szCs w:val="24"/>
                <w:highlight w:val="none"/>
                <w14:textFill>
                  <w14:solidFill>
                    <w14:schemeClr w14:val="tx1"/>
                  </w14:solidFill>
                </w14:textFill>
              </w:rPr>
              <w:t>公里）</w:t>
            </w:r>
          </w:p>
        </w:tc>
        <w:tc>
          <w:tcPr>
            <w:tcW w:w="5921" w:type="dxa"/>
            <w:tcBorders>
              <w:top w:val="single" w:color="auto" w:sz="4" w:space="0"/>
              <w:left w:val="single" w:color="auto" w:sz="4" w:space="0"/>
              <w:bottom w:val="single" w:color="auto" w:sz="4" w:space="0"/>
              <w:right w:val="single" w:color="000000" w:sz="4" w:space="0"/>
            </w:tcBorders>
            <w:vAlign w:val="center"/>
          </w:tcPr>
          <w:p w14:paraId="59CC920A">
            <w:pPr>
              <w:widowControl/>
              <w:autoSpaceDE/>
              <w:autoSpaceDN/>
              <w:adjustRightInd/>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运输价格最高单价限价（</w:t>
            </w:r>
            <w:r>
              <w:rPr>
                <w:rFonts w:hint="eastAsia" w:ascii="宋体" w:hAnsi="宋体" w:cs="宋体"/>
                <w:bCs/>
                <w:color w:val="000000" w:themeColor="text1"/>
                <w:sz w:val="24"/>
                <w:szCs w:val="24"/>
                <w:highlight w:val="none"/>
                <w14:textFill>
                  <w14:solidFill>
                    <w14:schemeClr w14:val="tx1"/>
                  </w14:solidFill>
                </w14:textFill>
              </w:rPr>
              <w:t>单位：元/方）</w:t>
            </w:r>
          </w:p>
        </w:tc>
      </w:tr>
      <w:tr w14:paraId="34E61252">
        <w:tblPrEx>
          <w:tblCellMar>
            <w:top w:w="0" w:type="dxa"/>
            <w:left w:w="108" w:type="dxa"/>
            <w:bottom w:w="0" w:type="dxa"/>
            <w:right w:w="108" w:type="dxa"/>
          </w:tblCellMar>
        </w:tblPrEx>
        <w:trPr>
          <w:trHeight w:val="23" w:hRule="atLeast"/>
          <w:jc w:val="center"/>
        </w:trPr>
        <w:tc>
          <w:tcPr>
            <w:tcW w:w="3158" w:type="dxa"/>
            <w:vMerge w:val="continue"/>
            <w:tcBorders>
              <w:left w:val="single" w:color="auto" w:sz="4" w:space="0"/>
              <w:bottom w:val="single" w:color="auto" w:sz="4" w:space="0"/>
              <w:right w:val="single" w:color="000000" w:sz="4" w:space="0"/>
            </w:tcBorders>
            <w:vAlign w:val="center"/>
          </w:tcPr>
          <w:p w14:paraId="47C4E1C9">
            <w:pPr>
              <w:widowControl/>
              <w:autoSpaceDE/>
              <w:autoSpaceDN/>
              <w:adjustRightInd/>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5921" w:type="dxa"/>
            <w:tcBorders>
              <w:top w:val="single" w:color="auto" w:sz="4" w:space="0"/>
              <w:left w:val="single" w:color="auto" w:sz="4" w:space="0"/>
              <w:bottom w:val="single" w:color="auto" w:sz="4" w:space="0"/>
              <w:right w:val="single" w:color="000000" w:sz="4" w:space="0"/>
            </w:tcBorders>
            <w:vAlign w:val="center"/>
          </w:tcPr>
          <w:p w14:paraId="5AE965CE">
            <w:pPr>
              <w:widowControl/>
              <w:autoSpaceDE/>
              <w:autoSpaceDN/>
              <w:adjustRightInd/>
              <w:spacing w:line="360" w:lineRule="auto"/>
              <w:jc w:val="center"/>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基准价</w:t>
            </w:r>
          </w:p>
        </w:tc>
      </w:tr>
      <w:tr w14:paraId="654A547D">
        <w:tblPrEx>
          <w:tblCellMar>
            <w:top w:w="0" w:type="dxa"/>
            <w:left w:w="108" w:type="dxa"/>
            <w:bottom w:w="0" w:type="dxa"/>
            <w:right w:w="108" w:type="dxa"/>
          </w:tblCellMar>
        </w:tblPrEx>
        <w:trPr>
          <w:trHeight w:val="23" w:hRule="atLeast"/>
          <w:jc w:val="center"/>
        </w:trPr>
        <w:tc>
          <w:tcPr>
            <w:tcW w:w="3158" w:type="dxa"/>
            <w:tcBorders>
              <w:top w:val="single" w:color="auto" w:sz="4" w:space="0"/>
              <w:left w:val="single" w:color="auto" w:sz="4" w:space="0"/>
              <w:bottom w:val="single" w:color="auto" w:sz="4" w:space="0"/>
              <w:right w:val="single" w:color="000000" w:sz="4" w:space="0"/>
            </w:tcBorders>
            <w:vAlign w:val="center"/>
          </w:tcPr>
          <w:p w14:paraId="2AE4CF4B">
            <w:pPr>
              <w:widowControl/>
              <w:autoSpaceDE/>
              <w:autoSpaceDN/>
              <w:adjustRightInd/>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5921" w:type="dxa"/>
            <w:tcBorders>
              <w:top w:val="single" w:color="auto" w:sz="4" w:space="0"/>
              <w:left w:val="nil"/>
              <w:bottom w:val="single" w:color="auto" w:sz="4" w:space="0"/>
              <w:right w:val="single" w:color="000000" w:sz="4" w:space="0"/>
            </w:tcBorders>
            <w:vAlign w:val="center"/>
          </w:tcPr>
          <w:p w14:paraId="1051F718">
            <w:pPr>
              <w:widowControl/>
              <w:autoSpaceDE/>
              <w:autoSpaceDN/>
              <w:adjustRightInd/>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22.15</w:t>
            </w:r>
          </w:p>
        </w:tc>
      </w:tr>
      <w:tr w14:paraId="63CAC78A">
        <w:tblPrEx>
          <w:tblCellMar>
            <w:top w:w="0" w:type="dxa"/>
            <w:left w:w="108" w:type="dxa"/>
            <w:bottom w:w="0" w:type="dxa"/>
            <w:right w:w="108" w:type="dxa"/>
          </w:tblCellMar>
        </w:tblPrEx>
        <w:trPr>
          <w:trHeight w:val="23" w:hRule="atLeast"/>
          <w:jc w:val="center"/>
        </w:trPr>
        <w:tc>
          <w:tcPr>
            <w:tcW w:w="3158" w:type="dxa"/>
            <w:tcBorders>
              <w:top w:val="single" w:color="auto" w:sz="4" w:space="0"/>
              <w:left w:val="single" w:color="auto" w:sz="4" w:space="0"/>
              <w:bottom w:val="single" w:color="auto" w:sz="4" w:space="0"/>
              <w:right w:val="single" w:color="000000" w:sz="4" w:space="0"/>
            </w:tcBorders>
            <w:vAlign w:val="center"/>
          </w:tcPr>
          <w:p w14:paraId="5672F44D">
            <w:pPr>
              <w:widowControl/>
              <w:autoSpaceDE/>
              <w:autoSpaceDN/>
              <w:adjustRightInd/>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6.1-13</w:t>
            </w:r>
          </w:p>
        </w:tc>
        <w:tc>
          <w:tcPr>
            <w:tcW w:w="5921" w:type="dxa"/>
            <w:tcBorders>
              <w:top w:val="single" w:color="auto" w:sz="4" w:space="0"/>
              <w:left w:val="nil"/>
              <w:bottom w:val="single" w:color="auto" w:sz="4" w:space="0"/>
              <w:right w:val="single" w:color="000000" w:sz="4" w:space="0"/>
            </w:tcBorders>
            <w:vAlign w:val="center"/>
          </w:tcPr>
          <w:p w14:paraId="1C7E6091">
            <w:pPr>
              <w:widowControl/>
              <w:autoSpaceDE/>
              <w:autoSpaceDN/>
              <w:adjustRightInd/>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27.15</w:t>
            </w:r>
          </w:p>
        </w:tc>
      </w:tr>
      <w:tr w14:paraId="7975DF5A">
        <w:tblPrEx>
          <w:tblCellMar>
            <w:top w:w="0" w:type="dxa"/>
            <w:left w:w="108" w:type="dxa"/>
            <w:bottom w:w="0" w:type="dxa"/>
            <w:right w:w="108" w:type="dxa"/>
          </w:tblCellMar>
        </w:tblPrEx>
        <w:trPr>
          <w:trHeight w:val="23" w:hRule="atLeast"/>
          <w:jc w:val="center"/>
        </w:trPr>
        <w:tc>
          <w:tcPr>
            <w:tcW w:w="3158" w:type="dxa"/>
            <w:tcBorders>
              <w:top w:val="single" w:color="auto" w:sz="4" w:space="0"/>
              <w:left w:val="single" w:color="auto" w:sz="4" w:space="0"/>
              <w:bottom w:val="single" w:color="auto" w:sz="4" w:space="0"/>
              <w:right w:val="single" w:color="000000" w:sz="4" w:space="0"/>
            </w:tcBorders>
            <w:vAlign w:val="center"/>
          </w:tcPr>
          <w:p w14:paraId="533867C4">
            <w:pPr>
              <w:widowControl/>
              <w:autoSpaceDE/>
              <w:autoSpaceDN/>
              <w:adjustRightInd/>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13.1-20</w:t>
            </w:r>
          </w:p>
        </w:tc>
        <w:tc>
          <w:tcPr>
            <w:tcW w:w="5921" w:type="dxa"/>
            <w:tcBorders>
              <w:top w:val="single" w:color="auto" w:sz="4" w:space="0"/>
              <w:left w:val="nil"/>
              <w:bottom w:val="single" w:color="auto" w:sz="4" w:space="0"/>
              <w:right w:val="single" w:color="000000" w:sz="4" w:space="0"/>
            </w:tcBorders>
            <w:vAlign w:val="center"/>
          </w:tcPr>
          <w:p w14:paraId="374B20CD">
            <w:pPr>
              <w:widowControl/>
              <w:autoSpaceDE/>
              <w:autoSpaceDN/>
              <w:adjustRightInd/>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32.15</w:t>
            </w:r>
          </w:p>
        </w:tc>
      </w:tr>
      <w:tr w14:paraId="1DEAC400">
        <w:tblPrEx>
          <w:tblCellMar>
            <w:top w:w="0" w:type="dxa"/>
            <w:left w:w="108" w:type="dxa"/>
            <w:bottom w:w="0" w:type="dxa"/>
            <w:right w:w="108" w:type="dxa"/>
          </w:tblCellMar>
        </w:tblPrEx>
        <w:trPr>
          <w:trHeight w:val="23" w:hRule="atLeast"/>
          <w:jc w:val="center"/>
        </w:trPr>
        <w:tc>
          <w:tcPr>
            <w:tcW w:w="3158" w:type="dxa"/>
            <w:tcBorders>
              <w:top w:val="single" w:color="auto" w:sz="4" w:space="0"/>
              <w:left w:val="single" w:color="auto" w:sz="4" w:space="0"/>
              <w:bottom w:val="single" w:color="auto" w:sz="4" w:space="0"/>
              <w:right w:val="single" w:color="000000" w:sz="4" w:space="0"/>
            </w:tcBorders>
            <w:vAlign w:val="center"/>
          </w:tcPr>
          <w:p w14:paraId="0D14F222">
            <w:pPr>
              <w:widowControl/>
              <w:autoSpaceDE/>
              <w:autoSpaceDN/>
              <w:adjustRightInd/>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w:t>
            </w:r>
          </w:p>
        </w:tc>
        <w:tc>
          <w:tcPr>
            <w:tcW w:w="5921" w:type="dxa"/>
            <w:tcBorders>
              <w:top w:val="single" w:color="auto" w:sz="4" w:space="0"/>
              <w:left w:val="nil"/>
              <w:bottom w:val="single" w:color="auto" w:sz="4" w:space="0"/>
              <w:right w:val="single" w:color="000000" w:sz="4" w:space="0"/>
            </w:tcBorders>
            <w:vAlign w:val="center"/>
          </w:tcPr>
          <w:p w14:paraId="1A768AA8">
            <w:pPr>
              <w:widowControl/>
              <w:autoSpaceDE/>
              <w:autoSpaceDN/>
              <w:adjustRightInd/>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32.15元基数上每公里加0.80元/方</w:t>
            </w:r>
          </w:p>
        </w:tc>
      </w:tr>
    </w:tbl>
    <w:p w14:paraId="4C3206CF">
      <w:pPr>
        <w:autoSpaceDE/>
        <w:autoSpaceDN/>
        <w:adjustRightIn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油价基数：表内价格以西亚加油站0#柴油2025年1-3月份挂牌价格均价7.22元/升为基准油价，油价每上升或下浮0.25元/升（含0.25元/升），运价相应上升或下浮0.25元/方。（油价浮动在0.25元/升以内（不含0.25元/升），运输费不作调整）。</w:t>
      </w:r>
    </w:p>
    <w:p w14:paraId="43445229">
      <w:pPr>
        <w:autoSpaceDE/>
        <w:autoSpaceDN/>
        <w:adjustRightIn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（2）采购单位在应急情况下可调配使用中标单位车辆运输混凝土，费用按混凝土运输价格结算。</w:t>
      </w:r>
    </w:p>
    <w:p w14:paraId="0BACDD1E">
      <w:pPr>
        <w:autoSpaceDE/>
        <w:autoSpaceDN/>
        <w:adjustRightIn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（3）小方量补贴：运输砂浆或混凝土时，实载量小于6方的，均按6方/车次结算。</w:t>
      </w:r>
    </w:p>
    <w:p w14:paraId="4BC8F3CB">
      <w:pPr>
        <w:autoSpaceDE/>
        <w:autoSpaceDN/>
        <w:adjustRightIn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（4）因工地原因、泵送设备故障、砂浆和易性差等原因造成整车砂浆返回公司后，调配其他工地的，均按实结算。</w:t>
      </w:r>
    </w:p>
    <w:p w14:paraId="3915EFC3">
      <w:pPr>
        <w:autoSpaceDE/>
        <w:autoSpaceDN/>
        <w:adjustRightInd/>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3、汽车泵：</w:t>
      </w:r>
    </w:p>
    <w:p w14:paraId="46DDA356">
      <w:pPr>
        <w:autoSpaceDE/>
        <w:autoSpaceDN/>
        <w:adjustRightIn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（1）泵送基准价（最高单价限价）为20.60元/方。</w:t>
      </w:r>
    </w:p>
    <w:p w14:paraId="0BEE068D">
      <w:pPr>
        <w:autoSpaceDE/>
        <w:autoSpaceDN/>
        <w:adjustRightIn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（2）单次泵送方量≤30方时，补贴350.00元/次。</w:t>
      </w:r>
    </w:p>
    <w:p w14:paraId="5A28C8B6">
      <w:pPr>
        <w:autoSpaceDE/>
        <w:autoSpaceDN/>
        <w:adjustRightIn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油价基数：以西亚加油站0#柴油2025年1-3月份挂牌价格均价7.22元/升为基准油价，油价每上调或下调0.30元/升（含0.30元/升），泵送费相应上调或下调0.20元/方（油价浮动0.30元/升以内（不含0.30元/升），泵送费不作调整）。</w:t>
      </w:r>
    </w:p>
    <w:p w14:paraId="62906C26">
      <w:pPr>
        <w:autoSpaceDE/>
        <w:autoSpaceDN/>
        <w:adjustRightInd/>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4、车载泵：</w:t>
      </w:r>
    </w:p>
    <w:p w14:paraId="5847885B">
      <w:pPr>
        <w:autoSpaceDE/>
        <w:autoSpaceDN/>
        <w:adjustRightIn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（1）泵送基准价（最高单价限价）为18.70元/方。</w:t>
      </w:r>
    </w:p>
    <w:p w14:paraId="64183637">
      <w:pPr>
        <w:autoSpaceDE/>
        <w:autoSpaceDN/>
        <w:adjustRightIn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（2）单次泵送方量≤40方时，补贴450.00元/次。</w:t>
      </w:r>
    </w:p>
    <w:p w14:paraId="556317AA">
      <w:pPr>
        <w:autoSpaceDE/>
        <w:autoSpaceDN/>
        <w:adjustRightIn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油价基数：以西亚加油站0#柴油2025年1-3月份挂牌价格均价7.22元/升为基准油价，油价每上调或下调0.30元/升（含0.30元/升），泵送费相应上调或下调0.20元/方（油价浮动0.30元/升以内（不含0.30元/升），泵送费不作调整）。</w:t>
      </w:r>
    </w:p>
    <w:p w14:paraId="5610ADFC">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5、其他要求：</w:t>
      </w:r>
    </w:p>
    <w:p w14:paraId="7E219D3B">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（1）中标单位不得以车辆限载量变化等原因要求变动价格。</w:t>
      </w:r>
    </w:p>
    <w:p w14:paraId="39E273F3">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混凝土（砂浆）运输车必须满足“三化”要求，即本地化（车辆牌照必须是绍兴区域内合法注册车辆）、行业化（车辆符合行业主管部门要求，配置满足行业主管部门及公司的安全管理要求的GPS系统、4G监控探头等安全防护设施，接受行业主管部门管理）、企业化（车辆所有人需为注册的运输企业或运输部，非私人所有）。如车辆为外地或外省牌照，中标单位须在中标日一个月以内将外地或外省牌照合法转入绍兴区域内，如不能按时转回，视为违约。</w:t>
      </w:r>
    </w:p>
    <w:p w14:paraId="65D26302">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bCs/>
          <w:color w:val="000000" w:themeColor="text1"/>
          <w:sz w:val="24"/>
          <w:szCs w:val="24"/>
          <w:highlight w:val="none"/>
          <w:lang w:val="en-US" w:eastAsia="zh-CN"/>
          <w14:textFill>
            <w14:solidFill>
              <w14:schemeClr w14:val="tx1"/>
            </w14:solidFill>
          </w14:textFill>
        </w:rPr>
        <w:t>中标单位</w:t>
      </w:r>
      <w:r>
        <w:rPr>
          <w:rFonts w:hint="eastAsia" w:ascii="宋体" w:hAnsi="宋体" w:cs="宋体"/>
          <w:b/>
          <w:bCs/>
          <w:color w:val="000000" w:themeColor="text1"/>
          <w:sz w:val="24"/>
          <w:szCs w:val="24"/>
          <w:highlight w:val="none"/>
          <w14:textFill>
            <w14:solidFill>
              <w14:schemeClr w14:val="tx1"/>
            </w14:solidFill>
          </w14:textFill>
        </w:rPr>
        <w:t>在满足采购单位和招标文件的需求下需要具有富余车辆保障。在应急情况下接到采购单位提前一天通知后增派相应车辆。如不按采购单位要求提供的，采购单位有权向其他第三方应急调配或向社会借用车辆，所产生的运输费用差价和由此产生的其他费用由中标单位承担或由采购单位先行垫付全部运输款项然后在中标单位合同价内予以相应扣除。如中标单位拒不承担的，采购单位有权单方面解除合同并没收全部履约保证金，由此造成的一切后果由中标单位承担。</w:t>
      </w:r>
    </w:p>
    <w:p w14:paraId="6FDA2C86">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（4）中标单位中标后需做好交接工作，保障采购单位分派的任务顺利开展。</w:t>
      </w:r>
    </w:p>
    <w:p w14:paraId="5FFFDEEC">
      <w:pPr>
        <w:spacing w:line="38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四、安全条款 </w:t>
      </w:r>
    </w:p>
    <w:p w14:paraId="0634E3E7">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中标单位车辆必须持有有效的车辆行驶证、保险、驾驶证等，并符合公路运行所需条件，必须保证车辆牌证齐全有效，采购单位不承担与此有关的一切费用和责任，对场内装卸过程中、客户方装卸过程中、运输路途等服务过程中产生的各种意外及交通、安全事故的责任，由中标单位全部承担并自行负责出面处理，采购单位不承担任何责任（由于中标单位原因引发的一切事故相关责任均由中标单位自行承担）。</w:t>
      </w:r>
      <w:r>
        <w:rPr>
          <w:rFonts w:hint="eastAsia" w:ascii="宋体" w:hAnsi="宋体" w:cs="宋体"/>
          <w:bCs/>
          <w:color w:val="000000" w:themeColor="text1"/>
          <w:sz w:val="24"/>
          <w:highlight w:val="none"/>
          <w14:textFill>
            <w14:solidFill>
              <w14:schemeClr w14:val="tx1"/>
            </w14:solidFill>
          </w14:textFill>
        </w:rPr>
        <w:t xml:space="preserve"> </w:t>
      </w:r>
    </w:p>
    <w:p w14:paraId="1DBF753B">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2.中标单位车辆到达装卸作业现场后，必须按照采购单位或现场管理人员的指挥整齐停靠在指定区域，不得散乱停靠。驾驶员不得远离车辆，服从现场人员指挥，要做到随叫随到。</w:t>
      </w:r>
    </w:p>
    <w:p w14:paraId="30599E87">
      <w:pPr>
        <w:spacing w:line="38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五、运输工作要求</w:t>
      </w:r>
    </w:p>
    <w:p w14:paraId="421C1262">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1、中标单位车辆应服从采购单位的日常管理（指定生产线装料、规定洗车点、过水道通行等），严格执行采购单位的安全规程、相关规章制度和管理规范，《安全技术操作规程》由中标单位传达到驾驶员。</w:t>
      </w:r>
    </w:p>
    <w:p w14:paraId="1A24CDA1">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2、中标单位需按采购单位调度通知时间准时到达开展运输工作，未按时到达，超过1个小时每次扣款 300 元，超过 3小时每次扣款 500 元，一个月内发生5次以上或在一个月内因运输问题遭客户投诉5次以上的，采购单位有权终止合同并全额扣除履约保证金，同时因中标单位原因导致工地停工待料造成客户损失的由中标单位全额承担责任。</w:t>
      </w:r>
    </w:p>
    <w:p w14:paraId="51E1DB9A">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3、中标单位车辆到达施工方工地后应服从工地管理人员的调度指挥，对不服从管理或无理取闹的，作停运或终止合同处理；在工地有任何情况需</w:t>
      </w:r>
      <w:r>
        <w:rPr>
          <w:rFonts w:hint="eastAsia" w:ascii="宋体" w:hAnsi="宋体" w:cs="宋体"/>
          <w:bCs/>
          <w:color w:val="000000" w:themeColor="text1"/>
          <w:sz w:val="24"/>
          <w:szCs w:val="24"/>
          <w:highlight w:val="none"/>
          <w14:textFill>
            <w14:solidFill>
              <w14:schemeClr w14:val="tx1"/>
            </w14:solidFill>
          </w14:textFill>
        </w:rPr>
        <w:t>第一时间与采购单位调度</w:t>
      </w:r>
      <w:r>
        <w:rPr>
          <w:rFonts w:hint="eastAsia" w:ascii="宋体" w:hAnsi="宋体" w:cs="宋体"/>
          <w:color w:val="000000" w:themeColor="text1"/>
          <w:sz w:val="24"/>
          <w:szCs w:val="24"/>
          <w:highlight w:val="none"/>
          <w14:textFill>
            <w14:solidFill>
              <w14:schemeClr w14:val="tx1"/>
            </w14:solidFill>
          </w14:textFill>
        </w:rPr>
        <w:t>沟通，如因中标单位沟通不及时造成采购单位损失的，中标单位需承担一切责任与经济损失。</w:t>
      </w:r>
    </w:p>
    <w:p w14:paraId="5FFDDC2B">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中标单位应自觉清洗车辆，确保车辆外观整洁，搅拌筒、卸料斗内不结块、不积料；在运输途中做到不抛洒、不滴漏，发生抛洒、滴漏的须及时清理，并根据情况扣除运输费用2000-5000元/次（或作停运7-15天的处理）；在卸料操作时应规范正确，有序卸料，做到文明服务，按时完成运输任务。</w:t>
      </w:r>
    </w:p>
    <w:p w14:paraId="129D6B1C">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5、中标单位及其聘用人员必须保质保量地完成送料签收手续，并及时上交送货单，因签收手续失误（不到位、不按指定人员签收等），造成采购单位无法向工地结算款项的，由中标单位承担全部损失。</w:t>
      </w:r>
    </w:p>
    <w:p w14:paraId="2EF73992">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6、如因工地或中标单位原因造成运输材料报废的，必须按采购单位规定流程处置，不按采购单位流程处置或因中标单位原因造成的运输材料报废，由中标单位承担全部损失。</w:t>
      </w:r>
    </w:p>
    <w:p w14:paraId="301D4B91">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中标单位运输车辆在装料前必须放尽桶内积水，装料过程中司机不得离开现场，需时刻关注装料情况，如有积水未放或未打铃提前开出造成运输材料报废，由中标单位承担全部损失。对工地加水等影响质量因素须及时拍照留证汇报公司。</w:t>
      </w:r>
    </w:p>
    <w:p w14:paraId="28095BB4">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8、中标单位车辆应遵章行驶，雨天防溅水，夜间要减少使用远光灯，保障车辆、行人安全；进出厂区时需减速缓行，严禁使用气喇叭，行驶车辆限速5公里/小时，以确保厂区交通安全。</w:t>
      </w:r>
    </w:p>
    <w:p w14:paraId="7D9CF633">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中标单位相关人员不得进入生产操作室，不得干扰采购单位的正常工作秩序，不得在采购单位公司内发生各种违法行为（如打架斗殴；偷盗、转卖运输物料等情况）。如发现有打架斗殴等行为，扣除运输费用2000元/次（或作停运2天以上的处理）。如发现有偷盗、转卖运输物料等行为，扣除运输费用20000元/次（或作停运15天以上的处理）。造成采购单位财物损坏的照价赔偿，并承担由此造成的其他经济损失，触及法律的移交公安部门追究责任，并终止运输合同。</w:t>
      </w:r>
    </w:p>
    <w:p w14:paraId="4BA1BC4B">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10、中标单位必须把运输材料按指定的路线及时送到指定地点（工地），未按正确的路线运送（绕道等）扣款300元/次，如运送错误由中标单位承担所造成的一切责任。</w:t>
      </w:r>
    </w:p>
    <w:p w14:paraId="75874294">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11、中标单位运输车辆在工地料退回情况下，擅自卸料，乱倒，根据情况对中标单位作扣除运输费用500-1000元/次。</w:t>
      </w:r>
    </w:p>
    <w:p w14:paraId="46C199E5">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中标单位必须对驾驶员进行定期专业安全教育、岗位培训，必须遵循安全操作原则，预防安全事故发生，杜绝重大安全事故。如承运过程中因中标单位原因造成的采购单位、中标单位、施工单位人员或其他人员伤亡、财产损失及由此引起的一切经济赔偿，全部由中标单位承担，同时采购单位有权追诉中标单位相应法律责任。</w:t>
      </w:r>
    </w:p>
    <w:p w14:paraId="5C090621">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13、中标单位应按时支付所聘驾驶人员工资，工资发放清单每月交采购单位财务部备案，因中标单位和所聘用人员发生劳务纠纷致使影响采购单位经营的，采购单位有权终止合同并全额扣除履约保证金。</w:t>
      </w:r>
    </w:p>
    <w:p w14:paraId="1416C7A0">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14、中标单位应按本合同约定履行应尽义务、完成运输业务，确保合同要求的车辆运力，不足时自行补充，未能及时补足且影响采购单位生产时扣款1000元/辆/次。</w:t>
      </w:r>
    </w:p>
    <w:p w14:paraId="094B206B">
      <w:pPr>
        <w:spacing w:line="38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六、泵送工作要求</w:t>
      </w:r>
    </w:p>
    <w:p w14:paraId="4667E19D">
      <w:pPr>
        <w:spacing w:line="38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中标单位应服从采购单位管理，委派专人与采购单位调度及各部门进行任务衔接，严格执行采购单位的安全操作规程和有关管理规定；中标单位操作人员到达施工方工地后，严格按照工地现场指挥人员的指令和规划、标志作业，佩戴安全帽，不得穿拖鞋等，如采购单位检查发现中标单位有不符合要求的行为每次扣款200元/人，如工地方因中标单位原因给采购单位扣款的，则由中标单位承担相应损失。</w:t>
      </w:r>
    </w:p>
    <w:p w14:paraId="50144521">
      <w:pPr>
        <w:spacing w:line="38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2、中标单位应按合同要求足额配备泵车和操作人员，泵车驾驶员不得无证驾驶，56米及以上的汽车泵和车载泵现场作业人员必须不少于2名，如发生上述情况，每次扣款500元。</w:t>
      </w:r>
    </w:p>
    <w:p w14:paraId="69CF63D7">
      <w:pPr>
        <w:spacing w:line="38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3、中标单位需按调度通知时间准时到达工地开展工作，未按时到达工地或因中标单位操作人员不足、备品材料不到位及设备故障等原因造成工地延误施工的，超过1个小时每次扣款500元，超过3小时每次扣款 1000 元，超过5小时每次扣款2000元，</w:t>
      </w:r>
    </w:p>
    <w:p w14:paraId="02BE4FBB">
      <w:pPr>
        <w:spacing w:line="38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中标单位没有按照采购单位安排的计划出车或无故拒绝出车的、进入工地后未经采购单位同意擅自离场或进场后故意刁难不进行施工的，发生一次扣款20000元，且需赔付采购单位因此造成的全部损失。如以上情况出现</w:t>
      </w:r>
      <w:r>
        <w:rPr>
          <w:rFonts w:hint="eastAsia" w:ascii="宋体" w:hAnsi="宋体" w:cs="宋体"/>
          <w:color w:val="000000" w:themeColor="text1"/>
          <w:sz w:val="24"/>
          <w:szCs w:val="24"/>
          <w:highlight w:val="none"/>
          <w:lang w:val="en-US" w:eastAsia="zh-CN"/>
          <w14:textFill>
            <w14:solidFill>
              <w14:schemeClr w14:val="tx1"/>
            </w14:solidFill>
          </w14:textFill>
        </w:rPr>
        <w:t>3次</w:t>
      </w:r>
      <w:r>
        <w:rPr>
          <w:rFonts w:hint="eastAsia" w:ascii="宋体" w:hAnsi="宋体" w:cs="宋体"/>
          <w:color w:val="000000" w:themeColor="text1"/>
          <w:sz w:val="24"/>
          <w:szCs w:val="24"/>
          <w:highlight w:val="none"/>
          <w14:textFill>
            <w14:solidFill>
              <w14:schemeClr w14:val="tx1"/>
            </w14:solidFill>
          </w14:textFill>
        </w:rPr>
        <w:t>，则采购单位有权终止合同并全额扣除履约保证金</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采购单位将根据实际情况组织后续相关采购活动</w:t>
      </w:r>
      <w:r>
        <w:rPr>
          <w:rFonts w:hint="eastAsia" w:ascii="宋体" w:hAnsi="宋体" w:cs="宋体"/>
          <w:color w:val="000000" w:themeColor="text1"/>
          <w:sz w:val="24"/>
          <w:szCs w:val="24"/>
          <w:highlight w:val="none"/>
          <w14:textFill>
            <w14:solidFill>
              <w14:schemeClr w14:val="tx1"/>
            </w14:solidFill>
          </w14:textFill>
        </w:rPr>
        <w:t>。</w:t>
      </w:r>
    </w:p>
    <w:p w14:paraId="39F054E0">
      <w:pPr>
        <w:spacing w:line="38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中标单位在作业过程中突发设备故障、堵管等影响泵送施工作业的情况，导致工地混凝土不能正常浇筑完成，中标单位必须在2小时内重新进行泵送作业，规定时间内无法重新进行泵送的，采购单位另行安排泵送的，中标单位承担采购单位因此产生的应急费用，严重影响客户工地进度、造成混凝土报废的、给采购单位造成经济损失的由中标单位承担。</w:t>
      </w:r>
    </w:p>
    <w:p w14:paraId="70F60545">
      <w:pPr>
        <w:spacing w:line="38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6、中标单位必须确保泵车设备的完好性（备用泵管必须充足），因中标单位泵管质量差造成现场作业堵管、炸管每次扣款500元，并由此造成的一切损失由中标单位承担。</w:t>
      </w:r>
    </w:p>
    <w:p w14:paraId="2CF48489">
      <w:pPr>
        <w:spacing w:line="38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7、中标单位的现场工作人员不得擅自脱岗，必须保证持续泵送，发生一次扣罚500元。</w:t>
      </w:r>
    </w:p>
    <w:p w14:paraId="0797B2E8">
      <w:pPr>
        <w:spacing w:line="38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8、中标单位安排的驾驶员与操作工在工地有任何情况需第一时间与采购单位调度沟通，如因中标单位沟通不及时造成采购单位损失的，需中标单位承担一切责任与经济损失。</w:t>
      </w:r>
    </w:p>
    <w:p w14:paraId="5AE44E6B">
      <w:pPr>
        <w:spacing w:line="38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中标单位必须对所有参加施工作业的人员进行定期专业安全教育、岗位培训，必须遵循安全操作原则，预防安全事故发生，杜绝重大安全事故。如业务承接过程中因中标单位原因造成的采购单位、中标单位、施工单位人员或其他人员伤亡、财产损失及由此引起的一切经济赔偿，全部由中标单位承担，同时采购单位有权追诉中标单位相应法律责任。</w:t>
      </w:r>
    </w:p>
    <w:p w14:paraId="65A42ED8">
      <w:pPr>
        <w:spacing w:line="38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中标单位应按时支付所聘工作人员工资，工资发放清单每月交采购单位财务部备案。因中标单位和所聘用人员发生劳务纠纷致使采购单位、施工工地停工，每次扣款2000元，因此给施工工地造成的一切损失由中标单位承担，并承担因此产生的第三方应急调配费用，停工超过24小时，采购单位有权终止合同并全额扣除履约保证金</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采购单位将根据实际情况组织后续相关采购活动</w:t>
      </w:r>
      <w:r>
        <w:rPr>
          <w:rFonts w:hint="eastAsia" w:ascii="宋体" w:hAnsi="宋体" w:cs="宋体"/>
          <w:color w:val="000000" w:themeColor="text1"/>
          <w:sz w:val="24"/>
          <w:szCs w:val="24"/>
          <w:highlight w:val="none"/>
          <w14:textFill>
            <w14:solidFill>
              <w14:schemeClr w14:val="tx1"/>
            </w14:solidFill>
          </w14:textFill>
        </w:rPr>
        <w:t>。</w:t>
      </w:r>
    </w:p>
    <w:p w14:paraId="1987610B">
      <w:pPr>
        <w:spacing w:line="38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11、中标单位应注意路面、工地内路面、工地附属设施、周围情况，如损坏物品等安全事故均由中标单位负责并承担相应经济损失。</w:t>
      </w:r>
    </w:p>
    <w:p w14:paraId="44904151">
      <w:pPr>
        <w:spacing w:line="38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12、中标单位必须配备一名现场踏勘员。</w:t>
      </w:r>
    </w:p>
    <w:p w14:paraId="0EA69B4A">
      <w:pPr>
        <w:spacing w:line="38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七、违约责任</w:t>
      </w:r>
    </w:p>
    <w:p w14:paraId="70CFA4DB">
      <w:pPr>
        <w:spacing w:line="38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1、合同期内，如因中标单位原因要求中途解除本合同的，采购单位有权扣除全部履约保证金并扣除解除合同当月运费</w:t>
      </w:r>
      <w:r>
        <w:rPr>
          <w:rFonts w:hint="eastAsia" w:ascii="宋体" w:hAnsi="宋体" w:cs="宋体"/>
          <w:color w:val="000000" w:themeColor="text1"/>
          <w:sz w:val="24"/>
          <w:szCs w:val="24"/>
          <w:highlight w:val="none"/>
          <w:lang w:val="en-US" w:eastAsia="zh-CN"/>
          <w14:textFill>
            <w14:solidFill>
              <w14:schemeClr w14:val="tx1"/>
            </w14:solidFill>
          </w14:textFill>
        </w:rPr>
        <w:t>10000元/辆</w:t>
      </w:r>
      <w:r>
        <w:rPr>
          <w:rFonts w:hint="eastAsia" w:ascii="宋体" w:hAnsi="宋体" w:cs="宋体"/>
          <w:color w:val="000000" w:themeColor="text1"/>
          <w:sz w:val="24"/>
          <w:szCs w:val="24"/>
          <w:highlight w:val="none"/>
          <w14:textFill>
            <w14:solidFill>
              <w14:schemeClr w14:val="tx1"/>
            </w14:solidFill>
          </w14:textFill>
        </w:rPr>
        <w:t>。</w:t>
      </w:r>
    </w:p>
    <w:p w14:paraId="4968395F">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2、中标单位在采购单位厂区内和施工方工地内不服从管理、调度，客户投诉查实服务质量差的，视为违约，采购单位有权扣除履约保证金并终止合同，中标单位并承担因违约造成的损失。</w:t>
      </w:r>
    </w:p>
    <w:p w14:paraId="066CA01A">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3、中标单位不得以任何理由停运、罢工，如出现以上情况，采购单位有权终止合同并全额扣除履约保证金，依法追溯中标单位责任，并承担因违约造成的损失。</w:t>
      </w:r>
    </w:p>
    <w:p w14:paraId="0261E5A3">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4、中标单位对外承接运输业务需经采购单位书面同意，未经同意中标单位私自承接其他运输业务的，发生一次扣款2000元，合同期内发生3次以上，采购单位有权终止合同并全额扣除履约保证金。</w:t>
      </w:r>
    </w:p>
    <w:p w14:paraId="20B7642B">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5、中标单位在合同期内未经采购单位允许，擅自出售、转让承运车辆的，采购单位有权终止合同并全额扣除履约保证金。</w:t>
      </w:r>
    </w:p>
    <w:p w14:paraId="1E7D5321">
      <w:pPr>
        <w:pStyle w:val="17"/>
        <w:spacing w:line="360" w:lineRule="auto"/>
        <w:ind w:left="0" w:lef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6、中标单位（含驾驶员）对采购单位员工发生诬告现象，经查证后立即终止合同。</w:t>
      </w:r>
    </w:p>
    <w:p w14:paraId="7BCE58E5">
      <w:pPr>
        <w:spacing w:line="3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7、如车辆为外地或外省牌照，中标单位没有在中标日一个月以内将外地或外省牌照合法转入绍兴区域内，采购单位有权解除合同。</w:t>
      </w:r>
    </w:p>
    <w:p w14:paraId="264D84F3">
      <w:pPr>
        <w:spacing w:line="38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8、除不可抗力原因外，中标单位原则上不能更换车辆，如必须更换必须征得采购单位同意，如擅自更换，采购单位有权扣除履约保证金10000元/辆。</w:t>
      </w:r>
    </w:p>
    <w:p w14:paraId="2770C2AA">
      <w:pPr>
        <w:spacing w:line="380" w:lineRule="exact"/>
        <w:ind w:firstLine="480" w:firstLineChars="20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9、凡是由于中标单位原因导致采购单位与其终止合同的，采购单位将根据实际情况组织后续相关采购活动。</w:t>
      </w:r>
    </w:p>
    <w:p w14:paraId="6B98B64A">
      <w:pPr>
        <w:spacing w:line="38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八、履约保证金、结算及付款方式：</w:t>
      </w:r>
    </w:p>
    <w:p w14:paraId="3FDAF09E">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1、履约保证金：中标单位在项目实施前向采购单位缴纳一定数额的履约保证金，具体数额为，标项一金额：</w:t>
      </w:r>
      <w:r>
        <w:rPr>
          <w:rFonts w:hint="eastAsia" w:ascii="宋体" w:hAnsi="宋体" w:cs="宋体"/>
          <w:bCs/>
          <w:color w:val="000000" w:themeColor="text1"/>
          <w:sz w:val="24"/>
          <w:highlight w:val="none"/>
          <w:lang w:val="en-US" w:eastAsia="zh-CN"/>
          <w14:textFill>
            <w14:solidFill>
              <w14:schemeClr w14:val="tx1"/>
            </w14:solidFill>
          </w14:textFill>
        </w:rPr>
        <w:t>18</w:t>
      </w:r>
      <w:r>
        <w:rPr>
          <w:rFonts w:hint="eastAsia" w:ascii="宋体" w:hAnsi="宋体" w:cs="宋体"/>
          <w:bCs/>
          <w:color w:val="000000" w:themeColor="text1"/>
          <w:sz w:val="24"/>
          <w:highlight w:val="none"/>
          <w14:textFill>
            <w14:solidFill>
              <w14:schemeClr w14:val="tx1"/>
            </w14:solidFill>
          </w14:textFill>
        </w:rPr>
        <w:t>万元；标项二金额：</w:t>
      </w:r>
      <w:r>
        <w:rPr>
          <w:rFonts w:hint="eastAsia" w:ascii="宋体" w:hAnsi="宋体" w:cs="宋体"/>
          <w:bCs/>
          <w:color w:val="000000" w:themeColor="text1"/>
          <w:sz w:val="24"/>
          <w:highlight w:val="none"/>
          <w:lang w:val="en-US" w:eastAsia="zh-CN"/>
          <w14:textFill>
            <w14:solidFill>
              <w14:schemeClr w14:val="tx1"/>
            </w14:solidFill>
          </w14:textFill>
        </w:rPr>
        <w:t>18</w:t>
      </w:r>
      <w:r>
        <w:rPr>
          <w:rFonts w:hint="eastAsia" w:ascii="宋体" w:hAnsi="宋体" w:cs="宋体"/>
          <w:bCs/>
          <w:color w:val="000000" w:themeColor="text1"/>
          <w:sz w:val="24"/>
          <w:highlight w:val="none"/>
          <w14:textFill>
            <w14:solidFill>
              <w14:schemeClr w14:val="tx1"/>
            </w14:solidFill>
          </w14:textFill>
        </w:rPr>
        <w:t>万元；标项三金额：22万元。在服务期满经验收合格后无息退回。</w:t>
      </w:r>
    </w:p>
    <w:p w14:paraId="03122E71">
      <w:pPr>
        <w:spacing w:line="360" w:lineRule="auto"/>
        <w:ind w:firstLine="482"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2、结算及付款方式：</w:t>
      </w:r>
      <w:r>
        <w:rPr>
          <w:rFonts w:hint="eastAsia" w:ascii="宋体" w:hAnsi="宋体" w:cs="宋体"/>
          <w:bCs/>
          <w:color w:val="000000" w:themeColor="text1"/>
          <w:sz w:val="24"/>
          <w:highlight w:val="none"/>
          <w14:textFill>
            <w14:solidFill>
              <w14:schemeClr w14:val="tx1"/>
            </w14:solidFill>
          </w14:textFill>
        </w:rPr>
        <w:t>本项目无预付款，</w:t>
      </w:r>
      <w:r>
        <w:rPr>
          <w:rFonts w:hint="eastAsia" w:ascii="宋体" w:hAnsi="宋体"/>
          <w:color w:val="000000" w:themeColor="text1"/>
          <w:sz w:val="24"/>
          <w:highlight w:val="none"/>
          <w14:textFill>
            <w14:solidFill>
              <w14:schemeClr w14:val="tx1"/>
            </w14:solidFill>
          </w14:textFill>
        </w:rPr>
        <w:t>每月最后一天为结算日，采购单位在</w:t>
      </w:r>
      <w:r>
        <w:rPr>
          <w:rFonts w:hint="eastAsia" w:ascii="宋体" w:hAnsi="宋体" w:cs="宋体"/>
          <w:bCs/>
          <w:color w:val="000000" w:themeColor="text1"/>
          <w:sz w:val="24"/>
          <w:highlight w:val="none"/>
          <w14:textFill>
            <w14:solidFill>
              <w14:schemeClr w14:val="tx1"/>
            </w14:solidFill>
          </w14:textFill>
        </w:rPr>
        <w:t>每月月底为一结账周期，凭本月数量、收发确认单、工地发货有效签收回单及有效税务发票等附件资料到财务后以银行转账结算，在收到有效结算凭证之日起45个工作日结算上月货款。</w:t>
      </w:r>
    </w:p>
    <w:p w14:paraId="66D0BD0D">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备注：如遇采购单位内部制度调整更改发票税率，中标单位应当配合做好相应工作。</w:t>
      </w:r>
    </w:p>
    <w:p w14:paraId="5BC853FC">
      <w:pPr>
        <w:numPr>
          <w:ilvl w:val="0"/>
          <w:numId w:val="5"/>
        </w:num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报价要求及最高限价</w:t>
      </w:r>
    </w:p>
    <w:p w14:paraId="1A398FCF">
      <w:pPr>
        <w:numPr>
          <w:ilvl w:val="0"/>
          <w:numId w:val="6"/>
        </w:num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本项目各标项均采用统一折扣报价，基于各标的基准价（最高单价限价）进行折扣计算，最高单价限价详见本采购需求“三、运输、泵送业务费执行标准”，数量按实结算。结算单价=最高单价限价×中标折扣（例：混凝土运输车运输距离为5公里时最高单价限价为19.45元/方，若中标折扣为90%，则该结算单价=19.45元/方×90%=17.51元/方）。</w:t>
      </w:r>
    </w:p>
    <w:p w14:paraId="730F2AD5">
      <w:pPr>
        <w:numPr>
          <w:ilvl w:val="0"/>
          <w:numId w:val="6"/>
        </w:num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最高限价：折扣报价上限为100%，任何超过100%的报价将被认定为无效报价。</w:t>
      </w:r>
    </w:p>
    <w:p w14:paraId="5A0CFE22">
      <w:pPr>
        <w:numPr>
          <w:ilvl w:val="0"/>
          <w:numId w:val="5"/>
        </w:num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w:t>
      </w:r>
    </w:p>
    <w:p w14:paraId="0F2EA4D1">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1、本项目</w:t>
      </w:r>
      <w:r>
        <w:rPr>
          <w:rFonts w:hint="eastAsia" w:ascii="宋体" w:hAnsi="宋体" w:cs="宋体"/>
          <w:b/>
          <w:color w:val="000000" w:themeColor="text1"/>
          <w:sz w:val="24"/>
          <w:highlight w:val="none"/>
          <w:lang w:val="en-US" w:eastAsia="zh-CN"/>
          <w14:textFill>
            <w14:solidFill>
              <w14:schemeClr w14:val="tx1"/>
            </w14:solidFill>
          </w14:textFill>
        </w:rPr>
        <w:t>三</w:t>
      </w:r>
      <w:r>
        <w:rPr>
          <w:rFonts w:hint="eastAsia" w:ascii="宋体" w:hAnsi="宋体" w:cs="宋体"/>
          <w:b/>
          <w:color w:val="000000" w:themeColor="text1"/>
          <w:sz w:val="24"/>
          <w:highlight w:val="none"/>
          <w14:textFill>
            <w14:solidFill>
              <w14:schemeClr w14:val="tx1"/>
            </w14:solidFill>
          </w14:textFill>
        </w:rPr>
        <w:t>个标项均采用同一“采购需求”，“采购需求”（除已明确区分混凝土（砂浆）运输车及泵送设备的不同标项适用的情况外）所涉及的所有技术服务、商务等条款要求均适用于每个标项。投标供应商应当充分考虑并对上述所有要求发起完整的投标响应。</w:t>
      </w:r>
    </w:p>
    <w:p w14:paraId="1FD5012C">
      <w:pPr>
        <w:spacing w:line="360" w:lineRule="auto"/>
        <w:ind w:left="420" w:left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2、采购需求中标注“★”项为实质性响应条件，不满足或不响应则作无效投标处理。</w:t>
      </w:r>
    </w:p>
    <w:p w14:paraId="310A3972">
      <w:pPr>
        <w:rPr>
          <w:rFonts w:ascii="宋体" w:hAnsi="宋体" w:cs="宋体"/>
          <w:b/>
          <w:bCs/>
          <w:color w:val="000000" w:themeColor="text1"/>
          <w:sz w:val="36"/>
          <w:szCs w:val="36"/>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br w:type="page"/>
      </w:r>
      <w:r>
        <w:rPr>
          <w:rFonts w:hint="eastAsia" w:ascii="宋体" w:hAnsi="宋体" w:cs="宋体"/>
          <w:b/>
          <w:bCs/>
          <w:color w:val="000000" w:themeColor="text1"/>
          <w:sz w:val="36"/>
          <w:szCs w:val="36"/>
          <w:highlight w:val="none"/>
          <w14:textFill>
            <w14:solidFill>
              <w14:schemeClr w14:val="tx1"/>
            </w14:solidFill>
          </w14:textFill>
        </w:rPr>
        <w:t>第五章  诸暨市八方混凝土建材有限公司2025-2027年混凝土（砂浆）运输、泵送业务采购项目采购合同（模板）</w:t>
      </w:r>
    </w:p>
    <w:p w14:paraId="3127D5C9">
      <w:pPr>
        <w:jc w:val="center"/>
        <w:rPr>
          <w:rFonts w:ascii="宋体" w:hAnsi="宋体" w:cs="宋体"/>
          <w:color w:val="000000" w:themeColor="text1"/>
          <w:highlight w:val="none"/>
          <w14:textFill>
            <w14:solidFill>
              <w14:schemeClr w14:val="tx1"/>
            </w14:solidFill>
          </w14:textFill>
        </w:rPr>
      </w:pPr>
    </w:p>
    <w:p w14:paraId="0AF90D89">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合同编号：</w:t>
      </w:r>
    </w:p>
    <w:p w14:paraId="52BE7FE4">
      <w:pPr>
        <w:rPr>
          <w:rFonts w:ascii="宋体" w:hAnsi="宋体" w:cs="宋体"/>
          <w:color w:val="000000" w:themeColor="text1"/>
          <w:highlight w:val="none"/>
          <w14:textFill>
            <w14:solidFill>
              <w14:schemeClr w14:val="tx1"/>
            </w14:solidFill>
          </w14:textFill>
        </w:rPr>
      </w:pPr>
    </w:p>
    <w:p w14:paraId="4A409A1A">
      <w:pPr>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采购单位（采购单位）：</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签订日期：</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14:paraId="29734182">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中标单位（供货单位）：</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签订地点：</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p>
    <w:p w14:paraId="15A1F880">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根据《中华人民共和国民法典》、《中华人民共和国政府采购法》等有关规定，以及浙江诚远工程咨询有限公司（编号：浙江诚远ZJ2025—    —    号）招标文件相关要求，经法定程序采购，双方同意签订以下合同条款，以便双方共同遵守、履行合同。</w:t>
      </w:r>
    </w:p>
    <w:p w14:paraId="64719CCD">
      <w:pPr>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highlight w:val="none"/>
          <w14:textFill>
            <w14:solidFill>
              <w14:schemeClr w14:val="tx1"/>
            </w14:solidFill>
          </w14:textFill>
        </w:rPr>
        <w:t xml:space="preserve"> 一、采购项目</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332"/>
        <w:gridCol w:w="1388"/>
        <w:gridCol w:w="1260"/>
        <w:gridCol w:w="1440"/>
      </w:tblGrid>
      <w:tr w14:paraId="6F6C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vAlign w:val="center"/>
          </w:tcPr>
          <w:p w14:paraId="63D15A91">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产品名称</w:t>
            </w:r>
          </w:p>
        </w:tc>
        <w:tc>
          <w:tcPr>
            <w:tcW w:w="3332" w:type="dxa"/>
            <w:vAlign w:val="center"/>
          </w:tcPr>
          <w:p w14:paraId="765A29B8">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产品内容</w:t>
            </w:r>
          </w:p>
        </w:tc>
        <w:tc>
          <w:tcPr>
            <w:tcW w:w="1388" w:type="dxa"/>
            <w:vAlign w:val="center"/>
          </w:tcPr>
          <w:p w14:paraId="055D04BC">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w:t>
            </w:r>
          </w:p>
        </w:tc>
        <w:tc>
          <w:tcPr>
            <w:tcW w:w="1260" w:type="dxa"/>
            <w:vAlign w:val="center"/>
          </w:tcPr>
          <w:p w14:paraId="077B5F44">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单价（元）</w:t>
            </w:r>
          </w:p>
        </w:tc>
        <w:tc>
          <w:tcPr>
            <w:tcW w:w="1440" w:type="dxa"/>
            <w:vAlign w:val="center"/>
          </w:tcPr>
          <w:p w14:paraId="0A4043D7">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合价（元）</w:t>
            </w:r>
          </w:p>
        </w:tc>
      </w:tr>
      <w:tr w14:paraId="7EB1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14:paraId="379274FB">
            <w:pPr>
              <w:rPr>
                <w:rFonts w:ascii="宋体" w:hAnsi="宋体" w:cs="宋体"/>
                <w:color w:val="000000" w:themeColor="text1"/>
                <w:highlight w:val="none"/>
                <w14:textFill>
                  <w14:solidFill>
                    <w14:schemeClr w14:val="tx1"/>
                  </w14:solidFill>
                </w14:textFill>
              </w:rPr>
            </w:pPr>
          </w:p>
        </w:tc>
        <w:tc>
          <w:tcPr>
            <w:tcW w:w="3332" w:type="dxa"/>
          </w:tcPr>
          <w:p w14:paraId="475ED657">
            <w:pPr>
              <w:rPr>
                <w:rFonts w:ascii="宋体" w:hAnsi="宋体" w:cs="宋体"/>
                <w:color w:val="000000" w:themeColor="text1"/>
                <w:highlight w:val="none"/>
                <w14:textFill>
                  <w14:solidFill>
                    <w14:schemeClr w14:val="tx1"/>
                  </w14:solidFill>
                </w14:textFill>
              </w:rPr>
            </w:pPr>
          </w:p>
        </w:tc>
        <w:tc>
          <w:tcPr>
            <w:tcW w:w="1388" w:type="dxa"/>
          </w:tcPr>
          <w:p w14:paraId="12326F30">
            <w:pPr>
              <w:rPr>
                <w:rFonts w:ascii="宋体" w:hAnsi="宋体" w:cs="宋体"/>
                <w:color w:val="000000" w:themeColor="text1"/>
                <w:highlight w:val="none"/>
                <w14:textFill>
                  <w14:solidFill>
                    <w14:schemeClr w14:val="tx1"/>
                  </w14:solidFill>
                </w14:textFill>
              </w:rPr>
            </w:pPr>
          </w:p>
        </w:tc>
        <w:tc>
          <w:tcPr>
            <w:tcW w:w="1260" w:type="dxa"/>
          </w:tcPr>
          <w:p w14:paraId="7BE7AC2B">
            <w:pPr>
              <w:rPr>
                <w:rFonts w:ascii="宋体" w:hAnsi="宋体" w:cs="宋体"/>
                <w:color w:val="000000" w:themeColor="text1"/>
                <w:highlight w:val="none"/>
                <w14:textFill>
                  <w14:solidFill>
                    <w14:schemeClr w14:val="tx1"/>
                  </w14:solidFill>
                </w14:textFill>
              </w:rPr>
            </w:pPr>
          </w:p>
        </w:tc>
        <w:tc>
          <w:tcPr>
            <w:tcW w:w="1440" w:type="dxa"/>
          </w:tcPr>
          <w:p w14:paraId="547B38EB">
            <w:pPr>
              <w:rPr>
                <w:rFonts w:ascii="宋体" w:hAnsi="宋体" w:cs="宋体"/>
                <w:color w:val="000000" w:themeColor="text1"/>
                <w:highlight w:val="none"/>
                <w14:textFill>
                  <w14:solidFill>
                    <w14:schemeClr w14:val="tx1"/>
                  </w14:solidFill>
                </w14:textFill>
              </w:rPr>
            </w:pPr>
          </w:p>
        </w:tc>
      </w:tr>
      <w:tr w14:paraId="7C7F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14:paraId="0FB34777">
            <w:pPr>
              <w:rPr>
                <w:rFonts w:ascii="宋体" w:hAnsi="宋体" w:cs="宋体"/>
                <w:color w:val="000000" w:themeColor="text1"/>
                <w:highlight w:val="none"/>
                <w14:textFill>
                  <w14:solidFill>
                    <w14:schemeClr w14:val="tx1"/>
                  </w14:solidFill>
                </w14:textFill>
              </w:rPr>
            </w:pPr>
          </w:p>
        </w:tc>
        <w:tc>
          <w:tcPr>
            <w:tcW w:w="3332" w:type="dxa"/>
          </w:tcPr>
          <w:p w14:paraId="209DF91F">
            <w:pPr>
              <w:rPr>
                <w:rFonts w:ascii="宋体" w:hAnsi="宋体" w:cs="宋体"/>
                <w:color w:val="000000" w:themeColor="text1"/>
                <w:highlight w:val="none"/>
                <w14:textFill>
                  <w14:solidFill>
                    <w14:schemeClr w14:val="tx1"/>
                  </w14:solidFill>
                </w14:textFill>
              </w:rPr>
            </w:pPr>
          </w:p>
        </w:tc>
        <w:tc>
          <w:tcPr>
            <w:tcW w:w="1388" w:type="dxa"/>
          </w:tcPr>
          <w:p w14:paraId="1B5AF5A3">
            <w:pPr>
              <w:rPr>
                <w:rFonts w:ascii="宋体" w:hAnsi="宋体" w:cs="宋体"/>
                <w:color w:val="000000" w:themeColor="text1"/>
                <w:highlight w:val="none"/>
                <w14:textFill>
                  <w14:solidFill>
                    <w14:schemeClr w14:val="tx1"/>
                  </w14:solidFill>
                </w14:textFill>
              </w:rPr>
            </w:pPr>
          </w:p>
        </w:tc>
        <w:tc>
          <w:tcPr>
            <w:tcW w:w="1260" w:type="dxa"/>
          </w:tcPr>
          <w:p w14:paraId="13C61D06">
            <w:pPr>
              <w:rPr>
                <w:rFonts w:ascii="宋体" w:hAnsi="宋体" w:cs="宋体"/>
                <w:color w:val="000000" w:themeColor="text1"/>
                <w:highlight w:val="none"/>
                <w14:textFill>
                  <w14:solidFill>
                    <w14:schemeClr w14:val="tx1"/>
                  </w14:solidFill>
                </w14:textFill>
              </w:rPr>
            </w:pPr>
          </w:p>
        </w:tc>
        <w:tc>
          <w:tcPr>
            <w:tcW w:w="1440" w:type="dxa"/>
          </w:tcPr>
          <w:p w14:paraId="3061B8FD">
            <w:pPr>
              <w:rPr>
                <w:rFonts w:ascii="宋体" w:hAnsi="宋体" w:cs="宋体"/>
                <w:color w:val="000000" w:themeColor="text1"/>
                <w:highlight w:val="none"/>
                <w14:textFill>
                  <w14:solidFill>
                    <w14:schemeClr w14:val="tx1"/>
                  </w14:solidFill>
                </w14:textFill>
              </w:rPr>
            </w:pPr>
          </w:p>
        </w:tc>
      </w:tr>
      <w:tr w14:paraId="1FEE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14:paraId="69F380BC">
            <w:pPr>
              <w:rPr>
                <w:rFonts w:ascii="宋体" w:hAnsi="宋体" w:cs="宋体"/>
                <w:color w:val="000000" w:themeColor="text1"/>
                <w:highlight w:val="none"/>
                <w14:textFill>
                  <w14:solidFill>
                    <w14:schemeClr w14:val="tx1"/>
                  </w14:solidFill>
                </w14:textFill>
              </w:rPr>
            </w:pPr>
          </w:p>
        </w:tc>
        <w:tc>
          <w:tcPr>
            <w:tcW w:w="3332" w:type="dxa"/>
          </w:tcPr>
          <w:p w14:paraId="65147A8A">
            <w:pPr>
              <w:rPr>
                <w:rFonts w:ascii="宋体" w:hAnsi="宋体" w:cs="宋体"/>
                <w:color w:val="000000" w:themeColor="text1"/>
                <w:highlight w:val="none"/>
                <w14:textFill>
                  <w14:solidFill>
                    <w14:schemeClr w14:val="tx1"/>
                  </w14:solidFill>
                </w14:textFill>
              </w:rPr>
            </w:pPr>
          </w:p>
        </w:tc>
        <w:tc>
          <w:tcPr>
            <w:tcW w:w="1388" w:type="dxa"/>
          </w:tcPr>
          <w:p w14:paraId="1FC5A7BD">
            <w:pPr>
              <w:rPr>
                <w:rFonts w:ascii="宋体" w:hAnsi="宋体" w:cs="宋体"/>
                <w:color w:val="000000" w:themeColor="text1"/>
                <w:highlight w:val="none"/>
                <w14:textFill>
                  <w14:solidFill>
                    <w14:schemeClr w14:val="tx1"/>
                  </w14:solidFill>
                </w14:textFill>
              </w:rPr>
            </w:pPr>
          </w:p>
        </w:tc>
        <w:tc>
          <w:tcPr>
            <w:tcW w:w="1260" w:type="dxa"/>
          </w:tcPr>
          <w:p w14:paraId="0598D3B1">
            <w:pPr>
              <w:rPr>
                <w:rFonts w:ascii="宋体" w:hAnsi="宋体" w:cs="宋体"/>
                <w:color w:val="000000" w:themeColor="text1"/>
                <w:highlight w:val="none"/>
                <w14:textFill>
                  <w14:solidFill>
                    <w14:schemeClr w14:val="tx1"/>
                  </w14:solidFill>
                </w14:textFill>
              </w:rPr>
            </w:pPr>
          </w:p>
        </w:tc>
        <w:tc>
          <w:tcPr>
            <w:tcW w:w="1440" w:type="dxa"/>
          </w:tcPr>
          <w:p w14:paraId="40EAB9B9">
            <w:pPr>
              <w:rPr>
                <w:rFonts w:ascii="宋体" w:hAnsi="宋体" w:cs="宋体"/>
                <w:color w:val="000000" w:themeColor="text1"/>
                <w:highlight w:val="none"/>
                <w14:textFill>
                  <w14:solidFill>
                    <w14:schemeClr w14:val="tx1"/>
                  </w14:solidFill>
                </w14:textFill>
              </w:rPr>
            </w:pPr>
          </w:p>
        </w:tc>
      </w:tr>
      <w:tr w14:paraId="0651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5"/>
            <w:vAlign w:val="center"/>
          </w:tcPr>
          <w:p w14:paraId="3C0F14AC">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合计人民币（大写）：  佰   拾   万   仟   佰   拾   元    角    分  ￥：</w:t>
            </w:r>
          </w:p>
        </w:tc>
      </w:tr>
    </w:tbl>
    <w:p w14:paraId="4AE22256">
      <w:pPr>
        <w:ind w:firstLine="42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二、车辆要求</w:t>
      </w:r>
    </w:p>
    <w:p w14:paraId="4B9BCE8C">
      <w:pPr>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（按招标文件内容填写）</w:t>
      </w:r>
    </w:p>
    <w:p w14:paraId="54CB9841">
      <w:pPr>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三、运输、泵送业务费执行标准：</w:t>
      </w:r>
    </w:p>
    <w:p w14:paraId="00413073">
      <w:pPr>
        <w:pStyle w:val="34"/>
        <w:tabs>
          <w:tab w:val="left" w:pos="7980"/>
        </w:tabs>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按招标文件运输、泵送业务费执行标准×中标折扣执行。</w:t>
      </w:r>
    </w:p>
    <w:p w14:paraId="008624FF">
      <w:pPr>
        <w:ind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四、安全条款</w:t>
      </w:r>
    </w:p>
    <w:p w14:paraId="31AE0F78">
      <w:pPr>
        <w:ind w:firstLine="422" w:firstLineChars="200"/>
        <w:rPr>
          <w:rFonts w:ascii="宋体" w:hAnsi="宋体"/>
          <w:b/>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（按招标文件内容填写）</w:t>
      </w:r>
    </w:p>
    <w:p w14:paraId="62AAD906">
      <w:pPr>
        <w:ind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五、运输工作要求</w:t>
      </w:r>
    </w:p>
    <w:p w14:paraId="7866B549">
      <w:pPr>
        <w:ind w:firstLine="422" w:firstLineChars="200"/>
        <w:rPr>
          <w:rFonts w:ascii="宋体" w:hAnsi="宋体"/>
          <w:b/>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（按招标文件内容填写）</w:t>
      </w:r>
    </w:p>
    <w:p w14:paraId="36368532">
      <w:pPr>
        <w:ind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六、泵送工作要求</w:t>
      </w:r>
    </w:p>
    <w:p w14:paraId="0FBAD8BA">
      <w:pPr>
        <w:ind w:firstLine="422" w:firstLineChars="200"/>
        <w:rPr>
          <w:rFonts w:ascii="宋体" w:hAnsi="宋体"/>
          <w:b/>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（按招标文件内容填写）</w:t>
      </w:r>
    </w:p>
    <w:p w14:paraId="74D36BB6">
      <w:pPr>
        <w:ind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七、项目验收</w:t>
      </w:r>
    </w:p>
    <w:p w14:paraId="18B78CAF">
      <w:pPr>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1、运输服务完成后由甲方对乙方的运输服务进行验收。</w:t>
      </w:r>
    </w:p>
    <w:p w14:paraId="1EA6C971">
      <w:pPr>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2、具体按照《诸暨市政府采购履约验收暂行办法》的通知执行。</w:t>
      </w:r>
    </w:p>
    <w:p w14:paraId="48E972F5">
      <w:pPr>
        <w:ind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八、付款方式</w:t>
      </w:r>
    </w:p>
    <w:p w14:paraId="3B316C29">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本项目无预付款，每月最后一天为结算日，</w:t>
      </w:r>
      <w:r>
        <w:rPr>
          <w:rFonts w:hint="eastAsia" w:ascii="宋体" w:hAnsi="宋体" w:cs="宋体"/>
          <w:color w:val="000000" w:themeColor="text1"/>
          <w:highlight w:val="none"/>
          <w14:textFill>
            <w14:solidFill>
              <w14:schemeClr w14:val="tx1"/>
            </w14:solidFill>
          </w14:textFill>
        </w:rPr>
        <w:t>采购单位在每月月底为一结账周期，凭本月数量、收发确认单、工地发货有效签收回单及有效税务发票等附件资料到财务后以银行转账结算，在收到有效结算凭证之日起45个工作日结算上月货款。</w:t>
      </w:r>
    </w:p>
    <w:p w14:paraId="62CB4A5B">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备注：如遇采购单位内部制度调整更改发票税率，中标单位应当配合做好相应工作。</w:t>
      </w:r>
    </w:p>
    <w:p w14:paraId="504C75EF">
      <w:pPr>
        <w:ind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九、履约保证金</w:t>
      </w:r>
    </w:p>
    <w:p w14:paraId="10496A74">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1、中标单位在项目实施前向采购单位缴纳一定数额的履约保证金，具体数额为，标项一金额：18万元；标项二金额：18万元；标项三金额：22万元。在服务期满经验收合格后无息退回。</w:t>
      </w:r>
    </w:p>
    <w:p w14:paraId="7A83F505">
      <w:pPr>
        <w:ind w:firstLine="420" w:firstLineChars="200"/>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2、如乙方未能履行合同规定的义务，甲方有权在履约保证金中取得补偿。</w:t>
      </w:r>
    </w:p>
    <w:p w14:paraId="55A2146E">
      <w:pPr>
        <w:ind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十、产品数量变更</w:t>
      </w:r>
    </w:p>
    <w:p w14:paraId="0CE47C47">
      <w:pPr>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且事先须向采购单位审核备案。</w:t>
      </w:r>
    </w:p>
    <w:p w14:paraId="3D20940B">
      <w:pPr>
        <w:ind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十一、售后服务</w:t>
      </w:r>
    </w:p>
    <w:p w14:paraId="34DB1B6D">
      <w:pPr>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具体售后服务条款参照招标文件及乙方投标文件中的售后服务承诺。</w:t>
      </w:r>
    </w:p>
    <w:p w14:paraId="43305697">
      <w:pPr>
        <w:ind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十二、违约责任</w:t>
      </w:r>
    </w:p>
    <w:p w14:paraId="7F7DB529">
      <w:pPr>
        <w:ind w:firstLine="422" w:firstLineChars="20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（按招标文件内容填写）</w:t>
      </w:r>
    </w:p>
    <w:p w14:paraId="6BB639C4">
      <w:pPr>
        <w:ind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十三、其他约定事项</w:t>
      </w:r>
    </w:p>
    <w:p w14:paraId="3125E60D">
      <w:pPr>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w:t>
      </w:r>
    </w:p>
    <w:p w14:paraId="6EC84ED1">
      <w:pPr>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w:t>
      </w:r>
    </w:p>
    <w:p w14:paraId="34443AE6">
      <w:pPr>
        <w:ind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十四、解决合同纠纷方式</w:t>
      </w:r>
    </w:p>
    <w:p w14:paraId="348F67B9">
      <w:pPr>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其它未尽事宜或履行时发生争议，由双方本着诚实信用的原则协商解决，协商不成功可选择向诸暨市人民法院起诉。</w:t>
      </w:r>
    </w:p>
    <w:p w14:paraId="75E770E0">
      <w:pPr>
        <w:ind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十五、其它</w:t>
      </w:r>
    </w:p>
    <w:p w14:paraId="58C8BA15">
      <w:pPr>
        <w:ind w:left="42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1、本项目的招标文件、投标文件、中标通知书作为合同的附件，具有同等法律效力。</w:t>
      </w:r>
    </w:p>
    <w:p w14:paraId="2EAAD75B">
      <w:pPr>
        <w:ind w:left="42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2、本合同自签订之日起生效。</w:t>
      </w:r>
    </w:p>
    <w:p w14:paraId="3A99280D">
      <w:pPr>
        <w:ind w:left="42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3、本合同一式</w:t>
      </w:r>
      <w:r>
        <w:rPr>
          <w:rFonts w:hint="eastAsia" w:ascii="宋体" w:hAnsi="宋体"/>
          <w:color w:val="000000" w:themeColor="text1"/>
          <w:highlight w:val="none"/>
          <w:lang w:val="en-US" w:eastAsia="zh-CN"/>
          <w14:textFill>
            <w14:solidFill>
              <w14:schemeClr w14:val="tx1"/>
            </w14:solidFill>
          </w14:textFill>
        </w:rPr>
        <w:t>七</w:t>
      </w:r>
      <w:r>
        <w:rPr>
          <w:rFonts w:hint="eastAsia" w:ascii="宋体" w:hAnsi="宋体"/>
          <w:color w:val="000000" w:themeColor="text1"/>
          <w:highlight w:val="none"/>
          <w14:textFill>
            <w14:solidFill>
              <w14:schemeClr w14:val="tx1"/>
            </w14:solidFill>
          </w14:textFill>
        </w:rPr>
        <w:t>份，甲乙双方各执二份，</w:t>
      </w:r>
      <w:r>
        <w:rPr>
          <w:rFonts w:hint="eastAsia" w:ascii="宋体" w:hAnsi="宋体"/>
          <w:color w:val="000000" w:themeColor="text1"/>
          <w:highlight w:val="none"/>
          <w:lang w:val="en-US" w:eastAsia="zh-CN"/>
          <w14:textFill>
            <w14:solidFill>
              <w14:schemeClr w14:val="tx1"/>
            </w14:solidFill>
          </w14:textFill>
        </w:rPr>
        <w:t>八方控股集团及建设集团</w:t>
      </w:r>
      <w:r>
        <w:rPr>
          <w:rFonts w:hint="eastAsia" w:ascii="宋体" w:hAnsi="宋体"/>
          <w:color w:val="000000" w:themeColor="text1"/>
          <w:highlight w:val="none"/>
          <w14:textFill>
            <w14:solidFill>
              <w14:schemeClr w14:val="tx1"/>
            </w14:solidFill>
          </w14:textFill>
        </w:rPr>
        <w:t>招标中心</w:t>
      </w:r>
      <w:r>
        <w:rPr>
          <w:rFonts w:hint="eastAsia" w:ascii="宋体" w:hAnsi="宋体"/>
          <w:color w:val="000000" w:themeColor="text1"/>
          <w:highlight w:val="none"/>
          <w:lang w:val="en-US" w:eastAsia="zh-CN"/>
          <w14:textFill>
            <w14:solidFill>
              <w14:schemeClr w14:val="tx1"/>
            </w14:solidFill>
          </w14:textFill>
        </w:rPr>
        <w:t>各</w:t>
      </w:r>
      <w:r>
        <w:rPr>
          <w:rFonts w:hint="eastAsia" w:ascii="宋体" w:hAnsi="宋体"/>
          <w:color w:val="000000" w:themeColor="text1"/>
          <w:highlight w:val="none"/>
          <w14:textFill>
            <w14:solidFill>
              <w14:schemeClr w14:val="tx1"/>
            </w14:solidFill>
          </w14:textFill>
        </w:rPr>
        <w:t>备案一份，代理机构存档一份。</w:t>
      </w:r>
    </w:p>
    <w:tbl>
      <w:tblPr>
        <w:tblStyle w:val="22"/>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8"/>
        <w:gridCol w:w="4636"/>
      </w:tblGrid>
      <w:tr w14:paraId="0EB9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jc w:val="center"/>
        </w:trPr>
        <w:tc>
          <w:tcPr>
            <w:tcW w:w="4808" w:type="dxa"/>
            <w:vAlign w:val="center"/>
          </w:tcPr>
          <w:p w14:paraId="60338D2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采购单位</w:t>
            </w:r>
          </w:p>
        </w:tc>
        <w:tc>
          <w:tcPr>
            <w:tcW w:w="4636" w:type="dxa"/>
            <w:vAlign w:val="center"/>
          </w:tcPr>
          <w:p w14:paraId="52C3679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供货单位</w:t>
            </w:r>
          </w:p>
        </w:tc>
      </w:tr>
      <w:tr w14:paraId="57BD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4808" w:type="dxa"/>
          </w:tcPr>
          <w:p w14:paraId="68236FBC">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单位名称（盖章）</w:t>
            </w:r>
          </w:p>
          <w:p w14:paraId="7C44307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单位地址：</w:t>
            </w:r>
          </w:p>
          <w:p w14:paraId="7BC5884D">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w:t>
            </w:r>
          </w:p>
          <w:p w14:paraId="76C9C5D1">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委托代理人：</w:t>
            </w:r>
          </w:p>
          <w:p w14:paraId="63AD0C71">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p w14:paraId="7A3DA3B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传真号码：</w:t>
            </w:r>
          </w:p>
          <w:p w14:paraId="396CFD7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邮政编码：</w:t>
            </w:r>
          </w:p>
        </w:tc>
        <w:tc>
          <w:tcPr>
            <w:tcW w:w="4636" w:type="dxa"/>
          </w:tcPr>
          <w:p w14:paraId="62C3FA5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单位名称（盖章）</w:t>
            </w:r>
          </w:p>
          <w:p w14:paraId="4EE88E4C">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单位地址：</w:t>
            </w:r>
          </w:p>
          <w:p w14:paraId="334BDE6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w:t>
            </w:r>
          </w:p>
          <w:p w14:paraId="128BF0E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委托代理人：</w:t>
            </w:r>
          </w:p>
          <w:p w14:paraId="4555B95D">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p w14:paraId="0E33FAB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传真号码：</w:t>
            </w:r>
          </w:p>
          <w:p w14:paraId="355F852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邮政编码：</w:t>
            </w:r>
          </w:p>
          <w:p w14:paraId="4110F6A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p w14:paraId="341DACF7">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账    号：</w:t>
            </w:r>
          </w:p>
        </w:tc>
      </w:tr>
    </w:tbl>
    <w:p w14:paraId="7A8C1713">
      <w:pPr>
        <w:rPr>
          <w:color w:val="000000" w:themeColor="text1"/>
          <w:highlight w:val="none"/>
          <w14:textFill>
            <w14:solidFill>
              <w14:schemeClr w14:val="tx1"/>
            </w14:solidFill>
          </w14:textFill>
        </w:rPr>
      </w:pPr>
    </w:p>
    <w:p w14:paraId="15B0E1BC">
      <w:pPr>
        <w:rPr>
          <w:rFonts w:ascii="宋体" w:hAnsi="宋体" w:cs="宋体"/>
          <w:color w:val="000000" w:themeColor="text1"/>
          <w:sz w:val="44"/>
          <w:szCs w:val="4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（注：在正式签约时，双方可以根据招标文件要求拟定更为详尽的合同书）</w:t>
      </w:r>
    </w:p>
    <w:p w14:paraId="1ABF4751">
      <w:pPr>
        <w:rPr>
          <w:rFonts w:ascii="黑体" w:hAnsi="宋体" w:eastAsia="黑体"/>
          <w:color w:val="000000" w:themeColor="text1"/>
          <w:sz w:val="44"/>
          <w:szCs w:val="44"/>
          <w:highlight w:val="none"/>
          <w14:textFill>
            <w14:solidFill>
              <w14:schemeClr w14:val="tx1"/>
            </w14:solidFill>
          </w14:textFill>
        </w:rPr>
      </w:pPr>
    </w:p>
    <w:p w14:paraId="526D25F1">
      <w:pPr>
        <w:jc w:val="center"/>
        <w:rPr>
          <w:rFonts w:ascii="黑体" w:hAnsi="宋体" w:eastAsia="黑体"/>
          <w:color w:val="000000" w:themeColor="text1"/>
          <w:sz w:val="44"/>
          <w:szCs w:val="44"/>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r>
        <w:rPr>
          <w:rFonts w:hint="eastAsia" w:ascii="黑体" w:hAnsi="宋体" w:eastAsia="黑体"/>
          <w:color w:val="000000" w:themeColor="text1"/>
          <w:sz w:val="44"/>
          <w:szCs w:val="44"/>
          <w:highlight w:val="none"/>
          <w14:textFill>
            <w14:solidFill>
              <w14:schemeClr w14:val="tx1"/>
            </w14:solidFill>
          </w14:textFill>
        </w:rPr>
        <w:t>第六章  应提交的有关格式范例</w:t>
      </w:r>
    </w:p>
    <w:p w14:paraId="0CBA97B6">
      <w:pPr>
        <w:widowControl/>
        <w:tabs>
          <w:tab w:val="left" w:pos="450"/>
          <w:tab w:val="left" w:pos="8280"/>
        </w:tabs>
        <w:spacing w:line="360" w:lineRule="auto"/>
        <w:ind w:firstLine="480"/>
        <w:jc w:val="center"/>
        <w:rPr>
          <w:rFonts w:ascii="黑体" w:hAnsi="黑体" w:eastAsia="黑体"/>
          <w:color w:val="000000" w:themeColor="text1"/>
          <w:sz w:val="32"/>
          <w:szCs w:val="32"/>
          <w:highlight w:val="none"/>
          <w14:textFill>
            <w14:solidFill>
              <w14:schemeClr w14:val="tx1"/>
            </w14:solidFill>
          </w14:textFill>
        </w:rPr>
      </w:pPr>
    </w:p>
    <w:p w14:paraId="0FC7130A">
      <w:pPr>
        <w:widowControl/>
        <w:tabs>
          <w:tab w:val="left" w:pos="450"/>
          <w:tab w:val="left" w:pos="2520"/>
          <w:tab w:val="left" w:pos="8280"/>
        </w:tabs>
        <w:spacing w:line="360" w:lineRule="auto"/>
        <w:ind w:firstLine="480"/>
        <w:jc w:val="center"/>
        <w:rPr>
          <w:rFonts w:ascii="黑体" w:hAnsi="宋体" w:eastAsia="黑体" w:cs="宋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一、封面格式</w:t>
      </w:r>
    </w:p>
    <w:p w14:paraId="226B6D29">
      <w:pPr>
        <w:widowControl/>
        <w:tabs>
          <w:tab w:val="left" w:pos="8280"/>
        </w:tabs>
        <w:spacing w:line="360" w:lineRule="auto"/>
        <w:ind w:firstLine="480"/>
        <w:jc w:val="center"/>
        <w:rPr>
          <w:rFonts w:ascii="仿宋_GB2312" w:hAnsi="宋体" w:eastAsia="仿宋_GB2312" w:cs="宋体"/>
          <w:b/>
          <w:color w:val="000000" w:themeColor="text1"/>
          <w:sz w:val="32"/>
          <w:szCs w:val="32"/>
          <w:highlight w:val="none"/>
          <w14:textFill>
            <w14:solidFill>
              <w14:schemeClr w14:val="tx1"/>
            </w14:solidFill>
          </w14:textFill>
        </w:rPr>
      </w:pPr>
    </w:p>
    <w:p w14:paraId="6D63E248">
      <w:pPr>
        <w:widowControl/>
        <w:tabs>
          <w:tab w:val="left" w:pos="275"/>
          <w:tab w:val="left" w:pos="8280"/>
        </w:tabs>
        <w:spacing w:line="360" w:lineRule="auto"/>
        <w:ind w:firstLine="480"/>
        <w:jc w:val="left"/>
        <w:rPr>
          <w:rFonts w:ascii="仿宋_GB2312" w:hAnsi="宋体" w:eastAsia="仿宋_GB2312" w:cs="宋体"/>
          <w:b/>
          <w:color w:val="000000" w:themeColor="text1"/>
          <w:sz w:val="36"/>
          <w:szCs w:val="36"/>
          <w:highlight w:val="none"/>
          <w14:textFill>
            <w14:solidFill>
              <w14:schemeClr w14:val="tx1"/>
            </w14:solidFill>
          </w14:textFill>
        </w:rPr>
      </w:pPr>
    </w:p>
    <w:p w14:paraId="6C954E34">
      <w:pPr>
        <w:widowControl/>
        <w:tabs>
          <w:tab w:val="left" w:pos="275"/>
          <w:tab w:val="left" w:pos="8280"/>
        </w:tabs>
        <w:spacing w:line="360" w:lineRule="auto"/>
        <w:ind w:firstLine="480"/>
        <w:jc w:val="left"/>
        <w:rPr>
          <w:rFonts w:ascii="仿宋_GB2312" w:hAnsi="宋体" w:eastAsia="仿宋_GB2312" w:cs="宋体"/>
          <w:b/>
          <w:color w:val="000000" w:themeColor="text1"/>
          <w:sz w:val="36"/>
          <w:szCs w:val="36"/>
          <w:highlight w:val="none"/>
          <w14:textFill>
            <w14:solidFill>
              <w14:schemeClr w14:val="tx1"/>
            </w14:solidFill>
          </w14:textFill>
        </w:rPr>
      </w:pPr>
      <w:r>
        <w:rPr>
          <w:rFonts w:hint="eastAsia" w:ascii="仿宋_GB2312" w:hAnsi="宋体" w:eastAsia="仿宋_GB2312" w:cs="宋体"/>
          <w:b/>
          <w:color w:val="000000" w:themeColor="text1"/>
          <w:sz w:val="36"/>
          <w:szCs w:val="36"/>
          <w:highlight w:val="none"/>
          <w14:textFill>
            <w14:solidFill>
              <w14:schemeClr w14:val="tx1"/>
            </w14:solidFill>
          </w14:textFill>
        </w:rPr>
        <w:tab/>
      </w:r>
    </w:p>
    <w:p w14:paraId="26C58D43">
      <w:pPr>
        <w:widowControl/>
        <w:tabs>
          <w:tab w:val="left" w:pos="275"/>
          <w:tab w:val="left" w:pos="8280"/>
        </w:tabs>
        <w:spacing w:line="360" w:lineRule="auto"/>
        <w:jc w:val="left"/>
        <w:rPr>
          <w:rFonts w:ascii="仿宋_GB2312" w:hAnsi="宋体" w:eastAsia="仿宋_GB2312" w:cs="宋体"/>
          <w:b/>
          <w:color w:val="000000" w:themeColor="text1"/>
          <w:sz w:val="32"/>
          <w:szCs w:val="32"/>
          <w:highlight w:val="none"/>
          <w:u w:val="single"/>
          <w14:textFill>
            <w14:solidFill>
              <w14:schemeClr w14:val="tx1"/>
            </w14:solidFill>
          </w14:textFill>
        </w:rPr>
      </w:pPr>
      <w:r>
        <w:rPr>
          <w:rFonts w:hint="eastAsia" w:ascii="仿宋_GB2312" w:hAnsi="宋体" w:eastAsia="仿宋_GB2312" w:cs="宋体"/>
          <w:b/>
          <w:color w:val="000000" w:themeColor="text1"/>
          <w:sz w:val="32"/>
          <w:szCs w:val="32"/>
          <w:highlight w:val="none"/>
          <w14:textFill>
            <w14:solidFill>
              <w14:schemeClr w14:val="tx1"/>
            </w14:solidFill>
          </w14:textFill>
        </w:rPr>
        <w:t>项目名称：</w:t>
      </w:r>
      <w:r>
        <w:rPr>
          <w:rFonts w:hint="eastAsia" w:ascii="仿宋_GB2312" w:hAnsi="宋体" w:eastAsia="仿宋_GB2312" w:cs="宋体"/>
          <w:b/>
          <w:color w:val="000000" w:themeColor="text1"/>
          <w:sz w:val="32"/>
          <w:szCs w:val="32"/>
          <w:highlight w:val="none"/>
          <w:u w:val="single"/>
          <w14:textFill>
            <w14:solidFill>
              <w14:schemeClr w14:val="tx1"/>
            </w14:solidFill>
          </w14:textFill>
        </w:rPr>
        <w:t xml:space="preserve">                                      </w:t>
      </w:r>
    </w:p>
    <w:p w14:paraId="1EF9971B">
      <w:pPr>
        <w:widowControl/>
        <w:tabs>
          <w:tab w:val="left" w:pos="275"/>
          <w:tab w:val="left" w:pos="8280"/>
        </w:tabs>
        <w:spacing w:line="360" w:lineRule="auto"/>
        <w:ind w:firstLine="472" w:firstLineChars="147"/>
        <w:jc w:val="left"/>
        <w:rPr>
          <w:rFonts w:ascii="仿宋_GB2312" w:hAnsi="宋体" w:eastAsia="仿宋_GB2312" w:cs="宋体"/>
          <w:b/>
          <w:color w:val="000000" w:themeColor="text1"/>
          <w:sz w:val="32"/>
          <w:szCs w:val="32"/>
          <w:highlight w:val="none"/>
          <w14:textFill>
            <w14:solidFill>
              <w14:schemeClr w14:val="tx1"/>
            </w14:solidFill>
          </w14:textFill>
        </w:rPr>
      </w:pPr>
    </w:p>
    <w:p w14:paraId="357BE665">
      <w:pPr>
        <w:widowControl/>
        <w:tabs>
          <w:tab w:val="left" w:pos="275"/>
          <w:tab w:val="left" w:pos="8280"/>
        </w:tabs>
        <w:spacing w:line="360" w:lineRule="auto"/>
        <w:jc w:val="left"/>
        <w:rPr>
          <w:rFonts w:ascii="仿宋_GB2312" w:hAnsi="宋体" w:eastAsia="仿宋_GB2312" w:cs="宋体"/>
          <w:b/>
          <w:color w:val="000000" w:themeColor="text1"/>
          <w:sz w:val="36"/>
          <w:szCs w:val="36"/>
          <w:highlight w:val="none"/>
          <w14:textFill>
            <w14:solidFill>
              <w14:schemeClr w14:val="tx1"/>
            </w14:solidFill>
          </w14:textFill>
        </w:rPr>
      </w:pPr>
      <w:r>
        <w:rPr>
          <w:rFonts w:hint="eastAsia" w:ascii="仿宋_GB2312" w:hAnsi="宋体" w:eastAsia="仿宋_GB2312" w:cs="宋体"/>
          <w:b/>
          <w:color w:val="000000" w:themeColor="text1"/>
          <w:sz w:val="32"/>
          <w:szCs w:val="32"/>
          <w:highlight w:val="none"/>
          <w14:textFill>
            <w14:solidFill>
              <w14:schemeClr w14:val="tx1"/>
            </w14:solidFill>
          </w14:textFill>
        </w:rPr>
        <w:t>项目编号：</w:t>
      </w:r>
      <w:r>
        <w:rPr>
          <w:rFonts w:hint="eastAsia" w:ascii="仿宋_GB2312" w:hAnsi="宋体" w:eastAsia="仿宋_GB2312" w:cs="宋体"/>
          <w:b/>
          <w:color w:val="000000" w:themeColor="text1"/>
          <w:sz w:val="32"/>
          <w:szCs w:val="32"/>
          <w:highlight w:val="none"/>
          <w:u w:val="single"/>
          <w14:textFill>
            <w14:solidFill>
              <w14:schemeClr w14:val="tx1"/>
            </w14:solidFill>
          </w14:textFill>
        </w:rPr>
        <w:t xml:space="preserve">                                      </w:t>
      </w:r>
      <w:r>
        <w:rPr>
          <w:rFonts w:hint="eastAsia" w:ascii="仿宋_GB2312" w:hAnsi="宋体" w:eastAsia="仿宋_GB2312" w:cs="宋体"/>
          <w:b/>
          <w:color w:val="000000" w:themeColor="text1"/>
          <w:sz w:val="32"/>
          <w:szCs w:val="32"/>
          <w:highlight w:val="none"/>
          <w14:textFill>
            <w14:solidFill>
              <w14:schemeClr w14:val="tx1"/>
            </w14:solidFill>
          </w14:textFill>
        </w:rPr>
        <w:t xml:space="preserve">   </w:t>
      </w:r>
    </w:p>
    <w:p w14:paraId="2B98373A">
      <w:pPr>
        <w:widowControl/>
        <w:tabs>
          <w:tab w:val="left" w:pos="765"/>
          <w:tab w:val="left" w:pos="8280"/>
        </w:tabs>
        <w:spacing w:line="360" w:lineRule="auto"/>
        <w:ind w:firstLine="480"/>
        <w:jc w:val="left"/>
        <w:rPr>
          <w:rFonts w:ascii="仿宋_GB2312" w:hAnsi="宋体" w:eastAsia="仿宋_GB2312" w:cs="宋体"/>
          <w:b/>
          <w:color w:val="000000" w:themeColor="text1"/>
          <w:sz w:val="36"/>
          <w:szCs w:val="36"/>
          <w:highlight w:val="none"/>
          <w14:textFill>
            <w14:solidFill>
              <w14:schemeClr w14:val="tx1"/>
            </w14:solidFill>
          </w14:textFill>
        </w:rPr>
      </w:pPr>
      <w:r>
        <w:rPr>
          <w:rFonts w:hint="eastAsia" w:ascii="仿宋_GB2312" w:hAnsi="宋体" w:eastAsia="仿宋_GB2312" w:cs="宋体"/>
          <w:b/>
          <w:color w:val="000000" w:themeColor="text1"/>
          <w:sz w:val="36"/>
          <w:szCs w:val="36"/>
          <w:highlight w:val="none"/>
          <w14:textFill>
            <w14:solidFill>
              <w14:schemeClr w14:val="tx1"/>
            </w14:solidFill>
          </w14:textFill>
        </w:rPr>
        <w:tab/>
      </w:r>
    </w:p>
    <w:p w14:paraId="4BB37ED7">
      <w:pPr>
        <w:widowControl/>
        <w:tabs>
          <w:tab w:val="left" w:pos="765"/>
          <w:tab w:val="left" w:pos="8280"/>
        </w:tabs>
        <w:spacing w:line="360" w:lineRule="auto"/>
        <w:jc w:val="left"/>
        <w:rPr>
          <w:rFonts w:ascii="仿宋_GB2312" w:hAnsi="宋体" w:eastAsia="仿宋_GB2312" w:cs="宋体"/>
          <w:b/>
          <w:color w:val="000000" w:themeColor="text1"/>
          <w:sz w:val="36"/>
          <w:szCs w:val="36"/>
          <w:highlight w:val="none"/>
          <w:u w:val="single"/>
          <w14:textFill>
            <w14:solidFill>
              <w14:schemeClr w14:val="tx1"/>
            </w14:solidFill>
          </w14:textFill>
        </w:rPr>
      </w:pPr>
      <w:r>
        <w:rPr>
          <w:rFonts w:hint="eastAsia" w:ascii="仿宋_GB2312" w:hAnsi="宋体" w:eastAsia="仿宋_GB2312" w:cs="宋体"/>
          <w:b/>
          <w:color w:val="000000" w:themeColor="text1"/>
          <w:sz w:val="32"/>
          <w:szCs w:val="32"/>
          <w:highlight w:val="none"/>
          <w14:textFill>
            <w14:solidFill>
              <w14:schemeClr w14:val="tx1"/>
            </w14:solidFill>
          </w14:textFill>
        </w:rPr>
        <w:t>投标人：</w:t>
      </w:r>
      <w:r>
        <w:rPr>
          <w:rFonts w:hint="eastAsia" w:ascii="仿宋_GB2312" w:hAnsi="宋体" w:eastAsia="仿宋_GB2312" w:cs="宋体"/>
          <w:b/>
          <w:color w:val="000000" w:themeColor="text1"/>
          <w:sz w:val="32"/>
          <w:szCs w:val="32"/>
          <w:highlight w:val="none"/>
          <w:u w:val="single"/>
          <w14:textFill>
            <w14:solidFill>
              <w14:schemeClr w14:val="tx1"/>
            </w14:solidFill>
          </w14:textFill>
        </w:rPr>
        <w:t xml:space="preserve">              （盖公章）                </w:t>
      </w:r>
    </w:p>
    <w:p w14:paraId="3581322C">
      <w:pPr>
        <w:widowControl/>
        <w:tabs>
          <w:tab w:val="left" w:pos="8280"/>
        </w:tabs>
        <w:spacing w:line="360" w:lineRule="auto"/>
        <w:ind w:firstLine="480"/>
        <w:jc w:val="center"/>
        <w:rPr>
          <w:rFonts w:ascii="仿宋_GB2312" w:hAnsi="宋体" w:eastAsia="仿宋_GB2312" w:cs="宋体"/>
          <w:b/>
          <w:color w:val="000000" w:themeColor="text1"/>
          <w:sz w:val="32"/>
          <w:szCs w:val="32"/>
          <w:highlight w:val="none"/>
          <w14:textFill>
            <w14:solidFill>
              <w14:schemeClr w14:val="tx1"/>
            </w14:solidFill>
          </w14:textFill>
        </w:rPr>
      </w:pPr>
    </w:p>
    <w:p w14:paraId="197A2B4C">
      <w:pPr>
        <w:widowControl/>
        <w:tabs>
          <w:tab w:val="left" w:pos="350"/>
          <w:tab w:val="left" w:pos="8280"/>
        </w:tabs>
        <w:spacing w:line="360" w:lineRule="auto"/>
        <w:jc w:val="left"/>
        <w:rPr>
          <w:rFonts w:ascii="仿宋_GB2312" w:hAnsi="宋体" w:eastAsia="仿宋_GB2312" w:cs="宋体"/>
          <w:b/>
          <w:color w:val="000000" w:themeColor="text1"/>
          <w:sz w:val="32"/>
          <w:szCs w:val="32"/>
          <w:highlight w:val="none"/>
          <w14:textFill>
            <w14:solidFill>
              <w14:schemeClr w14:val="tx1"/>
            </w14:solidFill>
          </w14:textFill>
        </w:rPr>
      </w:pPr>
      <w:r>
        <w:rPr>
          <w:rFonts w:hint="eastAsia" w:ascii="仿宋_GB2312" w:hAnsi="宋体" w:eastAsia="仿宋_GB2312" w:cs="宋体"/>
          <w:b/>
          <w:color w:val="000000" w:themeColor="text1"/>
          <w:sz w:val="32"/>
          <w:szCs w:val="32"/>
          <w:highlight w:val="none"/>
          <w14:textFill>
            <w14:solidFill>
              <w14:schemeClr w14:val="tx1"/>
            </w14:solidFill>
          </w14:textFill>
        </w:rPr>
        <w:t xml:space="preserve">日期：      </w:t>
      </w:r>
      <w:r>
        <w:rPr>
          <w:rFonts w:hint="eastAsia" w:ascii="仿宋_GB2312" w:hAnsi="宋体" w:eastAsia="仿宋_GB2312" w:cs="宋体"/>
          <w:b/>
          <w:color w:val="000000" w:themeColor="text1"/>
          <w:sz w:val="36"/>
          <w:szCs w:val="36"/>
          <w:highlight w:val="none"/>
          <w14:textFill>
            <w14:solidFill>
              <w14:schemeClr w14:val="tx1"/>
            </w14:solidFill>
          </w14:textFill>
        </w:rPr>
        <w:t xml:space="preserve"> </w:t>
      </w:r>
      <w:r>
        <w:rPr>
          <w:rFonts w:hint="eastAsia" w:ascii="仿宋_GB2312" w:hAnsi="宋体" w:eastAsia="仿宋_GB2312" w:cs="宋体"/>
          <w:b/>
          <w:color w:val="000000" w:themeColor="text1"/>
          <w:sz w:val="32"/>
          <w:szCs w:val="32"/>
          <w:highlight w:val="none"/>
          <w14:textFill>
            <w14:solidFill>
              <w14:schemeClr w14:val="tx1"/>
            </w14:solidFill>
          </w14:textFill>
        </w:rPr>
        <w:t>年</w:t>
      </w:r>
      <w:r>
        <w:rPr>
          <w:rFonts w:hint="eastAsia" w:ascii="仿宋_GB2312" w:hAnsi="宋体" w:eastAsia="仿宋_GB2312" w:cs="宋体"/>
          <w:b/>
          <w:color w:val="000000" w:themeColor="text1"/>
          <w:sz w:val="36"/>
          <w:szCs w:val="36"/>
          <w:highlight w:val="none"/>
          <w14:textFill>
            <w14:solidFill>
              <w14:schemeClr w14:val="tx1"/>
            </w14:solidFill>
          </w14:textFill>
        </w:rPr>
        <w:t xml:space="preserve">     </w:t>
      </w:r>
      <w:r>
        <w:rPr>
          <w:rFonts w:hint="eastAsia" w:ascii="仿宋_GB2312" w:hAnsi="宋体" w:eastAsia="仿宋_GB2312" w:cs="宋体"/>
          <w:b/>
          <w:color w:val="000000" w:themeColor="text1"/>
          <w:sz w:val="32"/>
          <w:szCs w:val="32"/>
          <w:highlight w:val="none"/>
          <w14:textFill>
            <w14:solidFill>
              <w14:schemeClr w14:val="tx1"/>
            </w14:solidFill>
          </w14:textFill>
        </w:rPr>
        <w:t>月</w:t>
      </w:r>
      <w:r>
        <w:rPr>
          <w:rFonts w:hint="eastAsia" w:ascii="仿宋_GB2312" w:hAnsi="宋体" w:eastAsia="仿宋_GB2312" w:cs="宋体"/>
          <w:b/>
          <w:color w:val="000000" w:themeColor="text1"/>
          <w:sz w:val="36"/>
          <w:szCs w:val="36"/>
          <w:highlight w:val="none"/>
          <w14:textFill>
            <w14:solidFill>
              <w14:schemeClr w14:val="tx1"/>
            </w14:solidFill>
          </w14:textFill>
        </w:rPr>
        <w:t xml:space="preserve">     </w:t>
      </w:r>
      <w:r>
        <w:rPr>
          <w:rFonts w:hint="eastAsia" w:ascii="仿宋_GB2312" w:hAnsi="宋体" w:eastAsia="仿宋_GB2312" w:cs="宋体"/>
          <w:b/>
          <w:color w:val="000000" w:themeColor="text1"/>
          <w:sz w:val="32"/>
          <w:szCs w:val="32"/>
          <w:highlight w:val="none"/>
          <w14:textFill>
            <w14:solidFill>
              <w14:schemeClr w14:val="tx1"/>
            </w14:solidFill>
          </w14:textFill>
        </w:rPr>
        <w:t>日</w:t>
      </w:r>
    </w:p>
    <w:p w14:paraId="3FB3AD76">
      <w:pPr>
        <w:widowControl/>
        <w:tabs>
          <w:tab w:val="left" w:pos="350"/>
          <w:tab w:val="left" w:pos="8280"/>
        </w:tabs>
        <w:spacing w:line="360" w:lineRule="auto"/>
        <w:ind w:firstLine="480"/>
        <w:jc w:val="left"/>
        <w:rPr>
          <w:rFonts w:ascii="仿宋_GB2312" w:hAnsi="宋体" w:eastAsia="仿宋_GB2312" w:cs="宋体"/>
          <w:b/>
          <w:color w:val="000000" w:themeColor="text1"/>
          <w:sz w:val="32"/>
          <w:szCs w:val="32"/>
          <w:highlight w:val="none"/>
          <w14:textFill>
            <w14:solidFill>
              <w14:schemeClr w14:val="tx1"/>
            </w14:solidFill>
          </w14:textFill>
        </w:rPr>
      </w:pPr>
    </w:p>
    <w:p w14:paraId="56A0F34E">
      <w:pPr>
        <w:pStyle w:val="8"/>
        <w:spacing w:line="500" w:lineRule="exact"/>
        <w:jc w:val="center"/>
        <w:rPr>
          <w:rFonts w:ascii="黑体" w:hAnsi="黑体"/>
          <w:b w:val="0"/>
          <w:color w:val="000000" w:themeColor="text1"/>
          <w:highlight w:val="none"/>
          <w14:textFill>
            <w14:solidFill>
              <w14:schemeClr w14:val="tx1"/>
            </w14:solidFill>
          </w14:textFill>
        </w:rPr>
      </w:pPr>
    </w:p>
    <w:p w14:paraId="2D8CAD05">
      <w:pPr>
        <w:rPr>
          <w:color w:val="000000" w:themeColor="text1"/>
          <w:highlight w:val="none"/>
          <w14:textFill>
            <w14:solidFill>
              <w14:schemeClr w14:val="tx1"/>
            </w14:solidFill>
          </w14:textFill>
        </w:rPr>
      </w:pPr>
    </w:p>
    <w:p w14:paraId="05F7588E">
      <w:pPr>
        <w:rPr>
          <w:color w:val="000000" w:themeColor="text1"/>
          <w:highlight w:val="none"/>
          <w14:textFill>
            <w14:solidFill>
              <w14:schemeClr w14:val="tx1"/>
            </w14:solidFill>
          </w14:textFill>
        </w:rPr>
      </w:pPr>
    </w:p>
    <w:p w14:paraId="368A5BF3">
      <w:pPr>
        <w:rPr>
          <w:color w:val="000000" w:themeColor="text1"/>
          <w:highlight w:val="none"/>
          <w14:textFill>
            <w14:solidFill>
              <w14:schemeClr w14:val="tx1"/>
            </w14:solidFill>
          </w14:textFill>
        </w:rPr>
      </w:pPr>
    </w:p>
    <w:p w14:paraId="23C9ECE8">
      <w:pPr>
        <w:rPr>
          <w:color w:val="000000" w:themeColor="text1"/>
          <w:highlight w:val="none"/>
          <w14:textFill>
            <w14:solidFill>
              <w14:schemeClr w14:val="tx1"/>
            </w14:solidFill>
          </w14:textFill>
        </w:rPr>
      </w:pPr>
    </w:p>
    <w:p w14:paraId="23F36297">
      <w:pPr>
        <w:rPr>
          <w:color w:val="000000" w:themeColor="text1"/>
          <w:highlight w:val="none"/>
          <w14:textFill>
            <w14:solidFill>
              <w14:schemeClr w14:val="tx1"/>
            </w14:solidFill>
          </w14:textFill>
        </w:rPr>
      </w:pPr>
    </w:p>
    <w:p w14:paraId="5DB1A5DE">
      <w:pPr>
        <w:pStyle w:val="7"/>
        <w:rPr>
          <w:color w:val="000000" w:themeColor="text1"/>
          <w:highlight w:val="none"/>
          <w14:textFill>
            <w14:solidFill>
              <w14:schemeClr w14:val="tx1"/>
            </w14:solidFill>
          </w14:textFill>
        </w:rPr>
      </w:pPr>
    </w:p>
    <w:p w14:paraId="41EF7176">
      <w:pPr>
        <w:rPr>
          <w:color w:val="000000" w:themeColor="text1"/>
          <w:highlight w:val="none"/>
          <w14:textFill>
            <w14:solidFill>
              <w14:schemeClr w14:val="tx1"/>
            </w14:solidFill>
          </w14:textFill>
        </w:rPr>
      </w:pPr>
    </w:p>
    <w:p w14:paraId="68805124">
      <w:pPr>
        <w:pStyle w:val="8"/>
        <w:spacing w:line="500" w:lineRule="exact"/>
        <w:jc w:val="center"/>
        <w:rPr>
          <w:rFonts w:ascii="黑体" w:hAnsi="黑体"/>
          <w:b w:val="0"/>
          <w:color w:val="000000" w:themeColor="text1"/>
          <w:highlight w:val="none"/>
          <w14:textFill>
            <w14:solidFill>
              <w14:schemeClr w14:val="tx1"/>
            </w14:solidFill>
          </w14:textFill>
        </w:rPr>
        <w:sectPr>
          <w:pgSz w:w="11906" w:h="16838"/>
          <w:pgMar w:top="1021" w:right="1247" w:bottom="1021" w:left="1247" w:header="567" w:footer="284" w:gutter="0"/>
          <w:pgNumType w:fmt="numberInDash"/>
          <w:cols w:space="720" w:num="1"/>
          <w:titlePg/>
          <w:docGrid w:type="lines" w:linePitch="312" w:charSpace="0"/>
        </w:sectPr>
      </w:pPr>
    </w:p>
    <w:p w14:paraId="1F95B56C">
      <w:pPr>
        <w:pStyle w:val="8"/>
        <w:spacing w:line="500" w:lineRule="exact"/>
        <w:jc w:val="center"/>
        <w:rPr>
          <w:rFonts w:ascii="黑体" w:hAnsi="黑体"/>
          <w:b w:val="0"/>
          <w:color w:val="000000" w:themeColor="text1"/>
          <w:highlight w:val="none"/>
          <w14:textFill>
            <w14:solidFill>
              <w14:schemeClr w14:val="tx1"/>
            </w14:solidFill>
          </w14:textFill>
        </w:rPr>
      </w:pPr>
      <w:r>
        <w:rPr>
          <w:rFonts w:hint="eastAsia" w:ascii="黑体" w:hAnsi="黑体"/>
          <w:b w:val="0"/>
          <w:color w:val="000000" w:themeColor="text1"/>
          <w:highlight w:val="none"/>
          <w14:textFill>
            <w14:solidFill>
              <w14:schemeClr w14:val="tx1"/>
            </w14:solidFill>
          </w14:textFill>
        </w:rPr>
        <w:t>二、投标函（格式）</w:t>
      </w:r>
    </w:p>
    <w:p w14:paraId="7A09BF5C">
      <w:pPr>
        <w:spacing w:line="660" w:lineRule="exact"/>
        <w:rPr>
          <w:rFonts w:ascii="宋体" w:hAnsi="宋体"/>
          <w:color w:val="000000" w:themeColor="text1"/>
          <w:spacing w:val="8"/>
          <w:sz w:val="24"/>
          <w:szCs w:val="24"/>
          <w:highlight w:val="none"/>
          <w14:textFill>
            <w14:solidFill>
              <w14:schemeClr w14:val="tx1"/>
            </w14:solidFill>
          </w14:textFill>
        </w:rPr>
      </w:pPr>
      <w:r>
        <w:rPr>
          <w:rFonts w:hint="eastAsia" w:ascii="宋体" w:hAnsi="宋体"/>
          <w:color w:val="000000" w:themeColor="text1"/>
          <w:spacing w:val="8"/>
          <w:sz w:val="24"/>
          <w:szCs w:val="24"/>
          <w:highlight w:val="none"/>
          <w14:textFill>
            <w14:solidFill>
              <w14:schemeClr w14:val="tx1"/>
            </w14:solidFill>
          </w14:textFill>
        </w:rPr>
        <w:t>致：浙江诚远工程咨询有限公司</w:t>
      </w:r>
    </w:p>
    <w:p w14:paraId="3221F0DE">
      <w:pPr>
        <w:spacing w:line="360" w:lineRule="auto"/>
        <w:ind w:firstLine="384"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pacing w:val="8"/>
          <w:sz w:val="24"/>
          <w:szCs w:val="24"/>
          <w:highlight w:val="none"/>
          <w14:textFill>
            <w14:solidFill>
              <w14:schemeClr w14:val="tx1"/>
            </w14:solidFill>
          </w14:textFill>
        </w:rPr>
        <w:t>根据贵方</w:t>
      </w:r>
      <w:r>
        <w:rPr>
          <w:rFonts w:hint="eastAsia" w:ascii="宋体" w:hAnsi="宋体"/>
          <w:color w:val="000000" w:themeColor="text1"/>
          <w:spacing w:val="8"/>
          <w:sz w:val="24"/>
          <w:szCs w:val="24"/>
          <w:highlight w:val="none"/>
          <w:u w:val="single"/>
          <w14:textFill>
            <w14:solidFill>
              <w14:schemeClr w14:val="tx1"/>
            </w14:solidFill>
          </w14:textFill>
        </w:rPr>
        <w:t xml:space="preserve">                           项目的</w:t>
      </w:r>
      <w:r>
        <w:rPr>
          <w:rFonts w:hint="eastAsia" w:ascii="宋体" w:hAnsi="宋体"/>
          <w:color w:val="000000" w:themeColor="text1"/>
          <w:spacing w:val="8"/>
          <w:sz w:val="24"/>
          <w:szCs w:val="24"/>
          <w:highlight w:val="none"/>
          <w14:textFill>
            <w14:solidFill>
              <w14:schemeClr w14:val="tx1"/>
            </w14:solidFill>
          </w14:textFill>
        </w:rPr>
        <w:t>招标文件（编号：浙江诚远ZJ2025</w:t>
      </w:r>
      <w:r>
        <w:rPr>
          <w:rFonts w:ascii="宋体" w:hAnsi="宋体"/>
          <w:color w:val="000000" w:themeColor="text1"/>
          <w:spacing w:val="8"/>
          <w:sz w:val="24"/>
          <w:szCs w:val="24"/>
          <w:highlight w:val="none"/>
          <w14:textFill>
            <w14:solidFill>
              <w14:schemeClr w14:val="tx1"/>
            </w14:solidFill>
          </w14:textFill>
        </w:rPr>
        <w:t>-</w:t>
      </w:r>
      <w:r>
        <w:rPr>
          <w:rFonts w:hint="eastAsia" w:ascii="宋体" w:hAnsi="宋体"/>
          <w:color w:val="000000" w:themeColor="text1"/>
          <w:spacing w:val="8"/>
          <w:sz w:val="24"/>
          <w:szCs w:val="24"/>
          <w:highlight w:val="none"/>
          <w14:textFill>
            <w14:solidFill>
              <w14:schemeClr w14:val="tx1"/>
            </w14:solidFill>
          </w14:textFill>
        </w:rPr>
        <w:t>**</w:t>
      </w:r>
      <w:r>
        <w:rPr>
          <w:rFonts w:ascii="宋体" w:hAnsi="宋体"/>
          <w:color w:val="000000" w:themeColor="text1"/>
          <w:spacing w:val="8"/>
          <w:sz w:val="24"/>
          <w:szCs w:val="24"/>
          <w:highlight w:val="none"/>
          <w14:textFill>
            <w14:solidFill>
              <w14:schemeClr w14:val="tx1"/>
            </w14:solidFill>
          </w14:textFill>
        </w:rPr>
        <w:t>-</w:t>
      </w:r>
      <w:r>
        <w:rPr>
          <w:rFonts w:hint="eastAsia" w:ascii="宋体" w:hAnsi="宋体"/>
          <w:color w:val="000000" w:themeColor="text1"/>
          <w:spacing w:val="8"/>
          <w:sz w:val="24"/>
          <w:szCs w:val="24"/>
          <w:highlight w:val="none"/>
          <w14:textFill>
            <w14:solidFill>
              <w14:schemeClr w14:val="tx1"/>
            </w14:solidFill>
          </w14:textFill>
        </w:rPr>
        <w:t xml:space="preserve">**）有关要求， </w:t>
      </w:r>
      <w:r>
        <w:rPr>
          <w:rFonts w:hint="eastAsia" w:ascii="宋体" w:hAnsi="宋体"/>
          <w:color w:val="000000" w:themeColor="text1"/>
          <w:spacing w:val="8"/>
          <w:sz w:val="24"/>
          <w:szCs w:val="24"/>
          <w:highlight w:val="none"/>
          <w:u w:val="single"/>
          <w14:textFill>
            <w14:solidFill>
              <w14:schemeClr w14:val="tx1"/>
            </w14:solidFill>
          </w14:textFill>
        </w:rPr>
        <w:t xml:space="preserve">   　　（投标人全称）       </w:t>
      </w:r>
      <w:r>
        <w:rPr>
          <w:rFonts w:hint="eastAsia" w:ascii="宋体" w:hAnsi="宋体"/>
          <w:color w:val="000000" w:themeColor="text1"/>
          <w:spacing w:val="8"/>
          <w:sz w:val="24"/>
          <w:szCs w:val="24"/>
          <w:highlight w:val="none"/>
          <w14:textFill>
            <w14:solidFill>
              <w14:schemeClr w14:val="tx1"/>
            </w14:solidFill>
          </w14:textFill>
        </w:rPr>
        <w:t>授权</w:t>
      </w:r>
      <w:r>
        <w:rPr>
          <w:rFonts w:hint="eastAsia" w:ascii="宋体" w:hAnsi="宋体"/>
          <w:color w:val="000000" w:themeColor="text1"/>
          <w:spacing w:val="8"/>
          <w:sz w:val="24"/>
          <w:szCs w:val="24"/>
          <w:highlight w:val="none"/>
          <w:u w:val="single"/>
          <w14:textFill>
            <w14:solidFill>
              <w14:schemeClr w14:val="tx1"/>
            </w14:solidFill>
          </w14:textFill>
        </w:rPr>
        <w:t xml:space="preserve">     （委托代理人姓名）   </w:t>
      </w:r>
      <w:r>
        <w:rPr>
          <w:rFonts w:hint="eastAsia" w:ascii="宋体" w:hAnsi="宋体"/>
          <w:color w:val="000000" w:themeColor="text1"/>
          <w:sz w:val="24"/>
          <w:szCs w:val="24"/>
          <w:highlight w:val="none"/>
          <w14:textFill>
            <w14:solidFill>
              <w14:schemeClr w14:val="tx1"/>
            </w14:solidFill>
          </w14:textFill>
        </w:rPr>
        <w:t>为全权代表，参加贵方组织的招标采购活动，并进行投标。为此：</w:t>
      </w:r>
    </w:p>
    <w:p w14:paraId="2B9EDF9E">
      <w:pPr>
        <w:snapToGrid w:val="0"/>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1、我方已详细研读了全部招标文件，包括修改文件（如有的话）以及全部参考资料和有关附件等，</w:t>
      </w:r>
      <w:r>
        <w:rPr>
          <w:rFonts w:hint="eastAsia" w:ascii="宋体" w:hAnsi="宋体"/>
          <w:bCs/>
          <w:color w:val="000000" w:themeColor="text1"/>
          <w:sz w:val="24"/>
          <w:szCs w:val="24"/>
          <w:highlight w:val="none"/>
          <w14:textFill>
            <w14:solidFill>
              <w14:schemeClr w14:val="tx1"/>
            </w14:solidFill>
          </w14:textFill>
        </w:rPr>
        <w:t>完全理解并接受招标文件的各项规定和要求，对招标文件的合理性、合法性不再有异议。</w:t>
      </w:r>
    </w:p>
    <w:p w14:paraId="07F8B0CC">
      <w:pPr>
        <w:tabs>
          <w:tab w:val="left" w:pos="90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2、我方承诺本投标文件在开标之日起至投标有效期满均具有约束力，并严格遵守投标文件中的承诺。</w:t>
      </w:r>
    </w:p>
    <w:p w14:paraId="1E975C5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3、我方承诺已经具备招标文件中规定的参加本项目的供应商资格条件。</w:t>
      </w:r>
    </w:p>
    <w:p w14:paraId="66EC452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4、我方严格按照招标文件的规定报价，并提供招标文件规定的全部投标文件。</w:t>
      </w:r>
    </w:p>
    <w:p w14:paraId="0B82C6F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5、如我方中标，投标文件将作为本项目合同的组成部分，直到合同履行完毕均保持有效，我方将按招标文件及法律、法规的规定履行合同责任和义务。</w:t>
      </w:r>
    </w:p>
    <w:p w14:paraId="271E1FFA">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6、我方完全理解贵方不一定接受最低价的投标。</w:t>
      </w:r>
    </w:p>
    <w:p w14:paraId="5B3FB08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7、我方同意向贵方提供任何与该项投标有关的一切数据或资料。若贵方需要，我方愿意提供我方作出的一切承诺的证明材料。</w:t>
      </w:r>
    </w:p>
    <w:p w14:paraId="10F6A34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8、与本次投标有关的一切正式往来通讯，请寄：</w:t>
      </w:r>
    </w:p>
    <w:p w14:paraId="6665000A">
      <w:pPr>
        <w:spacing w:line="360" w:lineRule="auto"/>
        <w:ind w:firstLine="425"/>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地址：</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邮编：</w:t>
      </w:r>
      <w:r>
        <w:rPr>
          <w:rFonts w:hint="eastAsia" w:ascii="宋体" w:hAnsi="宋体"/>
          <w:color w:val="000000" w:themeColor="text1"/>
          <w:sz w:val="24"/>
          <w:szCs w:val="24"/>
          <w:highlight w:val="none"/>
          <w:u w:val="single"/>
          <w14:textFill>
            <w14:solidFill>
              <w14:schemeClr w14:val="tx1"/>
            </w14:solidFill>
          </w14:textFill>
        </w:rPr>
        <w:t xml:space="preserve">                     </w:t>
      </w:r>
    </w:p>
    <w:p w14:paraId="0B67E07C">
      <w:pPr>
        <w:spacing w:line="360" w:lineRule="auto"/>
        <w:ind w:firstLine="425"/>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电话：</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传真：</w:t>
      </w:r>
      <w:r>
        <w:rPr>
          <w:rFonts w:hint="eastAsia" w:ascii="宋体" w:hAnsi="宋体"/>
          <w:color w:val="000000" w:themeColor="text1"/>
          <w:sz w:val="24"/>
          <w:szCs w:val="24"/>
          <w:highlight w:val="none"/>
          <w:u w:val="single"/>
          <w14:textFill>
            <w14:solidFill>
              <w14:schemeClr w14:val="tx1"/>
            </w14:solidFill>
          </w14:textFill>
        </w:rPr>
        <w:t xml:space="preserve">                     </w:t>
      </w:r>
    </w:p>
    <w:p w14:paraId="46450F6B">
      <w:pPr>
        <w:spacing w:line="360" w:lineRule="auto"/>
        <w:ind w:firstLine="425"/>
        <w:rPr>
          <w:rFonts w:ascii="宋体" w:hAnsi="宋体"/>
          <w:color w:val="000000" w:themeColor="text1"/>
          <w:sz w:val="24"/>
          <w:szCs w:val="24"/>
          <w:highlight w:val="none"/>
          <w14:textFill>
            <w14:solidFill>
              <w14:schemeClr w14:val="tx1"/>
            </w14:solidFill>
          </w14:textFill>
        </w:rPr>
      </w:pPr>
    </w:p>
    <w:p w14:paraId="4BD5D359">
      <w:pPr>
        <w:spacing w:line="360" w:lineRule="auto"/>
        <w:ind w:firstLine="42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投标人名称：</w:t>
      </w:r>
      <w:r>
        <w:rPr>
          <w:rFonts w:hint="eastAsia" w:ascii="宋体" w:hAnsi="宋体"/>
          <w:color w:val="000000" w:themeColor="text1"/>
          <w:sz w:val="24"/>
          <w:szCs w:val="24"/>
          <w:highlight w:val="none"/>
          <w:u w:val="single"/>
          <w14:textFill>
            <w14:solidFill>
              <w14:schemeClr w14:val="tx1"/>
            </w14:solidFill>
          </w14:textFill>
        </w:rPr>
        <w:t xml:space="preserve">            （盖公章）              </w:t>
      </w:r>
    </w:p>
    <w:p w14:paraId="46F4C8AF">
      <w:pPr>
        <w:spacing w:line="360" w:lineRule="auto"/>
        <w:ind w:firstLine="425"/>
        <w:rPr>
          <w:rFonts w:ascii="宋体" w:hAnsi="宋体"/>
          <w:color w:val="000000" w:themeColor="text1"/>
          <w:sz w:val="24"/>
          <w:szCs w:val="24"/>
          <w:highlight w:val="none"/>
          <w:u w:val="single"/>
          <w14:textFill>
            <w14:solidFill>
              <w14:schemeClr w14:val="tx1"/>
            </w14:solidFill>
          </w14:textFill>
        </w:rPr>
      </w:pPr>
    </w:p>
    <w:p w14:paraId="1AEDA34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p w14:paraId="46334A2E">
      <w:pPr>
        <w:pStyle w:val="8"/>
        <w:spacing w:line="500" w:lineRule="exact"/>
        <w:rPr>
          <w:rFonts w:ascii="黑体" w:hAnsi="黑体"/>
          <w:b w:val="0"/>
          <w:color w:val="000000" w:themeColor="text1"/>
          <w:highlight w:val="none"/>
          <w14:textFill>
            <w14:solidFill>
              <w14:schemeClr w14:val="tx1"/>
            </w14:solidFill>
          </w14:textFill>
        </w:rPr>
      </w:pPr>
    </w:p>
    <w:p w14:paraId="4565D976">
      <w:pPr>
        <w:pStyle w:val="8"/>
        <w:spacing w:line="500" w:lineRule="exact"/>
        <w:jc w:val="center"/>
        <w:rPr>
          <w:rFonts w:ascii="黑体" w:hAnsi="黑体"/>
          <w:b w:val="0"/>
          <w:color w:val="000000" w:themeColor="text1"/>
          <w:highlight w:val="none"/>
          <w14:textFill>
            <w14:solidFill>
              <w14:schemeClr w14:val="tx1"/>
            </w14:solidFill>
          </w14:textFill>
        </w:rPr>
      </w:pPr>
      <w:r>
        <w:rPr>
          <w:rFonts w:hint="eastAsia" w:ascii="黑体" w:hAnsi="黑体"/>
          <w:b w:val="0"/>
          <w:color w:val="000000" w:themeColor="text1"/>
          <w:highlight w:val="none"/>
          <w14:textFill>
            <w14:solidFill>
              <w14:schemeClr w14:val="tx1"/>
            </w14:solidFill>
          </w14:textFill>
        </w:rPr>
        <w:br w:type="page"/>
      </w:r>
      <w:r>
        <w:rPr>
          <w:rFonts w:hint="eastAsia" w:ascii="黑体" w:hAnsi="黑体"/>
          <w:b w:val="0"/>
          <w:color w:val="000000" w:themeColor="text1"/>
          <w:highlight w:val="none"/>
          <w14:textFill>
            <w14:solidFill>
              <w14:schemeClr w14:val="tx1"/>
            </w14:solidFill>
          </w14:textFill>
        </w:rPr>
        <w:t>三、授权委托书（格式）</w:t>
      </w:r>
    </w:p>
    <w:p w14:paraId="2E6729A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致：</w:t>
      </w:r>
      <w:r>
        <w:rPr>
          <w:rFonts w:hint="eastAsia" w:ascii="宋体" w:hAnsi="宋体"/>
          <w:color w:val="000000" w:themeColor="text1"/>
          <w:spacing w:val="8"/>
          <w:sz w:val="24"/>
          <w:szCs w:val="24"/>
          <w:highlight w:val="none"/>
          <w14:textFill>
            <w14:solidFill>
              <w14:schemeClr w14:val="tx1"/>
            </w14:solidFill>
          </w14:textFill>
        </w:rPr>
        <w:t>浙江诚远工程咨询有限公司</w:t>
      </w:r>
    </w:p>
    <w:p w14:paraId="13C8B079">
      <w:pPr>
        <w:spacing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39" w:name="_Toc48672384"/>
      <w:bookmarkStart w:id="40" w:name="_Toc331876394"/>
      <w:r>
        <w:rPr>
          <w:rFonts w:hint="eastAsia" w:ascii="宋体" w:hAnsi="宋体"/>
          <w:color w:val="000000" w:themeColor="text1"/>
          <w:sz w:val="24"/>
          <w:szCs w:val="24"/>
          <w:highlight w:val="none"/>
          <w14:textFill>
            <w14:solidFill>
              <w14:schemeClr w14:val="tx1"/>
            </w14:solidFill>
          </w14:textFill>
        </w:rPr>
        <w:t>我</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姓名</w:t>
      </w:r>
      <w:r>
        <w:rPr>
          <w:rFonts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　 （职务：     身份证号码：   ） </w:t>
      </w:r>
      <w:r>
        <w:rPr>
          <w:rFonts w:hint="eastAsia" w:ascii="宋体" w:hAnsi="宋体"/>
          <w:color w:val="000000" w:themeColor="text1"/>
          <w:sz w:val="24"/>
          <w:szCs w:val="24"/>
          <w:highlight w:val="none"/>
          <w14:textFill>
            <w14:solidFill>
              <w14:schemeClr w14:val="tx1"/>
            </w14:solidFill>
          </w14:textFill>
        </w:rPr>
        <w:t>系</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投标人名称</w:t>
      </w:r>
      <w:r>
        <w:rPr>
          <w:rFonts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w:t>
      </w:r>
      <w:r>
        <w:rPr>
          <w:rFonts w:hint="eastAsia" w:ascii="宋体" w:hAnsi="宋体"/>
          <w:color w:val="000000" w:themeColor="text1"/>
          <w:sz w:val="24"/>
          <w:szCs w:val="24"/>
          <w:highlight w:val="none"/>
          <w14:textFill>
            <w14:solidFill>
              <w14:schemeClr w14:val="tx1"/>
            </w14:solidFill>
          </w14:textFill>
        </w:rPr>
        <w:t>的法定代表人，现授权委托</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姓名</w:t>
      </w:r>
      <w:r>
        <w:rPr>
          <w:rFonts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 xml:space="preserve">  　 （职务：    身份证号码：     ）</w:t>
      </w:r>
      <w:r>
        <w:rPr>
          <w:rFonts w:hint="eastAsia" w:ascii="宋体" w:hAnsi="宋体"/>
          <w:color w:val="000000" w:themeColor="text1"/>
          <w:sz w:val="24"/>
          <w:szCs w:val="24"/>
          <w:highlight w:val="none"/>
          <w14:textFill>
            <w14:solidFill>
              <w14:schemeClr w14:val="tx1"/>
            </w14:solidFill>
          </w14:textFill>
        </w:rPr>
        <w:t>以我方的名义参加贵公司组织的</w:t>
      </w:r>
      <w:r>
        <w:rPr>
          <w:rFonts w:hint="eastAsia" w:ascii="宋体" w:hAnsi="宋体"/>
          <w:color w:val="000000" w:themeColor="text1"/>
          <w:sz w:val="24"/>
          <w:szCs w:val="24"/>
          <w:highlight w:val="none"/>
          <w:u w:val="single"/>
          <w14:textFill>
            <w14:solidFill>
              <w14:schemeClr w14:val="tx1"/>
            </w14:solidFill>
          </w14:textFill>
        </w:rPr>
        <w:t>诸暨市</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w:t>
      </w:r>
      <w:r>
        <w:rPr>
          <w:rFonts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招标项目</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项目</w:t>
      </w:r>
      <w:r>
        <w:rPr>
          <w:rFonts w:hint="eastAsia" w:ascii="宋体" w:hAnsi="宋体"/>
          <w:color w:val="000000" w:themeColor="text1"/>
          <w:sz w:val="24"/>
          <w:szCs w:val="24"/>
          <w:highlight w:val="none"/>
          <w14:textFill>
            <w14:solidFill>
              <w14:schemeClr w14:val="tx1"/>
            </w14:solidFill>
          </w14:textFill>
        </w:rPr>
        <w:t>的投标活动，并代表我方全权办理针对上述项目的投标、开标、评标、签约等具体事务和签署相关文件。</w:t>
      </w:r>
    </w:p>
    <w:p w14:paraId="2160C612">
      <w:pPr>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我方对被授权人的签名事项负全部责任。</w:t>
      </w:r>
    </w:p>
    <w:p w14:paraId="5299C081">
      <w:pPr>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在撤销授权的书面通知以前，本授权书一直有效。被授权人在授权书有效期内签署的所有文件不因授权的撤销而失效。</w:t>
      </w:r>
    </w:p>
    <w:p w14:paraId="267B55FF">
      <w:pPr>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被授权人无转委托权，特此委托。</w:t>
      </w:r>
    </w:p>
    <w:p w14:paraId="2F43AEDA">
      <w:pPr>
        <w:spacing w:line="360" w:lineRule="auto"/>
        <w:rPr>
          <w:rFonts w:ascii="宋体" w:hAnsi="宋体"/>
          <w:color w:val="000000" w:themeColor="text1"/>
          <w:sz w:val="24"/>
          <w:szCs w:val="24"/>
          <w:highlight w:val="none"/>
          <w14:textFill>
            <w14:solidFill>
              <w14:schemeClr w14:val="tx1"/>
            </w14:solidFill>
          </w14:textFill>
        </w:rPr>
      </w:pPr>
    </w:p>
    <w:p w14:paraId="25A33FB1">
      <w:pPr>
        <w:spacing w:line="360" w:lineRule="auto"/>
        <w:rPr>
          <w:rFonts w:ascii="宋体" w:hAnsi="宋体"/>
          <w:color w:val="000000" w:themeColor="text1"/>
          <w:sz w:val="24"/>
          <w:szCs w:val="24"/>
          <w:highlight w:val="none"/>
          <w14:textFill>
            <w14:solidFill>
              <w14:schemeClr w14:val="tx1"/>
            </w14:solidFill>
          </w14:textFill>
        </w:rPr>
      </w:pPr>
    </w:p>
    <w:p w14:paraId="7812FD75">
      <w:pPr>
        <w:snapToGrid w:val="0"/>
        <w:spacing w:line="360" w:lineRule="auto"/>
        <w:ind w:firstLine="480"/>
        <w:rPr>
          <w:rFonts w:ascii="宋体" w:hAnsi="宋体"/>
          <w:b/>
          <w:bCs/>
          <w:color w:val="000000" w:themeColor="text1"/>
          <w:sz w:val="24"/>
          <w:szCs w:val="24"/>
          <w:highlight w:val="none"/>
          <w:u w:val="single"/>
          <w14:textFill>
            <w14:solidFill>
              <w14:schemeClr w14:val="tx1"/>
            </w14:solidFill>
          </w14:textFill>
        </w:rPr>
      </w:pPr>
      <w:r>
        <w:rPr>
          <w:rFonts w:hint="eastAsia" w:ascii="宋体" w:hAnsi="宋体"/>
          <w:b/>
          <w:bCs/>
          <w:color w:val="000000" w:themeColor="text1"/>
          <w:sz w:val="24"/>
          <w:szCs w:val="24"/>
          <w:highlight w:val="none"/>
          <w:u w:val="single"/>
          <w14:textFill>
            <w14:solidFill>
              <w14:schemeClr w14:val="tx1"/>
            </w14:solidFill>
          </w14:textFill>
        </w:rPr>
        <w:t>后附：法定代表人和被授权人的身份证件（正反面）复印件。</w:t>
      </w:r>
    </w:p>
    <w:p w14:paraId="3551FFF0">
      <w:pPr>
        <w:spacing w:line="360" w:lineRule="auto"/>
        <w:ind w:firstLine="4440" w:firstLineChars="18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盖章</w:t>
      </w:r>
      <w:r>
        <w:rPr>
          <w:rFonts w:ascii="宋体" w:hAnsi="宋体"/>
          <w:color w:val="000000" w:themeColor="text1"/>
          <w:sz w:val="24"/>
          <w:szCs w:val="24"/>
          <w:highlight w:val="none"/>
          <w:u w:val="single"/>
          <w14:textFill>
            <w14:solidFill>
              <w14:schemeClr w14:val="tx1"/>
            </w14:solidFill>
          </w14:textFill>
        </w:rPr>
        <w:t>)</w:t>
      </w:r>
    </w:p>
    <w:p w14:paraId="61D731BE">
      <w:pPr>
        <w:spacing w:line="360" w:lineRule="auto"/>
        <w:rPr>
          <w:rFonts w:ascii="宋体" w:hAnsi="宋体"/>
          <w:color w:val="000000" w:themeColor="text1"/>
          <w:sz w:val="24"/>
          <w:szCs w:val="24"/>
          <w:highlight w:val="none"/>
          <w14:textFill>
            <w14:solidFill>
              <w14:schemeClr w14:val="tx1"/>
            </w14:solidFill>
          </w14:textFill>
        </w:rPr>
      </w:pPr>
    </w:p>
    <w:p w14:paraId="1C3C41ED">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p w14:paraId="30D2B8BD">
      <w:pPr>
        <w:pStyle w:val="8"/>
        <w:spacing w:line="500" w:lineRule="exact"/>
        <w:rPr>
          <w:rFonts w:ascii="黑体"/>
          <w:b w:val="0"/>
          <w:color w:val="000000" w:themeColor="text1"/>
          <w:highlight w:val="none"/>
          <w14:textFill>
            <w14:solidFill>
              <w14:schemeClr w14:val="tx1"/>
            </w14:solidFill>
          </w14:textFill>
        </w:rPr>
      </w:pPr>
    </w:p>
    <w:p w14:paraId="1D234C19">
      <w:pPr>
        <w:spacing w:line="360" w:lineRule="auto"/>
        <w:rPr>
          <w:rFonts w:asciiTheme="minorEastAsia" w:hAnsiTheme="minorEastAsia" w:eastAsiaTheme="minorEastAsia" w:cstheme="minorEastAsia"/>
          <w:b/>
          <w:iCs/>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b/>
          <w:iCs/>
          <w:color w:val="000000" w:themeColor="text1"/>
          <w:sz w:val="24"/>
          <w:szCs w:val="24"/>
          <w:highlight w:val="none"/>
          <w:u w:val="single"/>
          <w14:textFill>
            <w14:solidFill>
              <w14:schemeClr w14:val="tx1"/>
            </w14:solidFill>
          </w14:textFill>
        </w:rPr>
        <w:t>注：</w:t>
      </w:r>
    </w:p>
    <w:p w14:paraId="10A8343C">
      <w:pPr>
        <w:spacing w:line="360" w:lineRule="auto"/>
        <w:rPr>
          <w:rFonts w:asciiTheme="minorEastAsia" w:hAnsiTheme="minorEastAsia" w:eastAsiaTheme="minorEastAsia" w:cstheme="minorEastAsia"/>
          <w:b/>
          <w:iCs/>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b/>
          <w:iCs/>
          <w:color w:val="000000" w:themeColor="text1"/>
          <w:sz w:val="24"/>
          <w:szCs w:val="24"/>
          <w:highlight w:val="none"/>
          <w:u w:val="single"/>
          <w14:textFill>
            <w14:solidFill>
              <w14:schemeClr w14:val="tx1"/>
            </w14:solidFill>
          </w14:textFill>
        </w:rPr>
        <w:t>1.供应商代表为法定代表人的</w:t>
      </w:r>
      <w:r>
        <w:rPr>
          <w:rFonts w:hint="eastAsia" w:asciiTheme="minorEastAsia" w:hAnsiTheme="minorEastAsia" w:eastAsiaTheme="minorEastAsia" w:cstheme="minorEastAsia"/>
          <w:b/>
          <w:bCs/>
          <w:iCs/>
          <w:color w:val="000000" w:themeColor="text1"/>
          <w:sz w:val="24"/>
          <w:szCs w:val="24"/>
          <w:highlight w:val="none"/>
          <w:u w:val="single"/>
          <w14:textFill>
            <w14:solidFill>
              <w14:schemeClr w14:val="tx1"/>
            </w14:solidFill>
          </w14:textFill>
        </w:rPr>
        <w:t>，只需提供法</w:t>
      </w:r>
      <w:r>
        <w:rPr>
          <w:rFonts w:hint="eastAsia" w:asciiTheme="minorEastAsia" w:hAnsiTheme="minorEastAsia" w:eastAsiaTheme="minorEastAsia" w:cstheme="minorEastAsia"/>
          <w:b/>
          <w:iCs/>
          <w:color w:val="000000" w:themeColor="text1"/>
          <w:sz w:val="24"/>
          <w:szCs w:val="24"/>
          <w:highlight w:val="none"/>
          <w:u w:val="single"/>
          <w14:textFill>
            <w14:solidFill>
              <w14:schemeClr w14:val="tx1"/>
            </w14:solidFill>
          </w14:textFill>
        </w:rPr>
        <w:t>定</w:t>
      </w:r>
      <w:r>
        <w:rPr>
          <w:rFonts w:hint="eastAsia" w:asciiTheme="minorEastAsia" w:hAnsiTheme="minorEastAsia" w:eastAsiaTheme="minorEastAsia" w:cstheme="minorEastAsia"/>
          <w:b/>
          <w:bCs/>
          <w:iCs/>
          <w:color w:val="000000" w:themeColor="text1"/>
          <w:sz w:val="24"/>
          <w:szCs w:val="24"/>
          <w:highlight w:val="none"/>
          <w:u w:val="single"/>
          <w14:textFill>
            <w14:solidFill>
              <w14:schemeClr w14:val="tx1"/>
            </w14:solidFill>
          </w14:textFill>
        </w:rPr>
        <w:t>代表</w:t>
      </w:r>
      <w:r>
        <w:rPr>
          <w:rFonts w:hint="eastAsia" w:asciiTheme="minorEastAsia" w:hAnsiTheme="minorEastAsia" w:eastAsiaTheme="minorEastAsia" w:cstheme="minorEastAsia"/>
          <w:b/>
          <w:iCs/>
          <w:color w:val="000000" w:themeColor="text1"/>
          <w:sz w:val="24"/>
          <w:szCs w:val="24"/>
          <w:highlight w:val="none"/>
          <w:u w:val="single"/>
          <w14:textFill>
            <w14:solidFill>
              <w14:schemeClr w14:val="tx1"/>
            </w14:solidFill>
          </w14:textFill>
        </w:rPr>
        <w:t>人</w:t>
      </w:r>
      <w:r>
        <w:rPr>
          <w:rFonts w:hint="eastAsia" w:asciiTheme="minorEastAsia" w:hAnsiTheme="minorEastAsia" w:eastAsiaTheme="minorEastAsia" w:cstheme="minorEastAsia"/>
          <w:b/>
          <w:bCs/>
          <w:iCs/>
          <w:color w:val="000000" w:themeColor="text1"/>
          <w:sz w:val="24"/>
          <w:szCs w:val="24"/>
          <w:highlight w:val="none"/>
          <w:u w:val="single"/>
          <w14:textFill>
            <w14:solidFill>
              <w14:schemeClr w14:val="tx1"/>
            </w14:solidFill>
          </w14:textFill>
        </w:rPr>
        <w:t>身份证件（正反面）复印件（加盖单位公章）</w:t>
      </w:r>
      <w:r>
        <w:rPr>
          <w:rFonts w:hint="eastAsia" w:asciiTheme="minorEastAsia" w:hAnsiTheme="minorEastAsia" w:eastAsiaTheme="minorEastAsia" w:cstheme="minorEastAsia"/>
          <w:b/>
          <w:iCs/>
          <w:color w:val="000000" w:themeColor="text1"/>
          <w:sz w:val="24"/>
          <w:szCs w:val="24"/>
          <w:highlight w:val="none"/>
          <w:u w:val="single"/>
          <w14:textFill>
            <w14:solidFill>
              <w14:schemeClr w14:val="tx1"/>
            </w14:solidFill>
          </w14:textFill>
        </w:rPr>
        <w:t>；</w:t>
      </w:r>
    </w:p>
    <w:p w14:paraId="6CF4ECA3">
      <w:pPr>
        <w:spacing w:line="360" w:lineRule="auto"/>
        <w:rPr>
          <w:rFonts w:asciiTheme="minorEastAsia" w:hAnsiTheme="minorEastAsia" w:eastAsiaTheme="minorEastAsia" w:cstheme="minorEastAsia"/>
          <w:b/>
          <w:bCs/>
          <w:iCs/>
          <w:color w:val="000000" w:themeColor="text1"/>
          <w:spacing w:val="-6"/>
          <w:sz w:val="24"/>
          <w:szCs w:val="24"/>
          <w:highlight w:val="none"/>
          <w:u w:val="single"/>
          <w14:textFill>
            <w14:solidFill>
              <w14:schemeClr w14:val="tx1"/>
            </w14:solidFill>
          </w14:textFill>
        </w:rPr>
        <w:sectPr>
          <w:pgSz w:w="11906" w:h="16838"/>
          <w:pgMar w:top="1021" w:right="1247" w:bottom="1021" w:left="1247" w:header="567" w:footer="284" w:gutter="0"/>
          <w:pgNumType w:fmt="numberInDash"/>
          <w:cols w:space="720" w:num="1"/>
          <w:titlePg/>
          <w:docGrid w:type="lines" w:linePitch="312" w:charSpace="0"/>
        </w:sectPr>
      </w:pPr>
      <w:r>
        <w:rPr>
          <w:rFonts w:hint="eastAsia" w:asciiTheme="minorEastAsia" w:hAnsiTheme="minorEastAsia" w:eastAsiaTheme="minorEastAsia" w:cstheme="minorEastAsia"/>
          <w:b/>
          <w:iCs/>
          <w:color w:val="000000" w:themeColor="text1"/>
          <w:sz w:val="24"/>
          <w:szCs w:val="24"/>
          <w:highlight w:val="none"/>
          <w:u w:val="single"/>
          <w14:textFill>
            <w14:solidFill>
              <w14:schemeClr w14:val="tx1"/>
            </w14:solidFill>
          </w14:textFill>
        </w:rPr>
        <w:t>2.供应商</w:t>
      </w:r>
      <w:r>
        <w:rPr>
          <w:rFonts w:hint="eastAsia" w:asciiTheme="minorEastAsia" w:hAnsiTheme="minorEastAsia" w:eastAsiaTheme="minorEastAsia" w:cstheme="minorEastAsia"/>
          <w:b/>
          <w:bCs/>
          <w:iCs/>
          <w:color w:val="000000" w:themeColor="text1"/>
          <w:spacing w:val="-6"/>
          <w:sz w:val="24"/>
          <w:szCs w:val="24"/>
          <w:highlight w:val="none"/>
          <w:u w:val="single"/>
          <w14:textFill>
            <w14:solidFill>
              <w14:schemeClr w14:val="tx1"/>
            </w14:solidFill>
          </w14:textFill>
        </w:rPr>
        <w:t>代表不是法定代表人的，必须提供《授权委托书》。</w:t>
      </w:r>
    </w:p>
    <w:p w14:paraId="4122FF81">
      <w:pPr>
        <w:pStyle w:val="8"/>
        <w:spacing w:line="360" w:lineRule="auto"/>
        <w:jc w:val="center"/>
        <w:rPr>
          <w:color w:val="000000" w:themeColor="text1"/>
          <w:sz w:val="28"/>
          <w:highlight w:val="none"/>
          <w14:textFill>
            <w14:solidFill>
              <w14:schemeClr w14:val="tx1"/>
            </w14:solidFill>
          </w14:textFill>
        </w:rPr>
      </w:pPr>
      <w:r>
        <w:rPr>
          <w:rFonts w:hint="eastAsia" w:ascii="黑体"/>
          <w:b w:val="0"/>
          <w:color w:val="000000" w:themeColor="text1"/>
          <w:highlight w:val="none"/>
          <w14:textFill>
            <w14:solidFill>
              <w14:schemeClr w14:val="tx1"/>
            </w14:solidFill>
          </w14:textFill>
        </w:rPr>
        <w:t>四、</w:t>
      </w:r>
      <w:bookmarkEnd w:id="39"/>
      <w:bookmarkEnd w:id="40"/>
      <w:r>
        <w:rPr>
          <w:rFonts w:hint="eastAsia" w:ascii="黑体" w:hAnsi="黑体"/>
          <w:b w:val="0"/>
          <w:color w:val="000000" w:themeColor="text1"/>
          <w:highlight w:val="none"/>
          <w14:textFill>
            <w14:solidFill>
              <w14:schemeClr w14:val="tx1"/>
            </w14:solidFill>
          </w14:textFill>
        </w:rPr>
        <w:t>开标一览表（报价表）（格式）</w:t>
      </w:r>
    </w:p>
    <w:p w14:paraId="2DE3EDDC">
      <w:pPr>
        <w:pStyle w:val="8"/>
        <w:spacing w:before="0" w:line="500" w:lineRule="exact"/>
        <w:ind w:left="720"/>
        <w:jc w:val="center"/>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1、开标一览表（报价表）（标项一）</w:t>
      </w:r>
    </w:p>
    <w:p w14:paraId="1C28E90A">
      <w:pPr>
        <w:spacing w:line="360" w:lineRule="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r>
        <w:rPr>
          <w:rFonts w:hint="eastAsia" w:asciiTheme="minorEastAsia" w:hAnsiTheme="minorEastAsia" w:eastAsiaTheme="minorEastAsia" w:cstheme="minorEastAsia"/>
          <w:i/>
          <w:color w:val="000000" w:themeColor="text1"/>
          <w:sz w:val="24"/>
          <w:szCs w:val="24"/>
          <w:highlight w:val="none"/>
          <w:u w:val="single"/>
          <w14:textFill>
            <w14:solidFill>
              <w14:schemeClr w14:val="tx1"/>
            </w14:solidFill>
          </w14:textFill>
        </w:rPr>
        <w:t>*****项目</w:t>
      </w:r>
    </w:p>
    <w:p w14:paraId="6880EF7C">
      <w:pPr>
        <w:rPr>
          <w:rFonts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w:t>
      </w:r>
      <w:r>
        <w:rPr>
          <w:rFonts w:hint="eastAsia" w:asciiTheme="minorEastAsia" w:hAnsiTheme="minorEastAsia" w:eastAsiaTheme="minorEastAsia" w:cstheme="minorEastAsia"/>
          <w:i/>
          <w:color w:val="000000" w:themeColor="text1"/>
          <w:spacing w:val="8"/>
          <w:sz w:val="24"/>
          <w:szCs w:val="24"/>
          <w:highlight w:val="none"/>
          <w:u w:val="single"/>
          <w14:textFill>
            <w14:solidFill>
              <w14:schemeClr w14:val="tx1"/>
            </w14:solidFill>
          </w14:textFill>
        </w:rPr>
        <w:t>浙江诚远ZJ2025-**-**</w:t>
      </w:r>
    </w:p>
    <w:p w14:paraId="3570537F">
      <w:pPr>
        <w:ind w:firstLine="8160" w:firstLineChars="3400"/>
        <w:rPr>
          <w:rFonts w:asciiTheme="minorEastAsia" w:hAnsiTheme="minorEastAsia" w:eastAsiaTheme="minorEastAsia" w:cstheme="minorEastAsia"/>
          <w:color w:val="000000" w:themeColor="text1"/>
          <w:sz w:val="24"/>
          <w:szCs w:val="20"/>
          <w:highlight w:val="none"/>
          <w14:textFill>
            <w14:solidFill>
              <w14:schemeClr w14:val="tx1"/>
            </w14:solidFill>
          </w14:textFill>
        </w:rPr>
      </w:pPr>
    </w:p>
    <w:tbl>
      <w:tblPr>
        <w:tblStyle w:val="2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3827"/>
        <w:gridCol w:w="4701"/>
      </w:tblGrid>
      <w:tr w14:paraId="7702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02" w:type="dxa"/>
            <w:vAlign w:val="center"/>
          </w:tcPr>
          <w:p w14:paraId="313FF4BF">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标项</w:t>
            </w:r>
          </w:p>
        </w:tc>
        <w:tc>
          <w:tcPr>
            <w:tcW w:w="3827" w:type="dxa"/>
            <w:vAlign w:val="center"/>
          </w:tcPr>
          <w:p w14:paraId="7D9D1368">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标项名称</w:t>
            </w:r>
          </w:p>
        </w:tc>
        <w:tc>
          <w:tcPr>
            <w:tcW w:w="4701" w:type="dxa"/>
            <w:vAlign w:val="center"/>
          </w:tcPr>
          <w:p w14:paraId="0DFE7CB0">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投标报价（折扣）</w:t>
            </w:r>
          </w:p>
        </w:tc>
      </w:tr>
      <w:tr w14:paraId="669B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02" w:type="dxa"/>
            <w:vAlign w:val="center"/>
          </w:tcPr>
          <w:p w14:paraId="27D7F30B">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标项一</w:t>
            </w:r>
          </w:p>
        </w:tc>
        <w:tc>
          <w:tcPr>
            <w:tcW w:w="3827" w:type="dxa"/>
            <w:vAlign w:val="center"/>
          </w:tcPr>
          <w:p w14:paraId="2293B5C1">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混凝土（砂浆）运输车A组</w:t>
            </w:r>
          </w:p>
        </w:tc>
        <w:tc>
          <w:tcPr>
            <w:tcW w:w="4701" w:type="dxa"/>
            <w:vAlign w:val="center"/>
          </w:tcPr>
          <w:p w14:paraId="17B06EE7">
            <w:pPr>
              <w:spacing w:line="700" w:lineRule="exact"/>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_____</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p>
        </w:tc>
      </w:tr>
    </w:tbl>
    <w:p w14:paraId="63F31222">
      <w:pPr>
        <w:spacing w:line="360" w:lineRule="auto"/>
        <w:rPr>
          <w:rFonts w:ascii="宋体" w:hAnsi="宋体" w:cs="宋体"/>
          <w:b/>
          <w:color w:val="000000" w:themeColor="text1"/>
          <w:sz w:val="24"/>
          <w:highlight w:val="none"/>
          <w14:textFill>
            <w14:solidFill>
              <w14:schemeClr w14:val="tx1"/>
            </w14:solidFill>
          </w14:textFill>
        </w:rPr>
      </w:pPr>
    </w:p>
    <w:p w14:paraId="26C0EE1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1、本项目各标项均采用统一折扣报价，基于各标的基准价（最高单价限价）进行折扣计算，最高单价限价详见本招标文件采购需求“三、运输、泵送业务费执行标准”，数量按实结算。结算单价=最高单价限价×中标折扣（例：混凝土运输车运输距离为5公里时最高单价限价为19.45元/方，若中标折扣为90%，则该结算单价=19.45元/方×90%=17.51元/方）。</w:t>
      </w:r>
    </w:p>
    <w:p w14:paraId="25C933DE">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2、最高限价：折扣报价上限为100%，任何超过100%的报价将被认定为无效报价。</w:t>
      </w:r>
    </w:p>
    <w:p w14:paraId="3EDEBA2F">
      <w:pPr>
        <w:spacing w:line="360" w:lineRule="auto"/>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3、已在标项一</w:t>
      </w:r>
      <w:r>
        <w:rPr>
          <w:rFonts w:hint="eastAsia" w:ascii="宋体" w:hAnsi="宋体" w:cs="宋体"/>
          <w:b/>
          <w:color w:val="000000" w:themeColor="text1"/>
          <w:sz w:val="24"/>
          <w:highlight w:val="none"/>
          <w14:textFill>
            <w14:solidFill>
              <w14:schemeClr w14:val="tx1"/>
            </w14:solidFill>
          </w14:textFill>
        </w:rPr>
        <w:t>被推荐为第一中标候选人的供应商不再进入标项</w:t>
      </w: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的评审</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但能进入标项三的评审。即一个供应商可以同时成为“标项一和标项三”或“标项二和标项三”的</w:t>
      </w:r>
      <w:r>
        <w:rPr>
          <w:rFonts w:hint="eastAsia" w:ascii="宋体" w:hAnsi="宋体" w:cs="宋体"/>
          <w:b/>
          <w:color w:val="000000" w:themeColor="text1"/>
          <w:sz w:val="24"/>
          <w:highlight w:val="none"/>
          <w14:textFill>
            <w14:solidFill>
              <w14:schemeClr w14:val="tx1"/>
            </w14:solidFill>
          </w14:textFill>
        </w:rPr>
        <w:t>第一中标候选人</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但一个供应商不能同时成为“标项一和标项二”的</w:t>
      </w:r>
      <w:r>
        <w:rPr>
          <w:rFonts w:hint="eastAsia" w:ascii="宋体" w:hAnsi="宋体" w:cs="宋体"/>
          <w:b/>
          <w:color w:val="000000" w:themeColor="text1"/>
          <w:sz w:val="24"/>
          <w:highlight w:val="none"/>
          <w14:textFill>
            <w14:solidFill>
              <w14:schemeClr w14:val="tx1"/>
            </w14:solidFill>
          </w14:textFill>
        </w:rPr>
        <w:t>第一中标候选人</w:t>
      </w:r>
      <w:r>
        <w:rPr>
          <w:rFonts w:hint="eastAsia" w:ascii="宋体" w:hAnsi="宋体" w:cs="宋体"/>
          <w:b/>
          <w:color w:val="000000" w:themeColor="text1"/>
          <w:sz w:val="24"/>
          <w:highlight w:val="none"/>
          <w:lang w:eastAsia="zh-CN"/>
          <w14:textFill>
            <w14:solidFill>
              <w14:schemeClr w14:val="tx1"/>
            </w14:solidFill>
          </w14:textFill>
        </w:rPr>
        <w:t>。</w:t>
      </w:r>
    </w:p>
    <w:p w14:paraId="430E5BD0">
      <w:pPr>
        <w:spacing w:line="480" w:lineRule="auto"/>
        <w:rPr>
          <w:color w:val="000000" w:themeColor="text1"/>
          <w:sz w:val="28"/>
          <w:highlight w:val="none"/>
          <w14:textFill>
            <w14:solidFill>
              <w14:schemeClr w14:val="tx1"/>
            </w14:solidFill>
          </w14:textFill>
        </w:rPr>
      </w:pPr>
    </w:p>
    <w:p w14:paraId="17F21C5B">
      <w:pPr>
        <w:spacing w:line="480" w:lineRule="auto"/>
        <w:rPr>
          <w:color w:val="000000" w:themeColor="text1"/>
          <w:sz w:val="28"/>
          <w:highlight w:val="none"/>
          <w14:textFill>
            <w14:solidFill>
              <w14:schemeClr w14:val="tx1"/>
            </w14:solidFill>
          </w14:textFill>
        </w:rPr>
      </w:pPr>
      <w:r>
        <w:rPr>
          <w:rFonts w:hint="eastAsia"/>
          <w:color w:val="000000" w:themeColor="text1"/>
          <w:sz w:val="28"/>
          <w:highlight w:val="none"/>
          <w14:textFill>
            <w14:solidFill>
              <w14:schemeClr w14:val="tx1"/>
            </w14:solidFill>
          </w14:textFill>
        </w:rPr>
        <w:t>投标人：</w:t>
      </w:r>
      <w:r>
        <w:rPr>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u w:val="single"/>
          <w14:textFill>
            <w14:solidFill>
              <w14:schemeClr w14:val="tx1"/>
            </w14:solidFill>
          </w14:textFill>
        </w:rPr>
        <w:t xml:space="preserve">   </w:t>
      </w:r>
      <w:r>
        <w:rPr>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u w:val="single"/>
          <w14:textFill>
            <w14:solidFill>
              <w14:schemeClr w14:val="tx1"/>
            </w14:solidFill>
          </w14:textFill>
        </w:rPr>
        <w:t>（盖章）</w:t>
      </w:r>
      <w:r>
        <w:rPr>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u w:val="single"/>
          <w14:textFill>
            <w14:solidFill>
              <w14:schemeClr w14:val="tx1"/>
            </w14:solidFill>
          </w14:textFill>
        </w:rPr>
        <w:t xml:space="preserve">  </w:t>
      </w:r>
      <w:r>
        <w:rPr>
          <w:color w:val="000000" w:themeColor="text1"/>
          <w:sz w:val="28"/>
          <w:highlight w:val="none"/>
          <w:u w:val="single"/>
          <w14:textFill>
            <w14:solidFill>
              <w14:schemeClr w14:val="tx1"/>
            </w14:solidFill>
          </w14:textFill>
        </w:rPr>
        <w:t xml:space="preserve">           </w:t>
      </w:r>
      <w:r>
        <w:rPr>
          <w:color w:val="000000" w:themeColor="text1"/>
          <w:sz w:val="28"/>
          <w:highlight w:val="none"/>
          <w14:textFill>
            <w14:solidFill>
              <w14:schemeClr w14:val="tx1"/>
            </w14:solidFill>
          </w14:textFill>
        </w:rPr>
        <w:t xml:space="preserve">      </w:t>
      </w:r>
    </w:p>
    <w:p w14:paraId="37424D2F">
      <w:pPr>
        <w:spacing w:line="480" w:lineRule="auto"/>
        <w:rPr>
          <w:color w:val="000000" w:themeColor="text1"/>
          <w:sz w:val="28"/>
          <w:highlight w:val="none"/>
          <w14:textFill>
            <w14:solidFill>
              <w14:schemeClr w14:val="tx1"/>
            </w14:solidFill>
          </w14:textFill>
        </w:rPr>
      </w:pPr>
    </w:p>
    <w:p w14:paraId="1CE4757B">
      <w:pPr>
        <w:spacing w:line="480" w:lineRule="auto"/>
        <w:rPr>
          <w:rFonts w:ascii="黑体" w:eastAsia="黑体"/>
          <w:b/>
          <w:color w:val="000000" w:themeColor="text1"/>
          <w:sz w:val="32"/>
          <w:highlight w:val="none"/>
          <w14:textFill>
            <w14:solidFill>
              <w14:schemeClr w14:val="tx1"/>
            </w14:solidFill>
          </w14:textFill>
        </w:rPr>
      </w:pPr>
      <w:r>
        <w:rPr>
          <w:rFonts w:hint="eastAsia"/>
          <w:color w:val="000000" w:themeColor="text1"/>
          <w:sz w:val="28"/>
          <w:highlight w:val="none"/>
          <w14:textFill>
            <w14:solidFill>
              <w14:schemeClr w14:val="tx1"/>
            </w14:solidFill>
          </w14:textFill>
        </w:rPr>
        <w:t>日      期：     年    月    日</w:t>
      </w:r>
    </w:p>
    <w:p w14:paraId="02B225BA">
      <w:pPr>
        <w:spacing w:line="440" w:lineRule="exact"/>
        <w:jc w:val="center"/>
        <w:rPr>
          <w:rFonts w:ascii="宋体" w:hAnsi="宋体" w:cs="宋体"/>
          <w:b/>
          <w:color w:val="000000" w:themeColor="text1"/>
          <w:sz w:val="32"/>
          <w:highlight w:val="none"/>
          <w14:textFill>
            <w14:solidFill>
              <w14:schemeClr w14:val="tx1"/>
            </w14:solidFill>
          </w14:textFill>
        </w:rPr>
        <w:sectPr>
          <w:pgSz w:w="11906" w:h="16838"/>
          <w:pgMar w:top="1236" w:right="1236" w:bottom="1236" w:left="1236" w:header="851" w:footer="907" w:gutter="0"/>
          <w:cols w:space="720" w:num="1"/>
          <w:titlePg/>
          <w:docGrid w:type="lines" w:linePitch="312" w:charSpace="0"/>
        </w:sectPr>
      </w:pPr>
    </w:p>
    <w:p w14:paraId="7887C650">
      <w:pPr>
        <w:pStyle w:val="8"/>
        <w:spacing w:before="0" w:line="500" w:lineRule="exact"/>
        <w:ind w:left="720"/>
        <w:jc w:val="center"/>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2、开标一览表（报价表）（标项二）</w:t>
      </w:r>
    </w:p>
    <w:p w14:paraId="65FCE4B8">
      <w:pPr>
        <w:spacing w:line="360" w:lineRule="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r>
        <w:rPr>
          <w:rFonts w:hint="eastAsia" w:asciiTheme="minorEastAsia" w:hAnsiTheme="minorEastAsia" w:eastAsiaTheme="minorEastAsia" w:cstheme="minorEastAsia"/>
          <w:i/>
          <w:color w:val="000000" w:themeColor="text1"/>
          <w:sz w:val="24"/>
          <w:szCs w:val="24"/>
          <w:highlight w:val="none"/>
          <w:u w:val="single"/>
          <w14:textFill>
            <w14:solidFill>
              <w14:schemeClr w14:val="tx1"/>
            </w14:solidFill>
          </w14:textFill>
        </w:rPr>
        <w:t>*****项目</w:t>
      </w:r>
    </w:p>
    <w:p w14:paraId="46306567">
      <w:pPr>
        <w:rPr>
          <w:rFonts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w:t>
      </w:r>
      <w:r>
        <w:rPr>
          <w:rFonts w:hint="eastAsia" w:asciiTheme="minorEastAsia" w:hAnsiTheme="minorEastAsia" w:eastAsiaTheme="minorEastAsia" w:cstheme="minorEastAsia"/>
          <w:i/>
          <w:color w:val="000000" w:themeColor="text1"/>
          <w:spacing w:val="8"/>
          <w:sz w:val="24"/>
          <w:szCs w:val="24"/>
          <w:highlight w:val="none"/>
          <w:u w:val="single"/>
          <w14:textFill>
            <w14:solidFill>
              <w14:schemeClr w14:val="tx1"/>
            </w14:solidFill>
          </w14:textFill>
        </w:rPr>
        <w:t>浙江诚远ZJ2025-**-**</w:t>
      </w:r>
    </w:p>
    <w:p w14:paraId="46AF6C02">
      <w:pPr>
        <w:ind w:firstLine="8160" w:firstLineChars="3400"/>
        <w:rPr>
          <w:rFonts w:asciiTheme="minorEastAsia" w:hAnsiTheme="minorEastAsia" w:eastAsiaTheme="minorEastAsia" w:cstheme="minorEastAsia"/>
          <w:color w:val="000000" w:themeColor="text1"/>
          <w:sz w:val="24"/>
          <w:szCs w:val="20"/>
          <w:highlight w:val="none"/>
          <w14:textFill>
            <w14:solidFill>
              <w14:schemeClr w14:val="tx1"/>
            </w14:solidFill>
          </w14:textFill>
        </w:rPr>
      </w:pPr>
    </w:p>
    <w:tbl>
      <w:tblPr>
        <w:tblStyle w:val="2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3827"/>
        <w:gridCol w:w="4701"/>
      </w:tblGrid>
      <w:tr w14:paraId="2AC0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02" w:type="dxa"/>
            <w:vAlign w:val="center"/>
          </w:tcPr>
          <w:p w14:paraId="0F553D97">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标项</w:t>
            </w:r>
          </w:p>
        </w:tc>
        <w:tc>
          <w:tcPr>
            <w:tcW w:w="3827" w:type="dxa"/>
            <w:vAlign w:val="center"/>
          </w:tcPr>
          <w:p w14:paraId="7AEDBFB6">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标项名称</w:t>
            </w:r>
          </w:p>
        </w:tc>
        <w:tc>
          <w:tcPr>
            <w:tcW w:w="4701" w:type="dxa"/>
            <w:vAlign w:val="center"/>
          </w:tcPr>
          <w:p w14:paraId="3709D190">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投标报价（折扣）</w:t>
            </w:r>
          </w:p>
        </w:tc>
      </w:tr>
      <w:tr w14:paraId="1AB9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02" w:type="dxa"/>
            <w:vAlign w:val="center"/>
          </w:tcPr>
          <w:p w14:paraId="5AB62493">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标项二</w:t>
            </w:r>
          </w:p>
        </w:tc>
        <w:tc>
          <w:tcPr>
            <w:tcW w:w="3827" w:type="dxa"/>
            <w:vAlign w:val="center"/>
          </w:tcPr>
          <w:p w14:paraId="51E2D6FD">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混凝土（砂浆）运输车B组</w:t>
            </w:r>
          </w:p>
        </w:tc>
        <w:tc>
          <w:tcPr>
            <w:tcW w:w="4701" w:type="dxa"/>
            <w:vAlign w:val="center"/>
          </w:tcPr>
          <w:p w14:paraId="0B8CA070">
            <w:pPr>
              <w:spacing w:line="700" w:lineRule="exact"/>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_____</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p>
        </w:tc>
      </w:tr>
    </w:tbl>
    <w:p w14:paraId="252461B3">
      <w:pPr>
        <w:spacing w:line="480" w:lineRule="auto"/>
        <w:rPr>
          <w:color w:val="000000" w:themeColor="text1"/>
          <w:sz w:val="28"/>
          <w:highlight w:val="none"/>
          <w14:textFill>
            <w14:solidFill>
              <w14:schemeClr w14:val="tx1"/>
            </w14:solidFill>
          </w14:textFill>
        </w:rPr>
      </w:pPr>
    </w:p>
    <w:p w14:paraId="7F88ABE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1、本项目各标项均采用统一折扣报价，基于各标的基准价（最高单价限价）进行折扣计算，最高单价限价详见本招标文件采购需求“三、运输、泵送业务费执行标准”，数量按实结算。结算单价=最高单价限价×中标折扣（例：混凝土运输车运输距离为5公里时最高单价限价为19.45元/方，若中标折扣为90%，则该结算单价=19.45元/方×90%=17.51元/方）。</w:t>
      </w:r>
    </w:p>
    <w:p w14:paraId="429B2C38">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最高限价：折扣报价上限为100%，任何超过100%的报价将被认定为无效报价。</w:t>
      </w:r>
    </w:p>
    <w:p w14:paraId="0DFF15C3">
      <w:pPr>
        <w:spacing w:line="360" w:lineRule="auto"/>
        <w:rPr>
          <w:rFonts w:hint="eastAsia" w:ascii="宋体" w:hAnsi="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3、已在标项一</w:t>
      </w:r>
      <w:r>
        <w:rPr>
          <w:rFonts w:hint="eastAsia" w:ascii="宋体" w:hAnsi="宋体" w:cs="宋体"/>
          <w:b/>
          <w:color w:val="000000" w:themeColor="text1"/>
          <w:sz w:val="24"/>
          <w:highlight w:val="none"/>
          <w14:textFill>
            <w14:solidFill>
              <w14:schemeClr w14:val="tx1"/>
            </w14:solidFill>
          </w14:textFill>
        </w:rPr>
        <w:t>被推荐为第一中标候选人的供应商不再进入标项</w:t>
      </w: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的评审</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但能进入标项三的评审。即一个供应商可以同时成为“标项一和标项三”或“标项二和标项三”的</w:t>
      </w:r>
      <w:r>
        <w:rPr>
          <w:rFonts w:hint="eastAsia" w:ascii="宋体" w:hAnsi="宋体" w:cs="宋体"/>
          <w:b/>
          <w:color w:val="000000" w:themeColor="text1"/>
          <w:sz w:val="24"/>
          <w:highlight w:val="none"/>
          <w14:textFill>
            <w14:solidFill>
              <w14:schemeClr w14:val="tx1"/>
            </w14:solidFill>
          </w14:textFill>
        </w:rPr>
        <w:t>第一中标候选人</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但一个供应商不能同时成为“标项一和标项二”的</w:t>
      </w:r>
      <w:r>
        <w:rPr>
          <w:rFonts w:hint="eastAsia" w:ascii="宋体" w:hAnsi="宋体" w:cs="宋体"/>
          <w:b/>
          <w:color w:val="000000" w:themeColor="text1"/>
          <w:sz w:val="24"/>
          <w:highlight w:val="none"/>
          <w14:textFill>
            <w14:solidFill>
              <w14:schemeClr w14:val="tx1"/>
            </w14:solidFill>
          </w14:textFill>
        </w:rPr>
        <w:t>第一中标候选人</w:t>
      </w:r>
      <w:r>
        <w:rPr>
          <w:rFonts w:hint="eastAsia" w:ascii="宋体" w:hAnsi="宋体" w:cs="宋体"/>
          <w:b/>
          <w:color w:val="000000" w:themeColor="text1"/>
          <w:sz w:val="24"/>
          <w:highlight w:val="none"/>
          <w:lang w:eastAsia="zh-CN"/>
          <w14:textFill>
            <w14:solidFill>
              <w14:schemeClr w14:val="tx1"/>
            </w14:solidFill>
          </w14:textFill>
        </w:rPr>
        <w:t>。</w:t>
      </w:r>
    </w:p>
    <w:p w14:paraId="417F239C">
      <w:pPr>
        <w:pStyle w:val="2"/>
        <w:rPr>
          <w:rFonts w:hint="eastAsia" w:ascii="宋体" w:hAnsi="宋体" w:cs="宋体"/>
          <w:b/>
          <w:color w:val="000000" w:themeColor="text1"/>
          <w:sz w:val="24"/>
          <w:highlight w:val="none"/>
          <w:lang w:eastAsia="zh-CN"/>
          <w14:textFill>
            <w14:solidFill>
              <w14:schemeClr w14:val="tx1"/>
            </w14:solidFill>
          </w14:textFill>
        </w:rPr>
      </w:pPr>
    </w:p>
    <w:p w14:paraId="044DB020">
      <w:pPr>
        <w:pStyle w:val="4"/>
        <w:rPr>
          <w:rFonts w:hint="eastAsia"/>
          <w:color w:val="000000" w:themeColor="text1"/>
          <w:highlight w:val="none"/>
          <w14:textFill>
            <w14:solidFill>
              <w14:schemeClr w14:val="tx1"/>
            </w14:solidFill>
          </w14:textFill>
        </w:rPr>
      </w:pPr>
    </w:p>
    <w:p w14:paraId="038931A4">
      <w:pPr>
        <w:spacing w:line="480" w:lineRule="auto"/>
        <w:rPr>
          <w:color w:val="000000" w:themeColor="text1"/>
          <w:sz w:val="28"/>
          <w:highlight w:val="none"/>
          <w14:textFill>
            <w14:solidFill>
              <w14:schemeClr w14:val="tx1"/>
            </w14:solidFill>
          </w14:textFill>
        </w:rPr>
      </w:pPr>
      <w:r>
        <w:rPr>
          <w:rFonts w:hint="eastAsia"/>
          <w:color w:val="000000" w:themeColor="text1"/>
          <w:sz w:val="28"/>
          <w:highlight w:val="none"/>
          <w14:textFill>
            <w14:solidFill>
              <w14:schemeClr w14:val="tx1"/>
            </w14:solidFill>
          </w14:textFill>
        </w:rPr>
        <w:t>投标人：</w:t>
      </w:r>
      <w:r>
        <w:rPr>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u w:val="single"/>
          <w14:textFill>
            <w14:solidFill>
              <w14:schemeClr w14:val="tx1"/>
            </w14:solidFill>
          </w14:textFill>
        </w:rPr>
        <w:t xml:space="preserve">   </w:t>
      </w:r>
      <w:r>
        <w:rPr>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u w:val="single"/>
          <w14:textFill>
            <w14:solidFill>
              <w14:schemeClr w14:val="tx1"/>
            </w14:solidFill>
          </w14:textFill>
        </w:rPr>
        <w:t>（盖章）</w:t>
      </w:r>
      <w:r>
        <w:rPr>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u w:val="single"/>
          <w14:textFill>
            <w14:solidFill>
              <w14:schemeClr w14:val="tx1"/>
            </w14:solidFill>
          </w14:textFill>
        </w:rPr>
        <w:t xml:space="preserve">  </w:t>
      </w:r>
      <w:r>
        <w:rPr>
          <w:color w:val="000000" w:themeColor="text1"/>
          <w:sz w:val="28"/>
          <w:highlight w:val="none"/>
          <w:u w:val="single"/>
          <w14:textFill>
            <w14:solidFill>
              <w14:schemeClr w14:val="tx1"/>
            </w14:solidFill>
          </w14:textFill>
        </w:rPr>
        <w:t xml:space="preserve">           </w:t>
      </w:r>
      <w:r>
        <w:rPr>
          <w:color w:val="000000" w:themeColor="text1"/>
          <w:sz w:val="28"/>
          <w:highlight w:val="none"/>
          <w14:textFill>
            <w14:solidFill>
              <w14:schemeClr w14:val="tx1"/>
            </w14:solidFill>
          </w14:textFill>
        </w:rPr>
        <w:t xml:space="preserve">      </w:t>
      </w:r>
    </w:p>
    <w:p w14:paraId="2222DF29">
      <w:pPr>
        <w:spacing w:line="480" w:lineRule="auto"/>
        <w:rPr>
          <w:color w:val="000000" w:themeColor="text1"/>
          <w:sz w:val="28"/>
          <w:highlight w:val="none"/>
          <w14:textFill>
            <w14:solidFill>
              <w14:schemeClr w14:val="tx1"/>
            </w14:solidFill>
          </w14:textFill>
        </w:rPr>
      </w:pPr>
    </w:p>
    <w:p w14:paraId="07124BBB">
      <w:pPr>
        <w:spacing w:line="480" w:lineRule="auto"/>
        <w:rPr>
          <w:rFonts w:ascii="黑体" w:eastAsia="黑体"/>
          <w:b/>
          <w:color w:val="000000" w:themeColor="text1"/>
          <w:sz w:val="32"/>
          <w:highlight w:val="none"/>
          <w14:textFill>
            <w14:solidFill>
              <w14:schemeClr w14:val="tx1"/>
            </w14:solidFill>
          </w14:textFill>
        </w:rPr>
      </w:pPr>
      <w:r>
        <w:rPr>
          <w:rFonts w:hint="eastAsia"/>
          <w:color w:val="000000" w:themeColor="text1"/>
          <w:sz w:val="28"/>
          <w:highlight w:val="none"/>
          <w14:textFill>
            <w14:solidFill>
              <w14:schemeClr w14:val="tx1"/>
            </w14:solidFill>
          </w14:textFill>
        </w:rPr>
        <w:t>日      期：     年    月    日</w:t>
      </w:r>
    </w:p>
    <w:p w14:paraId="2FAF178D">
      <w:pPr>
        <w:spacing w:line="440" w:lineRule="exact"/>
        <w:jc w:val="center"/>
        <w:rPr>
          <w:rFonts w:ascii="宋体" w:hAnsi="宋体" w:cs="宋体"/>
          <w:b/>
          <w:color w:val="000000" w:themeColor="text1"/>
          <w:sz w:val="32"/>
          <w:highlight w:val="none"/>
          <w14:textFill>
            <w14:solidFill>
              <w14:schemeClr w14:val="tx1"/>
            </w14:solidFill>
          </w14:textFill>
        </w:rPr>
        <w:sectPr>
          <w:pgSz w:w="11906" w:h="16838"/>
          <w:pgMar w:top="1236" w:right="1236" w:bottom="1236" w:left="1236" w:header="851" w:footer="907" w:gutter="0"/>
          <w:cols w:space="720" w:num="1"/>
          <w:titlePg/>
          <w:docGrid w:type="lines" w:linePitch="312" w:charSpace="0"/>
        </w:sectPr>
      </w:pPr>
    </w:p>
    <w:p w14:paraId="12B343ED">
      <w:pPr>
        <w:pStyle w:val="8"/>
        <w:spacing w:before="0" w:line="500" w:lineRule="exact"/>
        <w:ind w:left="720"/>
        <w:jc w:val="center"/>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、开标一览表（报价表）（标项</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7AA6290B">
      <w:pPr>
        <w:spacing w:line="360" w:lineRule="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r>
        <w:rPr>
          <w:rFonts w:hint="eastAsia" w:asciiTheme="minorEastAsia" w:hAnsiTheme="minorEastAsia" w:eastAsiaTheme="minorEastAsia" w:cstheme="minorEastAsia"/>
          <w:i/>
          <w:color w:val="000000" w:themeColor="text1"/>
          <w:sz w:val="24"/>
          <w:szCs w:val="24"/>
          <w:highlight w:val="none"/>
          <w:u w:val="single"/>
          <w14:textFill>
            <w14:solidFill>
              <w14:schemeClr w14:val="tx1"/>
            </w14:solidFill>
          </w14:textFill>
        </w:rPr>
        <w:t>*****项目</w:t>
      </w:r>
    </w:p>
    <w:p w14:paraId="0AE12189">
      <w:pPr>
        <w:rPr>
          <w:rFonts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w:t>
      </w:r>
      <w:r>
        <w:rPr>
          <w:rFonts w:hint="eastAsia" w:asciiTheme="minorEastAsia" w:hAnsiTheme="minorEastAsia" w:eastAsiaTheme="minorEastAsia" w:cstheme="minorEastAsia"/>
          <w:i/>
          <w:color w:val="000000" w:themeColor="text1"/>
          <w:spacing w:val="8"/>
          <w:sz w:val="24"/>
          <w:szCs w:val="24"/>
          <w:highlight w:val="none"/>
          <w:u w:val="single"/>
          <w14:textFill>
            <w14:solidFill>
              <w14:schemeClr w14:val="tx1"/>
            </w14:solidFill>
          </w14:textFill>
        </w:rPr>
        <w:t>浙江诚远ZJ2025-**-**</w:t>
      </w:r>
    </w:p>
    <w:p w14:paraId="30029A09">
      <w:pPr>
        <w:ind w:firstLine="8160" w:firstLineChars="3400"/>
        <w:rPr>
          <w:rFonts w:asciiTheme="minorEastAsia" w:hAnsiTheme="minorEastAsia" w:eastAsiaTheme="minorEastAsia" w:cstheme="minorEastAsia"/>
          <w:color w:val="000000" w:themeColor="text1"/>
          <w:sz w:val="24"/>
          <w:szCs w:val="20"/>
          <w:highlight w:val="none"/>
          <w14:textFill>
            <w14:solidFill>
              <w14:schemeClr w14:val="tx1"/>
            </w14:solidFill>
          </w14:textFill>
        </w:rPr>
      </w:pPr>
    </w:p>
    <w:tbl>
      <w:tblPr>
        <w:tblStyle w:val="2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3827"/>
        <w:gridCol w:w="4701"/>
      </w:tblGrid>
      <w:tr w14:paraId="2A62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02" w:type="dxa"/>
            <w:vAlign w:val="center"/>
          </w:tcPr>
          <w:p w14:paraId="71F07FCC">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标项</w:t>
            </w:r>
          </w:p>
        </w:tc>
        <w:tc>
          <w:tcPr>
            <w:tcW w:w="3827" w:type="dxa"/>
            <w:vAlign w:val="center"/>
          </w:tcPr>
          <w:p w14:paraId="3F475B9C">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标项名称</w:t>
            </w:r>
          </w:p>
        </w:tc>
        <w:tc>
          <w:tcPr>
            <w:tcW w:w="4701" w:type="dxa"/>
            <w:vAlign w:val="center"/>
          </w:tcPr>
          <w:p w14:paraId="1566E11F">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投标报价（折扣）</w:t>
            </w:r>
          </w:p>
        </w:tc>
      </w:tr>
      <w:tr w14:paraId="2527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02" w:type="dxa"/>
            <w:vAlign w:val="center"/>
          </w:tcPr>
          <w:p w14:paraId="54F7D713">
            <w:pPr>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w:t>
            </w:r>
          </w:p>
        </w:tc>
        <w:tc>
          <w:tcPr>
            <w:tcW w:w="3827" w:type="dxa"/>
            <w:vAlign w:val="center"/>
          </w:tcPr>
          <w:p w14:paraId="68151747">
            <w:pPr>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泵送设备</w:t>
            </w:r>
          </w:p>
        </w:tc>
        <w:tc>
          <w:tcPr>
            <w:tcW w:w="4701" w:type="dxa"/>
            <w:vAlign w:val="center"/>
          </w:tcPr>
          <w:p w14:paraId="5D1B0B0F">
            <w:pPr>
              <w:spacing w:line="700" w:lineRule="exact"/>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_____</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p>
        </w:tc>
      </w:tr>
    </w:tbl>
    <w:p w14:paraId="7E76E004">
      <w:pPr>
        <w:spacing w:line="480" w:lineRule="auto"/>
        <w:rPr>
          <w:color w:val="000000" w:themeColor="text1"/>
          <w:sz w:val="28"/>
          <w:highlight w:val="none"/>
          <w14:textFill>
            <w14:solidFill>
              <w14:schemeClr w14:val="tx1"/>
            </w14:solidFill>
          </w14:textFill>
        </w:rPr>
      </w:pPr>
    </w:p>
    <w:p w14:paraId="586DCF3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1、本项目各标项均采用统一折扣报价，基于各标的基准价（最高单价限价）进行折扣计算，最高单价限价详见本招标文件采购需求“三、运输、泵送业务费执行标准”，数量按实结算。结算单价=最高单价限价×中标折扣（例：</w:t>
      </w:r>
      <w:r>
        <w:rPr>
          <w:rFonts w:hint="eastAsia" w:ascii="宋体" w:hAnsi="宋体" w:cs="宋体"/>
          <w:b/>
          <w:color w:val="000000" w:themeColor="text1"/>
          <w:sz w:val="24"/>
          <w:highlight w:val="none"/>
          <w:lang w:val="en-US" w:eastAsia="zh-CN"/>
          <w14:textFill>
            <w14:solidFill>
              <w14:schemeClr w14:val="tx1"/>
            </w14:solidFill>
          </w14:textFill>
        </w:rPr>
        <w:t>汽车泵泵送最高单价限价为20.60元/方，若中标折扣为90%，</w:t>
      </w:r>
      <w:r>
        <w:rPr>
          <w:rFonts w:hint="eastAsia" w:ascii="宋体" w:hAnsi="宋体" w:cs="宋体"/>
          <w:b/>
          <w:color w:val="000000" w:themeColor="text1"/>
          <w:sz w:val="24"/>
          <w:highlight w:val="none"/>
          <w14:textFill>
            <w14:solidFill>
              <w14:schemeClr w14:val="tx1"/>
            </w14:solidFill>
          </w14:textFill>
        </w:rPr>
        <w:t>则该结算单价=</w:t>
      </w:r>
      <w:r>
        <w:rPr>
          <w:rFonts w:hint="eastAsia" w:ascii="宋体" w:hAnsi="宋体" w:cs="宋体"/>
          <w:b/>
          <w:color w:val="000000" w:themeColor="text1"/>
          <w:sz w:val="24"/>
          <w:highlight w:val="none"/>
          <w:lang w:val="en-US" w:eastAsia="zh-CN"/>
          <w14:textFill>
            <w14:solidFill>
              <w14:schemeClr w14:val="tx1"/>
            </w14:solidFill>
          </w14:textFill>
        </w:rPr>
        <w:t>20.60</w:t>
      </w:r>
      <w:r>
        <w:rPr>
          <w:rFonts w:hint="eastAsia" w:ascii="宋体" w:hAnsi="宋体" w:cs="宋体"/>
          <w:b/>
          <w:color w:val="000000" w:themeColor="text1"/>
          <w:sz w:val="24"/>
          <w:highlight w:val="none"/>
          <w14:textFill>
            <w14:solidFill>
              <w14:schemeClr w14:val="tx1"/>
            </w14:solidFill>
          </w14:textFill>
        </w:rPr>
        <w:t>元/方×90%=</w:t>
      </w:r>
      <w:r>
        <w:rPr>
          <w:rFonts w:hint="eastAsia" w:ascii="宋体" w:hAnsi="宋体" w:cs="宋体"/>
          <w:b/>
          <w:color w:val="000000" w:themeColor="text1"/>
          <w:sz w:val="24"/>
          <w:highlight w:val="none"/>
          <w:lang w:val="en-US" w:eastAsia="zh-CN"/>
          <w14:textFill>
            <w14:solidFill>
              <w14:schemeClr w14:val="tx1"/>
            </w14:solidFill>
          </w14:textFill>
        </w:rPr>
        <w:t>18.54</w:t>
      </w:r>
      <w:r>
        <w:rPr>
          <w:rFonts w:hint="eastAsia" w:ascii="宋体" w:hAnsi="宋体" w:cs="宋体"/>
          <w:b/>
          <w:color w:val="000000" w:themeColor="text1"/>
          <w:sz w:val="24"/>
          <w:highlight w:val="none"/>
          <w14:textFill>
            <w14:solidFill>
              <w14:schemeClr w14:val="tx1"/>
            </w14:solidFill>
          </w14:textFill>
        </w:rPr>
        <w:t>元/方）。</w:t>
      </w:r>
    </w:p>
    <w:p w14:paraId="281E0127">
      <w:pPr>
        <w:spacing w:line="480" w:lineRule="auto"/>
        <w:rPr>
          <w:color w:val="000000" w:themeColor="text1"/>
          <w:sz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2、最高限价：折扣报价上限为100%，任何超过100%的报价将被认定为无效报价。</w:t>
      </w:r>
    </w:p>
    <w:p w14:paraId="2D041DD6">
      <w:pPr>
        <w:spacing w:line="360" w:lineRule="auto"/>
        <w:rPr>
          <w:rFonts w:hint="eastAsia" w:ascii="宋体" w:hAnsi="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3、已在标项一</w:t>
      </w:r>
      <w:r>
        <w:rPr>
          <w:rFonts w:hint="eastAsia" w:ascii="宋体" w:hAnsi="宋体" w:cs="宋体"/>
          <w:b/>
          <w:color w:val="000000" w:themeColor="text1"/>
          <w:sz w:val="24"/>
          <w:highlight w:val="none"/>
          <w14:textFill>
            <w14:solidFill>
              <w14:schemeClr w14:val="tx1"/>
            </w14:solidFill>
          </w14:textFill>
        </w:rPr>
        <w:t>被推荐为第一中标候选人的供应商不再进入标项</w:t>
      </w: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的评审</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但能进入标项三的评审。即一个供应商可以同时成为“标项一和标项三”或“标项二和标项三”的</w:t>
      </w:r>
      <w:r>
        <w:rPr>
          <w:rFonts w:hint="eastAsia" w:ascii="宋体" w:hAnsi="宋体" w:cs="宋体"/>
          <w:b/>
          <w:color w:val="000000" w:themeColor="text1"/>
          <w:sz w:val="24"/>
          <w:highlight w:val="none"/>
          <w14:textFill>
            <w14:solidFill>
              <w14:schemeClr w14:val="tx1"/>
            </w14:solidFill>
          </w14:textFill>
        </w:rPr>
        <w:t>第一中标候选人</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但一个供应商不能同时成为“标项一和标项二”的</w:t>
      </w:r>
      <w:r>
        <w:rPr>
          <w:rFonts w:hint="eastAsia" w:ascii="宋体" w:hAnsi="宋体" w:cs="宋体"/>
          <w:b/>
          <w:color w:val="000000" w:themeColor="text1"/>
          <w:sz w:val="24"/>
          <w:highlight w:val="none"/>
          <w14:textFill>
            <w14:solidFill>
              <w14:schemeClr w14:val="tx1"/>
            </w14:solidFill>
          </w14:textFill>
        </w:rPr>
        <w:t>第一中标候选人</w:t>
      </w:r>
      <w:r>
        <w:rPr>
          <w:rFonts w:hint="eastAsia" w:ascii="宋体" w:hAnsi="宋体" w:cs="宋体"/>
          <w:b/>
          <w:color w:val="000000" w:themeColor="text1"/>
          <w:sz w:val="24"/>
          <w:highlight w:val="none"/>
          <w:lang w:eastAsia="zh-CN"/>
          <w14:textFill>
            <w14:solidFill>
              <w14:schemeClr w14:val="tx1"/>
            </w14:solidFill>
          </w14:textFill>
        </w:rPr>
        <w:t>。</w:t>
      </w:r>
    </w:p>
    <w:p w14:paraId="44ABCC5D">
      <w:pPr>
        <w:spacing w:line="480" w:lineRule="auto"/>
        <w:rPr>
          <w:color w:val="000000" w:themeColor="text1"/>
          <w:sz w:val="28"/>
          <w:highlight w:val="none"/>
          <w14:textFill>
            <w14:solidFill>
              <w14:schemeClr w14:val="tx1"/>
            </w14:solidFill>
          </w14:textFill>
        </w:rPr>
      </w:pPr>
    </w:p>
    <w:p w14:paraId="4BC83C0C">
      <w:pPr>
        <w:pStyle w:val="2"/>
        <w:rPr>
          <w:color w:val="000000" w:themeColor="text1"/>
          <w:highlight w:val="none"/>
          <w14:textFill>
            <w14:solidFill>
              <w14:schemeClr w14:val="tx1"/>
            </w14:solidFill>
          </w14:textFill>
        </w:rPr>
      </w:pPr>
    </w:p>
    <w:p w14:paraId="1DD1319B">
      <w:pPr>
        <w:spacing w:line="480" w:lineRule="auto"/>
        <w:rPr>
          <w:color w:val="000000" w:themeColor="text1"/>
          <w:sz w:val="28"/>
          <w:highlight w:val="none"/>
          <w14:textFill>
            <w14:solidFill>
              <w14:schemeClr w14:val="tx1"/>
            </w14:solidFill>
          </w14:textFill>
        </w:rPr>
      </w:pPr>
      <w:r>
        <w:rPr>
          <w:rFonts w:hint="eastAsia"/>
          <w:color w:val="000000" w:themeColor="text1"/>
          <w:sz w:val="28"/>
          <w:highlight w:val="none"/>
          <w14:textFill>
            <w14:solidFill>
              <w14:schemeClr w14:val="tx1"/>
            </w14:solidFill>
          </w14:textFill>
        </w:rPr>
        <w:t>投标人：</w:t>
      </w:r>
      <w:r>
        <w:rPr>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u w:val="single"/>
          <w14:textFill>
            <w14:solidFill>
              <w14:schemeClr w14:val="tx1"/>
            </w14:solidFill>
          </w14:textFill>
        </w:rPr>
        <w:t xml:space="preserve">   </w:t>
      </w:r>
      <w:r>
        <w:rPr>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u w:val="single"/>
          <w14:textFill>
            <w14:solidFill>
              <w14:schemeClr w14:val="tx1"/>
            </w14:solidFill>
          </w14:textFill>
        </w:rPr>
        <w:t>（盖章）</w:t>
      </w:r>
      <w:r>
        <w:rPr>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u w:val="single"/>
          <w14:textFill>
            <w14:solidFill>
              <w14:schemeClr w14:val="tx1"/>
            </w14:solidFill>
          </w14:textFill>
        </w:rPr>
        <w:t xml:space="preserve">  </w:t>
      </w:r>
      <w:r>
        <w:rPr>
          <w:color w:val="000000" w:themeColor="text1"/>
          <w:sz w:val="28"/>
          <w:highlight w:val="none"/>
          <w:u w:val="single"/>
          <w14:textFill>
            <w14:solidFill>
              <w14:schemeClr w14:val="tx1"/>
            </w14:solidFill>
          </w14:textFill>
        </w:rPr>
        <w:t xml:space="preserve">           </w:t>
      </w:r>
      <w:r>
        <w:rPr>
          <w:color w:val="000000" w:themeColor="text1"/>
          <w:sz w:val="28"/>
          <w:highlight w:val="none"/>
          <w14:textFill>
            <w14:solidFill>
              <w14:schemeClr w14:val="tx1"/>
            </w14:solidFill>
          </w14:textFill>
        </w:rPr>
        <w:t xml:space="preserve">      </w:t>
      </w:r>
    </w:p>
    <w:p w14:paraId="339B79E5">
      <w:pPr>
        <w:spacing w:line="480" w:lineRule="auto"/>
        <w:rPr>
          <w:color w:val="000000" w:themeColor="text1"/>
          <w:sz w:val="28"/>
          <w:highlight w:val="none"/>
          <w14:textFill>
            <w14:solidFill>
              <w14:schemeClr w14:val="tx1"/>
            </w14:solidFill>
          </w14:textFill>
        </w:rPr>
      </w:pPr>
    </w:p>
    <w:p w14:paraId="49308868">
      <w:pPr>
        <w:spacing w:line="480" w:lineRule="auto"/>
        <w:rPr>
          <w:rFonts w:ascii="宋体" w:hAnsi="宋体" w:cs="宋体"/>
          <w:b/>
          <w:color w:val="000000" w:themeColor="text1"/>
          <w:sz w:val="32"/>
          <w:highlight w:val="none"/>
          <w14:textFill>
            <w14:solidFill>
              <w14:schemeClr w14:val="tx1"/>
            </w14:solidFill>
          </w14:textFill>
        </w:rPr>
        <w:sectPr>
          <w:pgSz w:w="11906" w:h="16838"/>
          <w:pgMar w:top="1236" w:right="1236" w:bottom="1236" w:left="1236" w:header="851" w:footer="907" w:gutter="0"/>
          <w:cols w:space="720" w:num="1"/>
          <w:titlePg/>
          <w:docGrid w:type="lines" w:linePitch="312" w:charSpace="0"/>
        </w:sectPr>
      </w:pPr>
      <w:r>
        <w:rPr>
          <w:rFonts w:hint="eastAsia"/>
          <w:color w:val="000000" w:themeColor="text1"/>
          <w:sz w:val="28"/>
          <w:highlight w:val="none"/>
          <w14:textFill>
            <w14:solidFill>
              <w14:schemeClr w14:val="tx1"/>
            </w14:solidFill>
          </w14:textFill>
        </w:rPr>
        <w:t>日      期：     年    月    日</w:t>
      </w:r>
    </w:p>
    <w:p w14:paraId="001E1003">
      <w:pPr>
        <w:spacing w:line="440" w:lineRule="exact"/>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五、</w:t>
      </w:r>
      <w:r>
        <w:rPr>
          <w:rFonts w:hint="eastAsia" w:ascii="宋体" w:hAnsi="宋体" w:cs="宋体"/>
          <w:b/>
          <w:bCs/>
          <w:color w:val="000000" w:themeColor="text1"/>
          <w:kern w:val="2"/>
          <w:sz w:val="32"/>
          <w:szCs w:val="32"/>
          <w:highlight w:val="none"/>
          <w14:textFill>
            <w14:solidFill>
              <w14:schemeClr w14:val="tx1"/>
            </w14:solidFill>
          </w14:textFill>
        </w:rPr>
        <w:t>投标承诺书（格式）</w:t>
      </w:r>
    </w:p>
    <w:p w14:paraId="0507FFE5">
      <w:pPr>
        <w:spacing w:line="340" w:lineRule="exact"/>
        <w:ind w:firstLine="420" w:firstLineChars="200"/>
        <w:rPr>
          <w:color w:val="000000" w:themeColor="text1"/>
          <w:highlight w:val="none"/>
          <w14:textFill>
            <w14:solidFill>
              <w14:schemeClr w14:val="tx1"/>
            </w14:solidFill>
          </w14:textFill>
        </w:rPr>
      </w:pPr>
    </w:p>
    <w:p w14:paraId="7472E908">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我公司已详细阅读了</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项目（项目编号：浙江诚远ZJ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）采购文件，现参加该项目投标，并就有关事项作出如下承诺：</w:t>
      </w:r>
    </w:p>
    <w:p w14:paraId="79FE1448">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一、我公司在该项目招投标及合同履约过程中，不会出现以下行为，否则我公司愿意接受该行为被记录为不良行为，并在不良行为记录时限内放弃在</w:t>
      </w:r>
      <w:r>
        <w:rPr>
          <w:rFonts w:hint="eastAsia"/>
          <w:color w:val="000000" w:themeColor="text1"/>
          <w:highlight w:val="none"/>
          <w:lang w:val="en-US" w:eastAsia="zh-CN"/>
          <w14:textFill>
            <w14:solidFill>
              <w14:schemeClr w14:val="tx1"/>
            </w14:solidFill>
          </w14:textFill>
        </w:rPr>
        <w:t>采购</w:t>
      </w:r>
      <w:r>
        <w:rPr>
          <w:rFonts w:hint="eastAsia"/>
          <w:color w:val="000000" w:themeColor="text1"/>
          <w:highlight w:val="none"/>
          <w14:textFill>
            <w14:solidFill>
              <w14:schemeClr w14:val="tx1"/>
            </w14:solidFill>
          </w14:textFill>
        </w:rPr>
        <w:t>单位投标的资格。</w:t>
      </w:r>
    </w:p>
    <w:p w14:paraId="00EA45AC">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（1）在采购过程中，与采购人进行协商询价的；</w:t>
      </w:r>
    </w:p>
    <w:p w14:paraId="5926E1C6">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（2）询价有效期内撤回其采购响应文件的；</w:t>
      </w:r>
    </w:p>
    <w:p w14:paraId="4CE2EFE4">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（3）拒绝有关部门监督检查或提供虚假情况的；</w:t>
      </w:r>
    </w:p>
    <w:p w14:paraId="6C47B557">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（4）不积极配合采购单位做好标的验收工作的；</w:t>
      </w:r>
    </w:p>
    <w:p w14:paraId="7E849CFC">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（5）在有关部门的监督检查或考核中被通报批评或处以警告及以上处罚的；</w:t>
      </w:r>
    </w:p>
    <w:p w14:paraId="7C3B5BC7">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（6）不遵守投标会场纪律，无理取闹，扰乱交易秩序的；</w:t>
      </w:r>
    </w:p>
    <w:p w14:paraId="651A6FE0">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（7）中标后无正当理由放弃中标，或在规定时间内不与采购人签订采购合同，或在签订合同时提出附加条件或更改合同实质性内容，或拒不提交所要求的履约保证金的；</w:t>
      </w:r>
    </w:p>
    <w:p w14:paraId="4BE08177">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（8）不按照与采购人订立的合同履行义务（包括提供标的、售后服务、技术支持等），严重违反合同规定和廉政合同要求的；</w:t>
      </w:r>
    </w:p>
    <w:p w14:paraId="37D1433F">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（9）项目负责人不到位，或擅自变换项目负责人，或不认真履行职责造成采购人损失的；</w:t>
      </w:r>
    </w:p>
    <w:p w14:paraId="057BF293">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（10）发生经营状况重大变化以及重要担保、重大合同纠纷或诉讼、信用等级和资质变化等可能影响履约能力的重大事项，未及时提供书面报告，因而造成采购人损失的；</w:t>
      </w:r>
    </w:p>
    <w:p w14:paraId="1F5B3078">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（11）与采购人、其他供应商或者采购代理机构相互串通的；</w:t>
      </w:r>
    </w:p>
    <w:p w14:paraId="67F50440">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（12）采取不正当手段排挤其他供应商，进行不公平竞争的；</w:t>
      </w:r>
    </w:p>
    <w:p w14:paraId="477D8243">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（13）中标后与采购人另行订立背离合同实质内容的协议的；</w:t>
      </w:r>
    </w:p>
    <w:p w14:paraId="4F111102">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（14）事先有承诺，而事后违反承诺内容的；</w:t>
      </w:r>
    </w:p>
    <w:p w14:paraId="6F0C0AE3">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（15）将中标项目转包或违反规定进行分包的；</w:t>
      </w:r>
    </w:p>
    <w:p w14:paraId="4F860988">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（16）以他人名义投标或允许他人以自己名义投标，或者以其他方式弄虚作假的；</w:t>
      </w:r>
    </w:p>
    <w:p w14:paraId="12A45C82">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（17）未按照采购合同约定及时提供全部货物的，或无故拖延工期的；</w:t>
      </w:r>
    </w:p>
    <w:p w14:paraId="12C87CA4">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（18）无故不提供中标要求的型号、配置等产品的，或有拆换、调换、截留产品零部件和备品备件的行为的；</w:t>
      </w:r>
    </w:p>
    <w:p w14:paraId="3792D90B">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（19）为获取自身利益，向采购人及其他有利害关系的单位或个人提供不正当利益的；</w:t>
      </w:r>
    </w:p>
    <w:p w14:paraId="2B3344C0">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（20）投标人、采购相关利益人、自然人不按程序、规定时间进行质疑投诉；虚假质疑投诉；非正规渠道质疑投诉（信访、网络炒作等）；并对采购工作造成不利影响的；</w:t>
      </w:r>
    </w:p>
    <w:p w14:paraId="18EB8246">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（21）投标人、采购相关利益人、自然人利用质疑投诉、非正规渠道质疑投诉达到自身目的，并对采购工作造成不利影响的；</w:t>
      </w:r>
    </w:p>
    <w:p w14:paraId="6411A4CD">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（22）提供假冒伪劣产品或走私物品的；</w:t>
      </w:r>
    </w:p>
    <w:p w14:paraId="7C5C76FE">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（23）擅自变更、中止、终止或解除合同的；</w:t>
      </w:r>
    </w:p>
    <w:p w14:paraId="200F6957">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（24）向有关人员行贿或者提供不正当利益谋取中标的；</w:t>
      </w:r>
    </w:p>
    <w:p w14:paraId="46876E8B">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（25）在采购活动期间，对管理机构、采购人、其他采购响应人、评标专家、中介机构等采购相关机构和人员，采取诋毁、诽谤、胁迫、暴力等不正当手段的；</w:t>
      </w:r>
    </w:p>
    <w:p w14:paraId="4E6B984B">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（26）</w:t>
      </w:r>
      <w:r>
        <w:rPr>
          <w:rFonts w:hint="eastAsia"/>
          <w:color w:val="000000" w:themeColor="text1"/>
          <w:highlight w:val="none"/>
          <w:lang w:val="en-US" w:eastAsia="zh-CN"/>
          <w14:textFill>
            <w14:solidFill>
              <w14:schemeClr w14:val="tx1"/>
            </w14:solidFill>
          </w14:textFill>
        </w:rPr>
        <w:t>采购单位</w:t>
      </w:r>
      <w:r>
        <w:rPr>
          <w:rFonts w:hint="eastAsia"/>
          <w:color w:val="000000" w:themeColor="text1"/>
          <w:highlight w:val="none"/>
          <w14:textFill>
            <w14:solidFill>
              <w14:schemeClr w14:val="tx1"/>
            </w14:solidFill>
          </w14:textFill>
        </w:rPr>
        <w:t>招投标监管领导小组办公室认定的其他违反采购管理的行为</w:t>
      </w:r>
    </w:p>
    <w:p w14:paraId="5FD43DD9">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出现（</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（5）行为之一，记录时限为6个月；出现（6）</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（10）行为之一，记录时限为1年；出现（11）</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（15）行为之一，记录时限为2年；出现（16）</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（21）行为之一，记录时限为3年；出现（22）</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（25）行为之一，记录时限为5年；出现（26）行为，酌情处理。时限以被记录为不良行为之日起算，在记录时限内再次被记为不良行为的，记录时限应从上次记录时限截止日起算。</w:t>
      </w:r>
    </w:p>
    <w:p w14:paraId="1125149B">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据采购法第77条第1款作出的处罚决定。</w:t>
      </w:r>
    </w:p>
    <w:p w14:paraId="45EF14A6">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三、我公司及其他利害关系人如对该项目的中标公示有异议，将在采购文件规定的公示期限内提出符合以下条件的有效质疑，否则我公司愿意接受相关部门不予受理的决定。</w:t>
      </w:r>
    </w:p>
    <w:p w14:paraId="6748046F">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1、质疑人须为采购响应人和其他利害关系人；</w:t>
      </w:r>
    </w:p>
    <w:p w14:paraId="3C250F16">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2、投诉时，应当递交质疑书，质疑书应当包括下列内容：</w:t>
      </w:r>
    </w:p>
    <w:p w14:paraId="58D4B3AC">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）质疑人的名称、地址及有效联系方式；</w:t>
      </w:r>
    </w:p>
    <w:p w14:paraId="39F309A7">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）被质疑人的名称、地址及联系方式；</w:t>
      </w:r>
    </w:p>
    <w:p w14:paraId="24B3F8E0">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）质疑事项的基本事实；</w:t>
      </w:r>
    </w:p>
    <w:p w14:paraId="4D807761">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）相关请求及主张；</w:t>
      </w:r>
    </w:p>
    <w:p w14:paraId="40D6A810">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）有效线索和相关证明材料；</w:t>
      </w:r>
    </w:p>
    <w:p w14:paraId="449C3233">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）质疑人是法人的，质疑书必须由其法定代表人或者授权代表签字并加盖公章；其他组织或者个人质疑的，质疑书必须由其主要负责人或者质疑人本人签字，并附有效身份证明复印件。</w:t>
      </w:r>
    </w:p>
    <w:p w14:paraId="18382EFB">
      <w:pPr>
        <w:spacing w:line="340" w:lineRule="exact"/>
        <w:ind w:firstLine="723" w:firstLineChars="400"/>
        <w:rPr>
          <w:b/>
          <w:color w:val="000000" w:themeColor="text1"/>
          <w:sz w:val="18"/>
          <w:szCs w:val="18"/>
          <w:highlight w:val="none"/>
          <w14:textFill>
            <w14:solidFill>
              <w14:schemeClr w14:val="tx1"/>
            </w14:solidFill>
          </w14:textFill>
        </w:rPr>
      </w:pPr>
    </w:p>
    <w:p w14:paraId="357F5235">
      <w:pPr>
        <w:spacing w:line="340" w:lineRule="exact"/>
        <w:ind w:firstLine="840" w:firstLineChars="400"/>
        <w:rPr>
          <w:color w:val="000000" w:themeColor="text1"/>
          <w:highlight w:val="none"/>
          <w14:textFill>
            <w14:solidFill>
              <w14:schemeClr w14:val="tx1"/>
            </w14:solidFill>
          </w14:textFill>
        </w:rPr>
      </w:pPr>
    </w:p>
    <w:p w14:paraId="2904B44E">
      <w:pPr>
        <w:spacing w:line="340" w:lineRule="exact"/>
        <w:ind w:firstLine="840" w:firstLineChars="400"/>
        <w:rPr>
          <w:color w:val="000000" w:themeColor="text1"/>
          <w:highlight w:val="none"/>
          <w14:textFill>
            <w14:solidFill>
              <w14:schemeClr w14:val="tx1"/>
            </w14:solidFill>
          </w14:textFill>
        </w:rPr>
      </w:pPr>
    </w:p>
    <w:p w14:paraId="17E9548C">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采购响应人名称：</w:t>
      </w:r>
      <w:r>
        <w:rPr>
          <w:rFonts w:hint="eastAsia" w:ascii="宋体" w:hAnsi="宋体"/>
          <w:color w:val="000000" w:themeColor="text1"/>
          <w:sz w:val="24"/>
          <w:szCs w:val="24"/>
          <w:highlight w:val="none"/>
          <w:u w:val="single"/>
          <w14:textFill>
            <w14:solidFill>
              <w14:schemeClr w14:val="tx1"/>
            </w14:solidFill>
          </w14:textFill>
        </w:rPr>
        <w:t xml:space="preserve">               （盖公章）                 </w:t>
      </w:r>
    </w:p>
    <w:p w14:paraId="08F164FD">
      <w:pPr>
        <w:spacing w:line="360" w:lineRule="auto"/>
        <w:ind w:firstLine="425"/>
        <w:rPr>
          <w:rFonts w:ascii="宋体" w:hAnsi="宋体"/>
          <w:color w:val="000000" w:themeColor="text1"/>
          <w:sz w:val="24"/>
          <w:szCs w:val="24"/>
          <w:highlight w:val="none"/>
          <w14:textFill>
            <w14:solidFill>
              <w14:schemeClr w14:val="tx1"/>
            </w14:solidFill>
          </w14:textFill>
        </w:rPr>
      </w:pPr>
    </w:p>
    <w:p w14:paraId="2ECD1A13">
      <w:pPr>
        <w:spacing w:line="360" w:lineRule="auto"/>
        <w:ind w:firstLine="425"/>
        <w:rPr>
          <w:rFonts w:ascii="宋体" w:hAnsi="宋体"/>
          <w:color w:val="000000" w:themeColor="text1"/>
          <w:sz w:val="24"/>
          <w:szCs w:val="24"/>
          <w:highlight w:val="none"/>
          <w:u w:val="single"/>
          <w14:textFill>
            <w14:solidFill>
              <w14:schemeClr w14:val="tx1"/>
            </w14:solidFill>
          </w14:textFill>
        </w:rPr>
      </w:pPr>
    </w:p>
    <w:p w14:paraId="160E878C">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p w14:paraId="129AF062">
      <w:pPr>
        <w:rPr>
          <w:color w:val="000000" w:themeColor="text1"/>
          <w:highlight w:val="none"/>
          <w14:textFill>
            <w14:solidFill>
              <w14:schemeClr w14:val="tx1"/>
            </w14:solidFill>
          </w14:textFill>
        </w:rPr>
      </w:pPr>
    </w:p>
    <w:p w14:paraId="1EDC8CF7">
      <w:pPr>
        <w:rPr>
          <w:color w:val="000000" w:themeColor="text1"/>
          <w:highlight w:val="none"/>
          <w14:textFill>
            <w14:solidFill>
              <w14:schemeClr w14:val="tx1"/>
            </w14:solidFill>
          </w14:textFill>
        </w:rPr>
      </w:pPr>
    </w:p>
    <w:p w14:paraId="5A025E97">
      <w:pPr>
        <w:rPr>
          <w:color w:val="000000" w:themeColor="text1"/>
          <w:highlight w:val="none"/>
          <w14:textFill>
            <w14:solidFill>
              <w14:schemeClr w14:val="tx1"/>
            </w14:solidFill>
          </w14:textFill>
        </w:rPr>
      </w:pPr>
    </w:p>
    <w:p w14:paraId="282B0ACD">
      <w:pPr>
        <w:rPr>
          <w:color w:val="000000" w:themeColor="text1"/>
          <w:highlight w:val="none"/>
          <w14:textFill>
            <w14:solidFill>
              <w14:schemeClr w14:val="tx1"/>
            </w14:solidFill>
          </w14:textFill>
        </w:rPr>
      </w:pPr>
    </w:p>
    <w:p w14:paraId="02DF9D0E">
      <w:pPr>
        <w:rPr>
          <w:color w:val="000000" w:themeColor="text1"/>
          <w:highlight w:val="none"/>
          <w14:textFill>
            <w14:solidFill>
              <w14:schemeClr w14:val="tx1"/>
            </w14:solidFill>
          </w14:textFill>
        </w:rPr>
      </w:pPr>
    </w:p>
    <w:p w14:paraId="3D38F5D7">
      <w:pPr>
        <w:rPr>
          <w:color w:val="000000" w:themeColor="text1"/>
          <w:highlight w:val="none"/>
          <w14:textFill>
            <w14:solidFill>
              <w14:schemeClr w14:val="tx1"/>
            </w14:solidFill>
          </w14:textFill>
        </w:rPr>
      </w:pPr>
    </w:p>
    <w:p w14:paraId="725EB376">
      <w:pPr>
        <w:rPr>
          <w:color w:val="000000" w:themeColor="text1"/>
          <w:highlight w:val="none"/>
          <w14:textFill>
            <w14:solidFill>
              <w14:schemeClr w14:val="tx1"/>
            </w14:solidFill>
          </w14:textFill>
        </w:rPr>
      </w:pPr>
    </w:p>
    <w:p w14:paraId="1450C1ED">
      <w:pPr>
        <w:rPr>
          <w:color w:val="000000" w:themeColor="text1"/>
          <w:highlight w:val="none"/>
          <w14:textFill>
            <w14:solidFill>
              <w14:schemeClr w14:val="tx1"/>
            </w14:solidFill>
          </w14:textFill>
        </w:rPr>
      </w:pPr>
    </w:p>
    <w:p w14:paraId="68148D59">
      <w:pPr>
        <w:rPr>
          <w:color w:val="000000" w:themeColor="text1"/>
          <w:highlight w:val="none"/>
          <w14:textFill>
            <w14:solidFill>
              <w14:schemeClr w14:val="tx1"/>
            </w14:solidFill>
          </w14:textFill>
        </w:rPr>
      </w:pPr>
    </w:p>
    <w:p w14:paraId="42CA1263">
      <w:pPr>
        <w:rPr>
          <w:color w:val="000000" w:themeColor="text1"/>
          <w:highlight w:val="none"/>
          <w14:textFill>
            <w14:solidFill>
              <w14:schemeClr w14:val="tx1"/>
            </w14:solidFill>
          </w14:textFill>
        </w:rPr>
      </w:pPr>
    </w:p>
    <w:p w14:paraId="5B799A47">
      <w:pPr>
        <w:rPr>
          <w:color w:val="000000" w:themeColor="text1"/>
          <w:highlight w:val="none"/>
          <w14:textFill>
            <w14:solidFill>
              <w14:schemeClr w14:val="tx1"/>
            </w14:solidFill>
          </w14:textFill>
        </w:rPr>
      </w:pPr>
    </w:p>
    <w:p w14:paraId="33AFA17F">
      <w:pPr>
        <w:rPr>
          <w:color w:val="000000" w:themeColor="text1"/>
          <w:highlight w:val="none"/>
          <w14:textFill>
            <w14:solidFill>
              <w14:schemeClr w14:val="tx1"/>
            </w14:solidFill>
          </w14:textFill>
        </w:rPr>
      </w:pPr>
    </w:p>
    <w:p w14:paraId="0C6CE060">
      <w:pPr>
        <w:rPr>
          <w:color w:val="000000" w:themeColor="text1"/>
          <w:highlight w:val="none"/>
          <w14:textFill>
            <w14:solidFill>
              <w14:schemeClr w14:val="tx1"/>
            </w14:solidFill>
          </w14:textFill>
        </w:rPr>
      </w:pPr>
    </w:p>
    <w:p w14:paraId="391CAA92">
      <w:pPr>
        <w:rPr>
          <w:color w:val="000000" w:themeColor="text1"/>
          <w:highlight w:val="none"/>
          <w14:textFill>
            <w14:solidFill>
              <w14:schemeClr w14:val="tx1"/>
            </w14:solidFill>
          </w14:textFill>
        </w:rPr>
      </w:pPr>
    </w:p>
    <w:p w14:paraId="761B6241">
      <w:pPr>
        <w:rPr>
          <w:color w:val="000000" w:themeColor="text1"/>
          <w:highlight w:val="none"/>
          <w14:textFill>
            <w14:solidFill>
              <w14:schemeClr w14:val="tx1"/>
            </w14:solidFill>
          </w14:textFill>
        </w:rPr>
      </w:pPr>
    </w:p>
    <w:p w14:paraId="0B9F73FC">
      <w:pPr>
        <w:rPr>
          <w:color w:val="000000" w:themeColor="text1"/>
          <w:highlight w:val="none"/>
          <w14:textFill>
            <w14:solidFill>
              <w14:schemeClr w14:val="tx1"/>
            </w14:solidFill>
          </w14:textFill>
        </w:rPr>
      </w:pPr>
    </w:p>
    <w:p w14:paraId="5A564130">
      <w:pPr>
        <w:rPr>
          <w:color w:val="000000" w:themeColor="text1"/>
          <w:highlight w:val="none"/>
          <w14:textFill>
            <w14:solidFill>
              <w14:schemeClr w14:val="tx1"/>
            </w14:solidFill>
          </w14:textFill>
        </w:rPr>
      </w:pPr>
    </w:p>
    <w:p w14:paraId="122CDEFF">
      <w:pPr>
        <w:spacing w:line="440" w:lineRule="exact"/>
        <w:jc w:val="center"/>
        <w:rPr>
          <w:rFonts w:ascii="宋体" w:hAnsi="宋体" w:cs="宋体"/>
          <w:b/>
          <w:bCs/>
          <w:color w:val="000000" w:themeColor="text1"/>
          <w:kern w:val="2"/>
          <w:sz w:val="32"/>
          <w:szCs w:val="32"/>
          <w:highlight w:val="none"/>
          <w14:textFill>
            <w14:solidFill>
              <w14:schemeClr w14:val="tx1"/>
            </w14:solidFill>
          </w14:textFill>
        </w:rPr>
      </w:pPr>
    </w:p>
    <w:p w14:paraId="1E6BCD6A">
      <w:pPr>
        <w:spacing w:line="440" w:lineRule="exact"/>
        <w:jc w:val="center"/>
        <w:rPr>
          <w:rFonts w:ascii="宋体" w:hAnsi="宋体" w:cs="宋体"/>
          <w:b/>
          <w:bCs/>
          <w:color w:val="000000" w:themeColor="text1"/>
          <w:kern w:val="2"/>
          <w:sz w:val="32"/>
          <w:szCs w:val="32"/>
          <w:highlight w:val="none"/>
          <w14:textFill>
            <w14:solidFill>
              <w14:schemeClr w14:val="tx1"/>
            </w14:solidFill>
          </w14:textFill>
        </w:rPr>
      </w:pPr>
      <w:r>
        <w:rPr>
          <w:rFonts w:hint="eastAsia" w:ascii="宋体" w:hAnsi="宋体" w:cs="宋体"/>
          <w:b/>
          <w:bCs/>
          <w:color w:val="000000" w:themeColor="text1"/>
          <w:kern w:val="2"/>
          <w:sz w:val="32"/>
          <w:szCs w:val="32"/>
          <w:highlight w:val="none"/>
          <w14:textFill>
            <w14:solidFill>
              <w14:schemeClr w14:val="tx1"/>
            </w14:solidFill>
          </w14:textFill>
        </w:rPr>
        <w:t>六、商 务 技 术 偏 离 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40"/>
        <w:gridCol w:w="2160"/>
        <w:gridCol w:w="2160"/>
      </w:tblGrid>
      <w:tr w14:paraId="2676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14:paraId="27F51F91">
            <w:pPr>
              <w:pStyle w:val="15"/>
              <w:spacing w:line="400" w:lineRule="atLeast"/>
              <w:jc w:val="center"/>
              <w:rPr>
                <w:rFonts w:ascii="仿宋_GB2312" w:eastAsia="仿宋_GB2312"/>
                <w:color w:val="000000" w:themeColor="text1"/>
                <w:szCs w:val="24"/>
                <w:highlight w:val="none"/>
                <w14:textFill>
                  <w14:solidFill>
                    <w14:schemeClr w14:val="tx1"/>
                  </w14:solidFill>
                </w14:textFill>
              </w:rPr>
            </w:pPr>
            <w:r>
              <w:rPr>
                <w:rFonts w:hint="eastAsia" w:ascii="仿宋_GB2312" w:eastAsia="仿宋_GB2312"/>
                <w:color w:val="000000" w:themeColor="text1"/>
                <w:szCs w:val="24"/>
                <w:highlight w:val="none"/>
                <w14:textFill>
                  <w14:solidFill>
                    <w14:schemeClr w14:val="tx1"/>
                  </w14:solidFill>
                </w14:textFill>
              </w:rPr>
              <w:t>内容</w:t>
            </w:r>
          </w:p>
        </w:tc>
        <w:tc>
          <w:tcPr>
            <w:tcW w:w="2340" w:type="dxa"/>
            <w:vAlign w:val="center"/>
          </w:tcPr>
          <w:p w14:paraId="241AFE01">
            <w:pPr>
              <w:pStyle w:val="15"/>
              <w:spacing w:line="400" w:lineRule="atLeast"/>
              <w:jc w:val="center"/>
              <w:rPr>
                <w:rFonts w:ascii="仿宋_GB2312" w:eastAsia="仿宋_GB2312"/>
                <w:color w:val="000000" w:themeColor="text1"/>
                <w:szCs w:val="24"/>
                <w:highlight w:val="none"/>
                <w14:textFill>
                  <w14:solidFill>
                    <w14:schemeClr w14:val="tx1"/>
                  </w14:solidFill>
                </w14:textFill>
              </w:rPr>
            </w:pPr>
            <w:r>
              <w:rPr>
                <w:rFonts w:hint="eastAsia" w:ascii="仿宋_GB2312" w:eastAsia="仿宋_GB2312"/>
                <w:color w:val="000000" w:themeColor="text1"/>
                <w:szCs w:val="24"/>
                <w:highlight w:val="none"/>
                <w14:textFill>
                  <w14:solidFill>
                    <w14:schemeClr w14:val="tx1"/>
                  </w14:solidFill>
                </w14:textFill>
              </w:rPr>
              <w:t>招标文件</w:t>
            </w:r>
          </w:p>
          <w:p w14:paraId="25526A78">
            <w:pPr>
              <w:pStyle w:val="15"/>
              <w:spacing w:line="400" w:lineRule="atLeast"/>
              <w:jc w:val="center"/>
              <w:rPr>
                <w:rFonts w:ascii="仿宋_GB2312" w:eastAsia="仿宋_GB2312"/>
                <w:color w:val="000000" w:themeColor="text1"/>
                <w:szCs w:val="24"/>
                <w:highlight w:val="none"/>
                <w14:textFill>
                  <w14:solidFill>
                    <w14:schemeClr w14:val="tx1"/>
                  </w14:solidFill>
                </w14:textFill>
              </w:rPr>
            </w:pPr>
            <w:r>
              <w:rPr>
                <w:rFonts w:hint="eastAsia" w:ascii="仿宋_GB2312" w:eastAsia="仿宋_GB2312"/>
                <w:color w:val="000000" w:themeColor="text1"/>
                <w:szCs w:val="24"/>
                <w:highlight w:val="none"/>
                <w14:textFill>
                  <w14:solidFill>
                    <w14:schemeClr w14:val="tx1"/>
                  </w14:solidFill>
                </w14:textFill>
              </w:rPr>
              <w:t>规范要求</w:t>
            </w:r>
          </w:p>
        </w:tc>
        <w:tc>
          <w:tcPr>
            <w:tcW w:w="2160" w:type="dxa"/>
            <w:vAlign w:val="center"/>
          </w:tcPr>
          <w:p w14:paraId="4AE56667">
            <w:pPr>
              <w:pStyle w:val="15"/>
              <w:spacing w:line="400" w:lineRule="atLeast"/>
              <w:jc w:val="center"/>
              <w:rPr>
                <w:rFonts w:ascii="仿宋_GB2312" w:eastAsia="仿宋_GB2312"/>
                <w:color w:val="000000" w:themeColor="text1"/>
                <w:szCs w:val="24"/>
                <w:highlight w:val="none"/>
                <w14:textFill>
                  <w14:solidFill>
                    <w14:schemeClr w14:val="tx1"/>
                  </w14:solidFill>
                </w14:textFill>
              </w:rPr>
            </w:pPr>
            <w:r>
              <w:rPr>
                <w:rFonts w:hint="eastAsia" w:ascii="仿宋_GB2312" w:eastAsia="仿宋_GB2312"/>
                <w:color w:val="000000" w:themeColor="text1"/>
                <w:szCs w:val="24"/>
                <w:highlight w:val="none"/>
                <w14:textFill>
                  <w14:solidFill>
                    <w14:schemeClr w14:val="tx1"/>
                  </w14:solidFill>
                </w14:textFill>
              </w:rPr>
              <w:t>投标文件</w:t>
            </w:r>
          </w:p>
          <w:p w14:paraId="62F23A06">
            <w:pPr>
              <w:pStyle w:val="15"/>
              <w:spacing w:line="400" w:lineRule="atLeast"/>
              <w:jc w:val="center"/>
              <w:rPr>
                <w:rFonts w:ascii="仿宋_GB2312" w:eastAsia="仿宋_GB2312"/>
                <w:color w:val="000000" w:themeColor="text1"/>
                <w:szCs w:val="24"/>
                <w:highlight w:val="none"/>
                <w14:textFill>
                  <w14:solidFill>
                    <w14:schemeClr w14:val="tx1"/>
                  </w14:solidFill>
                </w14:textFill>
              </w:rPr>
            </w:pPr>
            <w:r>
              <w:rPr>
                <w:rFonts w:hint="eastAsia" w:ascii="仿宋_GB2312" w:eastAsia="仿宋_GB2312"/>
                <w:color w:val="000000" w:themeColor="text1"/>
                <w:szCs w:val="24"/>
                <w:highlight w:val="none"/>
                <w14:textFill>
                  <w14:solidFill>
                    <w14:schemeClr w14:val="tx1"/>
                  </w14:solidFill>
                </w14:textFill>
              </w:rPr>
              <w:t>对应规范</w:t>
            </w:r>
          </w:p>
        </w:tc>
        <w:tc>
          <w:tcPr>
            <w:tcW w:w="2160" w:type="dxa"/>
            <w:vAlign w:val="center"/>
          </w:tcPr>
          <w:p w14:paraId="6E47CF0D">
            <w:pPr>
              <w:pStyle w:val="15"/>
              <w:spacing w:line="400" w:lineRule="atLeast"/>
              <w:jc w:val="center"/>
              <w:rPr>
                <w:rFonts w:ascii="仿宋_GB2312" w:eastAsia="仿宋_GB2312"/>
                <w:color w:val="000000" w:themeColor="text1"/>
                <w:szCs w:val="24"/>
                <w:highlight w:val="none"/>
                <w14:textFill>
                  <w14:solidFill>
                    <w14:schemeClr w14:val="tx1"/>
                  </w14:solidFill>
                </w14:textFill>
              </w:rPr>
            </w:pPr>
            <w:r>
              <w:rPr>
                <w:rFonts w:hint="eastAsia" w:ascii="仿宋_GB2312" w:eastAsia="仿宋_GB2312"/>
                <w:color w:val="000000" w:themeColor="text1"/>
                <w:szCs w:val="24"/>
                <w:highlight w:val="none"/>
                <w14:textFill>
                  <w14:solidFill>
                    <w14:schemeClr w14:val="tx1"/>
                  </w14:solidFill>
                </w14:textFill>
              </w:rPr>
              <w:t xml:space="preserve"> 偏离情况</w:t>
            </w:r>
          </w:p>
        </w:tc>
      </w:tr>
      <w:tr w14:paraId="4BB1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14:paraId="021E4B2F">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340" w:type="dxa"/>
            <w:vAlign w:val="center"/>
          </w:tcPr>
          <w:p w14:paraId="539BFA17">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104641F8">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27ED87AB">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r>
      <w:tr w14:paraId="31E4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14:paraId="0F973AA3">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340" w:type="dxa"/>
            <w:vAlign w:val="center"/>
          </w:tcPr>
          <w:p w14:paraId="7C461C29">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063E1ADC">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457953E0">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r>
      <w:tr w14:paraId="5E88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14:paraId="138A105B">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340" w:type="dxa"/>
            <w:vAlign w:val="center"/>
          </w:tcPr>
          <w:p w14:paraId="7EDEED6F">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5C073AC4">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3682C41A">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r>
      <w:tr w14:paraId="03EA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14:paraId="55180C80">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340" w:type="dxa"/>
            <w:vAlign w:val="center"/>
          </w:tcPr>
          <w:p w14:paraId="154A3468">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664EF251">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5DCDDCC4">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r>
      <w:tr w14:paraId="1374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14:paraId="54E177A9">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340" w:type="dxa"/>
            <w:vAlign w:val="center"/>
          </w:tcPr>
          <w:p w14:paraId="574FC2C5">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3A856ABB">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1B77E1FB">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r>
      <w:tr w14:paraId="0065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14:paraId="040A87BB">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340" w:type="dxa"/>
            <w:vAlign w:val="center"/>
          </w:tcPr>
          <w:p w14:paraId="7E58D770">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05E0B3AA">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2ECE96E6">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r>
      <w:tr w14:paraId="5210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14:paraId="433C8B72">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340" w:type="dxa"/>
            <w:vAlign w:val="center"/>
          </w:tcPr>
          <w:p w14:paraId="0A28FF96">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312CC2E8">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4315B95E">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r>
      <w:tr w14:paraId="2166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14:paraId="6E2E30B5">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340" w:type="dxa"/>
            <w:vAlign w:val="center"/>
          </w:tcPr>
          <w:p w14:paraId="51A38837">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18C61430">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4D2956F1">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r>
      <w:tr w14:paraId="2C0E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14:paraId="4A1EE1FD">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340" w:type="dxa"/>
            <w:vAlign w:val="center"/>
          </w:tcPr>
          <w:p w14:paraId="3584D6AF">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32A9BF4F">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25315EDB">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r>
      <w:tr w14:paraId="2CC3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14:paraId="19832813">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340" w:type="dxa"/>
            <w:vAlign w:val="center"/>
          </w:tcPr>
          <w:p w14:paraId="03D7D500">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6571E6CF">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683C8B44">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r>
      <w:tr w14:paraId="3A7C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14:paraId="2702BCB9">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340" w:type="dxa"/>
            <w:vAlign w:val="center"/>
          </w:tcPr>
          <w:p w14:paraId="0414E6EC">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418D6946">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5D7C4628">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r>
      <w:tr w14:paraId="6CCC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14:paraId="5237B171">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340" w:type="dxa"/>
            <w:vAlign w:val="center"/>
          </w:tcPr>
          <w:p w14:paraId="310AC2F6">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68A34205">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0674E343">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r>
      <w:tr w14:paraId="65AB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14:paraId="365C0E1F">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340" w:type="dxa"/>
            <w:vAlign w:val="center"/>
          </w:tcPr>
          <w:p w14:paraId="620FADB1">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6F924122">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c>
          <w:tcPr>
            <w:tcW w:w="2160" w:type="dxa"/>
            <w:vAlign w:val="center"/>
          </w:tcPr>
          <w:p w14:paraId="7B3DB3BF">
            <w:pPr>
              <w:pStyle w:val="15"/>
              <w:spacing w:line="400" w:lineRule="atLeast"/>
              <w:jc w:val="center"/>
              <w:rPr>
                <w:rFonts w:ascii="仿宋_GB2312" w:eastAsia="仿宋_GB2312"/>
                <w:color w:val="000000" w:themeColor="text1"/>
                <w:szCs w:val="24"/>
                <w:highlight w:val="none"/>
                <w14:textFill>
                  <w14:solidFill>
                    <w14:schemeClr w14:val="tx1"/>
                  </w14:solidFill>
                </w14:textFill>
              </w:rPr>
            </w:pPr>
          </w:p>
        </w:tc>
      </w:tr>
    </w:tbl>
    <w:p w14:paraId="48097790">
      <w:pPr>
        <w:pStyle w:val="15"/>
        <w:spacing w:line="400" w:lineRule="atLeast"/>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注：</w:t>
      </w:r>
    </w:p>
    <w:p w14:paraId="2A328456">
      <w:pPr>
        <w:pStyle w:val="15"/>
        <w:spacing w:line="400" w:lineRule="atLeast"/>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此表须与招标文件“采购需求”相应标项内的所有技术规格（含技术、功能、配置、附加必备条件、售后服务、安装、验收、付款方式等）相比较且一一对应真实逐条填列，并在“偏离情况”栏注明“正偏离”、“负偏离”或“无偏离”。</w:t>
      </w:r>
    </w:p>
    <w:p w14:paraId="20C927DB">
      <w:pPr>
        <w:pStyle w:val="15"/>
        <w:spacing w:line="400" w:lineRule="atLeast"/>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2、投标人递交的技术规格书中必须真实逐条列明，否则由投标人自行承担相关风险。</w:t>
      </w:r>
    </w:p>
    <w:p w14:paraId="7B9DE11C">
      <w:pPr>
        <w:pStyle w:val="15"/>
        <w:spacing w:line="400" w:lineRule="atLeast"/>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3、此表在不改变格式的情况下可自行制作。</w:t>
      </w:r>
    </w:p>
    <w:p w14:paraId="50CE1194">
      <w:pPr>
        <w:pStyle w:val="15"/>
        <w:spacing w:line="400" w:lineRule="atLeast"/>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4、此表置于此标书中。</w:t>
      </w:r>
    </w:p>
    <w:p w14:paraId="36B13A2D">
      <w:pPr>
        <w:rPr>
          <w:color w:val="000000" w:themeColor="text1"/>
          <w:sz w:val="28"/>
          <w:highlight w:val="none"/>
          <w14:textFill>
            <w14:solidFill>
              <w14:schemeClr w14:val="tx1"/>
            </w14:solidFill>
          </w14:textFill>
        </w:rPr>
      </w:pPr>
    </w:p>
    <w:p w14:paraId="253B948B">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投标人名称：</w:t>
      </w:r>
      <w:r>
        <w:rPr>
          <w:rFonts w:hint="eastAsia" w:ascii="宋体" w:hAnsi="宋体"/>
          <w:color w:val="000000" w:themeColor="text1"/>
          <w:sz w:val="24"/>
          <w:szCs w:val="24"/>
          <w:highlight w:val="none"/>
          <w:u w:val="single"/>
          <w14:textFill>
            <w14:solidFill>
              <w14:schemeClr w14:val="tx1"/>
            </w14:solidFill>
          </w14:textFill>
        </w:rPr>
        <w:t xml:space="preserve">            （盖公章）              </w:t>
      </w:r>
    </w:p>
    <w:p w14:paraId="60A9F9C5">
      <w:pPr>
        <w:spacing w:line="360" w:lineRule="auto"/>
        <w:ind w:firstLine="425"/>
        <w:rPr>
          <w:rFonts w:ascii="宋体" w:hAnsi="宋体"/>
          <w:color w:val="000000" w:themeColor="text1"/>
          <w:sz w:val="24"/>
          <w:szCs w:val="24"/>
          <w:highlight w:val="none"/>
          <w:u w:val="single"/>
          <w14:textFill>
            <w14:solidFill>
              <w14:schemeClr w14:val="tx1"/>
            </w14:solidFill>
          </w14:textFill>
        </w:rPr>
      </w:pPr>
    </w:p>
    <w:p w14:paraId="6BC3B812">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p w14:paraId="3BEEA957">
      <w:pPr>
        <w:rPr>
          <w:color w:val="000000" w:themeColor="text1"/>
          <w:highlight w:val="none"/>
          <w14:textFill>
            <w14:solidFill>
              <w14:schemeClr w14:val="tx1"/>
            </w14:solidFill>
          </w14:textFill>
        </w:rPr>
      </w:pPr>
    </w:p>
    <w:p w14:paraId="31835552">
      <w:pPr>
        <w:rPr>
          <w:color w:val="000000" w:themeColor="text1"/>
          <w:highlight w:val="none"/>
          <w14:textFill>
            <w14:solidFill>
              <w14:schemeClr w14:val="tx1"/>
            </w14:solidFill>
          </w14:textFill>
        </w:rPr>
      </w:pPr>
    </w:p>
    <w:p w14:paraId="2B69DDC4">
      <w:pPr>
        <w:pStyle w:val="30"/>
        <w:rPr>
          <w:color w:val="000000" w:themeColor="text1"/>
          <w:highlight w:val="none"/>
          <w14:textFill>
            <w14:solidFill>
              <w14:schemeClr w14:val="tx1"/>
            </w14:solidFill>
          </w14:textFill>
        </w:rPr>
      </w:pPr>
    </w:p>
    <w:p w14:paraId="3722F25D">
      <w:pPr>
        <w:pStyle w:val="30"/>
        <w:rPr>
          <w:color w:val="000000" w:themeColor="text1"/>
          <w:highlight w:val="none"/>
          <w14:textFill>
            <w14:solidFill>
              <w14:schemeClr w14:val="tx1"/>
            </w14:solidFill>
          </w14:textFill>
        </w:rPr>
      </w:pPr>
    </w:p>
    <w:p w14:paraId="3C04C4D9">
      <w:pPr>
        <w:pStyle w:val="30"/>
        <w:rPr>
          <w:color w:val="000000" w:themeColor="text1"/>
          <w:highlight w:val="none"/>
          <w14:textFill>
            <w14:solidFill>
              <w14:schemeClr w14:val="tx1"/>
            </w14:solidFill>
          </w14:textFill>
        </w:rPr>
      </w:pPr>
    </w:p>
    <w:p w14:paraId="5ACA6EB5">
      <w:pPr>
        <w:snapToGrid w:val="0"/>
        <w:spacing w:before="50" w:after="50"/>
        <w:jc w:val="center"/>
        <w:rPr>
          <w:rFonts w:ascii="仿宋" w:hAnsi="仿宋" w:eastAsia="仿宋"/>
          <w:b/>
          <w:color w:val="000000" w:themeColor="text1"/>
          <w:sz w:val="36"/>
          <w:szCs w:val="36"/>
          <w:highlight w:val="none"/>
          <w14:textFill>
            <w14:solidFill>
              <w14:schemeClr w14:val="tx1"/>
            </w14:solidFill>
          </w14:textFill>
        </w:rPr>
      </w:pPr>
    </w:p>
    <w:p w14:paraId="78421026">
      <w:pPr>
        <w:pStyle w:val="30"/>
        <w:ind w:left="0" w:leftChars="0" w:firstLine="0"/>
        <w:rPr>
          <w:rFonts w:ascii="宋体" w:hAnsi="宋体"/>
          <w:color w:val="000000" w:themeColor="text1"/>
          <w:highlight w:val="none"/>
          <w14:textFill>
            <w14:solidFill>
              <w14:schemeClr w14:val="tx1"/>
            </w14:solidFill>
          </w14:textFill>
        </w:rPr>
      </w:pPr>
    </w:p>
    <w:p w14:paraId="3896023F">
      <w:pPr>
        <w:spacing w:line="480"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附：投标人需要说明的其他文件和说明（格式自拟）</w:t>
      </w:r>
    </w:p>
    <w:p w14:paraId="03DD5DCE">
      <w:pPr>
        <w:rPr>
          <w:color w:val="000000" w:themeColor="text1"/>
          <w:highlight w:val="none"/>
          <w14:textFill>
            <w14:solidFill>
              <w14:schemeClr w14:val="tx1"/>
            </w14:solidFill>
          </w14:textFill>
        </w:rPr>
      </w:pPr>
    </w:p>
    <w:bookmarkEnd w:id="41"/>
    <w:sectPr>
      <w:pgSz w:w="11906" w:h="16838"/>
      <w:pgMar w:top="1236" w:right="1236" w:bottom="1236" w:left="1236" w:header="851" w:footer="90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6BF2A">
    <w:pPr>
      <w:pStyle w:val="18"/>
      <w:framePr w:wrap="around" w:vAnchor="text" w:hAnchor="margin" w:xAlign="center" w:y="1"/>
      <w:rPr>
        <w:rStyle w:val="26"/>
      </w:rPr>
    </w:pPr>
    <w:r>
      <w:fldChar w:fldCharType="begin"/>
    </w:r>
    <w:r>
      <w:rPr>
        <w:rStyle w:val="26"/>
      </w:rPr>
      <w:instrText xml:space="preserve">PAGE  </w:instrText>
    </w:r>
    <w:r>
      <w:fldChar w:fldCharType="separate"/>
    </w:r>
    <w:r>
      <w:rPr>
        <w:rStyle w:val="26"/>
      </w:rPr>
      <w:t>33</w:t>
    </w:r>
    <w:r>
      <w:fldChar w:fldCharType="end"/>
    </w:r>
  </w:p>
  <w:p w14:paraId="1A89BA9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69C4">
    <w:pPr>
      <w:pStyle w:val="18"/>
      <w:framePr w:wrap="around" w:vAnchor="text" w:hAnchor="margin" w:xAlign="center" w:y="1"/>
      <w:rPr>
        <w:rStyle w:val="26"/>
      </w:rPr>
    </w:pPr>
    <w:r>
      <w:fldChar w:fldCharType="begin"/>
    </w:r>
    <w:r>
      <w:rPr>
        <w:rStyle w:val="26"/>
      </w:rPr>
      <w:instrText xml:space="preserve">PAGE  </w:instrText>
    </w:r>
    <w:r>
      <w:fldChar w:fldCharType="end"/>
    </w:r>
  </w:p>
  <w:p w14:paraId="4F684497">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E4FBF">
    <w:pPr>
      <w:pStyle w:val="19"/>
      <w:ind w:firstLine="3060" w:firstLineChars="17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84C20"/>
    <w:multiLevelType w:val="singleLevel"/>
    <w:tmpl w:val="80584C20"/>
    <w:lvl w:ilvl="0" w:tentative="0">
      <w:start w:val="1"/>
      <w:numFmt w:val="decimal"/>
      <w:suff w:val="nothing"/>
      <w:lvlText w:val="%1、"/>
      <w:lvlJc w:val="left"/>
    </w:lvl>
  </w:abstractNum>
  <w:abstractNum w:abstractNumId="1">
    <w:nsid w:val="A1F22B10"/>
    <w:multiLevelType w:val="singleLevel"/>
    <w:tmpl w:val="A1F22B10"/>
    <w:lvl w:ilvl="0" w:tentative="0">
      <w:start w:val="9"/>
      <w:numFmt w:val="chineseCounting"/>
      <w:suff w:val="nothing"/>
      <w:lvlText w:val="%1、"/>
      <w:lvlJc w:val="left"/>
      <w:rPr>
        <w:rFonts w:hint="eastAsia"/>
      </w:rPr>
    </w:lvl>
  </w:abstractNum>
  <w:abstractNum w:abstractNumId="2">
    <w:nsid w:val="11D5C63D"/>
    <w:multiLevelType w:val="singleLevel"/>
    <w:tmpl w:val="11D5C63D"/>
    <w:lvl w:ilvl="0" w:tentative="0">
      <w:start w:val="2"/>
      <w:numFmt w:val="decimal"/>
      <w:lvlText w:val="%1."/>
      <w:lvlJc w:val="left"/>
      <w:pPr>
        <w:tabs>
          <w:tab w:val="left" w:pos="312"/>
        </w:tabs>
      </w:pPr>
    </w:lvl>
  </w:abstractNum>
  <w:abstractNum w:abstractNumId="3">
    <w:nsid w:val="20FBA194"/>
    <w:multiLevelType w:val="singleLevel"/>
    <w:tmpl w:val="20FBA194"/>
    <w:lvl w:ilvl="0" w:tentative="0">
      <w:start w:val="1"/>
      <w:numFmt w:val="decimal"/>
      <w:pStyle w:val="9"/>
      <w:lvlText w:val="%1."/>
      <w:lvlJc w:val="left"/>
      <w:pPr>
        <w:tabs>
          <w:tab w:val="left" w:pos="360"/>
        </w:tabs>
        <w:ind w:left="360" w:hanging="360"/>
      </w:pPr>
    </w:lvl>
  </w:abstractNum>
  <w:abstractNum w:abstractNumId="4">
    <w:nsid w:val="4FC7603F"/>
    <w:multiLevelType w:val="singleLevel"/>
    <w:tmpl w:val="4FC7603F"/>
    <w:lvl w:ilvl="0" w:tentative="0">
      <w:start w:val="1"/>
      <w:numFmt w:val="decimal"/>
      <w:suff w:val="nothing"/>
      <w:lvlText w:val="%1、"/>
      <w:lvlJc w:val="left"/>
    </w:lvl>
  </w:abstractNum>
  <w:abstractNum w:abstractNumId="5">
    <w:nsid w:val="5E8D2C86"/>
    <w:multiLevelType w:val="singleLevel"/>
    <w:tmpl w:val="5E8D2C86"/>
    <w:lvl w:ilvl="0" w:tentative="0">
      <w:start w:val="1"/>
      <w:numFmt w:val="decimal"/>
      <w:suff w:val="nothing"/>
      <w:lvlText w:val="（%1）"/>
      <w:lvlJc w:val="left"/>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12"/>
    <w:rsid w:val="000B52AD"/>
    <w:rsid w:val="00382C22"/>
    <w:rsid w:val="00394C9E"/>
    <w:rsid w:val="004A4089"/>
    <w:rsid w:val="005E71D3"/>
    <w:rsid w:val="00853B0D"/>
    <w:rsid w:val="008D4EE8"/>
    <w:rsid w:val="00AB0A1A"/>
    <w:rsid w:val="00B97CD3"/>
    <w:rsid w:val="00BA0917"/>
    <w:rsid w:val="00C762D8"/>
    <w:rsid w:val="00D41912"/>
    <w:rsid w:val="01A56261"/>
    <w:rsid w:val="03767EB5"/>
    <w:rsid w:val="041869D8"/>
    <w:rsid w:val="078023D9"/>
    <w:rsid w:val="0CC207F1"/>
    <w:rsid w:val="0CEE6149"/>
    <w:rsid w:val="0E3853AF"/>
    <w:rsid w:val="0E3D010D"/>
    <w:rsid w:val="0E5612DD"/>
    <w:rsid w:val="0EBF4E92"/>
    <w:rsid w:val="0F9811B3"/>
    <w:rsid w:val="104355C3"/>
    <w:rsid w:val="10CA7A92"/>
    <w:rsid w:val="11945B0C"/>
    <w:rsid w:val="11C94560"/>
    <w:rsid w:val="12550D68"/>
    <w:rsid w:val="133E0AB6"/>
    <w:rsid w:val="13FF7A53"/>
    <w:rsid w:val="14BE346A"/>
    <w:rsid w:val="16B41CA6"/>
    <w:rsid w:val="17EC0EC8"/>
    <w:rsid w:val="18D21339"/>
    <w:rsid w:val="1A5F6349"/>
    <w:rsid w:val="1BF27E9D"/>
    <w:rsid w:val="1CB735C0"/>
    <w:rsid w:val="1FE82184"/>
    <w:rsid w:val="20452C91"/>
    <w:rsid w:val="21CA33E6"/>
    <w:rsid w:val="24C73EFF"/>
    <w:rsid w:val="25D50327"/>
    <w:rsid w:val="266823F4"/>
    <w:rsid w:val="26DC3C24"/>
    <w:rsid w:val="279573F5"/>
    <w:rsid w:val="2A810867"/>
    <w:rsid w:val="2BE775B1"/>
    <w:rsid w:val="2C0B2FE1"/>
    <w:rsid w:val="2C0D2861"/>
    <w:rsid w:val="2C99771A"/>
    <w:rsid w:val="2D16265C"/>
    <w:rsid w:val="313367DE"/>
    <w:rsid w:val="3135465C"/>
    <w:rsid w:val="313D078C"/>
    <w:rsid w:val="332F1BCC"/>
    <w:rsid w:val="350F7F58"/>
    <w:rsid w:val="355E6E25"/>
    <w:rsid w:val="366652B8"/>
    <w:rsid w:val="380A0C34"/>
    <w:rsid w:val="38903A61"/>
    <w:rsid w:val="38A071A7"/>
    <w:rsid w:val="38E47094"/>
    <w:rsid w:val="3AB23FD4"/>
    <w:rsid w:val="3AEC222F"/>
    <w:rsid w:val="3CA628B2"/>
    <w:rsid w:val="3D516CC2"/>
    <w:rsid w:val="3F7A2500"/>
    <w:rsid w:val="43D05054"/>
    <w:rsid w:val="44095C00"/>
    <w:rsid w:val="4436276D"/>
    <w:rsid w:val="453E5D7D"/>
    <w:rsid w:val="45D4223E"/>
    <w:rsid w:val="466805EA"/>
    <w:rsid w:val="474C2BDF"/>
    <w:rsid w:val="48DA7B6B"/>
    <w:rsid w:val="4A8E4945"/>
    <w:rsid w:val="4BE62CCB"/>
    <w:rsid w:val="4D302450"/>
    <w:rsid w:val="4DE84AD8"/>
    <w:rsid w:val="4DFF0595"/>
    <w:rsid w:val="4F093AB0"/>
    <w:rsid w:val="4FD572DE"/>
    <w:rsid w:val="53937CA1"/>
    <w:rsid w:val="55894DF3"/>
    <w:rsid w:val="5BD91F04"/>
    <w:rsid w:val="5D706898"/>
    <w:rsid w:val="5F6E2050"/>
    <w:rsid w:val="5F70492E"/>
    <w:rsid w:val="61CF0031"/>
    <w:rsid w:val="6764121C"/>
    <w:rsid w:val="69B05D54"/>
    <w:rsid w:val="6AD22940"/>
    <w:rsid w:val="6B1E16E2"/>
    <w:rsid w:val="6D5F2E19"/>
    <w:rsid w:val="6F525DFE"/>
    <w:rsid w:val="6F5953DE"/>
    <w:rsid w:val="73AB3CC4"/>
    <w:rsid w:val="73F751C6"/>
    <w:rsid w:val="76BA5D53"/>
    <w:rsid w:val="775F555C"/>
    <w:rsid w:val="781438A0"/>
    <w:rsid w:val="786C11B3"/>
    <w:rsid w:val="79E32474"/>
    <w:rsid w:val="7B0F7299"/>
    <w:rsid w:val="7BFC14DC"/>
    <w:rsid w:val="7C932330"/>
    <w:rsid w:val="7E7713DD"/>
    <w:rsid w:val="7EED78F1"/>
    <w:rsid w:val="7F4A32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7">
    <w:name w:val="heading 1"/>
    <w:basedOn w:val="1"/>
    <w:next w:val="1"/>
    <w:qFormat/>
    <w:uiPriority w:val="0"/>
    <w:pPr>
      <w:keepNext/>
      <w:keepLines/>
      <w:spacing w:before="340" w:after="330" w:line="576" w:lineRule="auto"/>
      <w:outlineLvl w:val="0"/>
    </w:pPr>
    <w:rPr>
      <w:b/>
      <w:kern w:val="44"/>
      <w:sz w:val="44"/>
    </w:rPr>
  </w:style>
  <w:style w:type="paragraph" w:styleId="8">
    <w:name w:val="heading 2"/>
    <w:basedOn w:val="1"/>
    <w:next w:val="1"/>
    <w:qFormat/>
    <w:uiPriority w:val="0"/>
    <w:pPr>
      <w:keepNext/>
      <w:keepLines/>
      <w:autoSpaceDE/>
      <w:autoSpaceDN/>
      <w:adjustRightInd/>
      <w:spacing w:before="260" w:after="260" w:line="415" w:lineRule="auto"/>
      <w:outlineLvl w:val="1"/>
    </w:pPr>
    <w:rPr>
      <w:rFonts w:ascii="Arial" w:hAnsi="Arial" w:eastAsia="黑体"/>
      <w:b/>
      <w:bCs/>
      <w:color w:val="auto"/>
      <w:kern w:val="2"/>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spacing w:line="420" w:lineRule="atLeast"/>
      <w:textAlignment w:val="baseline"/>
    </w:pPr>
  </w:style>
  <w:style w:type="paragraph" w:customStyle="1" w:styleId="3">
    <w:name w:val="表格文字（两侧对齐）"/>
    <w:basedOn w:val="1"/>
    <w:qFormat/>
    <w:uiPriority w:val="0"/>
    <w:pPr>
      <w:snapToGrid w:val="0"/>
    </w:pPr>
    <w:rPr>
      <w:sz w:val="20"/>
      <w:szCs w:val="24"/>
    </w:rPr>
  </w:style>
  <w:style w:type="paragraph" w:styleId="4">
    <w:name w:val="Body Text"/>
    <w:basedOn w:val="1"/>
    <w:next w:val="5"/>
    <w:qFormat/>
    <w:uiPriority w:val="0"/>
    <w:pPr>
      <w:spacing w:after="120"/>
    </w:pPr>
  </w:style>
  <w:style w:type="paragraph" w:styleId="5">
    <w:name w:val="Body Text First Indent"/>
    <w:basedOn w:val="4"/>
    <w:next w:val="6"/>
    <w:qFormat/>
    <w:uiPriority w:val="0"/>
    <w:pPr>
      <w:spacing w:line="312" w:lineRule="auto"/>
      <w:ind w:firstLine="420"/>
    </w:pPr>
    <w:rPr>
      <w:szCs w:val="24"/>
    </w:rPr>
  </w:style>
  <w:style w:type="paragraph" w:styleId="6">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9">
    <w:name w:val="List Number"/>
    <w:basedOn w:val="1"/>
    <w:qFormat/>
    <w:uiPriority w:val="0"/>
    <w:pPr>
      <w:numPr>
        <w:ilvl w:val="0"/>
        <w:numId w:val="1"/>
      </w:numPr>
    </w:pPr>
  </w:style>
  <w:style w:type="paragraph" w:styleId="10">
    <w:name w:val="Normal Indent"/>
    <w:basedOn w:val="1"/>
    <w:next w:val="1"/>
    <w:qFormat/>
    <w:uiPriority w:val="0"/>
    <w:pPr>
      <w:autoSpaceDE/>
      <w:autoSpaceDN/>
      <w:adjustRightInd/>
      <w:ind w:firstLine="420"/>
    </w:pPr>
    <w:rPr>
      <w:kern w:val="2"/>
    </w:rPr>
  </w:style>
  <w:style w:type="paragraph" w:styleId="11">
    <w:name w:val="index 5"/>
    <w:basedOn w:val="1"/>
    <w:next w:val="1"/>
    <w:qFormat/>
    <w:uiPriority w:val="0"/>
    <w:pPr>
      <w:ind w:left="800" w:leftChars="800"/>
    </w:pPr>
  </w:style>
  <w:style w:type="paragraph" w:styleId="12">
    <w:name w:val="annotation text"/>
    <w:basedOn w:val="1"/>
    <w:qFormat/>
    <w:uiPriority w:val="0"/>
    <w:pPr>
      <w:jc w:val="left"/>
    </w:pPr>
  </w:style>
  <w:style w:type="paragraph" w:styleId="13">
    <w:name w:val="Body Text 3"/>
    <w:basedOn w:val="1"/>
    <w:unhideWhenUsed/>
    <w:qFormat/>
    <w:uiPriority w:val="99"/>
    <w:pPr>
      <w:spacing w:after="120"/>
    </w:pPr>
    <w:rPr>
      <w:sz w:val="16"/>
      <w:szCs w:val="16"/>
    </w:rPr>
  </w:style>
  <w:style w:type="paragraph" w:styleId="14">
    <w:name w:val="Body Text Indent"/>
    <w:basedOn w:val="1"/>
    <w:next w:val="1"/>
    <w:qFormat/>
    <w:uiPriority w:val="0"/>
    <w:pPr>
      <w:spacing w:after="120"/>
      <w:ind w:left="420" w:leftChars="200"/>
    </w:pPr>
  </w:style>
  <w:style w:type="paragraph" w:styleId="15">
    <w:name w:val="Plain Text"/>
    <w:basedOn w:val="1"/>
    <w:next w:val="16"/>
    <w:qFormat/>
    <w:uiPriority w:val="0"/>
    <w:pPr>
      <w:autoSpaceDE/>
      <w:autoSpaceDN/>
      <w:adjustRightInd/>
    </w:pPr>
    <w:rPr>
      <w:kern w:val="2"/>
      <w:sz w:val="24"/>
    </w:rPr>
  </w:style>
  <w:style w:type="paragraph" w:styleId="16">
    <w:name w:val="index 7"/>
    <w:basedOn w:val="1"/>
    <w:next w:val="1"/>
    <w:qFormat/>
    <w:uiPriority w:val="0"/>
    <w:pPr>
      <w:ind w:left="1200" w:leftChars="1200"/>
    </w:pPr>
  </w:style>
  <w:style w:type="paragraph" w:styleId="17">
    <w:name w:val="Date"/>
    <w:basedOn w:val="1"/>
    <w:next w:val="1"/>
    <w:qFormat/>
    <w:uiPriority w:val="0"/>
    <w:pPr>
      <w:ind w:left="100" w:leftChars="25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Body Text Indent 3"/>
    <w:basedOn w:val="1"/>
    <w:qFormat/>
    <w:uiPriority w:val="0"/>
    <w:pPr>
      <w:autoSpaceDE/>
      <w:autoSpaceDN/>
      <w:adjustRightInd/>
      <w:ind w:firstLine="435"/>
    </w:pPr>
    <w:rPr>
      <w:color w:val="auto"/>
      <w:kern w:val="2"/>
      <w:szCs w:val="24"/>
    </w:rPr>
  </w:style>
  <w:style w:type="paragraph" w:styleId="21">
    <w:name w:val="Normal (Web)"/>
    <w:basedOn w:val="1"/>
    <w:qFormat/>
    <w:uiPriority w:val="0"/>
    <w:pPr>
      <w:widowControl/>
      <w:autoSpaceDE/>
      <w:autoSpaceDN/>
      <w:adjustRightInd/>
      <w:spacing w:before="100" w:beforeAutospacing="1" w:after="100" w:afterAutospacing="1"/>
      <w:jc w:val="left"/>
    </w:pPr>
    <w:rPr>
      <w:rFonts w:ascii="宋体" w:hAnsi="宋体" w:eastAsia="Times New Roman"/>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customStyle="1" w:styleId="29">
    <w:name w:val="正文段"/>
    <w:basedOn w:val="1"/>
    <w:next w:val="11"/>
    <w:qFormat/>
    <w:uiPriority w:val="0"/>
    <w:pPr>
      <w:widowControl/>
      <w:autoSpaceDE/>
      <w:autoSpaceDN/>
      <w:adjustRightInd/>
      <w:snapToGrid w:val="0"/>
      <w:spacing w:afterLines="50"/>
      <w:ind w:firstLine="200" w:firstLineChars="200"/>
    </w:pPr>
    <w:rPr>
      <w:color w:val="auto"/>
      <w:sz w:val="24"/>
      <w:szCs w:val="20"/>
    </w:rPr>
  </w:style>
  <w:style w:type="paragraph" w:customStyle="1" w:styleId="30">
    <w:name w:val="Body Text First Indent 21"/>
    <w:basedOn w:val="31"/>
    <w:qFormat/>
    <w:uiPriority w:val="0"/>
    <w:pPr>
      <w:ind w:firstLine="420"/>
    </w:pPr>
    <w:rPr>
      <w:rFonts w:cs="宋体"/>
    </w:rPr>
  </w:style>
  <w:style w:type="paragraph" w:customStyle="1" w:styleId="31">
    <w:name w:val="Body Text Indent1"/>
    <w:basedOn w:val="1"/>
    <w:next w:val="1"/>
    <w:qFormat/>
    <w:uiPriority w:val="0"/>
    <w:pPr>
      <w:spacing w:after="120"/>
      <w:ind w:left="420" w:leftChars="200"/>
    </w:pPr>
  </w:style>
  <w:style w:type="paragraph" w:customStyle="1" w:styleId="32">
    <w:name w:val="正文文字2"/>
    <w:basedOn w:val="4"/>
    <w:next w:val="9"/>
    <w:qFormat/>
    <w:uiPriority w:val="0"/>
    <w:pPr>
      <w:autoSpaceDE/>
      <w:autoSpaceDN/>
      <w:spacing w:after="60" w:line="360" w:lineRule="atLeast"/>
      <w:ind w:left="72" w:right="72"/>
      <w:jc w:val="center"/>
      <w:textAlignment w:val="baseline"/>
    </w:pPr>
    <w:rPr>
      <w:rFonts w:ascii="Arial" w:eastAsia="黑体"/>
    </w:rPr>
  </w:style>
  <w:style w:type="character" w:customStyle="1" w:styleId="33">
    <w:name w:val="apple-converted-space"/>
    <w:basedOn w:val="24"/>
    <w:autoRedefine/>
    <w:qFormat/>
    <w:uiPriority w:val="0"/>
  </w:style>
  <w:style w:type="paragraph" w:customStyle="1" w:styleId="34">
    <w:name w:val="正文文本缩进 31"/>
    <w:basedOn w:val="1"/>
    <w:qFormat/>
    <w:uiPriority w:val="0"/>
    <w:pPr>
      <w:autoSpaceDE/>
      <w:autoSpaceDN/>
      <w:adjustRightInd/>
      <w:ind w:firstLine="435"/>
    </w:pPr>
    <w:rPr>
      <w:rFonts w:ascii="Calibri" w:hAnsi="Calibri"/>
      <w:color w:val="auto"/>
      <w:kern w:val="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28366</Words>
  <Characters>30056</Characters>
  <Lines>235</Lines>
  <Paragraphs>66</Paragraphs>
  <TotalTime>36</TotalTime>
  <ScaleCrop>false</ScaleCrop>
  <LinksUpToDate>false</LinksUpToDate>
  <CharactersWithSpaces>31286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2025-04-27T00:45:00Z</dcterms:created>
  <dc:creator>Administrator</dc:creator>
  <cp:lastModifiedBy>我没有胖嘟嘟只是脸很大</cp:lastModifiedBy>
  <dcterms:modified xsi:type="dcterms:W3CDTF">2025-07-03T07:09:42Z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eyJoZGlkIjoiMWNkNTc1YzA5ZGI5MWFkOTg5ZWRjNDJlMjQ0MGExNmQiLCJ1c2VySWQiOiIxMDAzODc1MTQ1In0=</vt:lpwstr>
  </property>
  <property fmtid="{D5CDD505-2E9C-101B-9397-08002B2CF9AE}" pid="4" name="ICV">
    <vt:lpwstr>A23023EABC7749B397F0C1685350AA1F_13</vt:lpwstr>
  </property>
</Properties>
</file>