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乾北嘉苑公共服务项目</w:t>
      </w:r>
    </w:p>
    <w:p w14:paraId="1739CE6C">
      <w:pPr>
        <w:adjustRightInd/>
        <w:spacing w:line="360" w:lineRule="auto"/>
        <w:jc w:val="center"/>
        <w:rPr>
          <w:rFonts w:hint="eastAsia" w:ascii="宋体" w:hAnsi="宋体" w:cs="宋体"/>
          <w:color w:val="auto"/>
          <w:sz w:val="48"/>
          <w:szCs w:val="48"/>
          <w:highlight w:val="none"/>
        </w:rPr>
      </w:pPr>
    </w:p>
    <w:p w14:paraId="299EFE53">
      <w:pPr>
        <w:adjustRightInd/>
        <w:spacing w:line="360" w:lineRule="auto"/>
        <w:jc w:val="center"/>
        <w:rPr>
          <w:rFonts w:hint="eastAsia" w:ascii="宋体" w:hAnsi="宋体" w:cs="宋体"/>
          <w:color w:val="auto"/>
          <w:sz w:val="48"/>
          <w:szCs w:val="48"/>
          <w:highlight w:val="none"/>
        </w:rPr>
      </w:pPr>
    </w:p>
    <w:p w14:paraId="0D9ABF71">
      <w:pPr>
        <w:adjustRightInd/>
        <w:spacing w:line="360" w:lineRule="auto"/>
        <w:jc w:val="center"/>
        <w:rPr>
          <w:rFonts w:hint="eastAsia" w:ascii="宋体" w:hAnsi="宋体" w:cs="宋体"/>
          <w:color w:val="auto"/>
          <w:sz w:val="48"/>
          <w:szCs w:val="48"/>
          <w:highlight w:val="none"/>
        </w:rPr>
      </w:pP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ZJHT-2025-010</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：浙江省杭州市临平区临平街道石坝社区居民委员会</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zh-CN" w:eastAsia="zh-CN"/>
        </w:rPr>
        <w:t>浙江宏泰工程项目管理有限公司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八</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eastAsia="zh-CN"/>
        </w:rPr>
        <w:t>乾北嘉苑公共服务项目</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lang w:val="en-US" w:eastAsia="zh-CN"/>
        </w:rPr>
        <w:t>临平区村采云平台（https://lpnbsc.lecaiyun.com/）</w:t>
      </w:r>
      <w:r>
        <w:rPr>
          <w:rFonts w:hint="eastAsia" w:ascii="宋体" w:hAnsi="宋体" w:cs="宋体"/>
          <w:color w:val="auto"/>
          <w:sz w:val="24"/>
          <w:highlight w:val="none"/>
        </w:rPr>
        <w:t>（</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"https://www.zcygov.cn/）获取（下载）招标文件，并于202%20年%20月%20日%20点%20分00秒"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获取（下载）招标文件，并于202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分00秒</w:t>
      </w:r>
      <w:r>
        <w:rPr>
          <w:rFonts w:hint="eastAsia" w:ascii="宋体" w:hAnsi="宋体" w:cs="宋体"/>
          <w:color w:val="auto"/>
          <w:sz w:val="24"/>
          <w:highlight w:val="none"/>
        </w:rPr>
        <w:fldChar w:fldCharType="end"/>
      </w:r>
      <w:r>
        <w:rPr>
          <w:rFonts w:hint="eastAsia" w:ascii="宋体" w:hAnsi="宋体" w:cs="宋体"/>
          <w:color w:val="auto"/>
          <w:sz w:val="24"/>
          <w:highlight w:val="none"/>
        </w:rPr>
        <w:t>（北京时间）前递交（上传）投标文件。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ZJHT-2025-010</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乾北嘉苑公共服务项目</w:t>
      </w:r>
    </w:p>
    <w:p w14:paraId="1C6D4CA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642735</w:t>
      </w:r>
    </w:p>
    <w:p w14:paraId="524783DF">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642735</w:t>
      </w:r>
    </w:p>
    <w:p w14:paraId="6EC5DB8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乾北嘉苑</w:t>
      </w:r>
      <w:r>
        <w:rPr>
          <w:rFonts w:hint="eastAsia" w:hAnsi="宋体" w:cs="宋体"/>
          <w:bCs/>
          <w:snapToGrid/>
          <w:color w:val="auto"/>
          <w:kern w:val="2"/>
          <w:sz w:val="24"/>
          <w:szCs w:val="24"/>
          <w:highlight w:val="none"/>
        </w:rPr>
        <w:t>公共服务</w:t>
      </w:r>
      <w:r>
        <w:rPr>
          <w:rFonts w:hint="eastAsia" w:hAnsi="宋体" w:cs="宋体"/>
          <w:bCs/>
          <w:snapToGrid/>
          <w:color w:val="auto"/>
          <w:kern w:val="2"/>
          <w:sz w:val="24"/>
          <w:szCs w:val="24"/>
          <w:highlight w:val="none"/>
          <w:lang w:eastAsia="zh-CN"/>
        </w:rPr>
        <w:t>管理及垃圾分类</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hint="default" w:ascii="宋体" w:hAnsi="宋体" w:cs="宋体"/>
          <w:color w:val="auto"/>
          <w:highlight w:val="none"/>
          <w:lang w:val="en-US"/>
        </w:rPr>
      </w:pPr>
      <w:r>
        <w:rPr>
          <w:rFonts w:hint="eastAsia" w:ascii="宋体" w:hAnsi="宋体" w:cs="宋体"/>
          <w:b/>
          <w:color w:val="auto"/>
          <w:highlight w:val="none"/>
        </w:rPr>
        <w:t>合同履约期限：</w:t>
      </w:r>
      <w:r>
        <w:rPr>
          <w:rFonts w:hint="eastAsia" w:ascii="宋体" w:hAnsi="宋体" w:eastAsia="宋体" w:cs="宋体"/>
          <w:bCs/>
          <w:snapToGrid/>
          <w:color w:val="auto"/>
          <w:kern w:val="2"/>
          <w:sz w:val="24"/>
          <w:szCs w:val="24"/>
          <w:highlight w:val="none"/>
          <w:lang w:val="en-US" w:eastAsia="zh-CN" w:bidi="ar-SA"/>
        </w:rPr>
        <w:t xml:space="preserve">3年 </w:t>
      </w:r>
      <w:r>
        <w:rPr>
          <w:rFonts w:hint="eastAsia" w:ascii="宋体" w:hAnsi="宋体" w:cs="宋体"/>
          <w:color w:val="auto"/>
          <w:highlight w:val="none"/>
          <w:lang w:val="en-US" w:eastAsia="zh-CN"/>
        </w:rPr>
        <w:t xml:space="preserve"> </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keepNext w:val="0"/>
        <w:keepLines w:val="0"/>
        <w:pageBreakBefore w:val="0"/>
        <w:widowControl w:val="0"/>
        <w:kinsoku/>
        <w:wordWrap w:val="0"/>
        <w:overflowPunct/>
        <w:topLinePunct w:val="0"/>
        <w:autoSpaceDE/>
        <w:autoSpaceDN/>
        <w:bidi w:val="0"/>
        <w:adjustRightInd w:val="0"/>
        <w:snapToGrid/>
        <w:spacing w:line="360" w:lineRule="auto"/>
        <w:ind w:firstLine="482"/>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8CA5BE6">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cs="宋体"/>
          <w:b/>
          <w:color w:val="auto"/>
          <w:sz w:val="24"/>
          <w:highlight w:val="none"/>
        </w:rPr>
        <w:t>地点（网址）：</w:t>
      </w:r>
      <w:r>
        <w:rPr>
          <w:rFonts w:hint="eastAsia" w:ascii="宋体" w:hAnsi="宋体" w:eastAsia="宋体" w:cs="宋体"/>
          <w:color w:val="auto"/>
          <w:sz w:val="24"/>
          <w:highlight w:val="none"/>
          <w:lang w:val="en-US" w:eastAsia="zh-CN"/>
        </w:rPr>
        <w:t>临平区村采云平台（https://lpnbsc.lecaiyun.com/）</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hint="eastAsia" w:ascii="宋体" w:hAnsi="宋体" w:eastAsia="宋体" w:cs="宋体"/>
          <w:color w:val="auto"/>
          <w:sz w:val="24"/>
          <w:highlight w:val="none"/>
          <w:lang w:val="en-US" w:eastAsia="zh-CN"/>
        </w:rPr>
        <w:t>临平区村采云平台（https://lpnbsc.lecaiyun.com/）</w:t>
      </w:r>
      <w:r>
        <w:rPr>
          <w:rFonts w:hint="eastAsia" w:ascii="宋体" w:hAnsi="宋体" w:cs="宋体"/>
          <w:color w:val="auto"/>
          <w:sz w:val="24"/>
          <w:highlight w:val="none"/>
        </w:rPr>
        <w:t xml:space="preserve">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cs="宋体"/>
          <w:snapToGrid/>
          <w:color w:val="auto"/>
          <w:kern w:val="2"/>
          <w:sz w:val="24"/>
          <w:szCs w:val="24"/>
          <w:highlight w:val="none"/>
          <w:u w:val="single"/>
          <w:lang w:val="en-US" w:eastAsia="zh-CN"/>
        </w:rPr>
        <w:t>5</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cs="宋体"/>
          <w:snapToGrid/>
          <w:color w:val="auto"/>
          <w:kern w:val="2"/>
          <w:sz w:val="24"/>
          <w:szCs w:val="24"/>
          <w:highlight w:val="none"/>
          <w:u w:val="single"/>
          <w:lang w:val="en-US" w:eastAsia="zh-CN"/>
        </w:rPr>
        <w:t>7</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21</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9</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B20DC0A">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cs="宋体"/>
          <w:b/>
          <w:color w:val="auto"/>
          <w:sz w:val="24"/>
          <w:highlight w:val="none"/>
        </w:rPr>
        <w:t>投标地点（网址）：</w:t>
      </w:r>
      <w:r>
        <w:rPr>
          <w:rFonts w:hint="eastAsia" w:ascii="宋体" w:hAnsi="宋体" w:eastAsia="宋体" w:cs="宋体"/>
          <w:color w:val="auto"/>
          <w:sz w:val="24"/>
          <w:highlight w:val="none"/>
          <w:lang w:val="en-US" w:eastAsia="zh-CN"/>
        </w:rPr>
        <w:t>临平区村采云平台（https://lpnbsc.lecaiyun.com/）</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cs="宋体"/>
          <w:snapToGrid/>
          <w:color w:val="auto"/>
          <w:kern w:val="2"/>
          <w:sz w:val="24"/>
          <w:szCs w:val="24"/>
          <w:highlight w:val="none"/>
          <w:u w:val="single"/>
          <w:lang w:val="en-US" w:eastAsia="zh-CN"/>
        </w:rPr>
        <w:t>5</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cs="宋体"/>
          <w:snapToGrid/>
          <w:color w:val="auto"/>
          <w:kern w:val="2"/>
          <w:sz w:val="24"/>
          <w:szCs w:val="24"/>
          <w:highlight w:val="none"/>
          <w:u w:val="single"/>
          <w:lang w:val="en-US" w:eastAsia="zh-CN"/>
        </w:rPr>
        <w:t>7</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21</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9</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66AC5CD6">
      <w:pPr>
        <w:spacing w:line="360" w:lineRule="auto"/>
        <w:ind w:firstLine="482" w:firstLineChars="200"/>
        <w:rPr>
          <w:rFonts w:ascii="宋体" w:hAnsi="宋体" w:cs="宋体"/>
          <w:b/>
          <w:bCs/>
          <w:color w:val="auto"/>
          <w:sz w:val="24"/>
          <w:highlight w:val="none"/>
        </w:rPr>
      </w:pPr>
      <w:r>
        <w:rPr>
          <w:rFonts w:hint="eastAsia" w:ascii="宋体" w:hAnsi="宋体" w:cs="宋体"/>
          <w:b/>
          <w:color w:val="auto"/>
          <w:sz w:val="24"/>
          <w:highlight w:val="none"/>
        </w:rPr>
        <w:t>开标地点（网址）：</w:t>
      </w:r>
      <w:r>
        <w:rPr>
          <w:rFonts w:hint="eastAsia" w:ascii="宋体" w:hAnsi="宋体" w:eastAsia="宋体" w:cs="宋体"/>
          <w:color w:val="auto"/>
          <w:sz w:val="24"/>
          <w:highlight w:val="none"/>
          <w:lang w:val="en-US" w:eastAsia="zh-CN"/>
        </w:rPr>
        <w:t>临平区村采云平台（https://lpnbsc.lecaiyun.com/）</w:t>
      </w:r>
    </w:p>
    <w:p w14:paraId="54B8770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w:t>
      </w:r>
      <w:r>
        <w:rPr>
          <w:rFonts w:hint="eastAsia" w:ascii="宋体" w:hAnsi="宋体" w:cs="宋体"/>
          <w:color w:val="auto"/>
          <w:sz w:val="24"/>
          <w:highlight w:val="none"/>
          <w:lang w:eastAsia="zh-CN"/>
        </w:rPr>
        <w:t>202</w:t>
      </w:r>
      <w:r>
        <w:rPr>
          <w:rFonts w:ascii="宋体" w:hAnsi="宋体" w:cs="宋体"/>
          <w:color w:val="auto"/>
          <w:sz w:val="24"/>
          <w:highlight w:val="none"/>
        </w:rPr>
        <w:t>2）3号）、《浙江省财政厅关于进一步促进政府采购公平竞争打造最优营商环境的通知》（浙财采监（</w:t>
      </w:r>
      <w:r>
        <w:rPr>
          <w:rFonts w:hint="eastAsia" w:ascii="宋体" w:hAnsi="宋体" w:cs="宋体"/>
          <w:color w:val="auto"/>
          <w:sz w:val="24"/>
          <w:highlight w:val="none"/>
          <w:lang w:eastAsia="zh-CN"/>
        </w:rPr>
        <w:t>202</w:t>
      </w:r>
      <w:r>
        <w:rPr>
          <w:rFonts w:ascii="宋体" w:hAnsi="宋体" w:cs="宋体"/>
          <w:color w:val="auto"/>
          <w:sz w:val="24"/>
          <w:highlight w:val="none"/>
        </w:rPr>
        <w:t>1）22号））、《浙江省财政厅关于进一步加大政府采购支持中小企业力度助力扎实稳住经济的通知》 （浙财采监（</w:t>
      </w:r>
      <w:r>
        <w:rPr>
          <w:rFonts w:hint="eastAsia" w:ascii="宋体" w:hAnsi="宋体" w:cs="宋体"/>
          <w:color w:val="auto"/>
          <w:sz w:val="24"/>
          <w:highlight w:val="none"/>
          <w:lang w:eastAsia="zh-CN"/>
        </w:rPr>
        <w:t>202</w:t>
      </w:r>
      <w:r>
        <w:rPr>
          <w:rFonts w:ascii="宋体" w:hAnsi="宋体" w:cs="宋体"/>
          <w:color w:val="auto"/>
          <w:sz w:val="24"/>
          <w:highlight w:val="none"/>
        </w:rPr>
        <w:t>2）8号）已分别于</w:t>
      </w:r>
      <w:r>
        <w:rPr>
          <w:rFonts w:hint="eastAsia" w:ascii="宋体" w:hAnsi="宋体" w:cs="宋体"/>
          <w:color w:val="auto"/>
          <w:sz w:val="24"/>
          <w:highlight w:val="none"/>
          <w:lang w:eastAsia="zh-CN"/>
        </w:rPr>
        <w:t>202</w:t>
      </w:r>
      <w:r>
        <w:rPr>
          <w:rFonts w:ascii="宋体" w:hAnsi="宋体" w:cs="宋体"/>
          <w:color w:val="auto"/>
          <w:sz w:val="24"/>
          <w:highlight w:val="none"/>
        </w:rPr>
        <w:t>2年1月29日、</w:t>
      </w:r>
      <w:r>
        <w:rPr>
          <w:rFonts w:hint="eastAsia" w:ascii="宋体" w:hAnsi="宋体" w:cs="宋体"/>
          <w:color w:val="auto"/>
          <w:sz w:val="24"/>
          <w:highlight w:val="none"/>
          <w:lang w:eastAsia="zh-CN"/>
        </w:rPr>
        <w:t>202</w:t>
      </w:r>
      <w:r>
        <w:rPr>
          <w:rFonts w:ascii="宋体" w:hAnsi="宋体" w:cs="宋体"/>
          <w:color w:val="auto"/>
          <w:sz w:val="24"/>
          <w:highlight w:val="none"/>
        </w:rPr>
        <w:t>2年2月1日和</w:t>
      </w:r>
      <w:r>
        <w:rPr>
          <w:rFonts w:hint="eastAsia" w:ascii="宋体" w:hAnsi="宋体" w:cs="宋体"/>
          <w:color w:val="auto"/>
          <w:sz w:val="24"/>
          <w:highlight w:val="none"/>
          <w:lang w:eastAsia="zh-CN"/>
        </w:rPr>
        <w:t>202</w:t>
      </w:r>
      <w:r>
        <w:rPr>
          <w:rFonts w:ascii="宋体" w:hAnsi="宋体" w:cs="宋体"/>
          <w:color w:val="auto"/>
          <w:sz w:val="24"/>
          <w:highlight w:val="none"/>
        </w:rPr>
        <w:t>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w:t>
      </w:r>
      <w:r>
        <w:rPr>
          <w:rFonts w:hint="eastAsia" w:ascii="宋体" w:hAnsi="宋体" w:cs="宋体"/>
          <w:color w:val="auto"/>
          <w:sz w:val="24"/>
          <w:highlight w:val="none"/>
          <w:lang w:eastAsia="zh-CN"/>
        </w:rPr>
        <w:t>202</w:t>
      </w:r>
      <w:r>
        <w:rPr>
          <w:rFonts w:hint="eastAsia" w:ascii="宋体" w:hAnsi="宋体" w:cs="宋体"/>
          <w:color w:val="auto"/>
          <w:sz w:val="24"/>
          <w:highlight w:val="none"/>
        </w:rPr>
        <w:t>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w:t>
      </w:r>
      <w:r>
        <w:rPr>
          <w:rFonts w:hint="eastAsia" w:ascii="宋体" w:hAnsi="宋体" w:cs="宋体"/>
          <w:color w:val="auto"/>
          <w:sz w:val="24"/>
          <w:highlight w:val="none"/>
          <w:lang w:val="en-US" w:eastAsia="zh-CN"/>
        </w:rPr>
        <w:t>临平区村采云平台（https://lpnbsc.lecaiyun.com/）或</w:t>
      </w:r>
      <w:r>
        <w:rPr>
          <w:rFonts w:hint="eastAsia" w:ascii="宋体" w:hAnsi="宋体" w:cs="宋体"/>
          <w:color w:val="auto"/>
          <w:sz w:val="24"/>
          <w:highlight w:val="none"/>
        </w:rPr>
        <w:t>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浙江省杭州市临平区临平街道石坝社区居民委员会</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址：杭州市临平区东湖街道长宁路185号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金工</w:t>
      </w:r>
      <w:r>
        <w:rPr>
          <w:rFonts w:hint="eastAsia" w:ascii="宋体" w:hAnsi="宋体" w:cs="宋体"/>
          <w:color w:val="auto"/>
          <w:sz w:val="24"/>
          <w:highlight w:val="none"/>
        </w:rPr>
        <w:t xml:space="preserve">  </w:t>
      </w:r>
    </w:p>
    <w:p w14:paraId="31CC70F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 </w:t>
      </w:r>
      <w:r>
        <w:rPr>
          <w:rFonts w:hint="eastAsia" w:ascii="宋体" w:hAnsi="宋体" w:cs="宋体"/>
          <w:color w:val="auto"/>
          <w:sz w:val="24"/>
          <w:highlight w:val="none"/>
          <w:lang w:val="en-US" w:eastAsia="zh-CN"/>
        </w:rPr>
        <w:t>17816167219</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zh-CN"/>
        </w:rPr>
        <w:t>浙江宏泰工程项目管理有限公司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zh-CN"/>
        </w:rPr>
        <w:t>浙江省杭州市临平区东湖街道东湖北路165-3号一楼</w:t>
      </w:r>
    </w:p>
    <w:p w14:paraId="4E949C1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100F335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程工</w:t>
      </w:r>
    </w:p>
    <w:p w14:paraId="421A9656">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18727377118</w:t>
      </w:r>
      <w:r>
        <w:rPr>
          <w:rFonts w:hint="eastAsia" w:ascii="宋体" w:hAnsi="宋体" w:cs="宋体"/>
          <w:color w:val="auto"/>
          <w:sz w:val="24"/>
          <w:highlight w:val="none"/>
        </w:rPr>
        <w:t xml:space="preserve">   </w:t>
      </w:r>
    </w:p>
    <w:p w14:paraId="0BA22B16">
      <w:pPr>
        <w:keepNext w:val="0"/>
        <w:keepLines w:val="0"/>
        <w:pageBreakBefore w:val="0"/>
        <w:widowControl w:val="0"/>
        <w:kinsoku/>
        <w:wordWrap w:val="0"/>
        <w:overflowPunct/>
        <w:topLinePunct w:val="0"/>
        <w:autoSpaceDE/>
        <w:autoSpaceDN/>
        <w:bidi w:val="0"/>
        <w:adjustRightInd w:val="0"/>
        <w:snapToGrid/>
        <w:spacing w:line="360" w:lineRule="auto"/>
        <w:ind w:firstLine="482"/>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乾北嘉苑公共服务项目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物业管理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7019300">
            <w:pPr>
              <w:snapToGrid w:val="0"/>
              <w:spacing w:line="360" w:lineRule="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b w:val="0"/>
                <w:bCs w:val="0"/>
                <w:color w:val="auto"/>
                <w:kern w:val="0"/>
                <w:sz w:val="24"/>
                <w:szCs w:val="24"/>
                <w:highlight w:val="none"/>
                <w:lang w:val="en-US" w:eastAsia="zh-CN" w:bidi="ar-SA"/>
              </w:rPr>
              <w:t>物业管理</w:t>
            </w:r>
            <w:r>
              <w:rPr>
                <w:rFonts w:hint="eastAsia" w:ascii="宋体" w:hAnsi="宋体" w:eastAsia="宋体" w:cs="宋体"/>
                <w:b w:val="0"/>
                <w:bCs w:val="0"/>
                <w:color w:val="auto"/>
                <w:kern w:val="0"/>
                <w:sz w:val="24"/>
                <w:szCs w:val="24"/>
                <w:highlight w:val="none"/>
                <w:lang w:val="en-US" w:eastAsia="zh-CN" w:bidi="ar-SA"/>
              </w:rPr>
              <w:t>行业。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62"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jc w:val="left"/>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52D1C2A">
            <w:pPr>
              <w:spacing w:line="360" w:lineRule="auto"/>
              <w:jc w:val="left"/>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6"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7"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9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2"/>
              <w:spacing w:line="360" w:lineRule="auto"/>
              <w:rPr>
                <w:rFonts w:hint="eastAsia" w:hAnsi="宋体" w:cs="宋体"/>
                <w:b/>
                <w:color w:val="auto"/>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lang w:val="en-US" w:eastAsia="zh-CN"/>
              </w:rPr>
              <w:t>密封包装后投标截止时间前递交、一份（ 浙江省杭州市临平区东湖街道东湖北路165-3号一楼招标代理部）</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程工收，18727377118</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A7FD1D3">
            <w:pPr>
              <w:pStyle w:val="32"/>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投标人递交以介质存储的数据电文形式的备份投标文件出现下列情况之一的，将被拒收：</w:t>
            </w:r>
          </w:p>
          <w:p w14:paraId="7511E4C5">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1、未按规定密封或标记的投标文件；</w:t>
            </w:r>
          </w:p>
          <w:p w14:paraId="4746EC78">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2、由于包装不妥，在送交途中严重破损或失散的；</w:t>
            </w:r>
          </w:p>
          <w:p w14:paraId="34C4A3FB">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3、未成功获取招标文件的；</w:t>
            </w:r>
          </w:p>
          <w:p w14:paraId="2405E172">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4、超过投标截止时间送达的；</w:t>
            </w:r>
          </w:p>
          <w:p w14:paraId="40F04F57">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5、以介质存储的数据电文形式的备份投标文件，未采用u盘形式提供的。</w:t>
            </w:r>
          </w:p>
          <w:p w14:paraId="53722A5E">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lang w:val="en-US" w:eastAsia="zh-CN"/>
              </w:rPr>
              <w:t>注：仅提供备份投标文件的，投标无效。</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6"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4"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9"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1人</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中标人在领取中标通知书时，须向招标代理机构支付招标代理服务费，按《关于印发《杭州市临平区村（社区）货物和服务采购管理办法（试行）》的通知》（临平农发〔</w:t>
            </w:r>
            <w:r>
              <w:rPr>
                <w:rFonts w:hint="eastAsia" w:ascii="宋体" w:hAnsi="宋体" w:cs="宋体"/>
                <w:color w:val="auto"/>
                <w:kern w:val="0"/>
                <w:sz w:val="24"/>
                <w:highlight w:val="none"/>
                <w:lang w:val="en" w:eastAsia="zh-CN"/>
              </w:rPr>
              <w:t>202</w:t>
            </w:r>
            <w:r>
              <w:rPr>
                <w:rFonts w:hint="eastAsia" w:ascii="宋体" w:hAnsi="宋体" w:eastAsia="宋体" w:cs="宋体"/>
                <w:color w:val="auto"/>
                <w:kern w:val="0"/>
                <w:sz w:val="24"/>
                <w:highlight w:val="none"/>
                <w:lang w:val="en" w:eastAsia="zh-CN"/>
              </w:rPr>
              <w:t>2〕163号）附件规定的临平区村社采购代理服务付费限额标准收取，专家评审费按实计取。请投标人在报价时给予考虑。注：投标人在报价时应综合考虑该笔费用，但不单列进投标总价。</w:t>
            </w:r>
          </w:p>
        </w:tc>
      </w:tr>
      <w:bookmarkEnd w:id="10"/>
    </w:tbl>
    <w:p w14:paraId="75264CA2">
      <w:pPr>
        <w:adjustRightInd/>
        <w:spacing w:line="360" w:lineRule="auto"/>
        <w:jc w:val="center"/>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hint="eastAsia"/>
          <w:color w:val="auto"/>
          <w:highlight w:val="none"/>
          <w:lang w:eastAsia="zh-CN"/>
        </w:rPr>
        <w:t>202</w:t>
      </w:r>
      <w:r>
        <w:rPr>
          <w:rFonts w:hint="eastAsia"/>
          <w:color w:val="auto"/>
          <w:highlight w:val="none"/>
        </w:rPr>
        <w:t>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2"/>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2"/>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4"/>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68072990"/>
      <w:bookmarkEnd w:id="16"/>
      <w:bookmarkStart w:id="17" w:name="_Hlt74707468"/>
      <w:bookmarkEnd w:id="17"/>
      <w:bookmarkStart w:id="18" w:name="_Hlt68073093"/>
      <w:bookmarkEnd w:id="18"/>
      <w:bookmarkStart w:id="19" w:name="_Hlt75236290"/>
      <w:bookmarkEnd w:id="19"/>
      <w:bookmarkStart w:id="20" w:name="_Hlt75236011"/>
      <w:bookmarkEnd w:id="20"/>
      <w:bookmarkStart w:id="21" w:name="_Hlt74714665"/>
      <w:bookmarkEnd w:id="21"/>
      <w:bookmarkStart w:id="22" w:name="_Hlt74729768"/>
      <w:bookmarkEnd w:id="22"/>
      <w:bookmarkStart w:id="23" w:name="_Hlt68072998"/>
      <w:bookmarkEnd w:id="23"/>
      <w:bookmarkStart w:id="24" w:name="_Hlt68403820"/>
      <w:bookmarkEnd w:id="24"/>
      <w:bookmarkStart w:id="25" w:name="_Hlt74730295"/>
      <w:bookmarkEnd w:id="25"/>
      <w:bookmarkStart w:id="26" w:name="_Hlt75236101"/>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3E4390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一、项目概况</w:t>
      </w:r>
    </w:p>
    <w:p w14:paraId="4E879E55">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b w:val="0"/>
          <w:bCs w:val="0"/>
          <w:color w:val="auto"/>
          <w:sz w:val="24"/>
          <w:highlight w:val="none"/>
        </w:rPr>
        <w:t>本项目</w:t>
      </w:r>
      <w:r>
        <w:rPr>
          <w:rFonts w:hint="eastAsia" w:ascii="宋体" w:hAnsi="宋体" w:eastAsia="宋体" w:cs="宋体"/>
          <w:color w:val="auto"/>
          <w:sz w:val="24"/>
          <w:highlight w:val="none"/>
        </w:rPr>
        <w:t>位于杭州市临平区</w:t>
      </w:r>
      <w:r>
        <w:rPr>
          <w:rFonts w:hint="eastAsia" w:ascii="宋体" w:hAnsi="宋体" w:eastAsia="宋体" w:cs="宋体"/>
          <w:color w:val="auto"/>
          <w:sz w:val="24"/>
          <w:highlight w:val="none"/>
          <w:lang w:val="en-US" w:eastAsia="zh-CN"/>
        </w:rPr>
        <w:t>石坝社区</w:t>
      </w:r>
      <w:r>
        <w:rPr>
          <w:rFonts w:hint="eastAsia" w:ascii="宋体" w:hAnsi="宋体" w:cs="宋体"/>
          <w:color w:val="auto"/>
          <w:sz w:val="24"/>
          <w:highlight w:val="none"/>
          <w:lang w:val="en-US" w:eastAsia="zh-CN"/>
        </w:rPr>
        <w:t>乾北嘉苑</w:t>
      </w:r>
      <w:r>
        <w:rPr>
          <w:rFonts w:hint="eastAsia" w:ascii="宋体" w:hAnsi="宋体" w:eastAsia="宋体" w:cs="宋体"/>
          <w:color w:val="auto"/>
          <w:sz w:val="24"/>
          <w:highlight w:val="none"/>
          <w:lang w:val="en-US" w:eastAsia="zh-CN"/>
        </w:rPr>
        <w:t>小区范围内；</w:t>
      </w:r>
      <w:r>
        <w:rPr>
          <w:rFonts w:hint="eastAsia" w:ascii="宋体" w:hAnsi="宋体" w:eastAsia="宋体" w:cs="宋体"/>
          <w:b w:val="0"/>
          <w:bCs w:val="0"/>
          <w:color w:val="auto"/>
          <w:sz w:val="24"/>
          <w:highlight w:val="none"/>
          <w:lang w:val="en-US" w:eastAsia="zh-CN"/>
        </w:rPr>
        <w:t>服务</w:t>
      </w:r>
      <w:r>
        <w:rPr>
          <w:rFonts w:hint="eastAsia" w:ascii="宋体" w:hAnsi="宋体" w:eastAsia="宋体" w:cs="宋体"/>
          <w:b w:val="0"/>
          <w:bCs w:val="0"/>
          <w:color w:val="auto"/>
          <w:sz w:val="24"/>
          <w:highlight w:val="none"/>
          <w:lang w:eastAsia="zh-CN"/>
        </w:rPr>
        <w:t>内容</w:t>
      </w:r>
      <w:r>
        <w:rPr>
          <w:rFonts w:hint="eastAsia" w:ascii="宋体" w:hAnsi="宋体" w:eastAsia="宋体" w:cs="宋体"/>
          <w:b w:val="0"/>
          <w:bCs w:val="0"/>
          <w:color w:val="auto"/>
          <w:sz w:val="24"/>
          <w:highlight w:val="none"/>
          <w:lang w:val="en-US" w:eastAsia="zh-CN"/>
        </w:rPr>
        <w:t>主要</w:t>
      </w:r>
      <w:r>
        <w:rPr>
          <w:rFonts w:hint="eastAsia" w:ascii="宋体" w:hAnsi="宋体" w:eastAsia="宋体" w:cs="宋体"/>
          <w:sz w:val="24"/>
          <w:szCs w:val="24"/>
          <w:highlight w:val="none"/>
        </w:rPr>
        <w:t>为</w:t>
      </w:r>
      <w:r>
        <w:rPr>
          <w:rFonts w:hint="eastAsia" w:ascii="宋体" w:hAnsi="宋体" w:cs="宋体"/>
          <w:color w:val="auto"/>
          <w:sz w:val="24"/>
          <w:highlight w:val="none"/>
          <w:lang w:val="en-US" w:eastAsia="zh-CN"/>
        </w:rPr>
        <w:t>乾北嘉苑</w:t>
      </w:r>
      <w:r>
        <w:rPr>
          <w:rFonts w:hint="eastAsia" w:ascii="宋体" w:hAnsi="宋体" w:eastAsia="宋体" w:cs="宋体"/>
          <w:color w:val="auto"/>
          <w:sz w:val="24"/>
          <w:highlight w:val="none"/>
          <w:lang w:val="en-US" w:eastAsia="zh-CN"/>
        </w:rPr>
        <w:t>小区</w:t>
      </w:r>
      <w:r>
        <w:rPr>
          <w:rFonts w:hint="eastAsia" w:ascii="宋体" w:hAnsi="宋体" w:eastAsia="宋体" w:cs="宋体"/>
          <w:sz w:val="24"/>
          <w:szCs w:val="24"/>
          <w:highlight w:val="none"/>
          <w:lang w:val="zh-CN"/>
        </w:rPr>
        <w:t>范围内的保安服务、卫生保洁、</w:t>
      </w:r>
      <w:bookmarkStart w:id="519" w:name="_GoBack"/>
      <w:bookmarkEnd w:id="519"/>
      <w:r>
        <w:rPr>
          <w:rFonts w:hint="eastAsia" w:ascii="宋体" w:hAnsi="宋体" w:eastAsia="宋体" w:cs="宋体"/>
          <w:sz w:val="24"/>
          <w:szCs w:val="24"/>
          <w:highlight w:val="none"/>
          <w:lang w:val="zh-CN"/>
        </w:rPr>
        <w:t>垃圾分类、牛皮癣清理、绿化养护、</w:t>
      </w:r>
      <w:r>
        <w:rPr>
          <w:rFonts w:hint="eastAsia" w:ascii="宋体" w:hAnsi="宋体" w:eastAsia="宋体" w:cs="宋体"/>
          <w:sz w:val="24"/>
          <w:szCs w:val="24"/>
          <w:highlight w:val="none"/>
          <w:lang w:val="en-US" w:eastAsia="zh-CN"/>
        </w:rPr>
        <w:t>垃圾处置、雨污水井管理</w:t>
      </w:r>
      <w:r>
        <w:rPr>
          <w:rFonts w:hint="eastAsia" w:ascii="宋体" w:hAnsi="宋体" w:eastAsia="宋体" w:cs="宋体"/>
          <w:sz w:val="24"/>
          <w:szCs w:val="24"/>
          <w:highlight w:val="none"/>
          <w:lang w:val="zh-CN"/>
        </w:rPr>
        <w:t>等。</w:t>
      </w:r>
      <w:r>
        <w:rPr>
          <w:rFonts w:hint="eastAsia" w:ascii="宋体" w:hAnsi="宋体" w:cs="宋体"/>
          <w:color w:val="auto"/>
          <w:sz w:val="24"/>
          <w:highlight w:val="none"/>
          <w:lang w:val="en-US" w:eastAsia="zh-CN"/>
        </w:rPr>
        <w:t>乾北嘉苑</w:t>
      </w:r>
      <w:r>
        <w:rPr>
          <w:rFonts w:hint="eastAsia" w:ascii="宋体" w:hAnsi="宋体" w:eastAsia="宋体" w:cs="宋体"/>
          <w:color w:val="auto"/>
          <w:sz w:val="24"/>
          <w:highlight w:val="none"/>
          <w:lang w:val="en-US" w:eastAsia="zh-CN"/>
        </w:rPr>
        <w:t>小区</w:t>
      </w:r>
      <w:r>
        <w:rPr>
          <w:rFonts w:hint="eastAsia" w:ascii="宋体" w:hAnsi="宋体" w:eastAsia="宋体" w:cs="宋体"/>
          <w:sz w:val="24"/>
          <w:szCs w:val="24"/>
          <w:highlight w:val="none"/>
          <w:lang w:val="zh-CN"/>
        </w:rPr>
        <w:t>共</w:t>
      </w:r>
      <w:r>
        <w:rPr>
          <w:rFonts w:hint="eastAsia" w:ascii="宋体" w:hAnsi="宋体" w:cs="宋体"/>
          <w:sz w:val="24"/>
          <w:szCs w:val="24"/>
          <w:highlight w:val="none"/>
          <w:lang w:val="en-US" w:eastAsia="zh-CN"/>
        </w:rPr>
        <w:t>115</w:t>
      </w:r>
      <w:r>
        <w:rPr>
          <w:rFonts w:hint="eastAsia" w:ascii="宋体" w:hAnsi="宋体" w:eastAsia="宋体" w:cs="宋体"/>
          <w:sz w:val="24"/>
          <w:szCs w:val="24"/>
          <w:highlight w:val="none"/>
          <w:lang w:val="zh-CN"/>
        </w:rPr>
        <w:t>户居民。</w:t>
      </w:r>
    </w:p>
    <w:p w14:paraId="51306F9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二、服务内容及要求</w:t>
      </w:r>
    </w:p>
    <w:p w14:paraId="7F242681">
      <w:pPr>
        <w:spacing w:line="360" w:lineRule="auto"/>
        <w:ind w:firstLine="482" w:firstLineChars="200"/>
        <w:rPr>
          <w:rFonts w:hint="eastAsia" w:ascii="宋体" w:hAnsi="宋体" w:eastAsia="宋体" w:cs="宋体"/>
          <w:sz w:val="24"/>
          <w:szCs w:val="24"/>
          <w:highlight w:val="none"/>
          <w:lang w:val="en-US" w:eastAsia="zh-CN"/>
        </w:rPr>
      </w:pPr>
      <w:r>
        <w:rPr>
          <w:rFonts w:hint="default" w:ascii="Calibri" w:hAnsi="Calibri" w:eastAsia="宋体" w:cs="Calibri"/>
          <w:b/>
          <w:bCs/>
          <w:sz w:val="24"/>
          <w:szCs w:val="24"/>
          <w:highlight w:val="none"/>
          <w:lang w:val="en-US" w:eastAsia="zh-CN"/>
        </w:rPr>
        <w:t>①</w:t>
      </w:r>
      <w:r>
        <w:rPr>
          <w:rFonts w:hint="eastAsia" w:ascii="宋体" w:hAnsi="宋体" w:cs="宋体"/>
          <w:b/>
          <w:bCs/>
          <w:sz w:val="24"/>
          <w:szCs w:val="24"/>
          <w:highlight w:val="none"/>
          <w:lang w:val="en-US" w:eastAsia="zh-CN"/>
        </w:rPr>
        <w:t>保安</w:t>
      </w:r>
      <w:r>
        <w:rPr>
          <w:rFonts w:hint="eastAsia" w:ascii="宋体" w:hAnsi="宋体" w:eastAsia="宋体" w:cs="宋体"/>
          <w:b/>
          <w:bCs/>
          <w:sz w:val="24"/>
          <w:szCs w:val="24"/>
          <w:highlight w:val="none"/>
          <w:lang w:val="zh-CN"/>
        </w:rPr>
        <w:t>服务范围及内容</w:t>
      </w:r>
    </w:p>
    <w:p w14:paraId="4B114969">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rPr>
        <w:t>工作任务:</w:t>
      </w:r>
    </w:p>
    <w:p w14:paraId="275A6474">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负责</w:t>
      </w:r>
      <w:r>
        <w:rPr>
          <w:rFonts w:hint="eastAsia" w:ascii="宋体" w:hAnsi="宋体" w:cs="宋体"/>
          <w:sz w:val="24"/>
          <w:szCs w:val="24"/>
          <w:highlight w:val="none"/>
          <w:lang w:val="zh-CN"/>
        </w:rPr>
        <w:t>乾北嘉苑</w:t>
      </w:r>
      <w:r>
        <w:rPr>
          <w:rFonts w:hint="eastAsia" w:ascii="宋体" w:hAnsi="宋体" w:eastAsia="宋体" w:cs="宋体"/>
          <w:sz w:val="24"/>
          <w:szCs w:val="24"/>
          <w:highlight w:val="none"/>
          <w:lang w:val="zh-CN"/>
        </w:rPr>
        <w:t>小区内的安全保卫、治安巡逻、消防安全、交通管理、流动摊贩、占道经营、出门经营、巡查检查、停车停放管理等及其他需要协助的服务类工作；维护</w:t>
      </w:r>
      <w:r>
        <w:rPr>
          <w:rFonts w:hint="eastAsia" w:ascii="宋体" w:hAnsi="宋体" w:cs="宋体"/>
          <w:sz w:val="24"/>
          <w:szCs w:val="24"/>
          <w:highlight w:val="none"/>
          <w:lang w:val="zh-CN"/>
        </w:rPr>
        <w:t>乾北嘉苑</w:t>
      </w:r>
      <w:r>
        <w:rPr>
          <w:rFonts w:hint="eastAsia" w:ascii="宋体" w:hAnsi="宋体" w:eastAsia="宋体" w:cs="宋体"/>
          <w:sz w:val="24"/>
          <w:szCs w:val="24"/>
          <w:highlight w:val="none"/>
          <w:lang w:val="zh-CN"/>
        </w:rPr>
        <w:t>小区所有住户的权益。</w:t>
      </w:r>
    </w:p>
    <w:p w14:paraId="386697A1">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工作内容:</w:t>
      </w:r>
    </w:p>
    <w:p w14:paraId="7EB0F67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2.1 负贵管理区域内所管物业项目内有关人员的安全保卫工作；按使用功能不同，实施相应的安全保卫措施以维护管理区域内的治安，保证各功能区域正常的秩序;预防抢劫、偷盗等刑事案件的发生；预防发生重大灾害伤亡事故；</w:t>
      </w:r>
      <w:r>
        <w:rPr>
          <w:rFonts w:hint="eastAsia" w:ascii="宋体" w:hAnsi="宋体" w:eastAsia="宋体" w:cs="宋体"/>
          <w:sz w:val="24"/>
          <w:szCs w:val="24"/>
          <w:highlight w:val="none"/>
          <w:lang w:val="en-US" w:eastAsia="zh-CN"/>
        </w:rPr>
        <w:t xml:space="preserve">       </w:t>
      </w:r>
    </w:p>
    <w:p w14:paraId="2A8231C3">
      <w:pPr>
        <w:pStyle w:val="2"/>
        <w:rPr>
          <w:rFonts w:hint="default"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 xml:space="preserve">    2.2</w:t>
      </w:r>
      <w:r>
        <w:rPr>
          <w:rFonts w:hint="eastAsia" w:ascii="宋体" w:hAnsi="宋体" w:eastAsia="宋体" w:cs="宋体"/>
          <w:b w:val="0"/>
          <w:bCs w:val="0"/>
          <w:kern w:val="2"/>
          <w:sz w:val="24"/>
          <w:szCs w:val="24"/>
          <w:highlight w:val="none"/>
          <w:lang w:val="zh-CN" w:eastAsia="zh-CN" w:bidi="ar-SA"/>
        </w:rPr>
        <w:t>负责管理区域内的消防安全管理工作；</w:t>
      </w:r>
    </w:p>
    <w:p w14:paraId="11C96657">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2.3 杜绝一切流动摊贩在小区内经营及其它经营户占道、占绿化带和摆放物品现象;</w:t>
      </w:r>
    </w:p>
    <w:p w14:paraId="0674430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2.4 负责管理区域外围交通疏导工作</w:t>
      </w:r>
      <w:r>
        <w:rPr>
          <w:rFonts w:hint="eastAsia" w:ascii="宋体" w:hAnsi="宋体" w:eastAsia="宋体" w:cs="宋体"/>
          <w:sz w:val="24"/>
          <w:szCs w:val="24"/>
          <w:lang w:val="en-US" w:eastAsia="zh-CN"/>
        </w:rPr>
        <w:t>(包括小区内所有车位管理）；</w:t>
      </w:r>
      <w:r>
        <w:rPr>
          <w:rFonts w:hint="eastAsia" w:ascii="宋体" w:hAnsi="宋体" w:eastAsia="宋体" w:cs="宋体"/>
          <w:sz w:val="24"/>
          <w:szCs w:val="24"/>
          <w:highlight w:val="none"/>
          <w:lang w:val="zh-CN"/>
        </w:rPr>
        <w:t>对运送货物车辆、外来小型车辆的停放装卸货物等实施管理；</w:t>
      </w:r>
      <w:r>
        <w:rPr>
          <w:rFonts w:hint="eastAsia" w:ascii="宋体" w:hAnsi="宋体" w:eastAsia="宋体" w:cs="宋体"/>
          <w:b/>
          <w:bCs/>
          <w:color w:val="auto"/>
          <w:sz w:val="24"/>
          <w:szCs w:val="24"/>
          <w:lang w:val="en-US" w:eastAsia="zh-CN"/>
        </w:rPr>
        <w:t>面对大型车辆进行提醒告知，禁止进入居民门前通道，如有违反且破坏非机动车棚，需原价赔偿，物业做好日常巡查，及时发现非机动车棚损坏情况，做好相关处理，如遇车棚损坏，找不到人员赔偿情况，有物业赔偿。</w:t>
      </w:r>
    </w:p>
    <w:p w14:paraId="693EEA30">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2.5 对管理区域外围的治安状况、环境秩序负责；</w:t>
      </w:r>
    </w:p>
    <w:p w14:paraId="470D7AA4">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2.6 完成甲方指派的其他临时工作，如冬季除雪等。</w:t>
      </w:r>
    </w:p>
    <w:p w14:paraId="182C8F2B">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2.7 实行</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zh-CN"/>
        </w:rPr>
        <w:t>小时巡逻。</w:t>
      </w:r>
    </w:p>
    <w:p w14:paraId="451FE389">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2.8负责</w:t>
      </w:r>
      <w:r>
        <w:rPr>
          <w:rFonts w:hint="eastAsia" w:ascii="宋体" w:hAnsi="宋体" w:cs="宋体"/>
          <w:sz w:val="24"/>
          <w:szCs w:val="24"/>
          <w:highlight w:val="none"/>
          <w:lang w:val="zh-CN"/>
        </w:rPr>
        <w:t>乾北嘉苑</w:t>
      </w:r>
      <w:r>
        <w:rPr>
          <w:rFonts w:hint="eastAsia" w:ascii="宋体" w:hAnsi="宋体" w:eastAsia="宋体" w:cs="宋体"/>
          <w:sz w:val="24"/>
          <w:szCs w:val="24"/>
          <w:highlight w:val="none"/>
          <w:lang w:val="zh-CN"/>
        </w:rPr>
        <w:t>小区智能道闸系统管理，外来车辆临时停车费收取。</w:t>
      </w:r>
    </w:p>
    <w:p w14:paraId="7635A40E">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2.9 定期对</w:t>
      </w:r>
      <w:r>
        <w:rPr>
          <w:rFonts w:hint="eastAsia" w:ascii="宋体" w:hAnsi="宋体" w:cs="宋体"/>
          <w:sz w:val="24"/>
          <w:szCs w:val="24"/>
          <w:highlight w:val="none"/>
          <w:lang w:val="zh-CN"/>
        </w:rPr>
        <w:t>乾北嘉苑</w:t>
      </w:r>
      <w:r>
        <w:rPr>
          <w:rFonts w:hint="eastAsia" w:ascii="宋体" w:hAnsi="宋体" w:eastAsia="宋体" w:cs="宋体"/>
          <w:sz w:val="24"/>
          <w:szCs w:val="24"/>
          <w:highlight w:val="none"/>
          <w:lang w:val="zh-CN"/>
        </w:rPr>
        <w:t>小区智能门禁进行巡查并做好台帐记录。</w:t>
      </w:r>
    </w:p>
    <w:p w14:paraId="37A7230F">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2.10 协助派出所做好流动人员登记管理工作。</w:t>
      </w:r>
    </w:p>
    <w:p w14:paraId="30B7E22C">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岗位设置:</w:t>
      </w:r>
    </w:p>
    <w:p w14:paraId="68D4CD8B">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kern w:val="0"/>
          <w:sz w:val="24"/>
          <w:szCs w:val="24"/>
          <w:highlight w:val="none"/>
          <w:lang w:val="en-US" w:eastAsia="zh-CN"/>
        </w:rPr>
        <w:t>项目经理</w:t>
      </w:r>
      <w:r>
        <w:rPr>
          <w:rFonts w:hint="eastAsia" w:ascii="宋体" w:hAnsi="宋体" w:eastAsia="宋体" w:cs="宋体"/>
          <w:color w:val="auto"/>
          <w:kern w:val="0"/>
          <w:sz w:val="24"/>
          <w:szCs w:val="24"/>
          <w:highlight w:val="none"/>
          <w:lang w:val="en-US" w:eastAsia="zh-CN"/>
        </w:rPr>
        <w:t>1人，</w:t>
      </w:r>
      <w:r>
        <w:rPr>
          <w:rFonts w:hint="eastAsia" w:ascii="宋体" w:hAnsi="宋体" w:eastAsia="宋体" w:cs="宋体"/>
          <w:sz w:val="24"/>
          <w:szCs w:val="24"/>
          <w:highlight w:val="none"/>
          <w:lang w:val="zh-CN"/>
        </w:rPr>
        <w:t>保安:1个传达室，配置保安人员2名。</w:t>
      </w:r>
    </w:p>
    <w:p w14:paraId="37D4DAFF">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在实际运作中按照岗位需求有权随时增加或减少保安人员，双方给予书面确认，服务费用按照实际发生结算。</w:t>
      </w:r>
    </w:p>
    <w:p w14:paraId="1559AF31">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rPr>
        <w:t>服务期内所发生的任何安全事故一律由己方负贵，甲方不承担任何责任。</w:t>
      </w:r>
    </w:p>
    <w:p w14:paraId="18624FF8">
      <w:pPr>
        <w:spacing w:line="360" w:lineRule="auto"/>
        <w:ind w:firstLine="482" w:firstLineChars="200"/>
        <w:rPr>
          <w:rFonts w:hint="eastAsia" w:ascii="宋体" w:hAnsi="宋体" w:eastAsia="宋体" w:cs="宋体"/>
          <w:b/>
          <w:bCs/>
          <w:sz w:val="24"/>
          <w:szCs w:val="24"/>
          <w:highlight w:val="none"/>
          <w:lang w:val="zh-CN"/>
        </w:rPr>
      </w:pPr>
      <w:r>
        <w:rPr>
          <w:rFonts w:hint="default" w:ascii="Calibri" w:hAnsi="Calibri" w:eastAsia="宋体" w:cs="Calibri"/>
          <w:b/>
          <w:bCs/>
          <w:sz w:val="24"/>
          <w:szCs w:val="24"/>
          <w:highlight w:val="none"/>
          <w:lang w:val="zh-CN"/>
        </w:rPr>
        <w:t>②</w:t>
      </w:r>
      <w:r>
        <w:rPr>
          <w:rFonts w:hint="eastAsia" w:ascii="宋体" w:hAnsi="宋体" w:eastAsia="宋体" w:cs="宋体"/>
          <w:b/>
          <w:bCs/>
          <w:sz w:val="24"/>
          <w:szCs w:val="24"/>
          <w:highlight w:val="none"/>
          <w:lang w:val="zh-CN"/>
        </w:rPr>
        <w:t>保洁服务范围及内容</w:t>
      </w:r>
    </w:p>
    <w:p w14:paraId="4972BA80">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rPr>
        <w:t>工作任务:</w:t>
      </w:r>
    </w:p>
    <w:p w14:paraId="0494CE5E">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负责</w:t>
      </w:r>
      <w:r>
        <w:rPr>
          <w:rFonts w:hint="eastAsia" w:ascii="宋体" w:hAnsi="宋体" w:cs="宋体"/>
          <w:sz w:val="24"/>
          <w:szCs w:val="24"/>
          <w:highlight w:val="none"/>
          <w:lang w:val="zh-CN"/>
        </w:rPr>
        <w:t>乾北嘉苑</w:t>
      </w:r>
      <w:r>
        <w:rPr>
          <w:rFonts w:hint="eastAsia" w:ascii="宋体" w:hAnsi="宋体" w:eastAsia="宋体" w:cs="宋体"/>
          <w:sz w:val="24"/>
          <w:szCs w:val="24"/>
          <w:highlight w:val="none"/>
          <w:lang w:val="zh-CN"/>
        </w:rPr>
        <w:t>小区范围内的卫生保洁、美丽庭院、垃圾外运以及偷倒垃圾处置等工作。</w:t>
      </w:r>
    </w:p>
    <w:p w14:paraId="0BA9E052">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工作内容:</w:t>
      </w:r>
    </w:p>
    <w:p w14:paraId="66DFCF5C">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2.1</w:t>
      </w:r>
      <w:r>
        <w:rPr>
          <w:rFonts w:hint="eastAsia" w:ascii="宋体" w:hAnsi="宋体" w:cs="宋体"/>
          <w:sz w:val="24"/>
          <w:szCs w:val="24"/>
          <w:highlight w:val="none"/>
          <w:lang w:val="zh-CN"/>
        </w:rPr>
        <w:t>乾北嘉苑</w:t>
      </w:r>
      <w:r>
        <w:rPr>
          <w:rFonts w:hint="eastAsia" w:ascii="宋体" w:hAnsi="宋体" w:eastAsia="宋体" w:cs="宋体"/>
          <w:sz w:val="24"/>
          <w:szCs w:val="24"/>
          <w:highlight w:val="none"/>
          <w:lang w:val="zh-CN"/>
        </w:rPr>
        <w:t>小区范围内道路、绿化带、窨井等死角垃圾、白色垃圾清理干净。</w:t>
      </w:r>
    </w:p>
    <w:p w14:paraId="5FD865EC">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2.2</w:t>
      </w:r>
      <w:r>
        <w:rPr>
          <w:rFonts w:hint="eastAsia" w:ascii="宋体" w:hAnsi="宋体" w:cs="宋体"/>
          <w:sz w:val="24"/>
          <w:szCs w:val="24"/>
          <w:highlight w:val="none"/>
          <w:lang w:val="zh-CN"/>
        </w:rPr>
        <w:t>乾北嘉苑</w:t>
      </w:r>
      <w:r>
        <w:rPr>
          <w:rFonts w:hint="eastAsia" w:ascii="宋体" w:hAnsi="宋体" w:eastAsia="宋体" w:cs="宋体"/>
          <w:sz w:val="24"/>
          <w:szCs w:val="24"/>
          <w:highlight w:val="none"/>
          <w:lang w:val="zh-CN"/>
        </w:rPr>
        <w:t>小区健身广场、停车场保洁次数为每天不少于二次。</w:t>
      </w:r>
    </w:p>
    <w:p w14:paraId="00B13564">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2.3</w:t>
      </w:r>
      <w:r>
        <w:rPr>
          <w:rFonts w:hint="eastAsia" w:ascii="宋体" w:hAnsi="宋体" w:cs="宋体"/>
          <w:sz w:val="24"/>
          <w:szCs w:val="24"/>
          <w:highlight w:val="none"/>
          <w:lang w:val="zh-CN"/>
        </w:rPr>
        <w:t>乾北嘉苑</w:t>
      </w:r>
      <w:r>
        <w:rPr>
          <w:rFonts w:hint="eastAsia" w:ascii="宋体" w:hAnsi="宋体" w:eastAsia="宋体" w:cs="宋体"/>
          <w:sz w:val="24"/>
          <w:szCs w:val="24"/>
          <w:highlight w:val="none"/>
          <w:lang w:val="zh-CN"/>
        </w:rPr>
        <w:t>小区范围内道路及道路两侧1.5米内、绿化带、小微水体等垃圾清理干净。</w:t>
      </w:r>
    </w:p>
    <w:p w14:paraId="1D89B61F">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2.4牛皮癣清除要做到发现一处，清除一处。</w:t>
      </w:r>
    </w:p>
    <w:p w14:paraId="6A9FCEB9">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2.5垃圾处置:生活垃圾(其他垃圾、有害垃圾、可回收垃圾)收集外运至垃圾处置点，</w:t>
      </w:r>
      <w:r>
        <w:rPr>
          <w:rFonts w:hint="eastAsia" w:ascii="宋体" w:hAnsi="宋体" w:cs="宋体"/>
          <w:sz w:val="24"/>
          <w:szCs w:val="24"/>
          <w:highlight w:val="none"/>
          <w:lang w:val="zh-CN"/>
        </w:rPr>
        <w:t>园</w:t>
      </w:r>
      <w:r>
        <w:rPr>
          <w:rFonts w:hint="eastAsia" w:ascii="宋体" w:hAnsi="宋体" w:eastAsia="宋体" w:cs="宋体"/>
          <w:sz w:val="24"/>
          <w:szCs w:val="24"/>
          <w:highlight w:val="none"/>
          <w:lang w:val="zh-CN"/>
        </w:rPr>
        <w:t>林垃圾处置外运至东湖街道孤林处理站;其余建筑垃圾、大件垃圾、偷倒垃圾等垃圾自行处理。</w:t>
      </w:r>
    </w:p>
    <w:p w14:paraId="6264E203">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2.6所有的垃圾收集清理外运以及对公共区域垃圾桶的清洗(不少于每周一次)、维护或更新、补充。</w:t>
      </w:r>
    </w:p>
    <w:p w14:paraId="5995FE37">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2.7道路普扫一天两次，每天8:30至16:30之间由清扫人员及清运员安排3人/天的巡回保洁。</w:t>
      </w:r>
    </w:p>
    <w:p w14:paraId="42B4E7BD">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岗位设置:</w:t>
      </w:r>
    </w:p>
    <w:p w14:paraId="73B1C1A0">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保洁2人，垃圾清运员1人。</w:t>
      </w:r>
    </w:p>
    <w:p w14:paraId="2CEBA68A">
      <w:pPr>
        <w:numPr>
          <w:ilvl w:val="0"/>
          <w:numId w:val="0"/>
        </w:numPr>
        <w:spacing w:line="360" w:lineRule="auto"/>
        <w:ind w:firstLine="482" w:firstLineChars="200"/>
        <w:rPr>
          <w:rFonts w:hint="eastAsia" w:ascii="宋体" w:hAnsi="宋体" w:eastAsia="宋体" w:cs="宋体"/>
          <w:b/>
          <w:bCs/>
          <w:sz w:val="24"/>
          <w:szCs w:val="24"/>
          <w:highlight w:val="none"/>
          <w:lang w:val="zh-CN"/>
        </w:rPr>
      </w:pPr>
      <w:r>
        <w:rPr>
          <w:rFonts w:hint="default" w:ascii="Calibri" w:hAnsi="Calibri" w:eastAsia="宋体" w:cs="Calibri"/>
          <w:b/>
          <w:bCs/>
          <w:sz w:val="24"/>
          <w:szCs w:val="24"/>
          <w:highlight w:val="none"/>
          <w:lang w:val="zh-CN"/>
        </w:rPr>
        <w:t>③</w:t>
      </w:r>
      <w:r>
        <w:rPr>
          <w:rFonts w:hint="eastAsia" w:ascii="宋体" w:hAnsi="宋体" w:eastAsia="宋体" w:cs="宋体"/>
          <w:b/>
          <w:bCs/>
          <w:sz w:val="24"/>
          <w:szCs w:val="24"/>
          <w:highlight w:val="none"/>
          <w:lang w:val="zh-CN"/>
        </w:rPr>
        <w:t>绿化养护范围及内容:</w:t>
      </w:r>
    </w:p>
    <w:p w14:paraId="5CC37924">
      <w:pPr>
        <w:numPr>
          <w:ilvl w:val="0"/>
          <w:numId w:val="0"/>
        </w:num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rPr>
        <w:t>工作任务:</w:t>
      </w:r>
    </w:p>
    <w:p w14:paraId="6413F83F">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负责</w:t>
      </w:r>
      <w:r>
        <w:rPr>
          <w:rFonts w:hint="eastAsia" w:ascii="宋体" w:hAnsi="宋体" w:cs="宋体"/>
          <w:sz w:val="24"/>
          <w:szCs w:val="24"/>
          <w:highlight w:val="none"/>
          <w:lang w:val="zh-CN"/>
        </w:rPr>
        <w:t>乾北嘉苑</w:t>
      </w:r>
      <w:r>
        <w:rPr>
          <w:rFonts w:hint="eastAsia" w:ascii="宋体" w:hAnsi="宋体" w:eastAsia="宋体" w:cs="宋体"/>
          <w:sz w:val="24"/>
          <w:szCs w:val="24"/>
          <w:highlight w:val="none"/>
          <w:lang w:val="zh-CN"/>
        </w:rPr>
        <w:t>小区范围内的绿化养护。</w:t>
      </w:r>
    </w:p>
    <w:p w14:paraId="7A857603">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工作内容:</w:t>
      </w:r>
    </w:p>
    <w:p w14:paraId="20656BDF">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2.1、修剪:根据各类植物地生长特点、本地环境、景观要求，乔木每年不少于二次修剪，灌木每季度不少于一次修剪，并在每次修剪前后上报甲方。</w:t>
      </w:r>
    </w:p>
    <w:p w14:paraId="2F3CB5BF">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2.2、施肥:根据各类植物的生长特点及植物对肥料的需要，要求年施肥不得少于2次以上，新种植物视生长情况，造时适量进行施肥，以保持各类植物的生长旺盛达到一定景观效果；</w:t>
      </w:r>
    </w:p>
    <w:p w14:paraId="1340B524">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2.3、除草:各类绿地、树穴、绿化带侧石边要结合松土及时清理各类杂草；</w:t>
      </w:r>
    </w:p>
    <w:p w14:paraId="64E74AB7">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2.4、抹芽:主要用于乔木、大型灌木，对不定芽要及时清除，以保持树木骨架清晰，促使生长形态美观，营养集中；</w:t>
      </w:r>
    </w:p>
    <w:p w14:paraId="695AB237">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2.5、病虫害防治:根据各类植物的寄生对象及时做好预测预报，及时采取措施防治；</w:t>
      </w:r>
    </w:p>
    <w:p w14:paraId="5D935457">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2.6、抗早、抗台、排涝:早季及新种植物要及时灌溉，防止植物因水而造成枯死。台汛期要做好加固，排涝抢险工程，防止植物受损。</w:t>
      </w:r>
    </w:p>
    <w:p w14:paraId="4EBEBA65">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岗位设置:</w:t>
      </w:r>
    </w:p>
    <w:p w14:paraId="48C5866F">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绿化养护人员由乙方自行安排，每周洒水不少于一次，乔木每年不少于二次修剪，灌木每季度不少于一次修剪。</w:t>
      </w:r>
    </w:p>
    <w:p w14:paraId="198D9467">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(4)其他约定事项:</w:t>
      </w:r>
    </w:p>
    <w:p w14:paraId="3786430B">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(1)服务期内，保安人员负责岗亭不少于1人，日常巡逻不少于1人，保洁人员清扫时间为8个小时轮回保洁，不定时巡查。</w:t>
      </w:r>
    </w:p>
    <w:p w14:paraId="4BEB7291">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(2)所有保安、保洁人员要求着装整齐、佩戴齐全，按时上下岗交接班。其中保安年龄在 65 周岁以下(要求身体健康认真负责)。乙方所聘用人员需要向甲方进行报备。</w:t>
      </w:r>
    </w:p>
    <w:p w14:paraId="4B0BD4D4">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(3)要求配备相关的保安服务装备及保洁工具，配备三轮车不少于2辆，电瓶垃圾车不少于1辆等机械设备，符合杭州市环卫行业标准化管理的要求。</w:t>
      </w:r>
    </w:p>
    <w:p w14:paraId="05FC0411">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凡发现小区范围内绿化带中种植蔬菜、不规范晾晒(如健身器材上、公园内、充电棚下、树木上等)、恶意破坏绿化等情况的，应及时制止并处理，如甲方发现以上情况仍存在的，乙方及时(一周内)处理或补种，如未在规定时间内处理完毕的，将处以乙方200元/次的罚款。</w:t>
      </w:r>
    </w:p>
    <w:p w14:paraId="5E4A3F7B">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(5)如遇道闸杆被撞坏的，由乙方负责收取等价维修费，如不能足额收取的，应及时报告甲方。</w:t>
      </w:r>
    </w:p>
    <w:p w14:paraId="13BA0DA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●三、项目承包期限</w:t>
      </w:r>
    </w:p>
    <w:p w14:paraId="6F13B312">
      <w:pPr>
        <w:pStyle w:val="2"/>
        <w:keepNext/>
        <w:keepLines/>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zh-CN" w:eastAsia="zh-CN" w:bidi="ar-SA"/>
        </w:rPr>
        <w:t>项目期限为三年，合同一年一签，即中标后签定第一年合同，经第一年考核通过后签订第二年合同，经第二年考核通过后签订第三年合同。</w:t>
      </w:r>
      <w:r>
        <w:rPr>
          <w:rFonts w:hint="eastAsia" w:ascii="宋体" w:hAnsi="宋体" w:eastAsia="宋体" w:cs="宋体"/>
          <w:b/>
          <w:bCs/>
          <w:kern w:val="2"/>
          <w:sz w:val="24"/>
          <w:szCs w:val="24"/>
          <w:highlight w:val="none"/>
          <w:lang w:val="zh-CN" w:eastAsia="zh-CN" w:bidi="ar-SA"/>
        </w:rPr>
        <w:t>次年垃圾分类报价以街道当年拨付文件为准。</w:t>
      </w:r>
    </w:p>
    <w:p w14:paraId="259ACC3F">
      <w:pPr>
        <w:spacing w:line="360" w:lineRule="auto"/>
        <w:ind w:firstLine="482" w:firstLineChars="200"/>
        <w:rPr>
          <w:rFonts w:hint="eastAsia" w:ascii="宋体" w:hAnsi="宋体" w:eastAsia="宋体" w:cs="宋体"/>
          <w:b/>
          <w:bCs/>
          <w:kern w:val="2"/>
          <w:sz w:val="24"/>
          <w:szCs w:val="24"/>
          <w:highlight w:val="none"/>
          <w:lang w:val="zh-CN" w:eastAsia="zh-CN" w:bidi="ar-SA"/>
        </w:rPr>
      </w:pPr>
      <w:r>
        <w:rPr>
          <w:rFonts w:hint="eastAsia" w:ascii="宋体" w:hAnsi="宋体" w:eastAsia="宋体" w:cs="宋体"/>
          <w:b/>
          <w:bCs/>
          <w:kern w:val="2"/>
          <w:sz w:val="24"/>
          <w:szCs w:val="24"/>
          <w:highlight w:val="none"/>
          <w:lang w:val="zh-CN" w:eastAsia="zh-CN" w:bidi="ar-SA"/>
        </w:rPr>
        <w:t>注：若遇采购人公司体制机制改革、其他行政或政策上的原因，采购人有权提前解除合同且不承担任何违约责任，中标人应在收到采购人通知后14日内积极配合采购人进行结算、清退场工作。</w:t>
      </w:r>
    </w:p>
    <w:p w14:paraId="4E663FD1">
      <w:pPr>
        <w:pStyle w:val="2"/>
        <w:keepNext/>
        <w:keepLines/>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kern w:val="2"/>
          <w:sz w:val="24"/>
          <w:szCs w:val="24"/>
          <w:highlight w:val="none"/>
          <w:lang w:val="zh-CN" w:eastAsia="zh-CN" w:bidi="ar-SA"/>
        </w:rPr>
      </w:pPr>
      <w:r>
        <w:rPr>
          <w:rFonts w:hint="eastAsia" w:ascii="宋体" w:hAnsi="宋体" w:eastAsia="宋体" w:cs="宋体"/>
          <w:b/>
          <w:bCs/>
          <w:kern w:val="2"/>
          <w:sz w:val="24"/>
          <w:szCs w:val="24"/>
          <w:highlight w:val="none"/>
          <w:lang w:val="zh-CN" w:eastAsia="zh-CN" w:bidi="ar-SA"/>
        </w:rPr>
        <w:t>四、履约保证金及费用支付方式</w:t>
      </w:r>
    </w:p>
    <w:p w14:paraId="55EA57CB">
      <w:pPr>
        <w:pStyle w:val="2"/>
        <w:keepNext/>
        <w:keepLines/>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zh-CN" w:eastAsia="zh-CN" w:bidi="ar-SA"/>
        </w:rPr>
        <w:t>1、</w:t>
      </w:r>
      <w:r>
        <w:rPr>
          <w:rFonts w:hint="eastAsia" w:ascii="宋体" w:hAnsi="宋体" w:eastAsia="宋体" w:cs="宋体"/>
          <w:b w:val="0"/>
          <w:bCs w:val="0"/>
          <w:color w:val="auto"/>
          <w:sz w:val="24"/>
          <w:szCs w:val="24"/>
          <w:highlight w:val="none"/>
          <w:lang w:val="en-US" w:eastAsia="zh-CN"/>
        </w:rPr>
        <w:t>在签订合同后向采购人缴纳合同价1%的履约保证金（以支票、汇票、本票或者金融机构、担保机构出具的保函等非现金形式提交）</w:t>
      </w:r>
      <w:r>
        <w:rPr>
          <w:rFonts w:hint="eastAsia" w:ascii="宋体" w:hAnsi="宋体" w:eastAsia="宋体" w:cs="宋体"/>
          <w:b w:val="0"/>
          <w:bCs w:val="0"/>
          <w:kern w:val="2"/>
          <w:sz w:val="24"/>
          <w:szCs w:val="24"/>
          <w:highlight w:val="none"/>
          <w:lang w:val="zh-CN" w:eastAsia="zh-CN" w:bidi="ar-SA"/>
        </w:rPr>
        <w:t>，承包到期后三十日内根据考核结果退还履约保证金(无息)，但应扣除相关的违约金(如有的话)。</w:t>
      </w:r>
    </w:p>
    <w:p w14:paraId="50AF4546">
      <w:pPr>
        <w:pStyle w:val="2"/>
        <w:keepNext/>
        <w:keepLines/>
        <w:pageBreakBefore w:val="0"/>
        <w:widowControl w:val="0"/>
        <w:kinsoku/>
        <w:wordWrap/>
        <w:overflowPunct/>
        <w:topLinePunct w:val="0"/>
        <w:autoSpaceDE/>
        <w:autoSpaceDN/>
        <w:bidi w:val="0"/>
        <w:adjustRightInd/>
        <w:snapToGrid/>
        <w:ind w:left="0" w:leftChars="0" w:firstLine="480" w:firstLineChars="200"/>
        <w:jc w:val="both"/>
        <w:textAlignment w:val="auto"/>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zh-CN" w:eastAsia="zh-CN" w:bidi="ar-SA"/>
        </w:rPr>
        <w:t>2、合同价款按半年度支付，中标单位应在合同实施前，编制保安管理方案上报甲方审核后签订合同，由甲方半年度考核合格后，于十五日内向乙方支付50%的应付合同款。以此类推，中标单位应出具有效发票。</w:t>
      </w:r>
    </w:p>
    <w:p w14:paraId="0BFFF7D4">
      <w:pPr>
        <w:pStyle w:val="2"/>
        <w:keepNext/>
        <w:keepLines/>
        <w:pageBreakBefore w:val="0"/>
        <w:widowControl w:val="0"/>
        <w:kinsoku/>
        <w:wordWrap/>
        <w:overflowPunct/>
        <w:topLinePunct w:val="0"/>
        <w:autoSpaceDE/>
        <w:autoSpaceDN/>
        <w:bidi w:val="0"/>
        <w:adjustRightInd/>
        <w:snapToGrid/>
        <w:ind w:left="0" w:leftChars="0" w:firstLine="480" w:firstLineChars="200"/>
        <w:jc w:val="both"/>
        <w:textAlignment w:val="auto"/>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zh-CN" w:eastAsia="zh-CN" w:bidi="ar-SA"/>
        </w:rPr>
        <w:t>3、根据《杭州市保安服务管理办法》、《道路清扫保洁质量标准》和《环卫作业考核评分标准》及石坝社区相关管理办法等进行考核。</w:t>
      </w:r>
    </w:p>
    <w:p w14:paraId="00B79C25">
      <w:pPr>
        <w:pStyle w:val="2"/>
        <w:keepNext/>
        <w:keepLines/>
        <w:pageBreakBefore w:val="0"/>
        <w:widowControl w:val="0"/>
        <w:kinsoku/>
        <w:wordWrap/>
        <w:overflowPunct/>
        <w:topLinePunct w:val="0"/>
        <w:autoSpaceDE/>
        <w:autoSpaceDN/>
        <w:bidi w:val="0"/>
        <w:adjustRightInd/>
        <w:snapToGrid/>
        <w:ind w:left="0" w:leftChars="0" w:firstLine="480" w:firstLineChars="200"/>
        <w:jc w:val="both"/>
        <w:textAlignment w:val="auto"/>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val="0"/>
          <w:bCs w:val="0"/>
          <w:kern w:val="2"/>
          <w:sz w:val="24"/>
          <w:szCs w:val="24"/>
          <w:highlight w:val="none"/>
          <w:lang w:val="zh-CN" w:eastAsia="zh-CN" w:bidi="ar-SA"/>
        </w:rPr>
        <w:t>4、甲方对乙方的承包管理项目实施考核，考核不合格，甲方有权扣付部分承包经费。</w:t>
      </w:r>
    </w:p>
    <w:p w14:paraId="4F93EBC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五、本项目考核办法</w:t>
      </w:r>
    </w:p>
    <w:p w14:paraId="3A80DF6F">
      <w:pPr>
        <w:spacing w:line="360" w:lineRule="auto"/>
        <w:ind w:firstLine="1653" w:firstLineChars="686"/>
        <w:rPr>
          <w:rFonts w:hint="eastAsia"/>
          <w:lang w:val="en-US" w:eastAsia="zh-CN"/>
        </w:rPr>
      </w:pPr>
      <w:r>
        <w:rPr>
          <w:rFonts w:hint="eastAsia" w:ascii="宋体" w:hAnsi="宋体"/>
          <w:b/>
          <w:bCs/>
          <w:sz w:val="24"/>
          <w:szCs w:val="24"/>
        </w:rPr>
        <w:t>（一）</w:t>
      </w:r>
      <w:r>
        <w:rPr>
          <w:rFonts w:hint="eastAsia" w:ascii="宋体" w:hAnsi="宋体"/>
          <w:b/>
          <w:bCs/>
          <w:kern w:val="0"/>
          <w:sz w:val="24"/>
          <w:szCs w:val="24"/>
        </w:rPr>
        <w:t xml:space="preserve"> </w:t>
      </w:r>
      <w:r>
        <w:rPr>
          <w:rFonts w:hint="eastAsia" w:ascii="宋体" w:hAnsi="宋体"/>
          <w:b/>
          <w:bCs/>
          <w:sz w:val="24"/>
          <w:szCs w:val="24"/>
          <w:lang w:eastAsia="zh-CN"/>
        </w:rPr>
        <w:t>乾北嘉苑</w:t>
      </w:r>
      <w:r>
        <w:rPr>
          <w:rFonts w:hint="eastAsia" w:ascii="宋体" w:hAnsi="宋体"/>
          <w:b/>
          <w:bCs/>
          <w:sz w:val="24"/>
          <w:szCs w:val="24"/>
        </w:rPr>
        <w:t>秩序服务考核评分标准</w:t>
      </w:r>
    </w:p>
    <w:tbl>
      <w:tblPr>
        <w:tblStyle w:val="62"/>
        <w:tblpPr w:leftFromText="180" w:rightFromText="180" w:vertAnchor="text" w:horzAnchor="page" w:tblpX="1305" w:tblpY="646"/>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815"/>
        <w:gridCol w:w="6558"/>
        <w:gridCol w:w="1514"/>
      </w:tblGrid>
      <w:tr w14:paraId="6653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580" w:type="dxa"/>
            <w:gridSpan w:val="4"/>
            <w:noWrap w:val="0"/>
            <w:vAlign w:val="center"/>
          </w:tcPr>
          <w:p w14:paraId="2D595869">
            <w:pPr>
              <w:spacing w:line="240" w:lineRule="auto"/>
              <w:rPr>
                <w:rFonts w:hint="eastAsia" w:hAnsi="宋体"/>
                <w:b/>
                <w:szCs w:val="21"/>
              </w:rPr>
            </w:pPr>
            <w:r>
              <w:rPr>
                <w:rFonts w:hint="eastAsia" w:hAnsi="宋体"/>
                <w:b/>
                <w:szCs w:val="21"/>
              </w:rPr>
              <w:t>服务范围：岗亭服务、巡逻服务、守护服务、车辆指挥管理、制止流动摊点违法经营、临时性任务</w:t>
            </w:r>
          </w:p>
        </w:tc>
      </w:tr>
      <w:tr w14:paraId="4C26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580" w:type="dxa"/>
            <w:gridSpan w:val="4"/>
            <w:noWrap w:val="0"/>
            <w:vAlign w:val="center"/>
          </w:tcPr>
          <w:p w14:paraId="75D754F2">
            <w:pPr>
              <w:spacing w:line="360" w:lineRule="auto"/>
              <w:jc w:val="center"/>
              <w:rPr>
                <w:rFonts w:hint="eastAsia" w:hAnsi="宋体"/>
                <w:b/>
              </w:rPr>
            </w:pPr>
            <w:r>
              <w:rPr>
                <w:rFonts w:hint="eastAsia" w:hAnsi="宋体"/>
                <w:b/>
              </w:rPr>
              <w:t>一、基本要求</w:t>
            </w:r>
          </w:p>
        </w:tc>
      </w:tr>
      <w:tr w14:paraId="7760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508" w:type="dxa"/>
            <w:gridSpan w:val="2"/>
            <w:noWrap w:val="0"/>
            <w:vAlign w:val="center"/>
          </w:tcPr>
          <w:p w14:paraId="7A4E09D2">
            <w:pPr>
              <w:spacing w:line="360" w:lineRule="auto"/>
              <w:jc w:val="center"/>
              <w:rPr>
                <w:rFonts w:hint="eastAsia" w:hAnsi="宋体"/>
                <w:b/>
                <w:szCs w:val="21"/>
              </w:rPr>
            </w:pPr>
            <w:r>
              <w:rPr>
                <w:rFonts w:hint="eastAsia" w:hAnsi="宋体"/>
                <w:b/>
                <w:szCs w:val="21"/>
              </w:rPr>
              <w:t>检查项目</w:t>
            </w:r>
          </w:p>
        </w:tc>
        <w:tc>
          <w:tcPr>
            <w:tcW w:w="6558" w:type="dxa"/>
            <w:noWrap w:val="0"/>
            <w:vAlign w:val="center"/>
          </w:tcPr>
          <w:p w14:paraId="154B09E8">
            <w:pPr>
              <w:spacing w:line="360" w:lineRule="auto"/>
              <w:jc w:val="center"/>
              <w:rPr>
                <w:rFonts w:hint="eastAsia" w:hAnsi="宋体" w:eastAsia="宋体"/>
                <w:b/>
                <w:szCs w:val="21"/>
                <w:lang w:eastAsia="zh-CN"/>
              </w:rPr>
            </w:pPr>
            <w:r>
              <w:rPr>
                <w:rFonts w:hint="eastAsia" w:hAnsi="宋体"/>
                <w:b/>
                <w:szCs w:val="21"/>
              </w:rPr>
              <w:t>达到的标准</w:t>
            </w:r>
            <w:r>
              <w:rPr>
                <w:rFonts w:hint="eastAsia" w:hAnsi="宋体"/>
                <w:b/>
                <w:szCs w:val="21"/>
                <w:lang w:eastAsia="zh-CN"/>
              </w:rPr>
              <w:t>数</w:t>
            </w:r>
          </w:p>
        </w:tc>
        <w:tc>
          <w:tcPr>
            <w:tcW w:w="1514" w:type="dxa"/>
            <w:noWrap w:val="0"/>
            <w:vAlign w:val="center"/>
          </w:tcPr>
          <w:p w14:paraId="7CFF3450">
            <w:pPr>
              <w:spacing w:line="240" w:lineRule="atLeast"/>
              <w:jc w:val="center"/>
              <w:rPr>
                <w:rFonts w:hint="default" w:hAnsi="宋体" w:eastAsia="宋体"/>
                <w:b/>
                <w:bCs w:val="0"/>
                <w:szCs w:val="21"/>
                <w:lang w:val="en-US" w:eastAsia="zh-CN"/>
              </w:rPr>
            </w:pPr>
            <w:r>
              <w:rPr>
                <w:rFonts w:hint="default" w:hAnsi="宋体" w:eastAsia="宋体"/>
                <w:b/>
                <w:bCs w:val="0"/>
                <w:szCs w:val="21"/>
                <w:lang w:val="en-US" w:eastAsia="zh-CN"/>
              </w:rPr>
              <w:t>未达标扣分标准</w:t>
            </w:r>
          </w:p>
        </w:tc>
      </w:tr>
      <w:tr w14:paraId="4CA6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508" w:type="dxa"/>
            <w:gridSpan w:val="2"/>
            <w:noWrap w:val="0"/>
            <w:vAlign w:val="center"/>
          </w:tcPr>
          <w:p w14:paraId="737D137E">
            <w:pPr>
              <w:spacing w:line="360" w:lineRule="auto"/>
              <w:jc w:val="center"/>
              <w:rPr>
                <w:rFonts w:hint="eastAsia" w:hAnsi="宋体"/>
                <w:szCs w:val="21"/>
              </w:rPr>
            </w:pPr>
            <w:r>
              <w:rPr>
                <w:rFonts w:hint="eastAsia" w:hAnsi="宋体"/>
                <w:szCs w:val="21"/>
              </w:rPr>
              <w:t>保安人数</w:t>
            </w:r>
          </w:p>
        </w:tc>
        <w:tc>
          <w:tcPr>
            <w:tcW w:w="6558" w:type="dxa"/>
            <w:noWrap w:val="0"/>
            <w:vAlign w:val="center"/>
          </w:tcPr>
          <w:p w14:paraId="1781F8F4">
            <w:pPr>
              <w:spacing w:line="360" w:lineRule="auto"/>
              <w:rPr>
                <w:rFonts w:hint="eastAsia" w:hAnsi="宋体" w:eastAsia="宋体"/>
                <w:szCs w:val="21"/>
                <w:lang w:eastAsia="zh-CN"/>
              </w:rPr>
            </w:pPr>
            <w:r>
              <w:rPr>
                <w:rFonts w:hint="eastAsia" w:hAnsi="宋体"/>
                <w:szCs w:val="21"/>
              </w:rPr>
              <w:t>符合合同约定的人数</w:t>
            </w:r>
            <w:r>
              <w:rPr>
                <w:rFonts w:hint="eastAsia" w:ascii="宋体" w:hAnsi="宋体"/>
                <w:color w:val="auto"/>
                <w:highlight w:val="none"/>
                <w:lang w:eastAsia="zh-CN"/>
              </w:rPr>
              <w:t>（</w:t>
            </w:r>
            <w:r>
              <w:rPr>
                <w:rFonts w:hint="eastAsia" w:ascii="宋体" w:hAnsi="宋体"/>
                <w:color w:val="auto"/>
                <w:highlight w:val="none"/>
                <w:lang w:val="en-US" w:eastAsia="zh-CN"/>
              </w:rPr>
              <w:t>项目经理1人,</w:t>
            </w:r>
            <w:r>
              <w:rPr>
                <w:rFonts w:hint="eastAsia" w:ascii="宋体" w:hAnsi="宋体"/>
                <w:color w:val="auto"/>
                <w:highlight w:val="none"/>
                <w:lang w:eastAsia="zh-CN"/>
              </w:rPr>
              <w:t>保安</w:t>
            </w:r>
            <w:r>
              <w:rPr>
                <w:rFonts w:hint="eastAsia" w:ascii="宋体" w:hAnsi="宋体"/>
                <w:color w:val="auto"/>
                <w:highlight w:val="none"/>
                <w:lang w:val="en-US" w:eastAsia="zh-CN"/>
              </w:rPr>
              <w:t>2人，如有辞职、病假等特殊情况，必须报甲方同意后，在一周内补充好人员</w:t>
            </w:r>
            <w:r>
              <w:rPr>
                <w:rFonts w:hint="eastAsia" w:hAnsi="宋体"/>
                <w:szCs w:val="21"/>
                <w:lang w:eastAsia="zh-CN"/>
              </w:rPr>
              <w:t>）</w:t>
            </w:r>
          </w:p>
        </w:tc>
        <w:tc>
          <w:tcPr>
            <w:tcW w:w="1514" w:type="dxa"/>
            <w:noWrap w:val="0"/>
            <w:vAlign w:val="center"/>
          </w:tcPr>
          <w:p w14:paraId="10F367DF">
            <w:pPr>
              <w:spacing w:line="360" w:lineRule="auto"/>
              <w:jc w:val="center"/>
              <w:rPr>
                <w:rFonts w:hint="eastAsia" w:hAnsi="宋体" w:eastAsia="宋体"/>
                <w:szCs w:val="21"/>
                <w:lang w:val="en-US" w:eastAsia="zh-CN"/>
              </w:rPr>
            </w:pPr>
            <w:r>
              <w:rPr>
                <w:rFonts w:hint="eastAsia" w:hAnsi="宋体"/>
                <w:szCs w:val="21"/>
                <w:lang w:val="en-US" w:eastAsia="zh-CN"/>
              </w:rPr>
              <w:t>5分</w:t>
            </w:r>
          </w:p>
        </w:tc>
      </w:tr>
      <w:tr w14:paraId="63BB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08" w:type="dxa"/>
            <w:gridSpan w:val="2"/>
            <w:noWrap w:val="0"/>
            <w:vAlign w:val="center"/>
          </w:tcPr>
          <w:p w14:paraId="3157B532">
            <w:pPr>
              <w:spacing w:line="360" w:lineRule="auto"/>
              <w:jc w:val="center"/>
              <w:rPr>
                <w:rFonts w:hint="eastAsia" w:hAnsi="宋体"/>
                <w:szCs w:val="21"/>
              </w:rPr>
            </w:pPr>
            <w:r>
              <w:rPr>
                <w:rFonts w:hint="eastAsia" w:hAnsi="宋体"/>
                <w:szCs w:val="21"/>
              </w:rPr>
              <w:t>保安员要求</w:t>
            </w:r>
          </w:p>
        </w:tc>
        <w:tc>
          <w:tcPr>
            <w:tcW w:w="6558" w:type="dxa"/>
            <w:noWrap w:val="0"/>
            <w:vAlign w:val="center"/>
          </w:tcPr>
          <w:p w14:paraId="4E74024E">
            <w:pPr>
              <w:spacing w:line="360" w:lineRule="auto"/>
              <w:rPr>
                <w:rFonts w:hint="eastAsia" w:hAnsi="宋体" w:eastAsia="宋体"/>
                <w:szCs w:val="21"/>
                <w:lang w:eastAsia="zh-CN"/>
              </w:rPr>
            </w:pPr>
            <w:r>
              <w:rPr>
                <w:rFonts w:hint="eastAsia" w:hAnsi="宋体"/>
                <w:szCs w:val="21"/>
                <w:highlight w:val="none"/>
              </w:rPr>
              <w:t>身高165cm以上，五官端正，文化程度和身高等符合合同约定</w:t>
            </w:r>
          </w:p>
        </w:tc>
        <w:tc>
          <w:tcPr>
            <w:tcW w:w="1514" w:type="dxa"/>
            <w:noWrap w:val="0"/>
            <w:vAlign w:val="center"/>
          </w:tcPr>
          <w:p w14:paraId="5A9E220E">
            <w:pPr>
              <w:spacing w:line="360" w:lineRule="auto"/>
              <w:jc w:val="center"/>
              <w:rPr>
                <w:rFonts w:hint="eastAsia" w:ascii="Times New Roman" w:hAnsi="宋体" w:eastAsia="宋体" w:cs="Times New Roman"/>
                <w:szCs w:val="21"/>
                <w:lang w:val="en-US" w:eastAsia="zh-CN"/>
              </w:rPr>
            </w:pPr>
            <w:r>
              <w:rPr>
                <w:rFonts w:hint="eastAsia" w:ascii="Times New Roman" w:hAnsi="宋体" w:eastAsia="宋体" w:cs="Times New Roman"/>
                <w:szCs w:val="21"/>
                <w:lang w:val="en-US" w:eastAsia="zh-CN"/>
              </w:rPr>
              <w:t>2分</w:t>
            </w:r>
          </w:p>
        </w:tc>
      </w:tr>
      <w:tr w14:paraId="6379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08" w:type="dxa"/>
            <w:gridSpan w:val="2"/>
            <w:vMerge w:val="restart"/>
            <w:noWrap w:val="0"/>
            <w:vAlign w:val="center"/>
          </w:tcPr>
          <w:p w14:paraId="44439C3A">
            <w:pPr>
              <w:spacing w:line="360" w:lineRule="auto"/>
              <w:jc w:val="center"/>
              <w:rPr>
                <w:rFonts w:hint="eastAsia" w:hAnsi="宋体"/>
                <w:szCs w:val="21"/>
              </w:rPr>
            </w:pPr>
            <w:r>
              <w:rPr>
                <w:rFonts w:hint="eastAsia" w:hAnsi="宋体"/>
                <w:szCs w:val="21"/>
              </w:rPr>
              <w:t>满足岗位要求</w:t>
            </w:r>
          </w:p>
        </w:tc>
        <w:tc>
          <w:tcPr>
            <w:tcW w:w="6558" w:type="dxa"/>
            <w:noWrap w:val="0"/>
            <w:vAlign w:val="center"/>
          </w:tcPr>
          <w:p w14:paraId="421CB97E">
            <w:pPr>
              <w:spacing w:line="360" w:lineRule="auto"/>
              <w:rPr>
                <w:rFonts w:hint="eastAsia" w:hAnsi="宋体" w:eastAsia="宋体"/>
                <w:szCs w:val="21"/>
                <w:lang w:eastAsia="zh-CN"/>
              </w:rPr>
            </w:pPr>
            <w:r>
              <w:rPr>
                <w:rFonts w:hint="eastAsia" w:hAnsi="宋体"/>
                <w:szCs w:val="21"/>
              </w:rPr>
              <w:t>1．熟知岗位职责和本岗位应知应会</w:t>
            </w:r>
          </w:p>
        </w:tc>
        <w:tc>
          <w:tcPr>
            <w:tcW w:w="1514" w:type="dxa"/>
            <w:noWrap w:val="0"/>
            <w:vAlign w:val="center"/>
          </w:tcPr>
          <w:p w14:paraId="200EADB9">
            <w:pPr>
              <w:spacing w:line="360" w:lineRule="auto"/>
              <w:jc w:val="center"/>
              <w:rPr>
                <w:rFonts w:hint="eastAsia" w:ascii="Times New Roman" w:hAnsi="宋体" w:eastAsia="宋体" w:cs="Times New Roman"/>
                <w:szCs w:val="21"/>
                <w:lang w:val="en-US" w:eastAsia="zh-CN"/>
              </w:rPr>
            </w:pPr>
            <w:r>
              <w:rPr>
                <w:rFonts w:hint="eastAsia" w:ascii="Times New Roman" w:hAnsi="宋体" w:eastAsia="宋体" w:cs="Times New Roman"/>
                <w:szCs w:val="21"/>
                <w:lang w:val="en-US" w:eastAsia="zh-CN"/>
              </w:rPr>
              <w:t>2分</w:t>
            </w:r>
          </w:p>
        </w:tc>
      </w:tr>
      <w:tr w14:paraId="0238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08" w:type="dxa"/>
            <w:gridSpan w:val="2"/>
            <w:vMerge w:val="continue"/>
            <w:noWrap w:val="0"/>
            <w:vAlign w:val="center"/>
          </w:tcPr>
          <w:p w14:paraId="0F66CD51">
            <w:pPr>
              <w:spacing w:line="360" w:lineRule="auto"/>
              <w:jc w:val="center"/>
              <w:rPr>
                <w:rFonts w:hint="eastAsia" w:hAnsi="宋体"/>
                <w:szCs w:val="21"/>
              </w:rPr>
            </w:pPr>
          </w:p>
        </w:tc>
        <w:tc>
          <w:tcPr>
            <w:tcW w:w="6558" w:type="dxa"/>
            <w:tcBorders>
              <w:right w:val="single" w:color="auto" w:sz="4" w:space="0"/>
            </w:tcBorders>
            <w:noWrap w:val="0"/>
            <w:vAlign w:val="center"/>
          </w:tcPr>
          <w:p w14:paraId="268680C5">
            <w:pPr>
              <w:spacing w:line="360" w:lineRule="auto"/>
              <w:rPr>
                <w:rFonts w:hint="eastAsia" w:hAnsi="宋体" w:eastAsia="宋体"/>
                <w:szCs w:val="21"/>
                <w:lang w:eastAsia="zh-CN"/>
              </w:rPr>
            </w:pPr>
            <w:r>
              <w:rPr>
                <w:rFonts w:hint="eastAsia" w:hAnsi="宋体"/>
                <w:szCs w:val="21"/>
              </w:rPr>
              <w:t>2．了解基本情况：如概况、管理理念、服务要求等</w:t>
            </w:r>
          </w:p>
        </w:tc>
        <w:tc>
          <w:tcPr>
            <w:tcW w:w="1514" w:type="dxa"/>
            <w:tcBorders>
              <w:right w:val="single" w:color="auto" w:sz="4" w:space="0"/>
            </w:tcBorders>
            <w:noWrap w:val="0"/>
            <w:vAlign w:val="center"/>
          </w:tcPr>
          <w:p w14:paraId="7BA852B6">
            <w:pPr>
              <w:spacing w:line="360" w:lineRule="auto"/>
              <w:jc w:val="center"/>
              <w:rPr>
                <w:rFonts w:hint="eastAsia" w:ascii="Times New Roman" w:hAnsi="宋体" w:eastAsia="宋体" w:cs="Times New Roman"/>
                <w:szCs w:val="21"/>
                <w:lang w:val="en-US" w:eastAsia="zh-CN"/>
              </w:rPr>
            </w:pPr>
            <w:r>
              <w:rPr>
                <w:rFonts w:hint="eastAsia" w:ascii="Times New Roman" w:hAnsi="宋体" w:eastAsia="宋体" w:cs="Times New Roman"/>
                <w:szCs w:val="21"/>
                <w:lang w:val="en-US" w:eastAsia="zh-CN"/>
              </w:rPr>
              <w:t>1分</w:t>
            </w:r>
          </w:p>
        </w:tc>
      </w:tr>
      <w:tr w14:paraId="31AC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580" w:type="dxa"/>
            <w:gridSpan w:val="4"/>
            <w:tcBorders>
              <w:right w:val="single" w:color="auto" w:sz="4" w:space="0"/>
            </w:tcBorders>
            <w:noWrap w:val="0"/>
            <w:vAlign w:val="center"/>
          </w:tcPr>
          <w:p w14:paraId="4897AE0B">
            <w:pPr>
              <w:spacing w:line="360" w:lineRule="auto"/>
              <w:jc w:val="center"/>
              <w:rPr>
                <w:rFonts w:hint="eastAsia" w:hAnsi="宋体"/>
                <w:b/>
              </w:rPr>
            </w:pPr>
            <w:r>
              <w:rPr>
                <w:rFonts w:hint="eastAsia" w:hAnsi="宋体"/>
                <w:b/>
              </w:rPr>
              <w:t>二、素质要求</w:t>
            </w:r>
          </w:p>
        </w:tc>
      </w:tr>
      <w:tr w14:paraId="4927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08" w:type="dxa"/>
            <w:gridSpan w:val="2"/>
            <w:noWrap w:val="0"/>
            <w:vAlign w:val="center"/>
          </w:tcPr>
          <w:p w14:paraId="17051636">
            <w:pPr>
              <w:spacing w:line="360" w:lineRule="auto"/>
              <w:jc w:val="center"/>
              <w:rPr>
                <w:rFonts w:hint="eastAsia" w:hAnsi="宋体"/>
                <w:b/>
                <w:szCs w:val="21"/>
              </w:rPr>
            </w:pPr>
            <w:r>
              <w:rPr>
                <w:rFonts w:hint="eastAsia" w:hAnsi="宋体"/>
                <w:b/>
                <w:szCs w:val="21"/>
              </w:rPr>
              <w:t>检查项目</w:t>
            </w:r>
          </w:p>
        </w:tc>
        <w:tc>
          <w:tcPr>
            <w:tcW w:w="8072" w:type="dxa"/>
            <w:gridSpan w:val="2"/>
            <w:noWrap w:val="0"/>
            <w:vAlign w:val="center"/>
          </w:tcPr>
          <w:p w14:paraId="49F60F2C">
            <w:pPr>
              <w:spacing w:line="240" w:lineRule="atLeast"/>
              <w:jc w:val="center"/>
              <w:rPr>
                <w:rFonts w:hint="eastAsia" w:hAnsi="宋体" w:eastAsia="宋体"/>
                <w:b/>
                <w:szCs w:val="21"/>
                <w:lang w:eastAsia="zh-CN"/>
              </w:rPr>
            </w:pPr>
            <w:r>
              <w:rPr>
                <w:rFonts w:hint="eastAsia" w:hAnsi="宋体"/>
                <w:b/>
                <w:szCs w:val="21"/>
              </w:rPr>
              <w:t>达到的标准</w:t>
            </w:r>
            <w:r>
              <w:rPr>
                <w:rFonts w:hint="eastAsia" w:hAnsi="宋体"/>
                <w:b/>
                <w:szCs w:val="21"/>
                <w:lang w:eastAsia="zh-CN"/>
              </w:rPr>
              <w:t>及分数</w:t>
            </w:r>
          </w:p>
        </w:tc>
      </w:tr>
      <w:tr w14:paraId="7C56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08" w:type="dxa"/>
            <w:gridSpan w:val="2"/>
            <w:vMerge w:val="restart"/>
            <w:noWrap w:val="0"/>
            <w:vAlign w:val="center"/>
          </w:tcPr>
          <w:p w14:paraId="6EE7199D">
            <w:pPr>
              <w:spacing w:line="360" w:lineRule="auto"/>
              <w:jc w:val="center"/>
              <w:rPr>
                <w:rFonts w:hint="eastAsia" w:hAnsi="宋体"/>
                <w:szCs w:val="21"/>
              </w:rPr>
            </w:pPr>
            <w:r>
              <w:rPr>
                <w:rFonts w:hint="eastAsia" w:hAnsi="宋体"/>
                <w:szCs w:val="21"/>
              </w:rPr>
              <w:t>工作纪律</w:t>
            </w:r>
          </w:p>
        </w:tc>
        <w:tc>
          <w:tcPr>
            <w:tcW w:w="6558" w:type="dxa"/>
            <w:noWrap w:val="0"/>
            <w:vAlign w:val="center"/>
          </w:tcPr>
          <w:p w14:paraId="5CE1146E">
            <w:pPr>
              <w:pStyle w:val="32"/>
              <w:spacing w:line="360" w:lineRule="auto"/>
              <w:rPr>
                <w:rFonts w:hint="eastAsia" w:hAnsi="宋体"/>
                <w:b/>
              </w:rPr>
            </w:pPr>
            <w:r>
              <w:rPr>
                <w:rFonts w:hint="eastAsia" w:hAnsi="宋体"/>
              </w:rPr>
              <w:t xml:space="preserve">1.严禁聚众赌博、监守自盗、任何刑事事件和违反治安等行为 </w:t>
            </w:r>
          </w:p>
        </w:tc>
        <w:tc>
          <w:tcPr>
            <w:tcW w:w="1514" w:type="dxa"/>
            <w:noWrap w:val="0"/>
            <w:vAlign w:val="center"/>
          </w:tcPr>
          <w:p w14:paraId="1B7D4236">
            <w:pPr>
              <w:pStyle w:val="32"/>
              <w:spacing w:line="360" w:lineRule="auto"/>
              <w:jc w:val="center"/>
              <w:rPr>
                <w:rFonts w:hint="default" w:hAnsi="宋体"/>
                <w:lang w:val="en-US" w:eastAsia="zh-CN"/>
              </w:rPr>
            </w:pPr>
            <w:r>
              <w:rPr>
                <w:rFonts w:hint="eastAsia" w:hAnsi="宋体"/>
                <w:lang w:val="en-US" w:eastAsia="zh-CN"/>
              </w:rPr>
              <w:t>3分</w:t>
            </w:r>
          </w:p>
        </w:tc>
      </w:tr>
      <w:tr w14:paraId="24B0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508" w:type="dxa"/>
            <w:gridSpan w:val="2"/>
            <w:vMerge w:val="continue"/>
            <w:noWrap w:val="0"/>
            <w:vAlign w:val="center"/>
          </w:tcPr>
          <w:p w14:paraId="07850671">
            <w:pPr>
              <w:spacing w:line="360" w:lineRule="auto"/>
              <w:jc w:val="center"/>
              <w:rPr>
                <w:rFonts w:hint="eastAsia" w:hAnsi="宋体"/>
                <w:szCs w:val="21"/>
              </w:rPr>
            </w:pPr>
          </w:p>
        </w:tc>
        <w:tc>
          <w:tcPr>
            <w:tcW w:w="6558" w:type="dxa"/>
            <w:noWrap w:val="0"/>
            <w:vAlign w:val="center"/>
          </w:tcPr>
          <w:p w14:paraId="486A69EE">
            <w:pPr>
              <w:pStyle w:val="32"/>
              <w:spacing w:line="360" w:lineRule="auto"/>
              <w:rPr>
                <w:rFonts w:hint="eastAsia" w:hAnsi="宋体" w:eastAsia="宋体"/>
                <w:lang w:eastAsia="zh-CN"/>
              </w:rPr>
            </w:pPr>
            <w:r>
              <w:rPr>
                <w:rFonts w:hint="eastAsia" w:hAnsi="宋体"/>
              </w:rPr>
              <w:t>2.要礼貌待客，严禁用粗言秽语，讥讽客人或对客人不礼貌，以及因保安服务原因造成业主投诉</w:t>
            </w:r>
          </w:p>
        </w:tc>
        <w:tc>
          <w:tcPr>
            <w:tcW w:w="1514" w:type="dxa"/>
            <w:noWrap w:val="0"/>
            <w:vAlign w:val="center"/>
          </w:tcPr>
          <w:p w14:paraId="2A0ED868">
            <w:pPr>
              <w:pStyle w:val="32"/>
              <w:spacing w:line="360" w:lineRule="auto"/>
              <w:jc w:val="center"/>
              <w:rPr>
                <w:rFonts w:hint="eastAsia" w:hAnsi="宋体" w:eastAsia="宋体"/>
                <w:lang w:val="en-US" w:eastAsia="zh-CN"/>
              </w:rPr>
            </w:pPr>
            <w:r>
              <w:rPr>
                <w:rFonts w:hint="eastAsia" w:hAnsi="宋体"/>
                <w:lang w:val="en-US" w:eastAsia="zh-CN"/>
              </w:rPr>
              <w:t>3分</w:t>
            </w:r>
          </w:p>
        </w:tc>
      </w:tr>
      <w:tr w14:paraId="4454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08" w:type="dxa"/>
            <w:gridSpan w:val="2"/>
            <w:vMerge w:val="continue"/>
            <w:noWrap w:val="0"/>
            <w:vAlign w:val="center"/>
          </w:tcPr>
          <w:p w14:paraId="6BBCF0E1">
            <w:pPr>
              <w:spacing w:line="360" w:lineRule="auto"/>
              <w:jc w:val="center"/>
              <w:rPr>
                <w:rFonts w:hint="eastAsia" w:hAnsi="宋体"/>
                <w:szCs w:val="21"/>
              </w:rPr>
            </w:pPr>
          </w:p>
        </w:tc>
        <w:tc>
          <w:tcPr>
            <w:tcW w:w="6558" w:type="dxa"/>
            <w:noWrap w:val="0"/>
            <w:vAlign w:val="center"/>
          </w:tcPr>
          <w:p w14:paraId="2677CEFC">
            <w:pPr>
              <w:pStyle w:val="32"/>
              <w:spacing w:line="360" w:lineRule="auto"/>
              <w:rPr>
                <w:rFonts w:hint="eastAsia" w:hAnsi="宋体" w:eastAsia="宋体"/>
                <w:lang w:eastAsia="zh-CN"/>
              </w:rPr>
            </w:pPr>
            <w:r>
              <w:rPr>
                <w:rFonts w:hint="eastAsia" w:hAnsi="宋体"/>
              </w:rPr>
              <w:t>3．爱护小区各种公共财物，不得故意损坏小区内任何公共财物</w:t>
            </w:r>
          </w:p>
        </w:tc>
        <w:tc>
          <w:tcPr>
            <w:tcW w:w="1514" w:type="dxa"/>
            <w:noWrap w:val="0"/>
            <w:vAlign w:val="center"/>
          </w:tcPr>
          <w:p w14:paraId="31A1BFF7">
            <w:pPr>
              <w:pStyle w:val="32"/>
              <w:spacing w:line="360" w:lineRule="auto"/>
              <w:jc w:val="center"/>
              <w:rPr>
                <w:rFonts w:hint="eastAsia" w:hAnsi="宋体" w:eastAsia="宋体"/>
                <w:lang w:val="en-US" w:eastAsia="zh-CN"/>
              </w:rPr>
            </w:pPr>
            <w:r>
              <w:rPr>
                <w:rFonts w:hint="eastAsia" w:hAnsi="宋体"/>
                <w:lang w:val="en-US" w:eastAsia="zh-CN"/>
              </w:rPr>
              <w:t>3分</w:t>
            </w:r>
          </w:p>
        </w:tc>
      </w:tr>
      <w:tr w14:paraId="5167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08" w:type="dxa"/>
            <w:gridSpan w:val="2"/>
            <w:vMerge w:val="continue"/>
            <w:noWrap w:val="0"/>
            <w:vAlign w:val="center"/>
          </w:tcPr>
          <w:p w14:paraId="01B00227">
            <w:pPr>
              <w:spacing w:line="360" w:lineRule="auto"/>
              <w:jc w:val="center"/>
              <w:rPr>
                <w:rFonts w:hint="eastAsia" w:hAnsi="宋体"/>
                <w:szCs w:val="21"/>
              </w:rPr>
            </w:pPr>
          </w:p>
        </w:tc>
        <w:tc>
          <w:tcPr>
            <w:tcW w:w="6558" w:type="dxa"/>
            <w:noWrap w:val="0"/>
            <w:vAlign w:val="center"/>
          </w:tcPr>
          <w:p w14:paraId="2DD2A4E9">
            <w:pPr>
              <w:pStyle w:val="32"/>
              <w:spacing w:line="360" w:lineRule="auto"/>
              <w:rPr>
                <w:rFonts w:hint="eastAsia" w:hAnsi="宋体" w:eastAsia="宋体"/>
                <w:lang w:val="en-US" w:eastAsia="zh-CN"/>
              </w:rPr>
            </w:pPr>
            <w:r>
              <w:rPr>
                <w:rFonts w:hint="eastAsia" w:hAnsi="宋体"/>
              </w:rPr>
              <w:t>4. 严禁工作时间内擅自进入小区非乙方服务区域内</w:t>
            </w:r>
          </w:p>
        </w:tc>
        <w:tc>
          <w:tcPr>
            <w:tcW w:w="1514" w:type="dxa"/>
            <w:noWrap w:val="0"/>
            <w:vAlign w:val="center"/>
          </w:tcPr>
          <w:p w14:paraId="3B48A283">
            <w:pPr>
              <w:pStyle w:val="32"/>
              <w:spacing w:line="360" w:lineRule="auto"/>
              <w:jc w:val="center"/>
              <w:rPr>
                <w:rFonts w:hint="eastAsia" w:hAnsi="宋体" w:eastAsia="宋体"/>
                <w:lang w:val="en-US" w:eastAsia="zh-CN"/>
              </w:rPr>
            </w:pPr>
            <w:r>
              <w:rPr>
                <w:rFonts w:hint="eastAsia" w:hAnsi="宋体"/>
                <w:lang w:val="en-US" w:eastAsia="zh-CN"/>
              </w:rPr>
              <w:t>3分</w:t>
            </w:r>
          </w:p>
        </w:tc>
      </w:tr>
      <w:tr w14:paraId="20A9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08" w:type="dxa"/>
            <w:gridSpan w:val="2"/>
            <w:vMerge w:val="continue"/>
            <w:noWrap w:val="0"/>
            <w:vAlign w:val="center"/>
          </w:tcPr>
          <w:p w14:paraId="53AD5E9E">
            <w:pPr>
              <w:spacing w:line="360" w:lineRule="auto"/>
              <w:jc w:val="center"/>
              <w:rPr>
                <w:rFonts w:hint="eastAsia" w:hAnsi="宋体"/>
                <w:szCs w:val="21"/>
              </w:rPr>
            </w:pPr>
          </w:p>
        </w:tc>
        <w:tc>
          <w:tcPr>
            <w:tcW w:w="6558" w:type="dxa"/>
            <w:noWrap w:val="0"/>
            <w:vAlign w:val="center"/>
          </w:tcPr>
          <w:p w14:paraId="7EC08B6B">
            <w:pPr>
              <w:pStyle w:val="32"/>
              <w:spacing w:line="360" w:lineRule="auto"/>
              <w:rPr>
                <w:rFonts w:hint="eastAsia" w:hAnsi="宋体" w:eastAsia="宋体"/>
                <w:lang w:eastAsia="zh-CN"/>
              </w:rPr>
            </w:pPr>
            <w:r>
              <w:rPr>
                <w:rFonts w:hint="eastAsia" w:hAnsi="宋体"/>
              </w:rPr>
              <w:t>5. 严禁出现危害他人和业主的行为</w:t>
            </w:r>
          </w:p>
        </w:tc>
        <w:tc>
          <w:tcPr>
            <w:tcW w:w="1514" w:type="dxa"/>
            <w:noWrap w:val="0"/>
            <w:vAlign w:val="center"/>
          </w:tcPr>
          <w:p w14:paraId="563CD59B">
            <w:pPr>
              <w:pStyle w:val="32"/>
              <w:spacing w:line="360" w:lineRule="auto"/>
              <w:jc w:val="center"/>
              <w:rPr>
                <w:rFonts w:hint="eastAsia" w:hAnsi="宋体" w:eastAsia="宋体"/>
                <w:lang w:val="en-US" w:eastAsia="zh-CN"/>
              </w:rPr>
            </w:pPr>
            <w:r>
              <w:rPr>
                <w:rFonts w:hint="eastAsia" w:hAnsi="宋体"/>
                <w:lang w:val="en-US" w:eastAsia="zh-CN"/>
              </w:rPr>
              <w:t>3分</w:t>
            </w:r>
          </w:p>
        </w:tc>
      </w:tr>
      <w:tr w14:paraId="225B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08" w:type="dxa"/>
            <w:gridSpan w:val="2"/>
            <w:vMerge w:val="continue"/>
            <w:noWrap w:val="0"/>
            <w:vAlign w:val="center"/>
          </w:tcPr>
          <w:p w14:paraId="528C1F06">
            <w:pPr>
              <w:spacing w:line="360" w:lineRule="auto"/>
              <w:jc w:val="center"/>
              <w:rPr>
                <w:rFonts w:hint="eastAsia" w:hAnsi="宋体"/>
                <w:szCs w:val="21"/>
              </w:rPr>
            </w:pPr>
          </w:p>
        </w:tc>
        <w:tc>
          <w:tcPr>
            <w:tcW w:w="6558" w:type="dxa"/>
            <w:noWrap w:val="0"/>
            <w:vAlign w:val="center"/>
          </w:tcPr>
          <w:p w14:paraId="57E957CF">
            <w:pPr>
              <w:pStyle w:val="32"/>
              <w:spacing w:line="360" w:lineRule="auto"/>
              <w:rPr>
                <w:rFonts w:hint="eastAsia" w:hAnsi="宋体" w:eastAsia="宋体"/>
                <w:lang w:eastAsia="zh-CN"/>
              </w:rPr>
            </w:pPr>
            <w:r>
              <w:rPr>
                <w:rFonts w:hint="eastAsia" w:hAnsi="宋体"/>
              </w:rPr>
              <w:t>6. 保安员严禁从事第二职业</w:t>
            </w:r>
          </w:p>
        </w:tc>
        <w:tc>
          <w:tcPr>
            <w:tcW w:w="1514" w:type="dxa"/>
            <w:noWrap w:val="0"/>
            <w:vAlign w:val="center"/>
          </w:tcPr>
          <w:p w14:paraId="09FCFB10">
            <w:pPr>
              <w:pStyle w:val="32"/>
              <w:spacing w:line="360" w:lineRule="auto"/>
              <w:jc w:val="center"/>
              <w:rPr>
                <w:rFonts w:hint="default" w:hAnsi="宋体" w:eastAsia="宋体"/>
                <w:lang w:val="en-US" w:eastAsia="zh-CN"/>
              </w:rPr>
            </w:pPr>
            <w:r>
              <w:rPr>
                <w:rFonts w:hint="eastAsia" w:hAnsi="宋体"/>
                <w:lang w:val="en-US" w:eastAsia="zh-CN"/>
              </w:rPr>
              <w:t>1分</w:t>
            </w:r>
          </w:p>
        </w:tc>
      </w:tr>
      <w:tr w14:paraId="00DB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508" w:type="dxa"/>
            <w:gridSpan w:val="2"/>
            <w:vMerge w:val="continue"/>
            <w:noWrap w:val="0"/>
            <w:vAlign w:val="center"/>
          </w:tcPr>
          <w:p w14:paraId="4C3523F1">
            <w:pPr>
              <w:spacing w:line="360" w:lineRule="auto"/>
              <w:jc w:val="center"/>
              <w:rPr>
                <w:rFonts w:hint="eastAsia" w:hAnsi="宋体"/>
                <w:szCs w:val="21"/>
              </w:rPr>
            </w:pPr>
          </w:p>
        </w:tc>
        <w:tc>
          <w:tcPr>
            <w:tcW w:w="6558" w:type="dxa"/>
            <w:noWrap w:val="0"/>
            <w:vAlign w:val="center"/>
          </w:tcPr>
          <w:p w14:paraId="54414062">
            <w:pPr>
              <w:pStyle w:val="32"/>
              <w:spacing w:line="360" w:lineRule="auto"/>
              <w:rPr>
                <w:rFonts w:hint="eastAsia" w:hAnsi="宋体" w:eastAsia="宋体"/>
                <w:lang w:eastAsia="zh-CN"/>
              </w:rPr>
            </w:pPr>
            <w:r>
              <w:rPr>
                <w:rFonts w:hint="eastAsia" w:hAnsi="宋体"/>
              </w:rPr>
              <w:t>7.工作时严禁打私人电话、抽烟、会客、</w:t>
            </w:r>
            <w:r>
              <w:rPr>
                <w:rFonts w:hint="eastAsia" w:hAnsi="宋体"/>
                <w:lang w:eastAsia="zh-CN"/>
              </w:rPr>
              <w:t>喝酒</w:t>
            </w:r>
            <w:r>
              <w:rPr>
                <w:rFonts w:hint="eastAsia" w:hAnsi="宋体"/>
              </w:rPr>
              <w:t>及其他与工作无关的事</w:t>
            </w:r>
          </w:p>
        </w:tc>
        <w:tc>
          <w:tcPr>
            <w:tcW w:w="1514" w:type="dxa"/>
            <w:noWrap w:val="0"/>
            <w:vAlign w:val="center"/>
          </w:tcPr>
          <w:p w14:paraId="7249BBB8">
            <w:pPr>
              <w:pStyle w:val="32"/>
              <w:spacing w:line="360" w:lineRule="auto"/>
              <w:jc w:val="center"/>
              <w:rPr>
                <w:rFonts w:hint="eastAsia" w:hAnsi="宋体" w:eastAsia="宋体"/>
                <w:lang w:val="en-US" w:eastAsia="zh-CN"/>
              </w:rPr>
            </w:pPr>
            <w:r>
              <w:rPr>
                <w:rFonts w:hint="eastAsia" w:hAnsi="宋体"/>
                <w:lang w:val="en-US" w:eastAsia="zh-CN"/>
              </w:rPr>
              <w:t>5分</w:t>
            </w:r>
          </w:p>
        </w:tc>
      </w:tr>
      <w:tr w14:paraId="234B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508" w:type="dxa"/>
            <w:gridSpan w:val="2"/>
            <w:vMerge w:val="continue"/>
            <w:noWrap w:val="0"/>
            <w:vAlign w:val="center"/>
          </w:tcPr>
          <w:p w14:paraId="203BF0C6">
            <w:pPr>
              <w:spacing w:line="360" w:lineRule="auto"/>
              <w:jc w:val="center"/>
              <w:rPr>
                <w:rFonts w:hint="eastAsia" w:hAnsi="宋体"/>
                <w:szCs w:val="21"/>
              </w:rPr>
            </w:pPr>
          </w:p>
        </w:tc>
        <w:tc>
          <w:tcPr>
            <w:tcW w:w="6558" w:type="dxa"/>
            <w:noWrap w:val="0"/>
            <w:vAlign w:val="center"/>
          </w:tcPr>
          <w:p w14:paraId="55F0BCA1">
            <w:pPr>
              <w:pStyle w:val="32"/>
              <w:spacing w:line="360" w:lineRule="auto"/>
              <w:rPr>
                <w:rFonts w:hint="eastAsia" w:hAnsi="宋体" w:eastAsia="宋体"/>
                <w:lang w:eastAsia="zh-CN"/>
              </w:rPr>
            </w:pPr>
            <w:r>
              <w:rPr>
                <w:rFonts w:hint="eastAsia" w:hAnsi="宋体"/>
              </w:rPr>
              <w:t>8.保安用具严禁用做工作以外用途、不得暴力操作、违规操作，现场设备有损坏的必须出具经项目管理处经理签字确认的书面材料；不使用时集中存放，摆放有序</w:t>
            </w:r>
          </w:p>
        </w:tc>
        <w:tc>
          <w:tcPr>
            <w:tcW w:w="1514" w:type="dxa"/>
            <w:noWrap w:val="0"/>
            <w:vAlign w:val="center"/>
          </w:tcPr>
          <w:p w14:paraId="43079DEB">
            <w:pPr>
              <w:pStyle w:val="32"/>
              <w:spacing w:line="360" w:lineRule="auto"/>
              <w:jc w:val="center"/>
              <w:rPr>
                <w:rFonts w:hint="eastAsia" w:hAnsi="宋体" w:eastAsia="宋体"/>
                <w:lang w:val="en-US" w:eastAsia="zh-CN"/>
              </w:rPr>
            </w:pPr>
            <w:r>
              <w:rPr>
                <w:rFonts w:hint="eastAsia" w:hAnsi="宋体"/>
                <w:lang w:val="en-US" w:eastAsia="zh-CN"/>
              </w:rPr>
              <w:t>2分</w:t>
            </w:r>
          </w:p>
        </w:tc>
      </w:tr>
      <w:tr w14:paraId="0825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08" w:type="dxa"/>
            <w:gridSpan w:val="2"/>
            <w:vMerge w:val="continue"/>
            <w:noWrap w:val="0"/>
            <w:vAlign w:val="center"/>
          </w:tcPr>
          <w:p w14:paraId="6567486D">
            <w:pPr>
              <w:spacing w:line="360" w:lineRule="auto"/>
              <w:jc w:val="center"/>
              <w:rPr>
                <w:rFonts w:hint="eastAsia" w:hAnsi="宋体"/>
                <w:szCs w:val="21"/>
              </w:rPr>
            </w:pPr>
          </w:p>
        </w:tc>
        <w:tc>
          <w:tcPr>
            <w:tcW w:w="6558" w:type="dxa"/>
            <w:noWrap w:val="0"/>
            <w:vAlign w:val="center"/>
          </w:tcPr>
          <w:p w14:paraId="77C4A812">
            <w:pPr>
              <w:pStyle w:val="32"/>
              <w:spacing w:line="360" w:lineRule="auto"/>
              <w:rPr>
                <w:rFonts w:hint="eastAsia" w:hAnsi="宋体" w:eastAsia="宋体"/>
                <w:lang w:eastAsia="zh-CN"/>
              </w:rPr>
            </w:pPr>
            <w:r>
              <w:rPr>
                <w:rFonts w:hint="eastAsia" w:hAnsi="宋体"/>
              </w:rPr>
              <w:t>9.协助社区做好属乙方保安范围内的工作</w:t>
            </w:r>
          </w:p>
        </w:tc>
        <w:tc>
          <w:tcPr>
            <w:tcW w:w="1514" w:type="dxa"/>
            <w:noWrap w:val="0"/>
            <w:vAlign w:val="center"/>
          </w:tcPr>
          <w:p w14:paraId="14C40A7A">
            <w:pPr>
              <w:pStyle w:val="32"/>
              <w:spacing w:line="360" w:lineRule="auto"/>
              <w:jc w:val="center"/>
              <w:rPr>
                <w:rFonts w:hint="eastAsia" w:hAnsi="宋体" w:eastAsia="宋体"/>
                <w:lang w:val="en-US" w:eastAsia="zh-CN"/>
              </w:rPr>
            </w:pPr>
            <w:r>
              <w:rPr>
                <w:rFonts w:hint="eastAsia" w:hAnsi="宋体"/>
                <w:lang w:val="en-US" w:eastAsia="zh-CN"/>
              </w:rPr>
              <w:t>1分</w:t>
            </w:r>
          </w:p>
        </w:tc>
      </w:tr>
      <w:tr w14:paraId="39C5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08" w:type="dxa"/>
            <w:gridSpan w:val="2"/>
            <w:vMerge w:val="continue"/>
            <w:noWrap w:val="0"/>
            <w:vAlign w:val="center"/>
          </w:tcPr>
          <w:p w14:paraId="08A51680">
            <w:pPr>
              <w:spacing w:line="360" w:lineRule="auto"/>
              <w:jc w:val="center"/>
              <w:rPr>
                <w:rFonts w:hint="eastAsia" w:hAnsi="宋体"/>
                <w:szCs w:val="21"/>
              </w:rPr>
            </w:pPr>
          </w:p>
        </w:tc>
        <w:tc>
          <w:tcPr>
            <w:tcW w:w="6558" w:type="dxa"/>
            <w:noWrap w:val="0"/>
            <w:vAlign w:val="center"/>
          </w:tcPr>
          <w:p w14:paraId="361CC0D5">
            <w:pPr>
              <w:spacing w:line="360" w:lineRule="auto"/>
              <w:rPr>
                <w:rFonts w:hint="eastAsia" w:hAnsi="宋体" w:eastAsia="宋体"/>
                <w:szCs w:val="21"/>
                <w:lang w:eastAsia="zh-CN"/>
              </w:rPr>
            </w:pPr>
            <w:r>
              <w:rPr>
                <w:rFonts w:hint="eastAsia" w:hAnsi="宋体"/>
                <w:szCs w:val="21"/>
              </w:rPr>
              <w:t xml:space="preserve">10.严禁私自为住户提供合同外服务。 </w:t>
            </w:r>
          </w:p>
        </w:tc>
        <w:tc>
          <w:tcPr>
            <w:tcW w:w="1514" w:type="dxa"/>
            <w:noWrap w:val="0"/>
            <w:vAlign w:val="center"/>
          </w:tcPr>
          <w:p w14:paraId="12F68AED">
            <w:pPr>
              <w:spacing w:line="360" w:lineRule="auto"/>
              <w:jc w:val="center"/>
              <w:rPr>
                <w:rFonts w:hint="eastAsia" w:hAnsi="宋体" w:eastAsia="宋体"/>
                <w:szCs w:val="21"/>
                <w:lang w:val="en-US" w:eastAsia="zh-CN"/>
              </w:rPr>
            </w:pPr>
            <w:r>
              <w:rPr>
                <w:rFonts w:hint="eastAsia" w:hAnsi="宋体"/>
                <w:szCs w:val="21"/>
                <w:lang w:val="en-US" w:eastAsia="zh-CN"/>
              </w:rPr>
              <w:t>1分</w:t>
            </w:r>
          </w:p>
        </w:tc>
      </w:tr>
      <w:tr w14:paraId="74AE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508" w:type="dxa"/>
            <w:gridSpan w:val="2"/>
            <w:vMerge w:val="restart"/>
            <w:noWrap w:val="0"/>
            <w:vAlign w:val="center"/>
          </w:tcPr>
          <w:p w14:paraId="12342679">
            <w:pPr>
              <w:spacing w:line="360" w:lineRule="auto"/>
              <w:jc w:val="center"/>
              <w:rPr>
                <w:rFonts w:hint="eastAsia" w:hAnsi="宋体"/>
                <w:szCs w:val="21"/>
              </w:rPr>
            </w:pPr>
            <w:r>
              <w:rPr>
                <w:rFonts w:hint="eastAsia" w:hAnsi="宋体"/>
                <w:szCs w:val="21"/>
              </w:rPr>
              <w:t>仪容仪表</w:t>
            </w:r>
          </w:p>
        </w:tc>
        <w:tc>
          <w:tcPr>
            <w:tcW w:w="6558" w:type="dxa"/>
            <w:noWrap w:val="0"/>
            <w:vAlign w:val="center"/>
          </w:tcPr>
          <w:p w14:paraId="595A9778">
            <w:pPr>
              <w:pStyle w:val="32"/>
              <w:spacing w:line="360" w:lineRule="auto"/>
              <w:rPr>
                <w:rFonts w:hint="eastAsia" w:hAnsi="宋体" w:eastAsia="宋体"/>
                <w:lang w:eastAsia="zh-CN"/>
              </w:rPr>
            </w:pPr>
            <w:r>
              <w:rPr>
                <w:rFonts w:hint="eastAsia" w:hAnsi="宋体"/>
              </w:rPr>
              <w:t>1.男职工发根不过衣领，前发不遮眼，不梳怪异发型，不染颜色（黑色除外）。每天修面，不留胡须，不留大鬓角、不得纹身、指甲不得超出指甲盖外延2mm</w:t>
            </w:r>
          </w:p>
        </w:tc>
        <w:tc>
          <w:tcPr>
            <w:tcW w:w="1514" w:type="dxa"/>
            <w:noWrap w:val="0"/>
            <w:vAlign w:val="center"/>
          </w:tcPr>
          <w:p w14:paraId="2D6BAC8E">
            <w:pPr>
              <w:pStyle w:val="32"/>
              <w:spacing w:line="360" w:lineRule="auto"/>
              <w:jc w:val="center"/>
              <w:rPr>
                <w:rFonts w:hint="eastAsia" w:hAnsi="宋体" w:eastAsia="宋体"/>
                <w:lang w:val="en-US" w:eastAsia="zh-CN"/>
              </w:rPr>
            </w:pPr>
            <w:r>
              <w:rPr>
                <w:rFonts w:hint="eastAsia" w:hAnsi="宋体"/>
                <w:lang w:val="en-US" w:eastAsia="zh-CN"/>
              </w:rPr>
              <w:t>1分</w:t>
            </w:r>
          </w:p>
        </w:tc>
      </w:tr>
      <w:tr w14:paraId="6EE7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08" w:type="dxa"/>
            <w:gridSpan w:val="2"/>
            <w:vMerge w:val="continue"/>
            <w:noWrap w:val="0"/>
            <w:vAlign w:val="center"/>
          </w:tcPr>
          <w:p w14:paraId="6570B704">
            <w:pPr>
              <w:spacing w:line="360" w:lineRule="auto"/>
              <w:jc w:val="center"/>
              <w:rPr>
                <w:rFonts w:hint="eastAsia" w:hAnsi="宋体"/>
                <w:szCs w:val="21"/>
              </w:rPr>
            </w:pPr>
          </w:p>
        </w:tc>
        <w:tc>
          <w:tcPr>
            <w:tcW w:w="6558" w:type="dxa"/>
            <w:noWrap w:val="0"/>
            <w:vAlign w:val="center"/>
          </w:tcPr>
          <w:p w14:paraId="7BD377F8">
            <w:pPr>
              <w:pStyle w:val="32"/>
              <w:spacing w:line="360" w:lineRule="auto"/>
              <w:rPr>
                <w:rFonts w:hint="eastAsia" w:hAnsi="宋体" w:eastAsia="宋体"/>
                <w:lang w:eastAsia="zh-CN"/>
              </w:rPr>
            </w:pPr>
            <w:r>
              <w:rPr>
                <w:rFonts w:hint="eastAsia" w:hAnsi="宋体"/>
              </w:rPr>
              <w:t>2. 上班时间统一着工作服，并应保持干净整洁，不得佩带饰品</w:t>
            </w:r>
          </w:p>
        </w:tc>
        <w:tc>
          <w:tcPr>
            <w:tcW w:w="1514" w:type="dxa"/>
            <w:noWrap w:val="0"/>
            <w:vAlign w:val="center"/>
          </w:tcPr>
          <w:p w14:paraId="5A0F3FE6">
            <w:pPr>
              <w:pStyle w:val="32"/>
              <w:spacing w:line="360" w:lineRule="auto"/>
              <w:jc w:val="center"/>
              <w:rPr>
                <w:rFonts w:hint="default" w:hAnsi="宋体" w:eastAsia="宋体"/>
                <w:lang w:val="en-US" w:eastAsia="zh-CN"/>
              </w:rPr>
            </w:pPr>
            <w:r>
              <w:rPr>
                <w:rFonts w:hint="eastAsia" w:hAnsi="宋体"/>
                <w:lang w:val="en-US" w:eastAsia="zh-CN"/>
              </w:rPr>
              <w:t>2分</w:t>
            </w:r>
          </w:p>
        </w:tc>
      </w:tr>
      <w:tr w14:paraId="1B30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08" w:type="dxa"/>
            <w:gridSpan w:val="2"/>
            <w:vMerge w:val="continue"/>
            <w:noWrap w:val="0"/>
            <w:vAlign w:val="center"/>
          </w:tcPr>
          <w:p w14:paraId="1B88CACF">
            <w:pPr>
              <w:spacing w:line="360" w:lineRule="auto"/>
              <w:jc w:val="center"/>
              <w:rPr>
                <w:rFonts w:hint="eastAsia" w:hAnsi="宋体"/>
                <w:szCs w:val="21"/>
              </w:rPr>
            </w:pPr>
          </w:p>
        </w:tc>
        <w:tc>
          <w:tcPr>
            <w:tcW w:w="6558" w:type="dxa"/>
            <w:noWrap w:val="0"/>
            <w:vAlign w:val="center"/>
          </w:tcPr>
          <w:p w14:paraId="29753F6F">
            <w:pPr>
              <w:pStyle w:val="32"/>
              <w:spacing w:line="360" w:lineRule="auto"/>
              <w:rPr>
                <w:rFonts w:hint="eastAsia" w:hAnsi="宋体" w:eastAsia="宋体"/>
                <w:lang w:eastAsia="zh-CN"/>
              </w:rPr>
            </w:pPr>
            <w:r>
              <w:rPr>
                <w:rFonts w:hint="eastAsia" w:hAnsi="宋体"/>
              </w:rPr>
              <w:t>3. 态度要友善、面露微笑，使用礼貌用语，不可带有情绪工作</w:t>
            </w:r>
          </w:p>
        </w:tc>
        <w:tc>
          <w:tcPr>
            <w:tcW w:w="1514" w:type="dxa"/>
            <w:noWrap w:val="0"/>
            <w:vAlign w:val="center"/>
          </w:tcPr>
          <w:p w14:paraId="65C328AC">
            <w:pPr>
              <w:pStyle w:val="32"/>
              <w:spacing w:line="360" w:lineRule="auto"/>
              <w:jc w:val="center"/>
              <w:rPr>
                <w:rFonts w:hint="eastAsia" w:hAnsi="宋体" w:eastAsia="宋体"/>
                <w:lang w:val="en-US" w:eastAsia="zh-CN"/>
              </w:rPr>
            </w:pPr>
            <w:r>
              <w:rPr>
                <w:rFonts w:hint="eastAsia" w:hAnsi="宋体"/>
                <w:lang w:val="en-US" w:eastAsia="zh-CN"/>
              </w:rPr>
              <w:t>1分</w:t>
            </w:r>
          </w:p>
        </w:tc>
      </w:tr>
      <w:tr w14:paraId="7553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08" w:type="dxa"/>
            <w:gridSpan w:val="2"/>
            <w:vMerge w:val="continue"/>
            <w:noWrap w:val="0"/>
            <w:vAlign w:val="center"/>
          </w:tcPr>
          <w:p w14:paraId="5CAF408A">
            <w:pPr>
              <w:spacing w:line="360" w:lineRule="auto"/>
              <w:jc w:val="center"/>
              <w:rPr>
                <w:rFonts w:hint="eastAsia" w:hAnsi="宋体"/>
                <w:szCs w:val="21"/>
              </w:rPr>
            </w:pPr>
          </w:p>
        </w:tc>
        <w:tc>
          <w:tcPr>
            <w:tcW w:w="6558" w:type="dxa"/>
            <w:noWrap w:val="0"/>
            <w:vAlign w:val="center"/>
          </w:tcPr>
          <w:p w14:paraId="568A1F7A">
            <w:pPr>
              <w:pStyle w:val="32"/>
              <w:spacing w:line="360" w:lineRule="auto"/>
              <w:rPr>
                <w:rFonts w:hint="eastAsia" w:hAnsi="宋体" w:eastAsia="宋体"/>
                <w:lang w:eastAsia="zh-CN"/>
              </w:rPr>
            </w:pPr>
            <w:r>
              <w:rPr>
                <w:rFonts w:hint="eastAsia" w:hAnsi="宋体"/>
              </w:rPr>
              <w:t>4．遵守甲方其它相关规定</w:t>
            </w:r>
          </w:p>
        </w:tc>
        <w:tc>
          <w:tcPr>
            <w:tcW w:w="1514" w:type="dxa"/>
            <w:noWrap w:val="0"/>
            <w:vAlign w:val="center"/>
          </w:tcPr>
          <w:p w14:paraId="6C33E1C0">
            <w:pPr>
              <w:pStyle w:val="32"/>
              <w:spacing w:line="360" w:lineRule="auto"/>
              <w:jc w:val="center"/>
              <w:rPr>
                <w:rFonts w:hint="eastAsia" w:hAnsi="宋体" w:eastAsia="宋体"/>
                <w:lang w:val="en-US" w:eastAsia="zh-CN"/>
              </w:rPr>
            </w:pPr>
            <w:r>
              <w:rPr>
                <w:rFonts w:hint="eastAsia" w:hAnsi="宋体"/>
                <w:lang w:val="en-US" w:eastAsia="zh-CN"/>
              </w:rPr>
              <w:t>1分</w:t>
            </w:r>
          </w:p>
        </w:tc>
      </w:tr>
      <w:tr w14:paraId="3897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580" w:type="dxa"/>
            <w:gridSpan w:val="4"/>
            <w:noWrap w:val="0"/>
            <w:vAlign w:val="center"/>
          </w:tcPr>
          <w:p w14:paraId="60D69427">
            <w:pPr>
              <w:spacing w:line="360" w:lineRule="auto"/>
              <w:jc w:val="center"/>
              <w:rPr>
                <w:rFonts w:hint="eastAsia" w:hAnsi="宋体"/>
                <w:b/>
              </w:rPr>
            </w:pPr>
            <w:r>
              <w:rPr>
                <w:rFonts w:hint="eastAsia" w:hAnsi="宋体"/>
                <w:b/>
              </w:rPr>
              <w:t>三、工作要求</w:t>
            </w:r>
          </w:p>
        </w:tc>
      </w:tr>
      <w:tr w14:paraId="3392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08" w:type="dxa"/>
            <w:gridSpan w:val="2"/>
            <w:noWrap w:val="0"/>
            <w:vAlign w:val="center"/>
          </w:tcPr>
          <w:p w14:paraId="07E07B0A">
            <w:pPr>
              <w:spacing w:line="360" w:lineRule="auto"/>
              <w:jc w:val="center"/>
              <w:rPr>
                <w:rFonts w:hint="eastAsia" w:hAnsi="宋体"/>
                <w:b/>
                <w:szCs w:val="21"/>
              </w:rPr>
            </w:pPr>
            <w:r>
              <w:rPr>
                <w:rFonts w:hint="eastAsia" w:hAnsi="宋体"/>
                <w:b/>
                <w:szCs w:val="21"/>
              </w:rPr>
              <w:t>检查项目</w:t>
            </w:r>
          </w:p>
        </w:tc>
        <w:tc>
          <w:tcPr>
            <w:tcW w:w="8072" w:type="dxa"/>
            <w:gridSpan w:val="2"/>
            <w:noWrap w:val="0"/>
            <w:vAlign w:val="center"/>
          </w:tcPr>
          <w:p w14:paraId="45C2BD10">
            <w:pPr>
              <w:spacing w:line="240" w:lineRule="atLeast"/>
              <w:jc w:val="center"/>
              <w:rPr>
                <w:rFonts w:hint="eastAsia" w:hAnsi="宋体" w:eastAsia="宋体"/>
                <w:b/>
                <w:szCs w:val="21"/>
                <w:lang w:eastAsia="zh-CN"/>
              </w:rPr>
            </w:pPr>
            <w:r>
              <w:rPr>
                <w:rFonts w:hint="eastAsia" w:hAnsi="宋体"/>
                <w:b/>
                <w:szCs w:val="21"/>
              </w:rPr>
              <w:t>达到的标准</w:t>
            </w:r>
            <w:r>
              <w:rPr>
                <w:rFonts w:hint="eastAsia" w:hAnsi="宋体"/>
                <w:b/>
                <w:szCs w:val="21"/>
                <w:lang w:eastAsia="zh-CN"/>
              </w:rPr>
              <w:t>及分数</w:t>
            </w:r>
          </w:p>
        </w:tc>
      </w:tr>
      <w:tr w14:paraId="10C6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08" w:type="dxa"/>
            <w:gridSpan w:val="2"/>
            <w:vMerge w:val="restart"/>
            <w:noWrap w:val="0"/>
            <w:vAlign w:val="center"/>
          </w:tcPr>
          <w:p w14:paraId="7261B86F">
            <w:pPr>
              <w:spacing w:line="360" w:lineRule="auto"/>
              <w:jc w:val="center"/>
              <w:rPr>
                <w:rFonts w:hint="eastAsia" w:hAnsi="宋体"/>
                <w:szCs w:val="21"/>
              </w:rPr>
            </w:pPr>
            <w:r>
              <w:rPr>
                <w:rFonts w:hint="eastAsia" w:hAnsi="宋体"/>
                <w:b/>
                <w:szCs w:val="21"/>
              </w:rPr>
              <w:t>准备</w:t>
            </w:r>
          </w:p>
        </w:tc>
        <w:tc>
          <w:tcPr>
            <w:tcW w:w="6558" w:type="dxa"/>
            <w:noWrap w:val="0"/>
            <w:vAlign w:val="center"/>
          </w:tcPr>
          <w:p w14:paraId="4D694A72">
            <w:pPr>
              <w:pStyle w:val="32"/>
              <w:spacing w:line="360" w:lineRule="auto"/>
              <w:rPr>
                <w:rFonts w:hint="eastAsia" w:hAnsi="宋体" w:eastAsia="宋体"/>
                <w:lang w:eastAsia="zh-CN"/>
              </w:rPr>
            </w:pPr>
            <w:r>
              <w:rPr>
                <w:rFonts w:hAnsi="宋体"/>
              </w:rPr>
              <w:t>1</w:t>
            </w:r>
            <w:r>
              <w:rPr>
                <w:rFonts w:hint="eastAsia" w:hAnsi="宋体"/>
              </w:rPr>
              <w:t>．提前</w:t>
            </w:r>
            <w:r>
              <w:rPr>
                <w:rFonts w:hAnsi="宋体"/>
              </w:rPr>
              <w:t>1</w:t>
            </w:r>
            <w:r>
              <w:rPr>
                <w:rFonts w:hint="eastAsia" w:hAnsi="宋体"/>
              </w:rPr>
              <w:t>0分钟到岗位，自检仪容仪表</w:t>
            </w:r>
            <w:r>
              <w:rPr>
                <w:rFonts w:hint="eastAsia" w:hAnsi="宋体"/>
                <w:lang w:val="en-US" w:eastAsia="zh-CN"/>
              </w:rPr>
              <w:t xml:space="preserve"> </w:t>
            </w:r>
          </w:p>
        </w:tc>
        <w:tc>
          <w:tcPr>
            <w:tcW w:w="1514" w:type="dxa"/>
            <w:noWrap w:val="0"/>
            <w:vAlign w:val="center"/>
          </w:tcPr>
          <w:p w14:paraId="1793FB73">
            <w:pPr>
              <w:pStyle w:val="32"/>
              <w:spacing w:line="360" w:lineRule="auto"/>
              <w:jc w:val="center"/>
              <w:rPr>
                <w:rFonts w:hint="eastAsia" w:hAnsi="宋体" w:eastAsia="宋体"/>
                <w:lang w:val="en-US" w:eastAsia="zh-CN"/>
              </w:rPr>
            </w:pPr>
            <w:r>
              <w:rPr>
                <w:rFonts w:hint="eastAsia" w:hAnsi="宋体"/>
                <w:lang w:val="en-US" w:eastAsia="zh-CN"/>
              </w:rPr>
              <w:t>1分</w:t>
            </w:r>
          </w:p>
        </w:tc>
      </w:tr>
      <w:tr w14:paraId="6591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08" w:type="dxa"/>
            <w:gridSpan w:val="2"/>
            <w:vMerge w:val="continue"/>
            <w:noWrap w:val="0"/>
            <w:vAlign w:val="center"/>
          </w:tcPr>
          <w:p w14:paraId="6C063C40">
            <w:pPr>
              <w:spacing w:line="360" w:lineRule="auto"/>
              <w:jc w:val="center"/>
              <w:rPr>
                <w:rFonts w:hint="eastAsia" w:hAnsi="宋体"/>
                <w:b/>
                <w:szCs w:val="21"/>
              </w:rPr>
            </w:pPr>
          </w:p>
        </w:tc>
        <w:tc>
          <w:tcPr>
            <w:tcW w:w="6558" w:type="dxa"/>
            <w:noWrap w:val="0"/>
            <w:vAlign w:val="center"/>
          </w:tcPr>
          <w:p w14:paraId="0C6CE86E">
            <w:pPr>
              <w:pStyle w:val="32"/>
              <w:spacing w:line="360" w:lineRule="auto"/>
              <w:rPr>
                <w:rFonts w:hint="eastAsia" w:hAnsi="宋体" w:eastAsia="宋体"/>
                <w:lang w:eastAsia="zh-CN"/>
              </w:rPr>
            </w:pPr>
            <w:r>
              <w:rPr>
                <w:rFonts w:hAnsi="宋体"/>
              </w:rPr>
              <w:t>2</w:t>
            </w:r>
            <w:r>
              <w:rPr>
                <w:rFonts w:hint="eastAsia" w:hAnsi="宋体"/>
              </w:rPr>
              <w:t>．交班前</w:t>
            </w:r>
            <w:r>
              <w:rPr>
                <w:rFonts w:hAnsi="宋体"/>
              </w:rPr>
              <w:t>5</w:t>
            </w:r>
            <w:r>
              <w:rPr>
                <w:rFonts w:hint="eastAsia" w:hAnsi="宋体"/>
              </w:rPr>
              <w:t>分钟，班长布置当天的工作任务及注意事项</w:t>
            </w:r>
          </w:p>
        </w:tc>
        <w:tc>
          <w:tcPr>
            <w:tcW w:w="1514" w:type="dxa"/>
            <w:noWrap w:val="0"/>
            <w:vAlign w:val="center"/>
          </w:tcPr>
          <w:p w14:paraId="7067895A">
            <w:pPr>
              <w:pStyle w:val="32"/>
              <w:spacing w:line="360" w:lineRule="auto"/>
              <w:jc w:val="center"/>
              <w:rPr>
                <w:rFonts w:hint="eastAsia" w:hAnsi="宋体" w:eastAsia="宋体"/>
                <w:lang w:val="en-US" w:eastAsia="zh-CN"/>
              </w:rPr>
            </w:pPr>
            <w:r>
              <w:rPr>
                <w:rFonts w:hint="eastAsia" w:hAnsi="宋体"/>
                <w:lang w:val="en-US" w:eastAsia="zh-CN"/>
              </w:rPr>
              <w:t>1分</w:t>
            </w:r>
          </w:p>
        </w:tc>
      </w:tr>
      <w:tr w14:paraId="1A7B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508" w:type="dxa"/>
            <w:gridSpan w:val="2"/>
            <w:vMerge w:val="restart"/>
            <w:noWrap w:val="0"/>
            <w:vAlign w:val="center"/>
          </w:tcPr>
          <w:p w14:paraId="1A7AD08D">
            <w:pPr>
              <w:pStyle w:val="32"/>
              <w:spacing w:line="360" w:lineRule="auto"/>
              <w:jc w:val="center"/>
              <w:rPr>
                <w:rFonts w:hint="eastAsia" w:hAnsi="宋体"/>
                <w:b/>
              </w:rPr>
            </w:pPr>
            <w:r>
              <w:rPr>
                <w:rFonts w:hint="eastAsia" w:hAnsi="宋体"/>
                <w:b/>
              </w:rPr>
              <w:t>接班</w:t>
            </w:r>
          </w:p>
          <w:p w14:paraId="3BF1D3AD">
            <w:pPr>
              <w:pStyle w:val="32"/>
              <w:spacing w:line="360" w:lineRule="auto"/>
              <w:jc w:val="center"/>
              <w:rPr>
                <w:rFonts w:hint="eastAsia" w:hAnsi="宋体"/>
                <w:b/>
              </w:rPr>
            </w:pPr>
            <w:r>
              <w:rPr>
                <w:rFonts w:hint="eastAsia" w:hAnsi="宋体"/>
                <w:b/>
              </w:rPr>
              <w:t>（接岗）</w:t>
            </w:r>
          </w:p>
        </w:tc>
        <w:tc>
          <w:tcPr>
            <w:tcW w:w="6558" w:type="dxa"/>
            <w:noWrap w:val="0"/>
            <w:vAlign w:val="center"/>
          </w:tcPr>
          <w:p w14:paraId="353D8BB5">
            <w:pPr>
              <w:pStyle w:val="32"/>
              <w:spacing w:line="360" w:lineRule="auto"/>
              <w:rPr>
                <w:rFonts w:hint="eastAsia" w:hAnsi="宋体" w:eastAsia="宋体"/>
                <w:lang w:eastAsia="zh-CN"/>
              </w:rPr>
            </w:pPr>
            <w:r>
              <w:rPr>
                <w:rFonts w:hAnsi="宋体"/>
              </w:rPr>
              <w:t>1</w:t>
            </w:r>
            <w:r>
              <w:rPr>
                <w:rFonts w:hint="eastAsia" w:hAnsi="宋体"/>
              </w:rPr>
              <w:t>．仔细查阅上一班记录。了解上一班次的值班情况和未完成工作，交接哨位警械等，并做好交接记录</w:t>
            </w:r>
          </w:p>
        </w:tc>
        <w:tc>
          <w:tcPr>
            <w:tcW w:w="1514" w:type="dxa"/>
            <w:noWrap w:val="0"/>
            <w:vAlign w:val="center"/>
          </w:tcPr>
          <w:p w14:paraId="591D1E05">
            <w:pPr>
              <w:pStyle w:val="32"/>
              <w:spacing w:line="360" w:lineRule="auto"/>
              <w:jc w:val="center"/>
              <w:rPr>
                <w:rFonts w:hint="eastAsia" w:hAnsi="宋体" w:eastAsia="宋体"/>
                <w:lang w:val="en-US" w:eastAsia="zh-CN"/>
              </w:rPr>
            </w:pPr>
            <w:r>
              <w:rPr>
                <w:rFonts w:hint="eastAsia" w:hAnsi="宋体"/>
                <w:lang w:val="en-US" w:eastAsia="zh-CN"/>
              </w:rPr>
              <w:t>1分</w:t>
            </w:r>
          </w:p>
        </w:tc>
      </w:tr>
      <w:tr w14:paraId="26DA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08" w:type="dxa"/>
            <w:gridSpan w:val="2"/>
            <w:vMerge w:val="continue"/>
            <w:noWrap w:val="0"/>
            <w:vAlign w:val="center"/>
          </w:tcPr>
          <w:p w14:paraId="1D37ACF1">
            <w:pPr>
              <w:pStyle w:val="32"/>
              <w:spacing w:line="360" w:lineRule="auto"/>
              <w:jc w:val="center"/>
              <w:rPr>
                <w:rFonts w:hint="eastAsia" w:hAnsi="宋体"/>
                <w:b/>
              </w:rPr>
            </w:pPr>
          </w:p>
        </w:tc>
        <w:tc>
          <w:tcPr>
            <w:tcW w:w="6558" w:type="dxa"/>
            <w:noWrap w:val="0"/>
            <w:vAlign w:val="center"/>
          </w:tcPr>
          <w:p w14:paraId="7E43666D">
            <w:pPr>
              <w:pStyle w:val="32"/>
              <w:spacing w:line="360" w:lineRule="auto"/>
              <w:rPr>
                <w:rFonts w:hint="eastAsia" w:hAnsi="宋体" w:eastAsia="宋体"/>
                <w:lang w:eastAsia="zh-CN"/>
              </w:rPr>
            </w:pPr>
            <w:r>
              <w:rPr>
                <w:rFonts w:hAnsi="宋体"/>
              </w:rPr>
              <w:t>2</w:t>
            </w:r>
            <w:r>
              <w:rPr>
                <w:rFonts w:hint="eastAsia" w:hAnsi="宋体"/>
              </w:rPr>
              <w:t>．列队赶赴分派哨位，队伍整齐有序</w:t>
            </w:r>
            <w:r>
              <w:rPr>
                <w:rFonts w:hint="eastAsia" w:hAnsi="宋体"/>
                <w:lang w:val="en-US" w:eastAsia="zh-CN"/>
              </w:rPr>
              <w:t xml:space="preserve"> </w:t>
            </w:r>
          </w:p>
        </w:tc>
        <w:tc>
          <w:tcPr>
            <w:tcW w:w="1514" w:type="dxa"/>
            <w:noWrap w:val="0"/>
            <w:vAlign w:val="center"/>
          </w:tcPr>
          <w:p w14:paraId="3F5E6448">
            <w:pPr>
              <w:pStyle w:val="32"/>
              <w:spacing w:line="360" w:lineRule="auto"/>
              <w:jc w:val="center"/>
              <w:rPr>
                <w:rFonts w:hint="eastAsia" w:hAnsi="宋体" w:eastAsia="宋体"/>
                <w:lang w:val="en-US" w:eastAsia="zh-CN"/>
              </w:rPr>
            </w:pPr>
            <w:r>
              <w:rPr>
                <w:rFonts w:hint="eastAsia" w:hAnsi="宋体"/>
                <w:lang w:val="en-US" w:eastAsia="zh-CN"/>
              </w:rPr>
              <w:t>1分</w:t>
            </w:r>
          </w:p>
        </w:tc>
      </w:tr>
      <w:tr w14:paraId="73CA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93" w:type="dxa"/>
            <w:vMerge w:val="restart"/>
            <w:noWrap w:val="0"/>
            <w:vAlign w:val="center"/>
          </w:tcPr>
          <w:p w14:paraId="126C6E9A">
            <w:pPr>
              <w:spacing w:line="360" w:lineRule="auto"/>
              <w:jc w:val="center"/>
              <w:rPr>
                <w:rFonts w:hint="eastAsia" w:hAnsi="宋体"/>
                <w:szCs w:val="21"/>
              </w:rPr>
            </w:pPr>
            <w:r>
              <w:rPr>
                <w:rFonts w:hint="eastAsia" w:hAnsi="宋体"/>
                <w:szCs w:val="21"/>
              </w:rPr>
              <w:t>通用要求</w:t>
            </w:r>
          </w:p>
        </w:tc>
        <w:tc>
          <w:tcPr>
            <w:tcW w:w="815" w:type="dxa"/>
            <w:noWrap w:val="0"/>
            <w:vAlign w:val="center"/>
          </w:tcPr>
          <w:p w14:paraId="56C01125">
            <w:pPr>
              <w:spacing w:line="360" w:lineRule="auto"/>
              <w:jc w:val="center"/>
              <w:rPr>
                <w:rFonts w:hint="eastAsia" w:hAnsi="宋体"/>
                <w:szCs w:val="21"/>
              </w:rPr>
            </w:pPr>
            <w:r>
              <w:rPr>
                <w:rFonts w:hint="eastAsia" w:hAnsi="宋体"/>
                <w:szCs w:val="21"/>
              </w:rPr>
              <w:t>记录要求</w:t>
            </w:r>
          </w:p>
        </w:tc>
        <w:tc>
          <w:tcPr>
            <w:tcW w:w="6558" w:type="dxa"/>
            <w:noWrap w:val="0"/>
            <w:vAlign w:val="center"/>
          </w:tcPr>
          <w:p w14:paraId="66C30124">
            <w:pPr>
              <w:pStyle w:val="32"/>
              <w:spacing w:line="360" w:lineRule="auto"/>
              <w:rPr>
                <w:rFonts w:hint="eastAsia" w:hAnsi="宋体" w:eastAsia="宋体"/>
                <w:lang w:eastAsia="zh-CN"/>
              </w:rPr>
            </w:pPr>
            <w:r>
              <w:rPr>
                <w:rFonts w:hint="eastAsia" w:hAnsi="宋体"/>
              </w:rPr>
              <w:t>各种记录保存完好，字迹清楚明了，无丢失、无赃污等，并及时上交存档</w:t>
            </w:r>
            <w:r>
              <w:rPr>
                <w:rFonts w:hint="eastAsia" w:hAnsi="宋体"/>
                <w:lang w:val="en-US" w:eastAsia="zh-CN"/>
              </w:rPr>
              <w:t xml:space="preserve"> </w:t>
            </w:r>
          </w:p>
        </w:tc>
        <w:tc>
          <w:tcPr>
            <w:tcW w:w="1514" w:type="dxa"/>
            <w:noWrap w:val="0"/>
            <w:vAlign w:val="center"/>
          </w:tcPr>
          <w:p w14:paraId="65F38C92">
            <w:pPr>
              <w:spacing w:line="360" w:lineRule="auto"/>
              <w:jc w:val="center"/>
              <w:rPr>
                <w:rFonts w:hint="eastAsia" w:hAnsi="宋体" w:eastAsia="宋体"/>
                <w:szCs w:val="21"/>
                <w:lang w:val="en-US" w:eastAsia="zh-CN"/>
              </w:rPr>
            </w:pPr>
            <w:r>
              <w:rPr>
                <w:rFonts w:hint="eastAsia" w:hAnsi="宋体"/>
                <w:szCs w:val="21"/>
                <w:lang w:val="en-US" w:eastAsia="zh-CN"/>
              </w:rPr>
              <w:t>1分</w:t>
            </w:r>
          </w:p>
        </w:tc>
      </w:tr>
      <w:tr w14:paraId="4308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93" w:type="dxa"/>
            <w:vMerge w:val="continue"/>
            <w:noWrap w:val="0"/>
            <w:vAlign w:val="center"/>
          </w:tcPr>
          <w:p w14:paraId="12C4D227">
            <w:pPr>
              <w:spacing w:line="360" w:lineRule="auto"/>
              <w:jc w:val="center"/>
              <w:rPr>
                <w:rFonts w:hint="eastAsia" w:hAnsi="宋体"/>
                <w:szCs w:val="21"/>
              </w:rPr>
            </w:pPr>
          </w:p>
        </w:tc>
        <w:tc>
          <w:tcPr>
            <w:tcW w:w="815" w:type="dxa"/>
            <w:noWrap w:val="0"/>
            <w:vAlign w:val="center"/>
          </w:tcPr>
          <w:p w14:paraId="22ED7949">
            <w:pPr>
              <w:spacing w:line="360" w:lineRule="auto"/>
              <w:jc w:val="center"/>
              <w:rPr>
                <w:rFonts w:hint="eastAsia" w:hAnsi="宋体"/>
                <w:szCs w:val="21"/>
              </w:rPr>
            </w:pPr>
            <w:r>
              <w:rPr>
                <w:rFonts w:hint="eastAsia" w:hAnsi="宋体"/>
                <w:szCs w:val="21"/>
              </w:rPr>
              <w:t>相关责任</w:t>
            </w:r>
          </w:p>
        </w:tc>
        <w:tc>
          <w:tcPr>
            <w:tcW w:w="6558" w:type="dxa"/>
            <w:noWrap w:val="0"/>
            <w:vAlign w:val="center"/>
          </w:tcPr>
          <w:p w14:paraId="38427E11">
            <w:pPr>
              <w:pStyle w:val="32"/>
              <w:spacing w:line="360" w:lineRule="auto"/>
              <w:rPr>
                <w:rFonts w:hint="eastAsia" w:hAnsi="宋体" w:eastAsia="宋体"/>
                <w:lang w:eastAsia="zh-CN"/>
              </w:rPr>
            </w:pPr>
            <w:r>
              <w:rPr>
                <w:rFonts w:hint="eastAsia" w:hAnsi="宋体"/>
              </w:rPr>
              <w:t>各岗位保安员有责任对公共设备设施使用情况进行监督和检查，发现问题及时报修</w:t>
            </w:r>
            <w:r>
              <w:rPr>
                <w:rFonts w:hint="eastAsia" w:hAnsi="宋体"/>
                <w:lang w:val="en-US" w:eastAsia="zh-CN"/>
              </w:rPr>
              <w:t xml:space="preserve"> </w:t>
            </w:r>
          </w:p>
        </w:tc>
        <w:tc>
          <w:tcPr>
            <w:tcW w:w="1514" w:type="dxa"/>
            <w:noWrap w:val="0"/>
            <w:vAlign w:val="center"/>
          </w:tcPr>
          <w:p w14:paraId="7F6A1FED">
            <w:pPr>
              <w:spacing w:line="360" w:lineRule="auto"/>
              <w:jc w:val="center"/>
              <w:rPr>
                <w:rFonts w:hint="eastAsia" w:hAnsi="宋体" w:eastAsia="宋体"/>
                <w:szCs w:val="21"/>
                <w:lang w:val="en-US" w:eastAsia="zh-CN"/>
              </w:rPr>
            </w:pPr>
            <w:r>
              <w:rPr>
                <w:rFonts w:hint="eastAsia" w:hAnsi="宋体"/>
                <w:szCs w:val="21"/>
                <w:lang w:val="en-US" w:eastAsia="zh-CN"/>
              </w:rPr>
              <w:t>1分</w:t>
            </w:r>
          </w:p>
        </w:tc>
      </w:tr>
      <w:tr w14:paraId="5838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93" w:type="dxa"/>
            <w:vMerge w:val="continue"/>
            <w:noWrap w:val="0"/>
            <w:vAlign w:val="center"/>
          </w:tcPr>
          <w:p w14:paraId="2E4FABD2">
            <w:pPr>
              <w:spacing w:line="360" w:lineRule="auto"/>
              <w:jc w:val="center"/>
              <w:rPr>
                <w:rFonts w:hint="eastAsia" w:hAnsi="宋体"/>
                <w:szCs w:val="21"/>
              </w:rPr>
            </w:pPr>
          </w:p>
        </w:tc>
        <w:tc>
          <w:tcPr>
            <w:tcW w:w="815" w:type="dxa"/>
            <w:vMerge w:val="restart"/>
            <w:noWrap w:val="0"/>
            <w:vAlign w:val="center"/>
          </w:tcPr>
          <w:p w14:paraId="02BF1ECD">
            <w:pPr>
              <w:spacing w:line="360" w:lineRule="auto"/>
              <w:jc w:val="center"/>
              <w:rPr>
                <w:rFonts w:hint="eastAsia" w:hAnsi="宋体"/>
                <w:szCs w:val="21"/>
              </w:rPr>
            </w:pPr>
            <w:r>
              <w:rPr>
                <w:rFonts w:hint="eastAsia" w:hAnsi="宋体"/>
                <w:szCs w:val="21"/>
              </w:rPr>
              <w:t>突发事件</w:t>
            </w:r>
          </w:p>
        </w:tc>
        <w:tc>
          <w:tcPr>
            <w:tcW w:w="6558" w:type="dxa"/>
            <w:noWrap w:val="0"/>
            <w:vAlign w:val="center"/>
          </w:tcPr>
          <w:p w14:paraId="6EBB0D93">
            <w:pPr>
              <w:pStyle w:val="32"/>
              <w:spacing w:line="360" w:lineRule="auto"/>
              <w:rPr>
                <w:rFonts w:hint="eastAsia" w:hAnsi="宋体" w:eastAsia="宋体"/>
                <w:lang w:eastAsia="zh-CN"/>
              </w:rPr>
            </w:pPr>
            <w:r>
              <w:rPr>
                <w:rFonts w:hint="eastAsia" w:hAnsi="宋体"/>
              </w:rPr>
              <w:t>所有保安人员，必须熟知各项应急预案，并能与实际相结合</w:t>
            </w:r>
            <w:r>
              <w:rPr>
                <w:rFonts w:hint="eastAsia" w:hAnsi="宋体"/>
                <w:lang w:val="en-US" w:eastAsia="zh-CN"/>
              </w:rPr>
              <w:t xml:space="preserve"> </w:t>
            </w:r>
          </w:p>
        </w:tc>
        <w:tc>
          <w:tcPr>
            <w:tcW w:w="1514" w:type="dxa"/>
            <w:noWrap w:val="0"/>
            <w:vAlign w:val="center"/>
          </w:tcPr>
          <w:p w14:paraId="298ACD20">
            <w:pPr>
              <w:spacing w:line="360" w:lineRule="auto"/>
              <w:jc w:val="center"/>
              <w:rPr>
                <w:rFonts w:hint="eastAsia" w:hAnsi="宋体" w:eastAsia="宋体"/>
                <w:szCs w:val="21"/>
                <w:lang w:val="en-US" w:eastAsia="zh-CN"/>
              </w:rPr>
            </w:pPr>
            <w:r>
              <w:rPr>
                <w:rFonts w:hint="eastAsia" w:hAnsi="宋体"/>
                <w:szCs w:val="21"/>
                <w:lang w:val="en-US" w:eastAsia="zh-CN"/>
              </w:rPr>
              <w:t>2分</w:t>
            </w:r>
          </w:p>
        </w:tc>
      </w:tr>
      <w:tr w14:paraId="1B1C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693" w:type="dxa"/>
            <w:vMerge w:val="continue"/>
            <w:noWrap w:val="0"/>
            <w:vAlign w:val="center"/>
          </w:tcPr>
          <w:p w14:paraId="080E1E50">
            <w:pPr>
              <w:spacing w:line="360" w:lineRule="auto"/>
              <w:jc w:val="center"/>
              <w:rPr>
                <w:rFonts w:hint="eastAsia" w:hAnsi="宋体"/>
                <w:szCs w:val="21"/>
              </w:rPr>
            </w:pPr>
          </w:p>
        </w:tc>
        <w:tc>
          <w:tcPr>
            <w:tcW w:w="815" w:type="dxa"/>
            <w:vMerge w:val="continue"/>
            <w:noWrap w:val="0"/>
            <w:vAlign w:val="center"/>
          </w:tcPr>
          <w:p w14:paraId="372E9047">
            <w:pPr>
              <w:spacing w:line="360" w:lineRule="auto"/>
              <w:jc w:val="center"/>
              <w:rPr>
                <w:rFonts w:hint="eastAsia" w:hAnsi="宋体"/>
                <w:szCs w:val="21"/>
              </w:rPr>
            </w:pPr>
          </w:p>
        </w:tc>
        <w:tc>
          <w:tcPr>
            <w:tcW w:w="6558" w:type="dxa"/>
            <w:noWrap w:val="0"/>
            <w:vAlign w:val="center"/>
          </w:tcPr>
          <w:p w14:paraId="4CF558DC">
            <w:pPr>
              <w:pStyle w:val="32"/>
              <w:spacing w:line="360" w:lineRule="auto"/>
              <w:rPr>
                <w:rFonts w:hint="eastAsia" w:hAnsi="宋体" w:eastAsia="宋体"/>
                <w:lang w:eastAsia="zh-CN"/>
              </w:rPr>
            </w:pPr>
            <w:r>
              <w:rPr>
                <w:rFonts w:hint="eastAsia" w:hAnsi="宋体"/>
              </w:rPr>
              <w:t>保安公司要制订各项突发事件的应急预案，并定期组织演习，做到有详细的年度演练计划和培训记录等。对甲方的紧急事件能给与积极响应</w:t>
            </w:r>
          </w:p>
        </w:tc>
        <w:tc>
          <w:tcPr>
            <w:tcW w:w="1514" w:type="dxa"/>
            <w:noWrap w:val="0"/>
            <w:vAlign w:val="center"/>
          </w:tcPr>
          <w:p w14:paraId="69EC9792">
            <w:pPr>
              <w:spacing w:line="360" w:lineRule="auto"/>
              <w:jc w:val="center"/>
              <w:rPr>
                <w:rFonts w:hint="eastAsia" w:hAnsi="宋体" w:eastAsia="宋体"/>
                <w:szCs w:val="21"/>
                <w:lang w:val="en-US" w:eastAsia="zh-CN"/>
              </w:rPr>
            </w:pPr>
            <w:r>
              <w:rPr>
                <w:rFonts w:hint="eastAsia" w:hAnsi="宋体"/>
                <w:szCs w:val="21"/>
                <w:lang w:val="en-US" w:eastAsia="zh-CN"/>
              </w:rPr>
              <w:t>2分</w:t>
            </w:r>
          </w:p>
        </w:tc>
      </w:tr>
      <w:tr w14:paraId="3574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93" w:type="dxa"/>
            <w:vMerge w:val="continue"/>
            <w:noWrap w:val="0"/>
            <w:vAlign w:val="center"/>
          </w:tcPr>
          <w:p w14:paraId="2520934E">
            <w:pPr>
              <w:spacing w:line="360" w:lineRule="auto"/>
              <w:jc w:val="center"/>
              <w:rPr>
                <w:rFonts w:hint="eastAsia" w:hAnsi="宋体"/>
                <w:szCs w:val="21"/>
              </w:rPr>
            </w:pPr>
          </w:p>
        </w:tc>
        <w:tc>
          <w:tcPr>
            <w:tcW w:w="815" w:type="dxa"/>
            <w:noWrap w:val="0"/>
            <w:vAlign w:val="center"/>
          </w:tcPr>
          <w:p w14:paraId="33DC24DC">
            <w:pPr>
              <w:spacing w:line="360" w:lineRule="auto"/>
              <w:jc w:val="center"/>
              <w:rPr>
                <w:rFonts w:hint="eastAsia" w:hAnsi="宋体"/>
                <w:szCs w:val="21"/>
              </w:rPr>
            </w:pPr>
            <w:r>
              <w:rPr>
                <w:rFonts w:hint="eastAsia" w:hAnsi="宋体"/>
                <w:szCs w:val="21"/>
              </w:rPr>
              <w:t>通讯设备</w:t>
            </w:r>
          </w:p>
        </w:tc>
        <w:tc>
          <w:tcPr>
            <w:tcW w:w="6558" w:type="dxa"/>
            <w:noWrap w:val="0"/>
            <w:vAlign w:val="center"/>
          </w:tcPr>
          <w:p w14:paraId="38C5C24F">
            <w:pPr>
              <w:pStyle w:val="32"/>
              <w:spacing w:line="360" w:lineRule="auto"/>
              <w:rPr>
                <w:rFonts w:hint="eastAsia" w:hAnsi="宋体" w:eastAsia="宋体"/>
                <w:lang w:eastAsia="zh-CN"/>
              </w:rPr>
            </w:pPr>
            <w:r>
              <w:rPr>
                <w:rFonts w:hint="eastAsia" w:hAnsi="宋体"/>
              </w:rPr>
              <w:t>各岗位要保证通讯器材完好，发现问题及时维修，确保出现问题时能及时保持各岗位之间的联络</w:t>
            </w:r>
          </w:p>
        </w:tc>
        <w:tc>
          <w:tcPr>
            <w:tcW w:w="1514" w:type="dxa"/>
            <w:noWrap w:val="0"/>
            <w:vAlign w:val="center"/>
          </w:tcPr>
          <w:p w14:paraId="3E54F3AC">
            <w:pPr>
              <w:spacing w:line="360" w:lineRule="auto"/>
              <w:jc w:val="center"/>
              <w:rPr>
                <w:rFonts w:hint="eastAsia" w:hAnsi="宋体" w:eastAsia="宋体"/>
                <w:szCs w:val="21"/>
                <w:lang w:val="en-US" w:eastAsia="zh-CN"/>
              </w:rPr>
            </w:pPr>
            <w:r>
              <w:rPr>
                <w:rFonts w:hint="eastAsia" w:hAnsi="宋体"/>
                <w:szCs w:val="21"/>
                <w:lang w:val="en-US" w:eastAsia="zh-CN"/>
              </w:rPr>
              <w:t>1分</w:t>
            </w:r>
          </w:p>
        </w:tc>
      </w:tr>
      <w:tr w14:paraId="424C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93" w:type="dxa"/>
            <w:vMerge w:val="continue"/>
            <w:noWrap w:val="0"/>
            <w:vAlign w:val="center"/>
          </w:tcPr>
          <w:p w14:paraId="2801AE0F">
            <w:pPr>
              <w:spacing w:line="360" w:lineRule="auto"/>
              <w:jc w:val="center"/>
              <w:rPr>
                <w:rFonts w:hint="eastAsia" w:hAnsi="宋体"/>
                <w:szCs w:val="21"/>
              </w:rPr>
            </w:pPr>
          </w:p>
        </w:tc>
        <w:tc>
          <w:tcPr>
            <w:tcW w:w="815" w:type="dxa"/>
            <w:noWrap w:val="0"/>
            <w:vAlign w:val="center"/>
          </w:tcPr>
          <w:p w14:paraId="325003BF">
            <w:pPr>
              <w:spacing w:line="360" w:lineRule="auto"/>
              <w:jc w:val="center"/>
              <w:rPr>
                <w:rFonts w:hint="eastAsia" w:hAnsi="宋体"/>
                <w:szCs w:val="21"/>
              </w:rPr>
            </w:pPr>
            <w:r>
              <w:rPr>
                <w:rFonts w:hint="eastAsia" w:hAnsi="宋体"/>
                <w:szCs w:val="21"/>
              </w:rPr>
              <w:t>消防设备</w:t>
            </w:r>
          </w:p>
        </w:tc>
        <w:tc>
          <w:tcPr>
            <w:tcW w:w="6558" w:type="dxa"/>
            <w:noWrap w:val="0"/>
            <w:vAlign w:val="center"/>
          </w:tcPr>
          <w:p w14:paraId="16FFF5FB">
            <w:pPr>
              <w:pStyle w:val="32"/>
              <w:spacing w:line="360" w:lineRule="auto"/>
              <w:rPr>
                <w:rFonts w:hint="eastAsia" w:hAnsi="宋体" w:eastAsia="宋体"/>
                <w:lang w:eastAsia="zh-CN"/>
              </w:rPr>
            </w:pPr>
            <w:r>
              <w:rPr>
                <w:rFonts w:hint="eastAsia" w:hAnsi="宋体"/>
              </w:rPr>
              <w:t>熟知消防知识、小区内消防设备、设施摆放位置，会正确使用各种消防设备设施，消防知识无盲点</w:t>
            </w:r>
            <w:r>
              <w:rPr>
                <w:rFonts w:hint="eastAsia" w:hAnsi="宋体"/>
                <w:lang w:val="en-US" w:eastAsia="zh-CN"/>
              </w:rPr>
              <w:t xml:space="preserve"> </w:t>
            </w:r>
          </w:p>
        </w:tc>
        <w:tc>
          <w:tcPr>
            <w:tcW w:w="1514" w:type="dxa"/>
            <w:noWrap w:val="0"/>
            <w:vAlign w:val="center"/>
          </w:tcPr>
          <w:p w14:paraId="73821706">
            <w:pPr>
              <w:spacing w:line="360" w:lineRule="auto"/>
              <w:jc w:val="center"/>
              <w:rPr>
                <w:rFonts w:hint="eastAsia" w:hAnsi="宋体" w:eastAsia="宋体"/>
                <w:szCs w:val="21"/>
                <w:lang w:val="en-US" w:eastAsia="zh-CN"/>
              </w:rPr>
            </w:pPr>
            <w:r>
              <w:rPr>
                <w:rFonts w:hint="eastAsia" w:hAnsi="宋体"/>
                <w:szCs w:val="21"/>
                <w:lang w:val="en-US" w:eastAsia="zh-CN"/>
              </w:rPr>
              <w:t>1分</w:t>
            </w:r>
          </w:p>
        </w:tc>
      </w:tr>
      <w:tr w14:paraId="6592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93" w:type="dxa"/>
            <w:vMerge w:val="restart"/>
            <w:noWrap w:val="0"/>
            <w:vAlign w:val="center"/>
          </w:tcPr>
          <w:p w14:paraId="1003359D">
            <w:pPr>
              <w:pStyle w:val="32"/>
              <w:spacing w:line="360" w:lineRule="auto"/>
              <w:jc w:val="center"/>
              <w:rPr>
                <w:rFonts w:hint="eastAsia" w:hAnsi="宋体"/>
              </w:rPr>
            </w:pPr>
            <w:r>
              <w:rPr>
                <w:rFonts w:hint="eastAsia" w:hAnsi="宋体"/>
              </w:rPr>
              <w:t>门岗</w:t>
            </w:r>
          </w:p>
          <w:p w14:paraId="62E66B35">
            <w:pPr>
              <w:pStyle w:val="32"/>
              <w:spacing w:line="360" w:lineRule="auto"/>
              <w:jc w:val="center"/>
              <w:rPr>
                <w:rFonts w:hAnsi="宋体"/>
              </w:rPr>
            </w:pPr>
            <w:r>
              <w:rPr>
                <w:rFonts w:hint="eastAsia" w:hAnsi="宋体"/>
              </w:rPr>
              <w:t>服务</w:t>
            </w:r>
          </w:p>
        </w:tc>
        <w:tc>
          <w:tcPr>
            <w:tcW w:w="815" w:type="dxa"/>
            <w:noWrap w:val="0"/>
            <w:vAlign w:val="center"/>
          </w:tcPr>
          <w:p w14:paraId="16116B14">
            <w:pPr>
              <w:pStyle w:val="32"/>
              <w:spacing w:line="360" w:lineRule="auto"/>
              <w:jc w:val="center"/>
              <w:rPr>
                <w:rFonts w:hint="eastAsia" w:hAnsi="宋体"/>
                <w:color w:val="auto"/>
              </w:rPr>
            </w:pPr>
            <w:r>
              <w:rPr>
                <w:rFonts w:hint="eastAsia" w:hAnsi="宋体"/>
                <w:color w:val="auto"/>
              </w:rPr>
              <w:t>车辆进入</w:t>
            </w:r>
          </w:p>
        </w:tc>
        <w:tc>
          <w:tcPr>
            <w:tcW w:w="6558" w:type="dxa"/>
            <w:noWrap w:val="0"/>
            <w:vAlign w:val="center"/>
          </w:tcPr>
          <w:p w14:paraId="206190CE">
            <w:pPr>
              <w:pStyle w:val="32"/>
              <w:spacing w:line="360" w:lineRule="auto"/>
              <w:rPr>
                <w:rFonts w:hint="eastAsia" w:hAnsi="宋体" w:eastAsia="宋体"/>
                <w:color w:val="auto"/>
                <w:lang w:eastAsia="zh-CN"/>
              </w:rPr>
            </w:pPr>
            <w:r>
              <w:rPr>
                <w:rFonts w:hint="eastAsia" w:hAnsi="宋体"/>
                <w:color w:val="auto"/>
              </w:rPr>
              <w:t>陌生车辆进入小区时要严格盘查，要求出示相关有效证件，并做好相关记录</w:t>
            </w:r>
            <w:r>
              <w:rPr>
                <w:rFonts w:hint="eastAsia" w:hAnsi="宋体"/>
                <w:color w:val="auto"/>
                <w:lang w:val="en-US" w:eastAsia="zh-CN"/>
              </w:rPr>
              <w:t xml:space="preserve"> </w:t>
            </w:r>
          </w:p>
        </w:tc>
        <w:tc>
          <w:tcPr>
            <w:tcW w:w="1514" w:type="dxa"/>
            <w:noWrap w:val="0"/>
            <w:vAlign w:val="center"/>
          </w:tcPr>
          <w:p w14:paraId="2D407943">
            <w:pPr>
              <w:pStyle w:val="32"/>
              <w:spacing w:line="360" w:lineRule="auto"/>
              <w:jc w:val="center"/>
              <w:rPr>
                <w:rFonts w:hint="eastAsia" w:hAnsi="宋体" w:eastAsia="宋体"/>
                <w:lang w:val="en-US" w:eastAsia="zh-CN"/>
              </w:rPr>
            </w:pPr>
            <w:r>
              <w:rPr>
                <w:rFonts w:hint="eastAsia" w:hAnsi="宋体"/>
                <w:lang w:val="en-US" w:eastAsia="zh-CN"/>
              </w:rPr>
              <w:t>2分</w:t>
            </w:r>
          </w:p>
        </w:tc>
      </w:tr>
      <w:tr w14:paraId="06DE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93" w:type="dxa"/>
            <w:vMerge w:val="continue"/>
            <w:noWrap w:val="0"/>
            <w:vAlign w:val="center"/>
          </w:tcPr>
          <w:p w14:paraId="0218198D">
            <w:pPr>
              <w:pStyle w:val="32"/>
              <w:spacing w:line="360" w:lineRule="auto"/>
              <w:jc w:val="center"/>
              <w:rPr>
                <w:rFonts w:hint="eastAsia" w:hAnsi="宋体"/>
              </w:rPr>
            </w:pPr>
          </w:p>
        </w:tc>
        <w:tc>
          <w:tcPr>
            <w:tcW w:w="815" w:type="dxa"/>
            <w:noWrap w:val="0"/>
            <w:vAlign w:val="center"/>
          </w:tcPr>
          <w:p w14:paraId="133BE160">
            <w:pPr>
              <w:pStyle w:val="32"/>
              <w:spacing w:line="360" w:lineRule="auto"/>
              <w:jc w:val="center"/>
              <w:rPr>
                <w:rFonts w:hint="eastAsia" w:hAnsi="宋体"/>
              </w:rPr>
            </w:pPr>
            <w:r>
              <w:rPr>
                <w:rFonts w:hint="eastAsia" w:hAnsi="宋体"/>
              </w:rPr>
              <w:t>携物出门</w:t>
            </w:r>
          </w:p>
        </w:tc>
        <w:tc>
          <w:tcPr>
            <w:tcW w:w="6558" w:type="dxa"/>
            <w:noWrap w:val="0"/>
            <w:vAlign w:val="center"/>
          </w:tcPr>
          <w:p w14:paraId="67F29C49">
            <w:pPr>
              <w:pStyle w:val="32"/>
              <w:spacing w:line="360" w:lineRule="auto"/>
              <w:rPr>
                <w:rFonts w:hint="eastAsia" w:hAnsi="宋体" w:eastAsia="宋体"/>
                <w:lang w:eastAsia="zh-CN"/>
              </w:rPr>
            </w:pPr>
            <w:r>
              <w:rPr>
                <w:rFonts w:hint="eastAsia" w:hAnsi="宋体"/>
              </w:rPr>
              <w:t>发现携物出门的大件物品需询问清楚或向相关业主核实情况后方可放行</w:t>
            </w:r>
            <w:r>
              <w:rPr>
                <w:rFonts w:hint="eastAsia" w:hAnsi="宋体"/>
                <w:lang w:val="en-US" w:eastAsia="zh-CN"/>
              </w:rPr>
              <w:t xml:space="preserve"> </w:t>
            </w:r>
          </w:p>
        </w:tc>
        <w:tc>
          <w:tcPr>
            <w:tcW w:w="1514" w:type="dxa"/>
            <w:noWrap w:val="0"/>
            <w:vAlign w:val="center"/>
          </w:tcPr>
          <w:p w14:paraId="230FB980">
            <w:pPr>
              <w:pStyle w:val="32"/>
              <w:spacing w:line="360" w:lineRule="auto"/>
              <w:jc w:val="center"/>
              <w:rPr>
                <w:rFonts w:hint="eastAsia" w:hAnsi="宋体" w:eastAsia="宋体"/>
                <w:lang w:val="en-US" w:eastAsia="zh-CN"/>
              </w:rPr>
            </w:pPr>
            <w:r>
              <w:rPr>
                <w:rFonts w:hint="eastAsia" w:hAnsi="宋体"/>
                <w:lang w:val="en-US" w:eastAsia="zh-CN"/>
              </w:rPr>
              <w:t>1分</w:t>
            </w:r>
          </w:p>
        </w:tc>
      </w:tr>
      <w:tr w14:paraId="2008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93" w:type="dxa"/>
            <w:vMerge w:val="continue"/>
            <w:noWrap w:val="0"/>
            <w:vAlign w:val="center"/>
          </w:tcPr>
          <w:p w14:paraId="2D8A9802">
            <w:pPr>
              <w:spacing w:line="360" w:lineRule="auto"/>
              <w:jc w:val="center"/>
              <w:rPr>
                <w:rFonts w:hint="eastAsia" w:hAnsi="宋体"/>
                <w:szCs w:val="21"/>
              </w:rPr>
            </w:pPr>
          </w:p>
        </w:tc>
        <w:tc>
          <w:tcPr>
            <w:tcW w:w="815" w:type="dxa"/>
            <w:noWrap w:val="0"/>
            <w:vAlign w:val="center"/>
          </w:tcPr>
          <w:p w14:paraId="60C1002F">
            <w:pPr>
              <w:spacing w:line="360" w:lineRule="auto"/>
              <w:jc w:val="center"/>
              <w:rPr>
                <w:rFonts w:hint="eastAsia" w:hAnsi="宋体"/>
                <w:szCs w:val="21"/>
              </w:rPr>
            </w:pPr>
            <w:r>
              <w:rPr>
                <w:rFonts w:hint="eastAsia" w:hAnsi="宋体"/>
                <w:szCs w:val="21"/>
              </w:rPr>
              <w:t>人员管理</w:t>
            </w:r>
          </w:p>
        </w:tc>
        <w:tc>
          <w:tcPr>
            <w:tcW w:w="6558" w:type="dxa"/>
            <w:noWrap w:val="0"/>
            <w:vAlign w:val="center"/>
          </w:tcPr>
          <w:p w14:paraId="20601F37">
            <w:pPr>
              <w:pStyle w:val="32"/>
              <w:spacing w:line="360" w:lineRule="auto"/>
              <w:rPr>
                <w:rFonts w:hint="eastAsia" w:hAnsi="宋体" w:eastAsia="宋体"/>
                <w:lang w:eastAsia="zh-CN"/>
              </w:rPr>
            </w:pPr>
            <w:r>
              <w:rPr>
                <w:rFonts w:hint="eastAsia" w:hAnsi="宋体"/>
              </w:rPr>
              <w:t>协助警务室做好流动人口管理登记工作，管理区域内无拾荒、摊贩、推销人员等进入</w:t>
            </w:r>
            <w:r>
              <w:rPr>
                <w:rFonts w:hint="eastAsia" w:hAnsi="宋体"/>
                <w:lang w:val="en-US" w:eastAsia="zh-CN"/>
              </w:rPr>
              <w:t xml:space="preserve"> </w:t>
            </w:r>
          </w:p>
        </w:tc>
        <w:tc>
          <w:tcPr>
            <w:tcW w:w="1514" w:type="dxa"/>
            <w:noWrap w:val="0"/>
            <w:vAlign w:val="center"/>
          </w:tcPr>
          <w:p w14:paraId="4F349C8D">
            <w:pPr>
              <w:pStyle w:val="32"/>
              <w:spacing w:line="360" w:lineRule="auto"/>
              <w:jc w:val="center"/>
              <w:rPr>
                <w:rFonts w:hint="eastAsia" w:hAnsi="宋体" w:eastAsia="宋体"/>
                <w:lang w:val="en-US" w:eastAsia="zh-CN"/>
              </w:rPr>
            </w:pPr>
            <w:r>
              <w:rPr>
                <w:rFonts w:hint="eastAsia" w:hAnsi="宋体"/>
                <w:lang w:val="en-US" w:eastAsia="zh-CN"/>
              </w:rPr>
              <w:t>3分</w:t>
            </w:r>
          </w:p>
        </w:tc>
      </w:tr>
      <w:tr w14:paraId="5269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93" w:type="dxa"/>
            <w:vMerge w:val="continue"/>
            <w:noWrap w:val="0"/>
            <w:vAlign w:val="center"/>
          </w:tcPr>
          <w:p w14:paraId="19191796">
            <w:pPr>
              <w:spacing w:line="360" w:lineRule="auto"/>
              <w:jc w:val="center"/>
              <w:rPr>
                <w:rFonts w:hint="eastAsia" w:hAnsi="宋体"/>
                <w:szCs w:val="21"/>
              </w:rPr>
            </w:pPr>
          </w:p>
        </w:tc>
        <w:tc>
          <w:tcPr>
            <w:tcW w:w="815" w:type="dxa"/>
            <w:noWrap w:val="0"/>
            <w:vAlign w:val="center"/>
          </w:tcPr>
          <w:p w14:paraId="0A11F23B">
            <w:pPr>
              <w:spacing w:line="360" w:lineRule="auto"/>
              <w:jc w:val="center"/>
              <w:rPr>
                <w:rFonts w:hint="eastAsia" w:hAnsi="宋体"/>
                <w:szCs w:val="21"/>
              </w:rPr>
            </w:pPr>
            <w:r>
              <w:rPr>
                <w:rFonts w:hint="eastAsia" w:hAnsi="宋体"/>
                <w:szCs w:val="21"/>
              </w:rPr>
              <w:t>门岗亭</w:t>
            </w:r>
          </w:p>
        </w:tc>
        <w:tc>
          <w:tcPr>
            <w:tcW w:w="6558" w:type="dxa"/>
            <w:noWrap w:val="0"/>
            <w:vAlign w:val="center"/>
          </w:tcPr>
          <w:p w14:paraId="20589BA2">
            <w:pPr>
              <w:pStyle w:val="32"/>
              <w:spacing w:line="360" w:lineRule="auto"/>
              <w:rPr>
                <w:rFonts w:hint="eastAsia" w:hAnsi="宋体"/>
              </w:rPr>
            </w:pPr>
            <w:r>
              <w:rPr>
                <w:rFonts w:hint="eastAsia" w:hAnsi="宋体"/>
              </w:rPr>
              <w:t>地面干净无垃圾、无杂物、办公桌面干净无尘土、玻璃透亮无尘土、</w:t>
            </w:r>
          </w:p>
          <w:p w14:paraId="19832849">
            <w:pPr>
              <w:pStyle w:val="32"/>
              <w:spacing w:line="360" w:lineRule="auto"/>
              <w:rPr>
                <w:rFonts w:hint="eastAsia" w:hAnsi="宋体" w:eastAsia="宋体"/>
                <w:lang w:eastAsia="zh-CN"/>
              </w:rPr>
            </w:pPr>
            <w:r>
              <w:rPr>
                <w:rFonts w:hint="eastAsia" w:hAnsi="宋体"/>
              </w:rPr>
              <w:t>无手印，室内无异味，物品摆放整齐，无个人物品、无乱摆乱放</w:t>
            </w:r>
          </w:p>
        </w:tc>
        <w:tc>
          <w:tcPr>
            <w:tcW w:w="1514" w:type="dxa"/>
            <w:noWrap w:val="0"/>
            <w:vAlign w:val="center"/>
          </w:tcPr>
          <w:p w14:paraId="78036D72">
            <w:pPr>
              <w:pStyle w:val="32"/>
              <w:spacing w:line="360" w:lineRule="auto"/>
              <w:jc w:val="center"/>
              <w:rPr>
                <w:rFonts w:hint="eastAsia" w:hAnsi="宋体" w:eastAsia="宋体"/>
                <w:lang w:val="en-US" w:eastAsia="zh-CN"/>
              </w:rPr>
            </w:pPr>
            <w:r>
              <w:rPr>
                <w:rFonts w:hint="eastAsia" w:hAnsi="宋体"/>
                <w:lang w:val="en-US" w:eastAsia="zh-CN"/>
              </w:rPr>
              <w:t>1分</w:t>
            </w:r>
          </w:p>
        </w:tc>
      </w:tr>
      <w:tr w14:paraId="3086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693" w:type="dxa"/>
            <w:vMerge w:val="restart"/>
            <w:noWrap w:val="0"/>
            <w:vAlign w:val="center"/>
          </w:tcPr>
          <w:p w14:paraId="0B4068E8">
            <w:pPr>
              <w:spacing w:line="360" w:lineRule="auto"/>
              <w:jc w:val="center"/>
              <w:rPr>
                <w:rFonts w:hint="eastAsia" w:hAnsi="宋体"/>
                <w:szCs w:val="21"/>
              </w:rPr>
            </w:pPr>
          </w:p>
          <w:p w14:paraId="208E4F75">
            <w:pPr>
              <w:spacing w:line="360" w:lineRule="auto"/>
              <w:jc w:val="center"/>
              <w:rPr>
                <w:rFonts w:hint="eastAsia" w:hAnsi="宋体"/>
                <w:szCs w:val="21"/>
              </w:rPr>
            </w:pPr>
          </w:p>
          <w:p w14:paraId="3D1F7F70">
            <w:pPr>
              <w:spacing w:line="360" w:lineRule="auto"/>
              <w:jc w:val="center"/>
              <w:rPr>
                <w:rFonts w:hint="eastAsia" w:hAnsi="宋体"/>
                <w:szCs w:val="21"/>
              </w:rPr>
            </w:pPr>
            <w:r>
              <w:rPr>
                <w:rFonts w:hint="eastAsia" w:hAnsi="宋体"/>
                <w:szCs w:val="21"/>
              </w:rPr>
              <w:t>巡逻</w:t>
            </w:r>
          </w:p>
          <w:p w14:paraId="3D2D652B">
            <w:pPr>
              <w:spacing w:line="360" w:lineRule="auto"/>
              <w:jc w:val="center"/>
              <w:rPr>
                <w:rFonts w:hint="eastAsia" w:hAnsi="宋体"/>
                <w:szCs w:val="21"/>
              </w:rPr>
            </w:pPr>
            <w:r>
              <w:rPr>
                <w:rFonts w:hint="eastAsia" w:hAnsi="宋体"/>
                <w:szCs w:val="21"/>
              </w:rPr>
              <w:t>服务</w:t>
            </w:r>
          </w:p>
        </w:tc>
        <w:tc>
          <w:tcPr>
            <w:tcW w:w="815" w:type="dxa"/>
            <w:vMerge w:val="restart"/>
            <w:noWrap w:val="0"/>
            <w:vAlign w:val="center"/>
          </w:tcPr>
          <w:p w14:paraId="18C2C3B4">
            <w:pPr>
              <w:spacing w:line="360" w:lineRule="auto"/>
              <w:jc w:val="center"/>
              <w:rPr>
                <w:rFonts w:hint="eastAsia" w:hAnsi="宋体"/>
                <w:szCs w:val="21"/>
              </w:rPr>
            </w:pPr>
            <w:r>
              <w:rPr>
                <w:rFonts w:hint="eastAsia" w:hAnsi="宋体"/>
                <w:szCs w:val="21"/>
              </w:rPr>
              <w:t>巡逻</w:t>
            </w:r>
          </w:p>
        </w:tc>
        <w:tc>
          <w:tcPr>
            <w:tcW w:w="6558" w:type="dxa"/>
            <w:noWrap w:val="0"/>
            <w:vAlign w:val="center"/>
          </w:tcPr>
          <w:p w14:paraId="280ED67D">
            <w:pPr>
              <w:pStyle w:val="32"/>
              <w:spacing w:line="360" w:lineRule="auto"/>
              <w:rPr>
                <w:rFonts w:hint="eastAsia" w:hAnsi="宋体" w:eastAsia="宋体"/>
                <w:lang w:eastAsia="zh-CN"/>
              </w:rPr>
            </w:pPr>
            <w:r>
              <w:rPr>
                <w:rFonts w:hint="eastAsia" w:hAnsi="宋体"/>
              </w:rPr>
              <w:t>1.管理区域内实行365天24小时全天候保安巡逻服务，无脱岗现象。要保持良好的精神状态，特别是夜间巡逻要重点观察小区内的可疑情况</w:t>
            </w:r>
            <w:r>
              <w:rPr>
                <w:rFonts w:hint="eastAsia" w:hAnsi="宋体"/>
                <w:lang w:val="en-US" w:eastAsia="zh-CN"/>
              </w:rPr>
              <w:t xml:space="preserve"> </w:t>
            </w:r>
          </w:p>
        </w:tc>
        <w:tc>
          <w:tcPr>
            <w:tcW w:w="1514" w:type="dxa"/>
            <w:noWrap w:val="0"/>
            <w:vAlign w:val="center"/>
          </w:tcPr>
          <w:p w14:paraId="64FE7915">
            <w:pPr>
              <w:pStyle w:val="32"/>
              <w:spacing w:line="360" w:lineRule="auto"/>
              <w:jc w:val="center"/>
              <w:rPr>
                <w:rFonts w:hint="eastAsia" w:hAnsi="宋体" w:eastAsia="宋体"/>
                <w:lang w:val="en-US" w:eastAsia="zh-CN"/>
              </w:rPr>
            </w:pPr>
            <w:r>
              <w:rPr>
                <w:rFonts w:hint="eastAsia" w:hAnsi="宋体"/>
                <w:lang w:val="en-US" w:eastAsia="zh-CN"/>
              </w:rPr>
              <w:t>5分</w:t>
            </w:r>
          </w:p>
        </w:tc>
      </w:tr>
      <w:tr w14:paraId="23F0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93" w:type="dxa"/>
            <w:vMerge w:val="continue"/>
            <w:noWrap w:val="0"/>
            <w:vAlign w:val="center"/>
          </w:tcPr>
          <w:p w14:paraId="571647BB">
            <w:pPr>
              <w:spacing w:line="360" w:lineRule="auto"/>
              <w:jc w:val="center"/>
              <w:rPr>
                <w:rFonts w:hint="eastAsia" w:hAnsi="宋体"/>
                <w:szCs w:val="21"/>
              </w:rPr>
            </w:pPr>
          </w:p>
        </w:tc>
        <w:tc>
          <w:tcPr>
            <w:tcW w:w="815" w:type="dxa"/>
            <w:vMerge w:val="continue"/>
            <w:noWrap w:val="0"/>
            <w:vAlign w:val="center"/>
          </w:tcPr>
          <w:p w14:paraId="40399755">
            <w:pPr>
              <w:spacing w:line="360" w:lineRule="auto"/>
              <w:jc w:val="center"/>
              <w:rPr>
                <w:rFonts w:hint="eastAsia" w:hAnsi="宋体"/>
                <w:szCs w:val="21"/>
              </w:rPr>
            </w:pPr>
          </w:p>
        </w:tc>
        <w:tc>
          <w:tcPr>
            <w:tcW w:w="6558" w:type="dxa"/>
            <w:noWrap w:val="0"/>
            <w:vAlign w:val="center"/>
          </w:tcPr>
          <w:p w14:paraId="23013885">
            <w:pPr>
              <w:pStyle w:val="32"/>
              <w:numPr>
                <w:ilvl w:val="0"/>
                <w:numId w:val="1"/>
              </w:numPr>
              <w:spacing w:line="360" w:lineRule="auto"/>
              <w:rPr>
                <w:rFonts w:hint="eastAsia" w:hAnsi="宋体"/>
                <w:color w:val="auto"/>
              </w:rPr>
            </w:pPr>
            <w:r>
              <w:rPr>
                <w:rFonts w:hint="eastAsia" w:hAnsi="宋体"/>
                <w:color w:val="auto"/>
              </w:rPr>
              <w:t>杜绝流动摊贩设摊经营及其它经营户占道、占绿化带和摆放物品现象</w:t>
            </w:r>
            <w:r>
              <w:rPr>
                <w:rFonts w:hint="eastAsia" w:hAnsi="宋体"/>
                <w:color w:val="auto"/>
                <w:lang w:val="en-US" w:eastAsia="zh-CN"/>
              </w:rPr>
              <w:t xml:space="preserve"> </w:t>
            </w:r>
          </w:p>
        </w:tc>
        <w:tc>
          <w:tcPr>
            <w:tcW w:w="1514" w:type="dxa"/>
            <w:noWrap w:val="0"/>
            <w:vAlign w:val="center"/>
          </w:tcPr>
          <w:p w14:paraId="43CEBEA8">
            <w:pPr>
              <w:pStyle w:val="32"/>
              <w:spacing w:line="360" w:lineRule="auto"/>
              <w:jc w:val="center"/>
              <w:rPr>
                <w:rFonts w:hint="eastAsia" w:hAnsi="宋体" w:eastAsia="宋体"/>
                <w:lang w:val="en-US" w:eastAsia="zh-CN"/>
              </w:rPr>
            </w:pPr>
            <w:r>
              <w:rPr>
                <w:rFonts w:hint="eastAsia" w:hAnsi="宋体"/>
                <w:lang w:val="en-US" w:eastAsia="zh-CN"/>
              </w:rPr>
              <w:t>5分</w:t>
            </w:r>
          </w:p>
        </w:tc>
      </w:tr>
      <w:tr w14:paraId="587A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93" w:type="dxa"/>
            <w:vMerge w:val="continue"/>
            <w:noWrap w:val="0"/>
            <w:vAlign w:val="center"/>
          </w:tcPr>
          <w:p w14:paraId="5CC236F3">
            <w:pPr>
              <w:spacing w:line="360" w:lineRule="auto"/>
              <w:jc w:val="center"/>
              <w:rPr>
                <w:rFonts w:hint="eastAsia" w:hAnsi="宋体"/>
                <w:szCs w:val="21"/>
              </w:rPr>
            </w:pPr>
          </w:p>
        </w:tc>
        <w:tc>
          <w:tcPr>
            <w:tcW w:w="815" w:type="dxa"/>
            <w:vMerge w:val="continue"/>
            <w:noWrap w:val="0"/>
            <w:vAlign w:val="center"/>
          </w:tcPr>
          <w:p w14:paraId="7C466EF6">
            <w:pPr>
              <w:spacing w:line="360" w:lineRule="auto"/>
              <w:jc w:val="center"/>
              <w:rPr>
                <w:rFonts w:hint="eastAsia" w:hAnsi="宋体"/>
                <w:szCs w:val="21"/>
              </w:rPr>
            </w:pPr>
          </w:p>
        </w:tc>
        <w:tc>
          <w:tcPr>
            <w:tcW w:w="6558" w:type="dxa"/>
            <w:noWrap w:val="0"/>
            <w:vAlign w:val="center"/>
          </w:tcPr>
          <w:p w14:paraId="1E549F49">
            <w:pPr>
              <w:pStyle w:val="32"/>
              <w:numPr>
                <w:ilvl w:val="0"/>
                <w:numId w:val="1"/>
              </w:numPr>
              <w:spacing w:line="360" w:lineRule="auto"/>
              <w:rPr>
                <w:rFonts w:hint="eastAsia" w:hAnsi="宋体"/>
                <w:color w:val="auto"/>
              </w:rPr>
            </w:pPr>
            <w:r>
              <w:rPr>
                <w:rFonts w:hint="eastAsia" w:hAnsi="宋体"/>
                <w:color w:val="auto"/>
                <w:lang w:eastAsia="zh-CN"/>
              </w:rPr>
              <w:t>及时制止不规范晾晒的行为，如健身器材上、公园内、充电棚下、树木上</w:t>
            </w:r>
            <w:r>
              <w:rPr>
                <w:rFonts w:hint="eastAsia" w:hAnsi="宋体"/>
                <w:color w:val="auto"/>
                <w:lang w:val="en-US" w:eastAsia="zh-CN"/>
              </w:rPr>
              <w:t xml:space="preserve"> </w:t>
            </w:r>
          </w:p>
        </w:tc>
        <w:tc>
          <w:tcPr>
            <w:tcW w:w="1514" w:type="dxa"/>
            <w:noWrap w:val="0"/>
            <w:vAlign w:val="center"/>
          </w:tcPr>
          <w:p w14:paraId="39238546">
            <w:pPr>
              <w:pStyle w:val="32"/>
              <w:spacing w:line="360" w:lineRule="auto"/>
              <w:jc w:val="center"/>
              <w:rPr>
                <w:rFonts w:hint="default" w:hAnsi="宋体" w:eastAsia="宋体"/>
                <w:lang w:val="en-US" w:eastAsia="zh-CN"/>
              </w:rPr>
            </w:pPr>
            <w:r>
              <w:rPr>
                <w:rFonts w:hint="eastAsia" w:hAnsi="宋体"/>
                <w:lang w:val="en-US" w:eastAsia="zh-CN"/>
              </w:rPr>
              <w:t>5分</w:t>
            </w:r>
          </w:p>
        </w:tc>
      </w:tr>
      <w:tr w14:paraId="0FC7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93" w:type="dxa"/>
            <w:vMerge w:val="continue"/>
            <w:noWrap w:val="0"/>
            <w:vAlign w:val="center"/>
          </w:tcPr>
          <w:p w14:paraId="0D45996E">
            <w:pPr>
              <w:spacing w:line="360" w:lineRule="auto"/>
              <w:jc w:val="center"/>
              <w:rPr>
                <w:rFonts w:hint="eastAsia" w:hAnsi="宋体"/>
                <w:szCs w:val="21"/>
              </w:rPr>
            </w:pPr>
          </w:p>
        </w:tc>
        <w:tc>
          <w:tcPr>
            <w:tcW w:w="815" w:type="dxa"/>
            <w:vMerge w:val="continue"/>
            <w:noWrap w:val="0"/>
            <w:vAlign w:val="center"/>
          </w:tcPr>
          <w:p w14:paraId="1166BA52">
            <w:pPr>
              <w:spacing w:line="360" w:lineRule="auto"/>
              <w:jc w:val="center"/>
              <w:rPr>
                <w:rFonts w:hint="eastAsia" w:hAnsi="宋体"/>
                <w:szCs w:val="21"/>
              </w:rPr>
            </w:pPr>
          </w:p>
        </w:tc>
        <w:tc>
          <w:tcPr>
            <w:tcW w:w="6558" w:type="dxa"/>
            <w:noWrap w:val="0"/>
            <w:vAlign w:val="center"/>
          </w:tcPr>
          <w:p w14:paraId="70710C69">
            <w:pPr>
              <w:pStyle w:val="32"/>
              <w:numPr>
                <w:ilvl w:val="0"/>
                <w:numId w:val="1"/>
              </w:numPr>
              <w:spacing w:line="360" w:lineRule="auto"/>
              <w:rPr>
                <w:rFonts w:hint="eastAsia" w:hAnsi="宋体"/>
                <w:color w:val="auto"/>
                <w:lang w:eastAsia="zh-CN"/>
              </w:rPr>
            </w:pPr>
            <w:r>
              <w:rPr>
                <w:rFonts w:hint="eastAsia" w:hAnsi="宋体"/>
                <w:color w:val="auto"/>
                <w:lang w:eastAsia="zh-CN"/>
              </w:rPr>
              <w:t>杜绝居民户房前屋后及弄堂中间有堆积物现象</w:t>
            </w:r>
            <w:r>
              <w:rPr>
                <w:rFonts w:hint="eastAsia" w:hAnsi="宋体"/>
                <w:color w:val="auto"/>
                <w:lang w:val="en-US" w:eastAsia="zh-CN"/>
              </w:rPr>
              <w:t xml:space="preserve"> </w:t>
            </w:r>
          </w:p>
        </w:tc>
        <w:tc>
          <w:tcPr>
            <w:tcW w:w="1514" w:type="dxa"/>
            <w:noWrap w:val="0"/>
            <w:vAlign w:val="center"/>
          </w:tcPr>
          <w:p w14:paraId="7CDD3B3E">
            <w:pPr>
              <w:pStyle w:val="32"/>
              <w:spacing w:line="360" w:lineRule="auto"/>
              <w:jc w:val="center"/>
              <w:rPr>
                <w:rFonts w:hint="default" w:hAnsi="宋体" w:eastAsia="宋体"/>
                <w:lang w:val="en-US" w:eastAsia="zh-CN"/>
              </w:rPr>
            </w:pPr>
            <w:r>
              <w:rPr>
                <w:rFonts w:hint="eastAsia" w:hAnsi="宋体"/>
                <w:lang w:val="en-US" w:eastAsia="zh-CN"/>
              </w:rPr>
              <w:t>5分</w:t>
            </w:r>
          </w:p>
        </w:tc>
      </w:tr>
      <w:tr w14:paraId="327B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93" w:type="dxa"/>
            <w:vMerge w:val="continue"/>
            <w:noWrap w:val="0"/>
            <w:vAlign w:val="center"/>
          </w:tcPr>
          <w:p w14:paraId="2A5967E8">
            <w:pPr>
              <w:spacing w:line="360" w:lineRule="auto"/>
              <w:jc w:val="center"/>
              <w:rPr>
                <w:rFonts w:hint="eastAsia" w:hAnsi="宋体"/>
                <w:szCs w:val="21"/>
              </w:rPr>
            </w:pPr>
          </w:p>
        </w:tc>
        <w:tc>
          <w:tcPr>
            <w:tcW w:w="815" w:type="dxa"/>
            <w:vMerge w:val="continue"/>
            <w:noWrap w:val="0"/>
            <w:vAlign w:val="center"/>
          </w:tcPr>
          <w:p w14:paraId="72A7DC8F">
            <w:pPr>
              <w:spacing w:line="360" w:lineRule="auto"/>
              <w:jc w:val="center"/>
              <w:rPr>
                <w:rFonts w:hint="eastAsia" w:hAnsi="宋体"/>
                <w:szCs w:val="21"/>
              </w:rPr>
            </w:pPr>
          </w:p>
        </w:tc>
        <w:tc>
          <w:tcPr>
            <w:tcW w:w="6558" w:type="dxa"/>
            <w:noWrap w:val="0"/>
            <w:vAlign w:val="center"/>
          </w:tcPr>
          <w:p w14:paraId="7F3E178A">
            <w:pPr>
              <w:pStyle w:val="32"/>
              <w:numPr>
                <w:ilvl w:val="0"/>
                <w:numId w:val="1"/>
              </w:numPr>
              <w:spacing w:line="360" w:lineRule="auto"/>
              <w:rPr>
                <w:rFonts w:hint="eastAsia" w:hAnsi="宋体"/>
                <w:color w:val="auto"/>
                <w:lang w:eastAsia="zh-CN"/>
              </w:rPr>
            </w:pPr>
            <w:r>
              <w:rPr>
                <w:rFonts w:hint="eastAsia" w:hAnsi="宋体"/>
                <w:color w:val="auto"/>
                <w:lang w:eastAsia="zh-CN"/>
              </w:rPr>
              <w:t>及时制止绿化带内种植蔬菜现象并进行处理</w:t>
            </w:r>
            <w:r>
              <w:rPr>
                <w:rFonts w:hint="eastAsia" w:hAnsi="宋体"/>
                <w:color w:val="auto"/>
                <w:lang w:val="en-US" w:eastAsia="zh-CN"/>
              </w:rPr>
              <w:t xml:space="preserve"> </w:t>
            </w:r>
          </w:p>
        </w:tc>
        <w:tc>
          <w:tcPr>
            <w:tcW w:w="1514" w:type="dxa"/>
            <w:noWrap w:val="0"/>
            <w:vAlign w:val="center"/>
          </w:tcPr>
          <w:p w14:paraId="0751152A">
            <w:pPr>
              <w:pStyle w:val="32"/>
              <w:spacing w:line="360" w:lineRule="auto"/>
              <w:jc w:val="center"/>
              <w:rPr>
                <w:rFonts w:hint="default" w:hAnsi="宋体"/>
                <w:lang w:val="en-US" w:eastAsia="zh-CN"/>
              </w:rPr>
            </w:pPr>
            <w:r>
              <w:rPr>
                <w:rFonts w:hint="eastAsia" w:hAnsi="宋体"/>
                <w:lang w:val="en-US" w:eastAsia="zh-CN"/>
              </w:rPr>
              <w:t>5分</w:t>
            </w:r>
          </w:p>
        </w:tc>
      </w:tr>
      <w:tr w14:paraId="4815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93" w:type="dxa"/>
            <w:vMerge w:val="continue"/>
            <w:noWrap w:val="0"/>
            <w:vAlign w:val="center"/>
          </w:tcPr>
          <w:p w14:paraId="07FFAA44">
            <w:pPr>
              <w:spacing w:line="360" w:lineRule="auto"/>
              <w:jc w:val="center"/>
              <w:rPr>
                <w:rFonts w:hint="eastAsia" w:hAnsi="宋体"/>
                <w:szCs w:val="21"/>
              </w:rPr>
            </w:pPr>
          </w:p>
        </w:tc>
        <w:tc>
          <w:tcPr>
            <w:tcW w:w="815" w:type="dxa"/>
            <w:noWrap w:val="0"/>
            <w:vAlign w:val="center"/>
          </w:tcPr>
          <w:p w14:paraId="6EA270E1">
            <w:pPr>
              <w:spacing w:line="360" w:lineRule="auto"/>
              <w:jc w:val="center"/>
              <w:rPr>
                <w:rFonts w:hint="eastAsia" w:hAnsi="宋体"/>
                <w:szCs w:val="21"/>
              </w:rPr>
            </w:pPr>
            <w:r>
              <w:rPr>
                <w:rFonts w:hint="eastAsia" w:hAnsi="宋体"/>
                <w:szCs w:val="21"/>
              </w:rPr>
              <w:t>装修管理</w:t>
            </w:r>
          </w:p>
        </w:tc>
        <w:tc>
          <w:tcPr>
            <w:tcW w:w="6558" w:type="dxa"/>
            <w:noWrap w:val="0"/>
            <w:vAlign w:val="center"/>
          </w:tcPr>
          <w:p w14:paraId="55BAD761">
            <w:pPr>
              <w:pStyle w:val="32"/>
              <w:spacing w:line="360" w:lineRule="auto"/>
              <w:rPr>
                <w:rFonts w:hint="eastAsia" w:hAnsi="宋体" w:eastAsia="宋体"/>
                <w:lang w:eastAsia="zh-CN"/>
              </w:rPr>
            </w:pPr>
            <w:r>
              <w:rPr>
                <w:rFonts w:hint="eastAsia" w:hAnsi="宋体"/>
              </w:rPr>
              <w:t>确保在装修规定时间外，无影响他人休息情况，小区内无乱放垃圾</w:t>
            </w:r>
            <w:r>
              <w:rPr>
                <w:rFonts w:hint="eastAsia" w:hAnsi="宋体"/>
                <w:lang w:val="en-US" w:eastAsia="zh-CN"/>
              </w:rPr>
              <w:t xml:space="preserve"> </w:t>
            </w:r>
          </w:p>
        </w:tc>
        <w:tc>
          <w:tcPr>
            <w:tcW w:w="1514" w:type="dxa"/>
            <w:noWrap w:val="0"/>
            <w:vAlign w:val="center"/>
          </w:tcPr>
          <w:p w14:paraId="64748AFE">
            <w:pPr>
              <w:pStyle w:val="32"/>
              <w:spacing w:line="360" w:lineRule="auto"/>
              <w:jc w:val="center"/>
              <w:rPr>
                <w:rFonts w:hint="eastAsia" w:hAnsi="宋体" w:eastAsia="宋体"/>
                <w:lang w:val="en-US" w:eastAsia="zh-CN"/>
              </w:rPr>
            </w:pPr>
            <w:r>
              <w:rPr>
                <w:rFonts w:hint="eastAsia" w:hAnsi="宋体"/>
                <w:lang w:val="en-US" w:eastAsia="zh-CN"/>
              </w:rPr>
              <w:t>1分</w:t>
            </w:r>
          </w:p>
        </w:tc>
      </w:tr>
      <w:tr w14:paraId="4C28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93" w:type="dxa"/>
            <w:vMerge w:val="continue"/>
            <w:noWrap w:val="0"/>
            <w:vAlign w:val="center"/>
          </w:tcPr>
          <w:p w14:paraId="702267E7">
            <w:pPr>
              <w:spacing w:line="360" w:lineRule="auto"/>
              <w:jc w:val="center"/>
              <w:rPr>
                <w:rFonts w:hint="eastAsia" w:hAnsi="宋体"/>
                <w:szCs w:val="21"/>
              </w:rPr>
            </w:pPr>
          </w:p>
        </w:tc>
        <w:tc>
          <w:tcPr>
            <w:tcW w:w="815" w:type="dxa"/>
            <w:vMerge w:val="restart"/>
            <w:noWrap w:val="0"/>
            <w:vAlign w:val="center"/>
          </w:tcPr>
          <w:p w14:paraId="0BD01FE6">
            <w:pPr>
              <w:spacing w:line="360" w:lineRule="auto"/>
              <w:jc w:val="center"/>
              <w:rPr>
                <w:rFonts w:hint="eastAsia" w:hAnsi="宋体"/>
                <w:szCs w:val="21"/>
              </w:rPr>
            </w:pPr>
            <w:r>
              <w:rPr>
                <w:rFonts w:hint="eastAsia" w:hAnsi="宋体"/>
                <w:szCs w:val="21"/>
              </w:rPr>
              <w:t>其他</w:t>
            </w:r>
          </w:p>
        </w:tc>
        <w:tc>
          <w:tcPr>
            <w:tcW w:w="6558" w:type="dxa"/>
            <w:noWrap w:val="0"/>
            <w:vAlign w:val="center"/>
          </w:tcPr>
          <w:p w14:paraId="742C5D89">
            <w:pPr>
              <w:pStyle w:val="32"/>
              <w:spacing w:line="360" w:lineRule="auto"/>
              <w:rPr>
                <w:rFonts w:hint="eastAsia" w:hAnsi="宋体" w:eastAsia="宋体"/>
                <w:lang w:eastAsia="zh-CN"/>
              </w:rPr>
            </w:pPr>
            <w:r>
              <w:rPr>
                <w:rFonts w:hint="eastAsia" w:hAnsi="宋体"/>
              </w:rPr>
              <w:t>1．及时制止乱贴小广告现象，发现可疑人员在小区内做危害小区设备设施及住户的行为要及时处理和上报</w:t>
            </w:r>
            <w:r>
              <w:rPr>
                <w:rFonts w:hint="eastAsia" w:hAnsi="宋体"/>
                <w:lang w:val="en-US" w:eastAsia="zh-CN"/>
              </w:rPr>
              <w:t xml:space="preserve"> </w:t>
            </w:r>
          </w:p>
        </w:tc>
        <w:tc>
          <w:tcPr>
            <w:tcW w:w="1514" w:type="dxa"/>
            <w:noWrap w:val="0"/>
            <w:vAlign w:val="center"/>
          </w:tcPr>
          <w:p w14:paraId="211CF85E">
            <w:pPr>
              <w:pStyle w:val="32"/>
              <w:spacing w:line="360" w:lineRule="auto"/>
              <w:jc w:val="center"/>
              <w:rPr>
                <w:rFonts w:hint="eastAsia" w:hAnsi="宋体" w:eastAsia="宋体"/>
                <w:lang w:val="en-US" w:eastAsia="zh-CN"/>
              </w:rPr>
            </w:pPr>
            <w:r>
              <w:rPr>
                <w:rFonts w:hint="eastAsia" w:hAnsi="宋体"/>
                <w:lang w:val="en-US" w:eastAsia="zh-CN"/>
              </w:rPr>
              <w:t>2分</w:t>
            </w:r>
          </w:p>
        </w:tc>
      </w:tr>
      <w:tr w14:paraId="5F46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93" w:type="dxa"/>
            <w:vMerge w:val="continue"/>
            <w:noWrap w:val="0"/>
            <w:vAlign w:val="center"/>
          </w:tcPr>
          <w:p w14:paraId="73921D19">
            <w:pPr>
              <w:spacing w:line="360" w:lineRule="auto"/>
              <w:jc w:val="center"/>
              <w:rPr>
                <w:rFonts w:hint="eastAsia" w:hAnsi="宋体"/>
                <w:szCs w:val="21"/>
              </w:rPr>
            </w:pPr>
          </w:p>
        </w:tc>
        <w:tc>
          <w:tcPr>
            <w:tcW w:w="815" w:type="dxa"/>
            <w:vMerge w:val="continue"/>
            <w:noWrap w:val="0"/>
            <w:vAlign w:val="center"/>
          </w:tcPr>
          <w:p w14:paraId="46C823DF">
            <w:pPr>
              <w:spacing w:line="360" w:lineRule="auto"/>
              <w:jc w:val="center"/>
              <w:rPr>
                <w:rFonts w:hint="eastAsia" w:hAnsi="宋体"/>
                <w:szCs w:val="21"/>
              </w:rPr>
            </w:pPr>
          </w:p>
        </w:tc>
        <w:tc>
          <w:tcPr>
            <w:tcW w:w="6558" w:type="dxa"/>
            <w:noWrap w:val="0"/>
            <w:vAlign w:val="center"/>
          </w:tcPr>
          <w:p w14:paraId="39CCB736">
            <w:pPr>
              <w:pStyle w:val="32"/>
              <w:spacing w:line="360" w:lineRule="auto"/>
              <w:rPr>
                <w:rFonts w:hint="eastAsia" w:hAnsi="宋体" w:eastAsia="宋体"/>
                <w:lang w:eastAsia="zh-CN"/>
              </w:rPr>
            </w:pPr>
            <w:r>
              <w:rPr>
                <w:rFonts w:hint="eastAsia" w:hAnsi="宋体"/>
              </w:rPr>
              <w:t>2．在巡逻期间要检查智能门禁是否关闭，发现问题及时处理并做好记录</w:t>
            </w:r>
            <w:r>
              <w:rPr>
                <w:rFonts w:hint="eastAsia" w:hAnsi="宋体"/>
                <w:lang w:val="en-US" w:eastAsia="zh-CN"/>
              </w:rPr>
              <w:t xml:space="preserve"> </w:t>
            </w:r>
          </w:p>
        </w:tc>
        <w:tc>
          <w:tcPr>
            <w:tcW w:w="1514" w:type="dxa"/>
            <w:noWrap w:val="0"/>
            <w:vAlign w:val="center"/>
          </w:tcPr>
          <w:p w14:paraId="5587E8AC">
            <w:pPr>
              <w:pStyle w:val="32"/>
              <w:spacing w:line="360" w:lineRule="auto"/>
              <w:jc w:val="center"/>
              <w:rPr>
                <w:rFonts w:hint="eastAsia" w:hAnsi="宋体" w:eastAsia="宋体"/>
                <w:lang w:val="en-US" w:eastAsia="zh-CN"/>
              </w:rPr>
            </w:pPr>
            <w:r>
              <w:rPr>
                <w:rFonts w:hint="eastAsia" w:hAnsi="宋体"/>
                <w:lang w:val="en-US" w:eastAsia="zh-CN"/>
              </w:rPr>
              <w:t>3分</w:t>
            </w:r>
          </w:p>
        </w:tc>
      </w:tr>
      <w:tr w14:paraId="0A3D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93" w:type="dxa"/>
            <w:vMerge w:val="restart"/>
            <w:tcBorders>
              <w:right w:val="single" w:color="auto" w:sz="4" w:space="0"/>
            </w:tcBorders>
            <w:noWrap w:val="0"/>
            <w:vAlign w:val="center"/>
          </w:tcPr>
          <w:p w14:paraId="66F56620">
            <w:pPr>
              <w:spacing w:line="360" w:lineRule="auto"/>
              <w:jc w:val="center"/>
              <w:rPr>
                <w:rFonts w:hint="eastAsia" w:hAnsi="宋体"/>
                <w:szCs w:val="21"/>
              </w:rPr>
            </w:pPr>
            <w:r>
              <w:rPr>
                <w:rFonts w:hint="eastAsia" w:hAnsi="宋体"/>
                <w:szCs w:val="21"/>
              </w:rPr>
              <w:t>车辆</w:t>
            </w:r>
          </w:p>
          <w:p w14:paraId="4E0B61B8">
            <w:pPr>
              <w:spacing w:line="360" w:lineRule="auto"/>
              <w:jc w:val="center"/>
              <w:rPr>
                <w:rFonts w:hint="eastAsia" w:hAnsi="宋体"/>
                <w:szCs w:val="21"/>
              </w:rPr>
            </w:pPr>
            <w:r>
              <w:rPr>
                <w:rFonts w:hint="eastAsia" w:hAnsi="宋体"/>
                <w:szCs w:val="21"/>
              </w:rPr>
              <w:t>指挥</w:t>
            </w:r>
          </w:p>
        </w:tc>
        <w:tc>
          <w:tcPr>
            <w:tcW w:w="815" w:type="dxa"/>
            <w:tcBorders>
              <w:left w:val="single" w:color="auto" w:sz="4" w:space="0"/>
            </w:tcBorders>
            <w:noWrap w:val="0"/>
            <w:vAlign w:val="top"/>
          </w:tcPr>
          <w:p w14:paraId="1E9169CC">
            <w:pPr>
              <w:spacing w:line="360" w:lineRule="auto"/>
              <w:jc w:val="center"/>
              <w:rPr>
                <w:rFonts w:hint="eastAsia" w:hAnsi="宋体"/>
                <w:szCs w:val="21"/>
              </w:rPr>
            </w:pPr>
            <w:r>
              <w:rPr>
                <w:rFonts w:hint="eastAsia" w:hAnsi="宋体"/>
                <w:szCs w:val="21"/>
              </w:rPr>
              <w:t>非机动车</w:t>
            </w:r>
          </w:p>
        </w:tc>
        <w:tc>
          <w:tcPr>
            <w:tcW w:w="6558" w:type="dxa"/>
            <w:tcBorders>
              <w:left w:val="single" w:color="auto" w:sz="4" w:space="0"/>
            </w:tcBorders>
            <w:noWrap w:val="0"/>
            <w:vAlign w:val="top"/>
          </w:tcPr>
          <w:p w14:paraId="4A9BDB64">
            <w:pPr>
              <w:pStyle w:val="32"/>
              <w:spacing w:line="360" w:lineRule="auto"/>
              <w:rPr>
                <w:rFonts w:hint="eastAsia" w:hAnsi="宋体" w:eastAsia="宋体"/>
                <w:lang w:eastAsia="zh-CN"/>
              </w:rPr>
            </w:pPr>
            <w:r>
              <w:rPr>
                <w:rFonts w:hint="eastAsia" w:hAnsi="宋体"/>
              </w:rPr>
              <w:t>非机动车集中停放整齐</w:t>
            </w:r>
            <w:r>
              <w:rPr>
                <w:rFonts w:hint="eastAsia" w:hAnsi="宋体"/>
                <w:lang w:val="en-US" w:eastAsia="zh-CN"/>
              </w:rPr>
              <w:t xml:space="preserve"> </w:t>
            </w:r>
          </w:p>
        </w:tc>
        <w:tc>
          <w:tcPr>
            <w:tcW w:w="1514" w:type="dxa"/>
            <w:tcBorders>
              <w:left w:val="single" w:color="auto" w:sz="4" w:space="0"/>
            </w:tcBorders>
            <w:noWrap w:val="0"/>
            <w:vAlign w:val="top"/>
          </w:tcPr>
          <w:p w14:paraId="3BBCFAA5">
            <w:pPr>
              <w:pStyle w:val="32"/>
              <w:spacing w:line="360" w:lineRule="auto"/>
              <w:jc w:val="center"/>
              <w:rPr>
                <w:rFonts w:hint="eastAsia" w:hAnsi="宋体" w:eastAsia="宋体"/>
                <w:lang w:val="en-US" w:eastAsia="zh-CN"/>
              </w:rPr>
            </w:pPr>
            <w:r>
              <w:rPr>
                <w:rFonts w:hint="eastAsia" w:hAnsi="宋体"/>
                <w:lang w:val="en-US" w:eastAsia="zh-CN"/>
              </w:rPr>
              <w:t>2分</w:t>
            </w:r>
          </w:p>
        </w:tc>
      </w:tr>
      <w:tr w14:paraId="7A7D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93" w:type="dxa"/>
            <w:vMerge w:val="continue"/>
            <w:tcBorders>
              <w:right w:val="single" w:color="auto" w:sz="4" w:space="0"/>
            </w:tcBorders>
            <w:noWrap w:val="0"/>
            <w:vAlign w:val="center"/>
          </w:tcPr>
          <w:p w14:paraId="447EC493">
            <w:pPr>
              <w:spacing w:line="360" w:lineRule="auto"/>
              <w:jc w:val="center"/>
              <w:rPr>
                <w:rFonts w:hint="eastAsia" w:hAnsi="宋体"/>
                <w:szCs w:val="21"/>
              </w:rPr>
            </w:pPr>
          </w:p>
        </w:tc>
        <w:tc>
          <w:tcPr>
            <w:tcW w:w="815" w:type="dxa"/>
            <w:noWrap w:val="0"/>
            <w:vAlign w:val="center"/>
          </w:tcPr>
          <w:p w14:paraId="588E9678">
            <w:pPr>
              <w:pStyle w:val="32"/>
              <w:spacing w:line="360" w:lineRule="auto"/>
              <w:jc w:val="center"/>
              <w:rPr>
                <w:rFonts w:hint="eastAsia" w:hAnsi="宋体"/>
              </w:rPr>
            </w:pPr>
            <w:r>
              <w:rPr>
                <w:rFonts w:hint="eastAsia" w:hAnsi="宋体"/>
              </w:rPr>
              <w:t>引导</w:t>
            </w:r>
          </w:p>
        </w:tc>
        <w:tc>
          <w:tcPr>
            <w:tcW w:w="6558" w:type="dxa"/>
            <w:noWrap w:val="0"/>
            <w:vAlign w:val="center"/>
          </w:tcPr>
          <w:p w14:paraId="2ADB8279">
            <w:pPr>
              <w:pStyle w:val="32"/>
              <w:spacing w:line="360" w:lineRule="auto"/>
              <w:rPr>
                <w:rFonts w:hint="eastAsia" w:hAnsi="宋体" w:eastAsia="宋体"/>
                <w:lang w:eastAsia="zh-CN"/>
              </w:rPr>
            </w:pPr>
            <w:r>
              <w:rPr>
                <w:rFonts w:hint="eastAsia" w:hAnsi="宋体"/>
              </w:rPr>
              <w:t>引导安全停车，保证进出车道畅通、无堵塞交通情况</w:t>
            </w:r>
            <w:r>
              <w:rPr>
                <w:rFonts w:hint="eastAsia" w:hAnsi="宋体"/>
                <w:lang w:val="en-US" w:eastAsia="zh-CN"/>
              </w:rPr>
              <w:t xml:space="preserve"> </w:t>
            </w:r>
          </w:p>
        </w:tc>
        <w:tc>
          <w:tcPr>
            <w:tcW w:w="1514" w:type="dxa"/>
            <w:noWrap w:val="0"/>
            <w:vAlign w:val="center"/>
          </w:tcPr>
          <w:p w14:paraId="03D07E31">
            <w:pPr>
              <w:pStyle w:val="32"/>
              <w:spacing w:line="360" w:lineRule="auto"/>
              <w:jc w:val="center"/>
              <w:rPr>
                <w:rFonts w:hint="eastAsia" w:hAnsi="宋体" w:eastAsia="宋体"/>
                <w:lang w:val="en-US" w:eastAsia="zh-CN"/>
              </w:rPr>
            </w:pPr>
            <w:r>
              <w:rPr>
                <w:rFonts w:hint="eastAsia" w:hAnsi="宋体"/>
                <w:lang w:val="en-US" w:eastAsia="zh-CN"/>
              </w:rPr>
              <w:t>2分</w:t>
            </w:r>
          </w:p>
        </w:tc>
      </w:tr>
      <w:tr w14:paraId="48C7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93" w:type="dxa"/>
            <w:vMerge w:val="continue"/>
            <w:tcBorders>
              <w:right w:val="single" w:color="auto" w:sz="4" w:space="0"/>
            </w:tcBorders>
            <w:noWrap w:val="0"/>
            <w:vAlign w:val="center"/>
          </w:tcPr>
          <w:p w14:paraId="1784ADAE">
            <w:pPr>
              <w:spacing w:line="360" w:lineRule="auto"/>
              <w:jc w:val="center"/>
              <w:rPr>
                <w:rFonts w:hint="eastAsia" w:hAnsi="宋体"/>
                <w:szCs w:val="21"/>
              </w:rPr>
            </w:pPr>
          </w:p>
        </w:tc>
        <w:tc>
          <w:tcPr>
            <w:tcW w:w="815" w:type="dxa"/>
            <w:noWrap w:val="0"/>
            <w:vAlign w:val="center"/>
          </w:tcPr>
          <w:p w14:paraId="3991D0CF">
            <w:pPr>
              <w:pStyle w:val="32"/>
              <w:spacing w:line="360" w:lineRule="auto"/>
              <w:jc w:val="center"/>
              <w:rPr>
                <w:rFonts w:hint="eastAsia" w:hAnsi="宋体"/>
              </w:rPr>
            </w:pPr>
            <w:r>
              <w:rPr>
                <w:rFonts w:hint="eastAsia" w:hAnsi="宋体"/>
              </w:rPr>
              <w:t>停放</w:t>
            </w:r>
          </w:p>
        </w:tc>
        <w:tc>
          <w:tcPr>
            <w:tcW w:w="6558" w:type="dxa"/>
            <w:noWrap w:val="0"/>
            <w:vAlign w:val="center"/>
          </w:tcPr>
          <w:p w14:paraId="69B03833">
            <w:pPr>
              <w:pStyle w:val="32"/>
              <w:spacing w:line="360" w:lineRule="auto"/>
              <w:rPr>
                <w:rFonts w:hint="eastAsia" w:hAnsi="宋体"/>
              </w:rPr>
            </w:pPr>
            <w:r>
              <w:rPr>
                <w:rFonts w:hint="eastAsia" w:hAnsi="宋体"/>
              </w:rPr>
              <w:t>管理区域内机动车辆停放有序，无乱停乱放现象。</w:t>
            </w:r>
            <w:r>
              <w:rPr>
                <w:rFonts w:hint="eastAsia" w:hAnsi="宋体"/>
                <w:lang w:eastAsia="zh-CN"/>
              </w:rPr>
              <w:t>发现不按规定停放的车辆应进行劝阻</w:t>
            </w:r>
            <w:r>
              <w:rPr>
                <w:rFonts w:hint="eastAsia" w:hAnsi="宋体"/>
                <w:lang w:val="en-US" w:eastAsia="zh-CN"/>
              </w:rPr>
              <w:t xml:space="preserve"> </w:t>
            </w:r>
          </w:p>
        </w:tc>
        <w:tc>
          <w:tcPr>
            <w:tcW w:w="1514" w:type="dxa"/>
            <w:noWrap w:val="0"/>
            <w:vAlign w:val="center"/>
          </w:tcPr>
          <w:p w14:paraId="5962A2C4">
            <w:pPr>
              <w:pStyle w:val="32"/>
              <w:spacing w:line="360" w:lineRule="auto"/>
              <w:jc w:val="center"/>
              <w:rPr>
                <w:rFonts w:hint="eastAsia" w:hAnsi="宋体" w:eastAsia="宋体"/>
                <w:lang w:val="en-US" w:eastAsia="zh-CN"/>
              </w:rPr>
            </w:pPr>
            <w:r>
              <w:rPr>
                <w:rFonts w:hint="eastAsia" w:hAnsi="宋体"/>
                <w:lang w:val="en-US" w:eastAsia="zh-CN"/>
              </w:rPr>
              <w:t>1分</w:t>
            </w:r>
          </w:p>
        </w:tc>
      </w:tr>
      <w:tr w14:paraId="6100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93" w:type="dxa"/>
            <w:vMerge w:val="continue"/>
            <w:tcBorders>
              <w:right w:val="single" w:color="auto" w:sz="4" w:space="0"/>
            </w:tcBorders>
            <w:noWrap w:val="0"/>
            <w:vAlign w:val="center"/>
          </w:tcPr>
          <w:p w14:paraId="7495BB44">
            <w:pPr>
              <w:spacing w:line="360" w:lineRule="auto"/>
              <w:jc w:val="center"/>
              <w:rPr>
                <w:rFonts w:hint="eastAsia" w:hAnsi="宋体"/>
                <w:szCs w:val="21"/>
              </w:rPr>
            </w:pPr>
          </w:p>
        </w:tc>
        <w:tc>
          <w:tcPr>
            <w:tcW w:w="815" w:type="dxa"/>
            <w:noWrap w:val="0"/>
            <w:vAlign w:val="center"/>
          </w:tcPr>
          <w:p w14:paraId="0E2B9B46">
            <w:pPr>
              <w:spacing w:line="360" w:lineRule="auto"/>
              <w:jc w:val="center"/>
              <w:rPr>
                <w:rFonts w:hint="eastAsia" w:hAnsi="宋体"/>
                <w:szCs w:val="21"/>
              </w:rPr>
            </w:pPr>
            <w:r>
              <w:rPr>
                <w:rFonts w:hint="eastAsia" w:hAnsi="宋体"/>
                <w:szCs w:val="21"/>
              </w:rPr>
              <w:t>车辆</w:t>
            </w:r>
          </w:p>
        </w:tc>
        <w:tc>
          <w:tcPr>
            <w:tcW w:w="6558" w:type="dxa"/>
            <w:noWrap w:val="0"/>
            <w:vAlign w:val="center"/>
          </w:tcPr>
          <w:p w14:paraId="090C6EAD">
            <w:pPr>
              <w:spacing w:line="360" w:lineRule="auto"/>
              <w:rPr>
                <w:rFonts w:hint="eastAsia" w:hAnsi="宋体" w:eastAsia="宋体"/>
                <w:szCs w:val="21"/>
                <w:lang w:eastAsia="zh-CN"/>
              </w:rPr>
            </w:pPr>
            <w:r>
              <w:rPr>
                <w:rFonts w:hint="eastAsia" w:hAnsi="宋体"/>
                <w:szCs w:val="21"/>
              </w:rPr>
              <w:t>出现车辆故障等要及时上报和疏导，无责任丢失车辆现象</w:t>
            </w:r>
            <w:r>
              <w:rPr>
                <w:rFonts w:hint="eastAsia" w:hAnsi="宋体"/>
                <w:szCs w:val="21"/>
                <w:lang w:val="en-US" w:eastAsia="zh-CN"/>
              </w:rPr>
              <w:t xml:space="preserve"> </w:t>
            </w:r>
          </w:p>
        </w:tc>
        <w:tc>
          <w:tcPr>
            <w:tcW w:w="1514" w:type="dxa"/>
            <w:noWrap w:val="0"/>
            <w:vAlign w:val="center"/>
          </w:tcPr>
          <w:p w14:paraId="5B4BB4F9">
            <w:pPr>
              <w:spacing w:line="360" w:lineRule="auto"/>
              <w:jc w:val="center"/>
              <w:rPr>
                <w:rFonts w:hint="eastAsia" w:hAnsi="宋体" w:eastAsia="宋体"/>
                <w:szCs w:val="21"/>
                <w:lang w:val="en-US" w:eastAsia="zh-CN"/>
              </w:rPr>
            </w:pPr>
            <w:r>
              <w:rPr>
                <w:rFonts w:hint="eastAsia" w:hAnsi="宋体"/>
                <w:szCs w:val="21"/>
                <w:lang w:val="en-US" w:eastAsia="zh-CN"/>
              </w:rPr>
              <w:t>1分</w:t>
            </w:r>
          </w:p>
        </w:tc>
      </w:tr>
      <w:tr w14:paraId="22D9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93" w:type="dxa"/>
            <w:vMerge w:val="continue"/>
            <w:tcBorders>
              <w:right w:val="single" w:color="auto" w:sz="4" w:space="0"/>
            </w:tcBorders>
            <w:noWrap w:val="0"/>
            <w:vAlign w:val="center"/>
          </w:tcPr>
          <w:p w14:paraId="56AB4DF3">
            <w:pPr>
              <w:spacing w:line="360" w:lineRule="auto"/>
              <w:jc w:val="center"/>
              <w:rPr>
                <w:rFonts w:hint="eastAsia" w:hAnsi="宋体"/>
                <w:szCs w:val="21"/>
              </w:rPr>
            </w:pPr>
          </w:p>
        </w:tc>
        <w:tc>
          <w:tcPr>
            <w:tcW w:w="815" w:type="dxa"/>
            <w:noWrap w:val="0"/>
            <w:vAlign w:val="center"/>
          </w:tcPr>
          <w:p w14:paraId="42EE1DD0">
            <w:pPr>
              <w:spacing w:line="360" w:lineRule="auto"/>
              <w:jc w:val="center"/>
              <w:rPr>
                <w:rFonts w:hint="eastAsia" w:hAnsi="宋体"/>
                <w:szCs w:val="21"/>
              </w:rPr>
            </w:pPr>
            <w:r>
              <w:rPr>
                <w:rFonts w:hint="eastAsia" w:hAnsi="宋体"/>
                <w:szCs w:val="21"/>
              </w:rPr>
              <w:t>设施设备</w:t>
            </w:r>
          </w:p>
        </w:tc>
        <w:tc>
          <w:tcPr>
            <w:tcW w:w="6558" w:type="dxa"/>
            <w:noWrap w:val="0"/>
            <w:vAlign w:val="center"/>
          </w:tcPr>
          <w:p w14:paraId="70462D87">
            <w:pPr>
              <w:spacing w:line="360" w:lineRule="auto"/>
              <w:rPr>
                <w:rFonts w:hint="eastAsia" w:hAnsi="宋体" w:eastAsia="宋体"/>
                <w:szCs w:val="21"/>
                <w:lang w:eastAsia="zh-CN"/>
              </w:rPr>
            </w:pPr>
            <w:r>
              <w:rPr>
                <w:rFonts w:hint="eastAsia" w:hAnsi="宋体"/>
                <w:szCs w:val="21"/>
                <w:lang w:eastAsia="zh-CN"/>
              </w:rPr>
              <w:t>小区</w:t>
            </w:r>
            <w:r>
              <w:rPr>
                <w:rFonts w:hint="eastAsia" w:hAnsi="宋体"/>
                <w:szCs w:val="21"/>
              </w:rPr>
              <w:t>内公共设施齐全、整洁，丢失和损坏能及时上报</w:t>
            </w:r>
            <w:r>
              <w:rPr>
                <w:rFonts w:hint="eastAsia" w:hAnsi="宋体"/>
                <w:szCs w:val="21"/>
                <w:lang w:val="en-US" w:eastAsia="zh-CN"/>
              </w:rPr>
              <w:t xml:space="preserve"> </w:t>
            </w:r>
          </w:p>
        </w:tc>
        <w:tc>
          <w:tcPr>
            <w:tcW w:w="1514" w:type="dxa"/>
            <w:noWrap w:val="0"/>
            <w:vAlign w:val="center"/>
          </w:tcPr>
          <w:p w14:paraId="28F7F3CE">
            <w:pPr>
              <w:spacing w:line="360" w:lineRule="auto"/>
              <w:jc w:val="center"/>
              <w:rPr>
                <w:rFonts w:hint="eastAsia" w:hAnsi="宋体" w:eastAsia="宋体"/>
                <w:szCs w:val="21"/>
                <w:lang w:val="en-US" w:eastAsia="zh-CN"/>
              </w:rPr>
            </w:pPr>
            <w:r>
              <w:rPr>
                <w:rFonts w:hint="eastAsia" w:hAnsi="宋体"/>
                <w:szCs w:val="21"/>
                <w:lang w:val="en-US" w:eastAsia="zh-CN"/>
              </w:rPr>
              <w:t>1分</w:t>
            </w:r>
          </w:p>
        </w:tc>
      </w:tr>
      <w:tr w14:paraId="1933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693" w:type="dxa"/>
            <w:vMerge w:val="continue"/>
            <w:tcBorders>
              <w:right w:val="single" w:color="auto" w:sz="4" w:space="0"/>
            </w:tcBorders>
            <w:noWrap w:val="0"/>
            <w:vAlign w:val="center"/>
          </w:tcPr>
          <w:p w14:paraId="4C2D6B4A">
            <w:pPr>
              <w:spacing w:line="360" w:lineRule="auto"/>
              <w:jc w:val="center"/>
              <w:rPr>
                <w:rFonts w:hint="eastAsia" w:hAnsi="宋体"/>
                <w:szCs w:val="21"/>
              </w:rPr>
            </w:pPr>
          </w:p>
        </w:tc>
        <w:tc>
          <w:tcPr>
            <w:tcW w:w="815" w:type="dxa"/>
            <w:noWrap w:val="0"/>
            <w:vAlign w:val="center"/>
          </w:tcPr>
          <w:p w14:paraId="09AD36B5">
            <w:pPr>
              <w:spacing w:line="360" w:lineRule="auto"/>
              <w:jc w:val="both"/>
              <w:rPr>
                <w:rFonts w:hint="eastAsia" w:hAnsi="宋体" w:eastAsia="宋体"/>
                <w:szCs w:val="21"/>
                <w:lang w:eastAsia="zh-CN"/>
              </w:rPr>
            </w:pPr>
            <w:r>
              <w:rPr>
                <w:rFonts w:hint="eastAsia" w:hAnsi="宋体"/>
                <w:szCs w:val="21"/>
                <w:lang w:eastAsia="zh-CN"/>
              </w:rPr>
              <w:t>停车费代收</w:t>
            </w:r>
          </w:p>
        </w:tc>
        <w:tc>
          <w:tcPr>
            <w:tcW w:w="6558" w:type="dxa"/>
            <w:noWrap w:val="0"/>
            <w:vAlign w:val="center"/>
          </w:tcPr>
          <w:p w14:paraId="2310CB7A">
            <w:pPr>
              <w:spacing w:line="360" w:lineRule="auto"/>
              <w:rPr>
                <w:rFonts w:hint="eastAsia" w:hAnsi="宋体" w:eastAsia="宋体"/>
                <w:szCs w:val="21"/>
                <w:lang w:eastAsia="zh-CN"/>
              </w:rPr>
            </w:pPr>
            <w:r>
              <w:rPr>
                <w:rFonts w:hint="eastAsia" w:hAnsi="宋体"/>
                <w:szCs w:val="21"/>
                <w:lang w:eastAsia="zh-CN"/>
              </w:rPr>
              <w:t>停车费收取手续规范，交班时做好相应记录，与系统金额保持一致，按月结算上交</w:t>
            </w:r>
          </w:p>
        </w:tc>
        <w:tc>
          <w:tcPr>
            <w:tcW w:w="1514" w:type="dxa"/>
            <w:noWrap w:val="0"/>
            <w:vAlign w:val="center"/>
          </w:tcPr>
          <w:p w14:paraId="08A91ED9">
            <w:pPr>
              <w:spacing w:line="360" w:lineRule="auto"/>
              <w:jc w:val="center"/>
              <w:rPr>
                <w:rFonts w:hint="eastAsia" w:hAnsi="宋体" w:eastAsia="宋体"/>
                <w:szCs w:val="21"/>
                <w:lang w:val="en-US" w:eastAsia="zh-CN"/>
              </w:rPr>
            </w:pPr>
            <w:r>
              <w:rPr>
                <w:rFonts w:hint="eastAsia" w:hAnsi="宋体"/>
                <w:szCs w:val="21"/>
                <w:lang w:val="en-US" w:eastAsia="zh-CN"/>
              </w:rPr>
              <w:t>3分</w:t>
            </w:r>
          </w:p>
        </w:tc>
      </w:tr>
      <w:tr w14:paraId="375C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9580" w:type="dxa"/>
            <w:gridSpan w:val="4"/>
            <w:noWrap w:val="0"/>
            <w:vAlign w:val="center"/>
          </w:tcPr>
          <w:p w14:paraId="539E3C5C">
            <w:pPr>
              <w:spacing w:line="360" w:lineRule="auto"/>
              <w:jc w:val="center"/>
              <w:rPr>
                <w:rFonts w:hint="eastAsia" w:hAnsi="宋体"/>
                <w:szCs w:val="21"/>
              </w:rPr>
            </w:pPr>
            <w:r>
              <w:rPr>
                <w:rFonts w:hint="eastAsia" w:ascii="宋体" w:hAnsi="宋体" w:eastAsia="宋体" w:cs="宋体"/>
                <w:b/>
                <w:bCs/>
                <w:color w:val="auto"/>
                <w:sz w:val="24"/>
                <w:szCs w:val="24"/>
                <w:lang w:val="en-US" w:eastAsia="zh-CN"/>
              </w:rPr>
              <w:t>注:细则内未注明扣分标准的，都按照未达到标准扣除相应条款全部分数，5分以下项目扣完为止，5分及5分以上项目不限扣分上限直至扣完100分。</w:t>
            </w:r>
          </w:p>
        </w:tc>
      </w:tr>
      <w:tr w14:paraId="57B4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580" w:type="dxa"/>
            <w:gridSpan w:val="4"/>
            <w:noWrap w:val="0"/>
            <w:vAlign w:val="center"/>
          </w:tcPr>
          <w:p w14:paraId="52506AA1">
            <w:pPr>
              <w:spacing w:line="360" w:lineRule="auto"/>
              <w:jc w:val="left"/>
              <w:rPr>
                <w:rFonts w:hint="eastAsia" w:hAnsi="宋体"/>
                <w:szCs w:val="21"/>
              </w:rPr>
            </w:pPr>
            <w:r>
              <w:rPr>
                <w:rFonts w:hint="eastAsia" w:ascii="宋体" w:hAnsi="宋体" w:eastAsia="宋体" w:cs="宋体"/>
                <w:b/>
                <w:bCs/>
                <w:color w:val="auto"/>
                <w:sz w:val="24"/>
                <w:szCs w:val="24"/>
                <w:lang w:val="en-US" w:eastAsia="zh-CN"/>
              </w:rPr>
              <w:t>秩序服务考核总分100分，占比总考核  %，最终得分</w:t>
            </w:r>
            <w:r>
              <w:rPr>
                <w:rFonts w:hint="eastAsia" w:ascii="宋体" w:hAnsi="宋体" w:eastAsia="宋体" w:cs="宋体"/>
                <w:b/>
                <w:bCs/>
                <w:color w:val="auto"/>
                <w:sz w:val="24"/>
                <w:szCs w:val="24"/>
                <w:u w:val="single" w:color="auto"/>
                <w:lang w:val="en-US" w:eastAsia="zh-CN"/>
              </w:rPr>
              <w:t xml:space="preserve">：             </w:t>
            </w:r>
          </w:p>
        </w:tc>
      </w:tr>
    </w:tbl>
    <w:p w14:paraId="5CC7096C">
      <w:pPr>
        <w:pStyle w:val="24"/>
        <w:ind w:left="0" w:leftChars="0" w:firstLine="0" w:firstLineChars="0"/>
        <w:jc w:val="left"/>
        <w:rPr>
          <w:rFonts w:hint="eastAsia"/>
          <w:sz w:val="24"/>
          <w:lang w:val="en-US" w:eastAsia="zh-CN"/>
        </w:rPr>
      </w:pPr>
    </w:p>
    <w:p w14:paraId="7A775880">
      <w:pPr>
        <w:pStyle w:val="24"/>
        <w:ind w:left="0" w:leftChars="0" w:firstLine="0" w:firstLineChars="0"/>
        <w:jc w:val="left"/>
        <w:rPr>
          <w:rFonts w:hint="default" w:eastAsia="宋体"/>
          <w:sz w:val="24"/>
          <w:u w:val="single"/>
          <w:lang w:val="en-US" w:eastAsia="zh-CN"/>
        </w:rPr>
      </w:pPr>
      <w:r>
        <w:rPr>
          <w:rFonts w:hint="eastAsia"/>
          <w:sz w:val="24"/>
          <w:lang w:val="en-US" w:eastAsia="zh-CN"/>
        </w:rPr>
        <w:t>考评时间：</w:t>
      </w:r>
      <w:r>
        <w:rPr>
          <w:rFonts w:hint="eastAsia"/>
          <w:sz w:val="24"/>
          <w:u w:val="single"/>
          <w:lang w:val="en-US" w:eastAsia="zh-CN"/>
        </w:rPr>
        <w:t xml:space="preserve">            </w:t>
      </w:r>
      <w:r>
        <w:rPr>
          <w:rFonts w:hint="eastAsia"/>
          <w:sz w:val="24"/>
        </w:rPr>
        <w:t>考评</w:t>
      </w:r>
      <w:r>
        <w:rPr>
          <w:rFonts w:hint="eastAsia"/>
          <w:sz w:val="24"/>
          <w:lang w:val="en-US" w:eastAsia="zh-CN"/>
        </w:rPr>
        <w:t>地段</w:t>
      </w:r>
      <w:r>
        <w:rPr>
          <w:rFonts w:hint="eastAsia"/>
          <w:sz w:val="24"/>
        </w:rPr>
        <w:t>：</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 xml:space="preserve"> 考评人员：</w:t>
      </w:r>
      <w:r>
        <w:rPr>
          <w:rFonts w:hint="eastAsia"/>
          <w:sz w:val="24"/>
          <w:u w:val="single"/>
          <w:lang w:val="en-US" w:eastAsia="zh-CN"/>
        </w:rPr>
        <w:t xml:space="preserve">              </w:t>
      </w:r>
    </w:p>
    <w:p w14:paraId="61088473">
      <w:pPr>
        <w:keepNext w:val="0"/>
        <w:keepLines w:val="0"/>
        <w:pageBreakBefore w:val="0"/>
        <w:widowControl w:val="0"/>
        <w:numPr>
          <w:ilvl w:val="0"/>
          <w:numId w:val="2"/>
        </w:numPr>
        <w:kinsoku/>
        <w:wordWrap/>
        <w:overflowPunct/>
        <w:topLinePunct w:val="0"/>
        <w:autoSpaceDE/>
        <w:autoSpaceDN/>
        <w:bidi w:val="0"/>
        <w:adjustRightInd w:val="0"/>
        <w:snapToGrid/>
        <w:spacing w:line="240" w:lineRule="auto"/>
        <w:ind w:firstLine="482" w:firstLineChars="200"/>
        <w:jc w:val="center"/>
        <w:textAlignment w:val="auto"/>
        <w:rPr>
          <w:rFonts w:hint="eastAsia" w:ascii="宋体" w:hAnsi="宋体" w:eastAsia="宋体" w:cs="宋体"/>
          <w:b/>
          <w:bCs/>
          <w:sz w:val="24"/>
          <w:szCs w:val="24"/>
          <w:highlight w:val="none"/>
          <w:lang w:val="zh-CN"/>
        </w:rPr>
      </w:pPr>
      <w:r>
        <w:rPr>
          <w:rFonts w:hint="eastAsia" w:ascii="宋体" w:hAnsi="宋体" w:cs="宋体"/>
          <w:b/>
          <w:bCs/>
          <w:sz w:val="24"/>
          <w:szCs w:val="24"/>
          <w:highlight w:val="none"/>
          <w:lang w:val="zh-CN"/>
        </w:rPr>
        <w:t>乾北嘉苑</w:t>
      </w:r>
      <w:r>
        <w:rPr>
          <w:rFonts w:hint="eastAsia" w:ascii="宋体" w:hAnsi="宋体" w:eastAsia="宋体" w:cs="宋体"/>
          <w:b/>
          <w:bCs/>
          <w:sz w:val="24"/>
          <w:szCs w:val="24"/>
          <w:highlight w:val="none"/>
          <w:lang w:val="zh-CN"/>
        </w:rPr>
        <w:t>保洁绿化服务考核评分标准</w:t>
      </w:r>
    </w:p>
    <w:p w14:paraId="7EC3B6A5">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both"/>
        <w:textAlignment w:val="auto"/>
        <w:rPr>
          <w:rFonts w:hint="eastAsia"/>
        </w:rPr>
      </w:pPr>
      <w:r>
        <w:rPr>
          <w:rFonts w:hint="eastAsia" w:ascii="宋体" w:hAnsi="宋体" w:eastAsia="宋体" w:cs="宋体"/>
          <w:sz w:val="24"/>
          <w:szCs w:val="24"/>
          <w:highlight w:val="none"/>
          <w:lang w:val="zh-CN"/>
        </w:rPr>
        <w:br w:type="page"/>
      </w:r>
    </w:p>
    <w:tbl>
      <w:tblPr>
        <w:tblStyle w:val="62"/>
        <w:tblpPr w:leftFromText="180" w:rightFromText="180" w:vertAnchor="page" w:horzAnchor="page" w:tblpX="825" w:tblpY="1638"/>
        <w:tblW w:w="9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855"/>
        <w:gridCol w:w="499"/>
        <w:gridCol w:w="6901"/>
        <w:gridCol w:w="642"/>
        <w:gridCol w:w="642"/>
      </w:tblGrid>
      <w:tr w14:paraId="0FD0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18" w:type="dxa"/>
            <w:noWrap w:val="0"/>
            <w:vAlign w:val="center"/>
          </w:tcPr>
          <w:p w14:paraId="26D039A2">
            <w:pPr>
              <w:widowControl/>
              <w:spacing w:line="240" w:lineRule="auto"/>
              <w:jc w:val="center"/>
              <w:rPr>
                <w:rFonts w:ascii="宋体" w:hAnsi="宋体" w:cs="宋体"/>
                <w:kern w:val="0"/>
                <w:szCs w:val="21"/>
              </w:rPr>
            </w:pPr>
            <w:r>
              <w:rPr>
                <w:rFonts w:hint="eastAsia" w:ascii="宋体" w:hAnsi="宋体" w:cs="宋体"/>
                <w:kern w:val="0"/>
                <w:szCs w:val="21"/>
              </w:rPr>
              <w:t>序号</w:t>
            </w:r>
          </w:p>
        </w:tc>
        <w:tc>
          <w:tcPr>
            <w:tcW w:w="855" w:type="dxa"/>
            <w:noWrap w:val="0"/>
            <w:vAlign w:val="center"/>
          </w:tcPr>
          <w:p w14:paraId="74D77DEF">
            <w:pPr>
              <w:widowControl/>
              <w:spacing w:line="240" w:lineRule="auto"/>
              <w:jc w:val="center"/>
              <w:rPr>
                <w:rFonts w:ascii="宋体" w:hAnsi="宋体" w:cs="宋体"/>
                <w:kern w:val="0"/>
                <w:szCs w:val="21"/>
              </w:rPr>
            </w:pPr>
            <w:r>
              <w:rPr>
                <w:rFonts w:hint="eastAsia" w:ascii="宋体" w:hAnsi="宋体" w:cs="宋体"/>
                <w:kern w:val="0"/>
                <w:szCs w:val="21"/>
              </w:rPr>
              <w:t>检查内容</w:t>
            </w:r>
          </w:p>
        </w:tc>
        <w:tc>
          <w:tcPr>
            <w:tcW w:w="499" w:type="dxa"/>
            <w:noWrap w:val="0"/>
            <w:vAlign w:val="center"/>
          </w:tcPr>
          <w:p w14:paraId="030FF5E3">
            <w:pPr>
              <w:widowControl/>
              <w:spacing w:line="240" w:lineRule="auto"/>
              <w:jc w:val="center"/>
              <w:rPr>
                <w:rFonts w:hint="eastAsia" w:ascii="宋体" w:hAnsi="宋体" w:cs="宋体"/>
                <w:kern w:val="0"/>
                <w:szCs w:val="21"/>
              </w:rPr>
            </w:pPr>
            <w:r>
              <w:rPr>
                <w:rFonts w:hint="eastAsia" w:ascii="宋体" w:hAnsi="宋体" w:cs="宋体"/>
                <w:kern w:val="0"/>
                <w:szCs w:val="21"/>
              </w:rPr>
              <w:t>总分</w:t>
            </w:r>
          </w:p>
        </w:tc>
        <w:tc>
          <w:tcPr>
            <w:tcW w:w="6901" w:type="dxa"/>
            <w:noWrap w:val="0"/>
            <w:vAlign w:val="center"/>
          </w:tcPr>
          <w:p w14:paraId="40FE1F93">
            <w:pPr>
              <w:widowControl/>
              <w:spacing w:line="240" w:lineRule="auto"/>
              <w:jc w:val="center"/>
              <w:rPr>
                <w:rFonts w:ascii="宋体" w:hAnsi="宋体" w:cs="宋体"/>
                <w:kern w:val="0"/>
                <w:szCs w:val="21"/>
              </w:rPr>
            </w:pPr>
            <w:r>
              <w:rPr>
                <w:rFonts w:hint="eastAsia" w:ascii="宋体" w:hAnsi="宋体" w:cs="宋体"/>
                <w:kern w:val="0"/>
                <w:szCs w:val="21"/>
              </w:rPr>
              <w:t>评分标准</w:t>
            </w:r>
          </w:p>
        </w:tc>
        <w:tc>
          <w:tcPr>
            <w:tcW w:w="642" w:type="dxa"/>
            <w:noWrap w:val="0"/>
            <w:vAlign w:val="center"/>
          </w:tcPr>
          <w:p w14:paraId="58EA2143">
            <w:pPr>
              <w:widowControl/>
              <w:spacing w:line="24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扣分</w:t>
            </w:r>
          </w:p>
        </w:tc>
        <w:tc>
          <w:tcPr>
            <w:tcW w:w="642" w:type="dxa"/>
            <w:noWrap w:val="0"/>
            <w:vAlign w:val="center"/>
          </w:tcPr>
          <w:p w14:paraId="2A399757">
            <w:pPr>
              <w:widowControl/>
              <w:spacing w:line="24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得分</w:t>
            </w:r>
          </w:p>
        </w:tc>
      </w:tr>
      <w:tr w14:paraId="1229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418" w:type="dxa"/>
            <w:noWrap w:val="0"/>
            <w:vAlign w:val="center"/>
          </w:tcPr>
          <w:p w14:paraId="4BEE3083">
            <w:pPr>
              <w:widowControl/>
              <w:jc w:val="center"/>
              <w:rPr>
                <w:rFonts w:ascii="宋体" w:hAnsi="宋体" w:cs="宋体"/>
                <w:kern w:val="0"/>
                <w:szCs w:val="21"/>
              </w:rPr>
            </w:pPr>
            <w:r>
              <w:rPr>
                <w:rFonts w:hint="eastAsia" w:ascii="宋体" w:hAnsi="宋体" w:cs="宋体"/>
                <w:kern w:val="0"/>
                <w:szCs w:val="21"/>
              </w:rPr>
              <w:t>1</w:t>
            </w:r>
          </w:p>
        </w:tc>
        <w:tc>
          <w:tcPr>
            <w:tcW w:w="855" w:type="dxa"/>
            <w:noWrap w:val="0"/>
            <w:vAlign w:val="center"/>
          </w:tcPr>
          <w:p w14:paraId="2F89F7D2">
            <w:pPr>
              <w:widowControl/>
              <w:jc w:val="center"/>
              <w:rPr>
                <w:rFonts w:ascii="宋体" w:hAnsi="宋体" w:cs="宋体"/>
                <w:kern w:val="0"/>
                <w:sz w:val="21"/>
                <w:szCs w:val="21"/>
              </w:rPr>
            </w:pPr>
            <w:r>
              <w:rPr>
                <w:rFonts w:hint="eastAsia" w:ascii="宋体" w:hAnsi="宋体" w:cs="宋体"/>
                <w:kern w:val="0"/>
                <w:sz w:val="21"/>
                <w:szCs w:val="21"/>
              </w:rPr>
              <w:t>人员管理</w:t>
            </w:r>
          </w:p>
        </w:tc>
        <w:tc>
          <w:tcPr>
            <w:tcW w:w="499" w:type="dxa"/>
            <w:noWrap w:val="0"/>
            <w:vAlign w:val="center"/>
          </w:tcPr>
          <w:p w14:paraId="466A5503">
            <w:pPr>
              <w:widowControl/>
              <w:jc w:val="center"/>
              <w:rPr>
                <w:rFonts w:hint="eastAsia"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8</w:t>
            </w:r>
          </w:p>
        </w:tc>
        <w:tc>
          <w:tcPr>
            <w:tcW w:w="6901" w:type="dxa"/>
            <w:noWrap w:val="0"/>
            <w:vAlign w:val="center"/>
          </w:tcPr>
          <w:p w14:paraId="79253AB7">
            <w:pPr>
              <w:widowControl/>
              <w:rPr>
                <w:rFonts w:hint="eastAsia" w:ascii="宋体" w:hAnsi="宋体" w:cs="宋体"/>
                <w:kern w:val="0"/>
                <w:sz w:val="21"/>
                <w:szCs w:val="21"/>
              </w:rPr>
            </w:pPr>
            <w:r>
              <w:rPr>
                <w:rFonts w:hint="eastAsia" w:ascii="宋体" w:hAnsi="宋体" w:cs="宋体"/>
                <w:kern w:val="0"/>
                <w:sz w:val="21"/>
                <w:szCs w:val="21"/>
              </w:rPr>
              <w:t>1、迟到、早退10分钟每人扣1分，离岗每人扣3分；上班时间做与工作无关的事每起扣1分；</w:t>
            </w:r>
          </w:p>
          <w:p w14:paraId="4B0B0780">
            <w:pPr>
              <w:widowControl/>
              <w:rPr>
                <w:rFonts w:hint="eastAsia" w:ascii="宋体" w:hAnsi="宋体" w:cs="宋体"/>
                <w:kern w:val="0"/>
                <w:sz w:val="21"/>
                <w:szCs w:val="21"/>
              </w:rPr>
            </w:pPr>
            <w:r>
              <w:rPr>
                <w:rFonts w:hint="eastAsia" w:ascii="宋体" w:hAnsi="宋体" w:cs="宋体"/>
                <w:kern w:val="0"/>
                <w:sz w:val="21"/>
                <w:szCs w:val="21"/>
              </w:rPr>
              <w:t>2、只戴帽不穿背心扣1分，只穿不戴扣1分，不穿不戴扣2分；</w:t>
            </w:r>
          </w:p>
          <w:p w14:paraId="6D10979C">
            <w:pPr>
              <w:widowControl/>
              <w:rPr>
                <w:rFonts w:ascii="宋体" w:hAnsi="宋体" w:cs="宋体"/>
                <w:kern w:val="0"/>
                <w:sz w:val="21"/>
                <w:szCs w:val="21"/>
              </w:rPr>
            </w:pPr>
            <w:r>
              <w:rPr>
                <w:rFonts w:hint="eastAsia" w:ascii="宋体" w:hAnsi="宋体" w:cs="宋体"/>
                <w:kern w:val="0"/>
                <w:sz w:val="21"/>
                <w:szCs w:val="21"/>
              </w:rPr>
              <w:t>3、损坏环卫设备的每次扣3分，遇到他人故意损坏环卫设备而不进行有效干涉每起扣1分；</w:t>
            </w:r>
          </w:p>
        </w:tc>
        <w:tc>
          <w:tcPr>
            <w:tcW w:w="642" w:type="dxa"/>
            <w:noWrap w:val="0"/>
            <w:vAlign w:val="center"/>
          </w:tcPr>
          <w:p w14:paraId="75596CAC">
            <w:pPr>
              <w:widowControl/>
              <w:jc w:val="center"/>
              <w:rPr>
                <w:rFonts w:hint="default" w:ascii="宋体" w:hAnsi="宋体" w:eastAsia="宋体" w:cs="宋体"/>
                <w:kern w:val="0"/>
                <w:szCs w:val="21"/>
                <w:lang w:val="en-US" w:eastAsia="zh-CN"/>
              </w:rPr>
            </w:pPr>
          </w:p>
        </w:tc>
        <w:tc>
          <w:tcPr>
            <w:tcW w:w="642" w:type="dxa"/>
            <w:noWrap w:val="0"/>
            <w:vAlign w:val="center"/>
          </w:tcPr>
          <w:p w14:paraId="751D9917">
            <w:pPr>
              <w:widowControl/>
              <w:jc w:val="center"/>
              <w:rPr>
                <w:rFonts w:hint="default" w:ascii="宋体" w:hAnsi="宋体" w:eastAsia="宋体" w:cs="宋体"/>
                <w:kern w:val="0"/>
                <w:szCs w:val="21"/>
                <w:lang w:val="en-US" w:eastAsia="zh-CN"/>
              </w:rPr>
            </w:pPr>
          </w:p>
        </w:tc>
      </w:tr>
      <w:tr w14:paraId="540C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418" w:type="dxa"/>
            <w:noWrap w:val="0"/>
            <w:vAlign w:val="center"/>
          </w:tcPr>
          <w:p w14:paraId="3C737B99">
            <w:pPr>
              <w:widowControl/>
              <w:jc w:val="center"/>
              <w:rPr>
                <w:rFonts w:ascii="宋体" w:hAnsi="宋体" w:cs="宋体"/>
                <w:kern w:val="0"/>
                <w:szCs w:val="21"/>
              </w:rPr>
            </w:pPr>
            <w:r>
              <w:rPr>
                <w:rFonts w:hint="eastAsia" w:ascii="宋体" w:hAnsi="宋体" w:cs="宋体"/>
                <w:kern w:val="0"/>
                <w:szCs w:val="21"/>
              </w:rPr>
              <w:t>2</w:t>
            </w:r>
          </w:p>
        </w:tc>
        <w:tc>
          <w:tcPr>
            <w:tcW w:w="855" w:type="dxa"/>
            <w:noWrap w:val="0"/>
            <w:vAlign w:val="center"/>
          </w:tcPr>
          <w:p w14:paraId="2E47AF3F">
            <w:pPr>
              <w:widowControl/>
              <w:rPr>
                <w:rFonts w:ascii="宋体" w:hAnsi="宋体" w:cs="宋体"/>
                <w:kern w:val="0"/>
                <w:sz w:val="21"/>
                <w:szCs w:val="21"/>
              </w:rPr>
            </w:pPr>
            <w:r>
              <w:rPr>
                <w:rFonts w:hint="eastAsia" w:ascii="宋体" w:hAnsi="宋体" w:cs="宋体"/>
                <w:kern w:val="0"/>
                <w:sz w:val="21"/>
                <w:szCs w:val="21"/>
              </w:rPr>
              <w:t>道路、及人行道清扫保洁</w:t>
            </w:r>
          </w:p>
        </w:tc>
        <w:tc>
          <w:tcPr>
            <w:tcW w:w="499" w:type="dxa"/>
            <w:noWrap w:val="0"/>
            <w:vAlign w:val="center"/>
          </w:tcPr>
          <w:p w14:paraId="38680AF7">
            <w:pPr>
              <w:widowControl/>
              <w:jc w:val="center"/>
              <w:rPr>
                <w:rFonts w:hint="eastAsia" w:ascii="宋体" w:hAnsi="宋体" w:cs="宋体"/>
                <w:kern w:val="0"/>
                <w:sz w:val="21"/>
                <w:szCs w:val="21"/>
              </w:rPr>
            </w:pPr>
            <w:r>
              <w:rPr>
                <w:rFonts w:hint="eastAsia" w:ascii="宋体" w:hAnsi="宋体" w:cs="宋体"/>
                <w:kern w:val="0"/>
                <w:sz w:val="21"/>
                <w:szCs w:val="21"/>
              </w:rPr>
              <w:t>24</w:t>
            </w:r>
          </w:p>
        </w:tc>
        <w:tc>
          <w:tcPr>
            <w:tcW w:w="6901" w:type="dxa"/>
            <w:noWrap w:val="0"/>
            <w:vAlign w:val="center"/>
          </w:tcPr>
          <w:p w14:paraId="25F1773B">
            <w:pPr>
              <w:widowControl/>
              <w:rPr>
                <w:rFonts w:hint="eastAsia" w:ascii="宋体" w:hAnsi="宋体" w:cs="宋体"/>
                <w:kern w:val="0"/>
                <w:sz w:val="21"/>
                <w:szCs w:val="21"/>
              </w:rPr>
            </w:pPr>
            <w:r>
              <w:rPr>
                <w:rFonts w:hint="eastAsia" w:ascii="宋体" w:hAnsi="宋体" w:cs="宋体"/>
                <w:kern w:val="0"/>
                <w:sz w:val="21"/>
                <w:szCs w:val="21"/>
              </w:rPr>
              <w:t>1、没有在规定时间完成普扫，每条道路扣5分；没有彻底清除垃圾或路角积泥扣1分；</w:t>
            </w:r>
          </w:p>
          <w:p w14:paraId="171DECE9">
            <w:pPr>
              <w:widowControl/>
              <w:rPr>
                <w:rFonts w:hint="eastAsia" w:ascii="宋体" w:hAnsi="宋体" w:cs="宋体"/>
                <w:kern w:val="0"/>
                <w:sz w:val="21"/>
                <w:szCs w:val="21"/>
              </w:rPr>
            </w:pPr>
            <w:r>
              <w:rPr>
                <w:rFonts w:hint="eastAsia" w:ascii="宋体" w:hAnsi="宋体" w:cs="宋体"/>
                <w:kern w:val="0"/>
                <w:sz w:val="21"/>
                <w:szCs w:val="21"/>
              </w:rPr>
              <w:t>2、检查每条道路时，发现不巡回保洁的扣3分；</w:t>
            </w:r>
          </w:p>
          <w:p w14:paraId="716CDD9E">
            <w:pPr>
              <w:widowControl/>
              <w:rPr>
                <w:rFonts w:hint="eastAsia" w:ascii="宋体" w:hAnsi="宋体" w:cs="宋体"/>
                <w:kern w:val="0"/>
                <w:sz w:val="21"/>
                <w:szCs w:val="21"/>
              </w:rPr>
            </w:pPr>
            <w:r>
              <w:rPr>
                <w:rFonts w:hint="eastAsia" w:ascii="宋体" w:hAnsi="宋体" w:cs="宋体"/>
                <w:kern w:val="0"/>
                <w:sz w:val="21"/>
                <w:szCs w:val="21"/>
              </w:rPr>
              <w:t>3、200米以内多于三个垃圾点的扣1分；发现道路积泥每条扣1分；</w:t>
            </w:r>
          </w:p>
          <w:p w14:paraId="2528891E">
            <w:pPr>
              <w:widowControl/>
              <w:rPr>
                <w:rFonts w:hint="eastAsia" w:ascii="宋体" w:hAnsi="宋体" w:cs="宋体"/>
                <w:kern w:val="0"/>
                <w:sz w:val="21"/>
                <w:szCs w:val="21"/>
              </w:rPr>
            </w:pPr>
            <w:r>
              <w:rPr>
                <w:rFonts w:hint="eastAsia" w:ascii="宋体" w:hAnsi="宋体" w:cs="宋体"/>
                <w:kern w:val="0"/>
                <w:sz w:val="21"/>
                <w:szCs w:val="21"/>
              </w:rPr>
              <w:t>4、未将垃圾倒在规定地点或焚烧垃圾、树叶的，每起扣2分；落叶旺季未及时清扫或未按指定地点堆放转运树叶的每起扣1分；</w:t>
            </w:r>
          </w:p>
          <w:p w14:paraId="190EED90">
            <w:pPr>
              <w:widowControl/>
              <w:rPr>
                <w:rFonts w:hint="eastAsia" w:ascii="宋体" w:hAnsi="宋体" w:cs="宋体"/>
                <w:kern w:val="0"/>
                <w:sz w:val="21"/>
                <w:szCs w:val="21"/>
              </w:rPr>
            </w:pPr>
            <w:r>
              <w:rPr>
                <w:rFonts w:hint="eastAsia" w:ascii="宋体" w:hAnsi="宋体" w:cs="宋体"/>
                <w:kern w:val="0"/>
                <w:sz w:val="21"/>
                <w:szCs w:val="21"/>
              </w:rPr>
              <w:t>5、保洁人员将垃圾倒入果壳箱的每发现一次扣2分；</w:t>
            </w:r>
          </w:p>
          <w:p w14:paraId="3C01E850">
            <w:pPr>
              <w:widowControl/>
              <w:rPr>
                <w:rFonts w:hint="eastAsia" w:ascii="宋体" w:hAnsi="宋体" w:cs="宋体"/>
                <w:kern w:val="0"/>
                <w:sz w:val="21"/>
                <w:szCs w:val="21"/>
              </w:rPr>
            </w:pPr>
            <w:r>
              <w:rPr>
                <w:rFonts w:hint="eastAsia" w:ascii="宋体" w:hAnsi="宋体" w:cs="宋体"/>
                <w:kern w:val="0"/>
                <w:sz w:val="21"/>
                <w:szCs w:val="21"/>
              </w:rPr>
              <w:t>6、未按规定要求进行道路洒水一次扣3分。</w:t>
            </w:r>
          </w:p>
          <w:p w14:paraId="276BA41E">
            <w:pPr>
              <w:widowControl/>
              <w:rPr>
                <w:rFonts w:hint="eastAsia" w:ascii="宋体" w:hAnsi="宋体" w:cs="宋体"/>
                <w:kern w:val="0"/>
                <w:sz w:val="21"/>
                <w:szCs w:val="21"/>
              </w:rPr>
            </w:pPr>
            <w:r>
              <w:rPr>
                <w:rFonts w:hint="eastAsia" w:ascii="宋体" w:hAnsi="宋体" w:cs="宋体"/>
                <w:kern w:val="0"/>
                <w:sz w:val="21"/>
                <w:szCs w:val="21"/>
              </w:rPr>
              <w:t>7、随机抽查100米墙面，发现张贴、涂写牛皮癣的，每处扣1分。</w:t>
            </w:r>
          </w:p>
        </w:tc>
        <w:tc>
          <w:tcPr>
            <w:tcW w:w="642" w:type="dxa"/>
            <w:noWrap w:val="0"/>
            <w:vAlign w:val="center"/>
          </w:tcPr>
          <w:p w14:paraId="4A36BD3B">
            <w:pPr>
              <w:widowControl/>
              <w:jc w:val="center"/>
              <w:rPr>
                <w:rFonts w:hint="default" w:ascii="宋体" w:hAnsi="宋体" w:eastAsia="宋体" w:cs="宋体"/>
                <w:kern w:val="0"/>
                <w:szCs w:val="21"/>
                <w:lang w:val="en-US" w:eastAsia="zh-CN"/>
              </w:rPr>
            </w:pPr>
          </w:p>
        </w:tc>
        <w:tc>
          <w:tcPr>
            <w:tcW w:w="642" w:type="dxa"/>
            <w:noWrap w:val="0"/>
            <w:vAlign w:val="center"/>
          </w:tcPr>
          <w:p w14:paraId="172A962F">
            <w:pPr>
              <w:widowControl/>
              <w:jc w:val="center"/>
              <w:rPr>
                <w:rFonts w:hint="default" w:ascii="宋体" w:hAnsi="宋体" w:eastAsia="宋体" w:cs="宋体"/>
                <w:kern w:val="0"/>
                <w:szCs w:val="21"/>
                <w:lang w:val="en-US" w:eastAsia="zh-CN"/>
              </w:rPr>
            </w:pPr>
          </w:p>
        </w:tc>
      </w:tr>
      <w:tr w14:paraId="325D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418" w:type="dxa"/>
            <w:noWrap w:val="0"/>
            <w:vAlign w:val="center"/>
          </w:tcPr>
          <w:p w14:paraId="5411B2B0">
            <w:pPr>
              <w:widowControl/>
              <w:jc w:val="center"/>
              <w:rPr>
                <w:rFonts w:hint="eastAsia" w:ascii="宋体" w:hAnsi="宋体" w:cs="宋体"/>
                <w:color w:val="auto"/>
                <w:kern w:val="0"/>
                <w:szCs w:val="21"/>
              </w:rPr>
            </w:pPr>
            <w:r>
              <w:rPr>
                <w:rFonts w:hint="eastAsia" w:ascii="宋体" w:hAnsi="宋体" w:cs="宋体"/>
                <w:color w:val="auto"/>
                <w:kern w:val="0"/>
                <w:szCs w:val="21"/>
              </w:rPr>
              <w:t>3</w:t>
            </w:r>
          </w:p>
        </w:tc>
        <w:tc>
          <w:tcPr>
            <w:tcW w:w="855" w:type="dxa"/>
            <w:noWrap w:val="0"/>
            <w:vAlign w:val="center"/>
          </w:tcPr>
          <w:p w14:paraId="7ABBBD8E">
            <w:pPr>
              <w:widowControl/>
              <w:jc w:val="center"/>
              <w:rPr>
                <w:rFonts w:hint="eastAsia" w:ascii="宋体" w:hAnsi="宋体" w:cs="宋体"/>
                <w:color w:val="auto"/>
                <w:kern w:val="0"/>
                <w:sz w:val="21"/>
                <w:szCs w:val="21"/>
              </w:rPr>
            </w:pPr>
            <w:r>
              <w:rPr>
                <w:rFonts w:hint="eastAsia" w:ascii="宋体" w:hAnsi="宋体" w:cs="宋体"/>
                <w:color w:val="auto"/>
                <w:kern w:val="0"/>
                <w:sz w:val="21"/>
                <w:szCs w:val="21"/>
              </w:rPr>
              <w:t>绿化维护保养</w:t>
            </w:r>
          </w:p>
        </w:tc>
        <w:tc>
          <w:tcPr>
            <w:tcW w:w="499" w:type="dxa"/>
            <w:noWrap w:val="0"/>
            <w:vAlign w:val="center"/>
          </w:tcPr>
          <w:p w14:paraId="44A0C818">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20</w:t>
            </w:r>
          </w:p>
        </w:tc>
        <w:tc>
          <w:tcPr>
            <w:tcW w:w="6901" w:type="dxa"/>
            <w:noWrap w:val="0"/>
            <w:vAlign w:val="center"/>
          </w:tcPr>
          <w:p w14:paraId="7158F7FE">
            <w:pPr>
              <w:widowControl/>
              <w:numPr>
                <w:ilvl w:val="0"/>
                <w:numId w:val="3"/>
              </w:numPr>
              <w:rPr>
                <w:rFonts w:hint="eastAsia" w:ascii="宋体" w:hAnsi="宋体" w:cs="宋体"/>
                <w:color w:val="auto"/>
                <w:kern w:val="0"/>
                <w:sz w:val="21"/>
                <w:szCs w:val="21"/>
              </w:rPr>
            </w:pPr>
            <w:r>
              <w:rPr>
                <w:rFonts w:hint="eastAsia" w:ascii="宋体" w:hAnsi="宋体" w:cs="宋体"/>
                <w:color w:val="auto"/>
                <w:kern w:val="0"/>
                <w:sz w:val="21"/>
                <w:szCs w:val="21"/>
              </w:rPr>
              <w:t>每年普除杂草五遍以上，杂草面积大于6%扣3分；</w:t>
            </w:r>
          </w:p>
          <w:p w14:paraId="00166FD5">
            <w:pPr>
              <w:widowControl/>
              <w:numPr>
                <w:ilvl w:val="0"/>
                <w:numId w:val="3"/>
              </w:numPr>
              <w:rPr>
                <w:rFonts w:hint="eastAsia" w:ascii="宋体" w:hAnsi="宋体" w:cs="宋体"/>
                <w:color w:val="auto"/>
                <w:kern w:val="0"/>
                <w:sz w:val="21"/>
                <w:szCs w:val="21"/>
              </w:rPr>
            </w:pPr>
            <w:r>
              <w:rPr>
                <w:rFonts w:hint="eastAsia" w:ascii="宋体" w:hAnsi="宋体" w:cs="宋体"/>
                <w:color w:val="auto"/>
                <w:kern w:val="0"/>
                <w:sz w:val="21"/>
                <w:szCs w:val="21"/>
              </w:rPr>
              <w:t>及时灌溉，保证有效供水，有积水及时排除，未做到的扣3分；</w:t>
            </w:r>
          </w:p>
          <w:p w14:paraId="34F9AD91">
            <w:pPr>
              <w:widowControl/>
              <w:numPr>
                <w:ilvl w:val="0"/>
                <w:numId w:val="3"/>
              </w:numPr>
              <w:rPr>
                <w:rFonts w:hint="eastAsia" w:ascii="宋体" w:hAnsi="宋体" w:cs="宋体"/>
                <w:color w:val="auto"/>
                <w:kern w:val="0"/>
                <w:sz w:val="21"/>
                <w:szCs w:val="21"/>
              </w:rPr>
            </w:pPr>
            <w:r>
              <w:rPr>
                <w:rFonts w:hint="eastAsia" w:ascii="宋体" w:hAnsi="宋体" w:cs="宋体"/>
                <w:color w:val="auto"/>
                <w:kern w:val="0"/>
                <w:sz w:val="21"/>
                <w:szCs w:val="21"/>
              </w:rPr>
              <w:t>无二级枯枝，篱、球超过齐平线10cm；保持花卉生长良好、缺枝及时进行补种、及时做好病虫害防治，未做到的扣4分。</w:t>
            </w:r>
          </w:p>
          <w:p w14:paraId="362E5E5A">
            <w:pPr>
              <w:widowControl/>
              <w:numPr>
                <w:ilvl w:val="0"/>
                <w:numId w:val="3"/>
              </w:numPr>
              <w:rPr>
                <w:rFonts w:hint="eastAsia" w:ascii="宋体" w:hAnsi="宋体" w:cs="宋体"/>
                <w:color w:val="auto"/>
                <w:kern w:val="0"/>
                <w:sz w:val="21"/>
                <w:szCs w:val="21"/>
              </w:rPr>
            </w:pPr>
            <w:r>
              <w:rPr>
                <w:rFonts w:hint="eastAsia" w:ascii="宋体" w:hAnsi="宋体" w:cs="宋体"/>
                <w:color w:val="auto"/>
                <w:kern w:val="0"/>
                <w:sz w:val="21"/>
                <w:szCs w:val="21"/>
                <w:lang w:eastAsia="zh-CN"/>
              </w:rPr>
              <w:t>绿地施肥一年不少于</w:t>
            </w:r>
            <w:r>
              <w:rPr>
                <w:rFonts w:hint="eastAsia" w:ascii="宋体" w:hAnsi="宋体" w:cs="宋体"/>
                <w:color w:val="auto"/>
                <w:kern w:val="0"/>
                <w:sz w:val="21"/>
                <w:szCs w:val="21"/>
                <w:lang w:val="en-US" w:eastAsia="zh-CN"/>
              </w:rPr>
              <w:t>2次，每次施肥前应报招标人，少一次扣3分。</w:t>
            </w:r>
          </w:p>
          <w:p w14:paraId="3DED3493">
            <w:pPr>
              <w:widowControl/>
              <w:numPr>
                <w:ilvl w:val="0"/>
                <w:numId w:val="3"/>
              </w:numP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绿化带垃圾及白色垃圾及时清理，如发现一次扣1分。</w:t>
            </w:r>
          </w:p>
        </w:tc>
        <w:tc>
          <w:tcPr>
            <w:tcW w:w="642" w:type="dxa"/>
            <w:noWrap w:val="0"/>
            <w:vAlign w:val="center"/>
          </w:tcPr>
          <w:p w14:paraId="5C4D72D5">
            <w:pPr>
              <w:widowControl/>
              <w:jc w:val="center"/>
              <w:rPr>
                <w:rFonts w:hint="default" w:ascii="宋体" w:hAnsi="宋体" w:eastAsia="宋体" w:cs="宋体"/>
                <w:kern w:val="0"/>
                <w:szCs w:val="21"/>
                <w:lang w:val="en-US" w:eastAsia="zh-CN"/>
              </w:rPr>
            </w:pPr>
          </w:p>
        </w:tc>
        <w:tc>
          <w:tcPr>
            <w:tcW w:w="642" w:type="dxa"/>
            <w:noWrap w:val="0"/>
            <w:vAlign w:val="center"/>
          </w:tcPr>
          <w:p w14:paraId="42D7DC31">
            <w:pPr>
              <w:widowControl/>
              <w:jc w:val="center"/>
              <w:rPr>
                <w:rFonts w:hint="default" w:ascii="宋体" w:hAnsi="宋体" w:eastAsia="宋体" w:cs="宋体"/>
                <w:kern w:val="0"/>
                <w:szCs w:val="21"/>
                <w:lang w:val="en-US" w:eastAsia="zh-CN"/>
              </w:rPr>
            </w:pPr>
          </w:p>
        </w:tc>
      </w:tr>
      <w:tr w14:paraId="2B31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418" w:type="dxa"/>
            <w:noWrap w:val="0"/>
            <w:vAlign w:val="center"/>
          </w:tcPr>
          <w:p w14:paraId="45CA3E76">
            <w:pPr>
              <w:widowControl/>
              <w:jc w:val="center"/>
              <w:rPr>
                <w:rFonts w:ascii="宋体" w:hAnsi="宋体" w:cs="宋体"/>
                <w:kern w:val="0"/>
                <w:szCs w:val="21"/>
              </w:rPr>
            </w:pPr>
            <w:r>
              <w:rPr>
                <w:rFonts w:hint="eastAsia" w:ascii="宋体" w:hAnsi="宋体" w:cs="宋体"/>
                <w:kern w:val="0"/>
                <w:szCs w:val="21"/>
              </w:rPr>
              <w:t>4</w:t>
            </w:r>
          </w:p>
        </w:tc>
        <w:tc>
          <w:tcPr>
            <w:tcW w:w="855" w:type="dxa"/>
            <w:noWrap w:val="0"/>
            <w:vAlign w:val="center"/>
          </w:tcPr>
          <w:p w14:paraId="316D6B7E">
            <w:pPr>
              <w:widowControl/>
              <w:jc w:val="center"/>
              <w:rPr>
                <w:rFonts w:ascii="宋体" w:hAnsi="宋体" w:cs="宋体"/>
                <w:kern w:val="0"/>
                <w:sz w:val="21"/>
                <w:szCs w:val="21"/>
              </w:rPr>
            </w:pPr>
            <w:r>
              <w:rPr>
                <w:rFonts w:hint="eastAsia" w:ascii="宋体" w:hAnsi="宋体" w:cs="宋体"/>
                <w:kern w:val="0"/>
                <w:sz w:val="21"/>
                <w:szCs w:val="21"/>
              </w:rPr>
              <w:t>垃圾箱桶清洗</w:t>
            </w:r>
          </w:p>
        </w:tc>
        <w:tc>
          <w:tcPr>
            <w:tcW w:w="499" w:type="dxa"/>
            <w:noWrap w:val="0"/>
            <w:vAlign w:val="center"/>
          </w:tcPr>
          <w:p w14:paraId="251AA9A0">
            <w:pPr>
              <w:widowControl/>
              <w:jc w:val="center"/>
              <w:rPr>
                <w:rFonts w:hint="eastAsia" w:ascii="宋体" w:hAnsi="宋体" w:cs="宋体"/>
                <w:kern w:val="0"/>
                <w:sz w:val="21"/>
                <w:szCs w:val="21"/>
              </w:rPr>
            </w:pPr>
            <w:r>
              <w:rPr>
                <w:rFonts w:hint="eastAsia" w:ascii="宋体" w:hAnsi="宋体" w:cs="宋体"/>
                <w:kern w:val="0"/>
                <w:sz w:val="21"/>
                <w:szCs w:val="21"/>
              </w:rPr>
              <w:t>15</w:t>
            </w:r>
          </w:p>
        </w:tc>
        <w:tc>
          <w:tcPr>
            <w:tcW w:w="6901" w:type="dxa"/>
            <w:noWrap w:val="0"/>
            <w:vAlign w:val="center"/>
          </w:tcPr>
          <w:p w14:paraId="30A53EFF">
            <w:pPr>
              <w:widowControl/>
              <w:rPr>
                <w:rFonts w:hint="eastAsia" w:ascii="宋体" w:hAnsi="宋体" w:cs="宋体"/>
                <w:kern w:val="0"/>
                <w:sz w:val="21"/>
                <w:szCs w:val="21"/>
              </w:rPr>
            </w:pPr>
            <w:r>
              <w:rPr>
                <w:rFonts w:hint="eastAsia" w:ascii="宋体" w:hAnsi="宋体" w:cs="宋体"/>
                <w:kern w:val="0"/>
                <w:sz w:val="21"/>
                <w:szCs w:val="21"/>
              </w:rPr>
              <w:t>1、垃圾箱桶要做到日产日清，垃圾桶要求一周一洗，未达到要求的（包括清理不彻底），每处扣2分；</w:t>
            </w:r>
          </w:p>
          <w:p w14:paraId="26A8DC52">
            <w:pPr>
              <w:widowControl/>
              <w:rPr>
                <w:rFonts w:hint="eastAsia" w:ascii="宋体" w:hAnsi="宋体" w:cs="宋体"/>
                <w:kern w:val="0"/>
                <w:sz w:val="21"/>
                <w:szCs w:val="21"/>
              </w:rPr>
            </w:pPr>
            <w:r>
              <w:rPr>
                <w:rFonts w:hint="eastAsia" w:ascii="宋体" w:hAnsi="宋体" w:cs="宋体"/>
                <w:kern w:val="0"/>
                <w:sz w:val="21"/>
                <w:szCs w:val="21"/>
              </w:rPr>
              <w:t>2、发现垃圾箱桶漏清、垃圾外溢，每处扣0.5分；垃圾桶（箱）破损的每只扣0.5分。未及时更换破损垃圾桶，每次每只扣0.5分，垃圾桶清除后未放回原处每次扣1分。</w:t>
            </w:r>
          </w:p>
          <w:p w14:paraId="70BD9468">
            <w:pPr>
              <w:widowControl/>
              <w:rPr>
                <w:rFonts w:hint="eastAsia" w:ascii="宋体" w:hAnsi="宋体" w:cs="宋体"/>
                <w:kern w:val="0"/>
                <w:sz w:val="21"/>
                <w:szCs w:val="21"/>
              </w:rPr>
            </w:pPr>
            <w:r>
              <w:rPr>
                <w:rFonts w:hint="eastAsia" w:ascii="宋体" w:hAnsi="宋体" w:cs="宋体"/>
                <w:kern w:val="0"/>
                <w:sz w:val="21"/>
                <w:szCs w:val="21"/>
              </w:rPr>
              <w:t>3、垃圾箱（房、桶）垃圾清除周围环境不清洁、污水横流或扫而不洁的每例扣1分。</w:t>
            </w:r>
          </w:p>
          <w:p w14:paraId="1F469941">
            <w:pPr>
              <w:widowControl/>
              <w:rPr>
                <w:rFonts w:hint="eastAsia" w:ascii="宋体" w:hAnsi="宋体" w:cs="宋体"/>
                <w:kern w:val="0"/>
                <w:sz w:val="21"/>
                <w:szCs w:val="21"/>
              </w:rPr>
            </w:pPr>
            <w:r>
              <w:rPr>
                <w:rFonts w:hint="eastAsia" w:ascii="宋体" w:hAnsi="宋体" w:cs="宋体"/>
                <w:kern w:val="0"/>
                <w:sz w:val="21"/>
                <w:szCs w:val="21"/>
              </w:rPr>
              <w:t>4、发现果壳箱不洁、歪斜、有积尘垃圾的每处扣0.5分。</w:t>
            </w:r>
          </w:p>
          <w:p w14:paraId="1F26B9FA">
            <w:pPr>
              <w:widowControl/>
              <w:rPr>
                <w:rFonts w:ascii="宋体" w:hAnsi="宋体" w:cs="宋体"/>
                <w:kern w:val="0"/>
                <w:sz w:val="21"/>
                <w:szCs w:val="21"/>
              </w:rPr>
            </w:pPr>
            <w:r>
              <w:rPr>
                <w:rFonts w:hint="eastAsia" w:ascii="宋体" w:hAnsi="宋体" w:cs="宋体"/>
                <w:kern w:val="0"/>
                <w:sz w:val="21"/>
                <w:szCs w:val="21"/>
              </w:rPr>
              <w:t>5、垃圾箱桶应该定期喷洒药物消毒，未按要求消毒的，每次扣1分。</w:t>
            </w:r>
          </w:p>
        </w:tc>
        <w:tc>
          <w:tcPr>
            <w:tcW w:w="642" w:type="dxa"/>
            <w:noWrap w:val="0"/>
            <w:vAlign w:val="center"/>
          </w:tcPr>
          <w:p w14:paraId="1708A074">
            <w:pPr>
              <w:widowControl/>
              <w:jc w:val="center"/>
              <w:rPr>
                <w:rFonts w:hint="eastAsia" w:ascii="宋体" w:hAnsi="宋体" w:eastAsia="宋体" w:cs="宋体"/>
                <w:kern w:val="0"/>
                <w:szCs w:val="21"/>
                <w:lang w:val="en-US" w:eastAsia="zh-CN"/>
              </w:rPr>
            </w:pPr>
          </w:p>
        </w:tc>
        <w:tc>
          <w:tcPr>
            <w:tcW w:w="642" w:type="dxa"/>
            <w:noWrap w:val="0"/>
            <w:vAlign w:val="center"/>
          </w:tcPr>
          <w:p w14:paraId="4BAFEB7C">
            <w:pPr>
              <w:widowControl/>
              <w:jc w:val="center"/>
              <w:rPr>
                <w:rFonts w:hint="eastAsia" w:ascii="宋体" w:hAnsi="宋体" w:eastAsia="宋体" w:cs="宋体"/>
                <w:kern w:val="0"/>
                <w:szCs w:val="21"/>
                <w:lang w:val="en-US" w:eastAsia="zh-CN"/>
              </w:rPr>
            </w:pPr>
          </w:p>
        </w:tc>
      </w:tr>
      <w:tr w14:paraId="52C0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418" w:type="dxa"/>
            <w:noWrap w:val="0"/>
            <w:vAlign w:val="center"/>
          </w:tcPr>
          <w:p w14:paraId="7E4BB21D">
            <w:pPr>
              <w:widowControl/>
              <w:jc w:val="center"/>
              <w:rPr>
                <w:rFonts w:ascii="宋体" w:hAnsi="宋体" w:cs="宋体"/>
                <w:kern w:val="0"/>
                <w:szCs w:val="21"/>
              </w:rPr>
            </w:pPr>
            <w:r>
              <w:rPr>
                <w:rFonts w:hint="eastAsia" w:ascii="宋体" w:hAnsi="宋体" w:cs="宋体"/>
                <w:kern w:val="0"/>
                <w:szCs w:val="21"/>
              </w:rPr>
              <w:t>5</w:t>
            </w:r>
          </w:p>
        </w:tc>
        <w:tc>
          <w:tcPr>
            <w:tcW w:w="855" w:type="dxa"/>
            <w:noWrap w:val="0"/>
            <w:vAlign w:val="center"/>
          </w:tcPr>
          <w:p w14:paraId="67359335">
            <w:pPr>
              <w:widowControl/>
              <w:jc w:val="center"/>
              <w:rPr>
                <w:rFonts w:ascii="宋体" w:hAnsi="宋体" w:cs="宋体"/>
                <w:kern w:val="0"/>
                <w:sz w:val="21"/>
                <w:szCs w:val="21"/>
              </w:rPr>
            </w:pPr>
            <w:r>
              <w:rPr>
                <w:rFonts w:hint="eastAsia" w:ascii="宋体" w:hAnsi="宋体" w:cs="宋体"/>
                <w:kern w:val="0"/>
                <w:sz w:val="21"/>
                <w:szCs w:val="21"/>
              </w:rPr>
              <w:t>垃圾清运车容车貌</w:t>
            </w:r>
          </w:p>
        </w:tc>
        <w:tc>
          <w:tcPr>
            <w:tcW w:w="499" w:type="dxa"/>
            <w:noWrap w:val="0"/>
            <w:vAlign w:val="center"/>
          </w:tcPr>
          <w:p w14:paraId="379ACAB2">
            <w:pPr>
              <w:widowControl/>
              <w:jc w:val="center"/>
              <w:rPr>
                <w:rFonts w:hint="eastAsia"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5</w:t>
            </w:r>
          </w:p>
        </w:tc>
        <w:tc>
          <w:tcPr>
            <w:tcW w:w="6901" w:type="dxa"/>
            <w:noWrap w:val="0"/>
            <w:vAlign w:val="center"/>
          </w:tcPr>
          <w:p w14:paraId="1B67DA76">
            <w:pPr>
              <w:widowControl/>
              <w:rPr>
                <w:rFonts w:hint="eastAsia" w:ascii="宋体" w:hAnsi="宋体" w:cs="宋体"/>
                <w:kern w:val="0"/>
                <w:sz w:val="21"/>
                <w:szCs w:val="21"/>
              </w:rPr>
            </w:pPr>
            <w:r>
              <w:rPr>
                <w:rFonts w:hint="eastAsia" w:ascii="宋体" w:hAnsi="宋体" w:cs="宋体"/>
                <w:kern w:val="0"/>
                <w:sz w:val="21"/>
                <w:szCs w:val="21"/>
              </w:rPr>
              <w:t>1、不按规定时间将垃圾运送到压缩中转站的扣2分；</w:t>
            </w:r>
          </w:p>
          <w:p w14:paraId="7EE41A1A">
            <w:pPr>
              <w:widowControl/>
              <w:rPr>
                <w:rFonts w:hint="eastAsia" w:ascii="宋体" w:hAnsi="宋体" w:cs="宋体"/>
                <w:kern w:val="0"/>
                <w:sz w:val="21"/>
                <w:szCs w:val="21"/>
              </w:rPr>
            </w:pPr>
            <w:r>
              <w:rPr>
                <w:rFonts w:hint="eastAsia" w:ascii="宋体" w:hAnsi="宋体" w:cs="宋体"/>
                <w:kern w:val="0"/>
                <w:sz w:val="21"/>
                <w:szCs w:val="21"/>
              </w:rPr>
              <w:t>2、乱倒垃圾、树叶或焚烧垃圾、树叶的扣3分；</w:t>
            </w:r>
          </w:p>
          <w:p w14:paraId="1E8AE8EB">
            <w:pPr>
              <w:widowControl/>
              <w:rPr>
                <w:rFonts w:ascii="宋体" w:hAnsi="宋体" w:cs="宋体"/>
                <w:kern w:val="0"/>
                <w:sz w:val="21"/>
                <w:szCs w:val="21"/>
              </w:rPr>
            </w:pPr>
            <w:r>
              <w:rPr>
                <w:rFonts w:hint="eastAsia" w:ascii="宋体" w:hAnsi="宋体" w:cs="宋体"/>
                <w:kern w:val="0"/>
                <w:sz w:val="21"/>
                <w:szCs w:val="21"/>
              </w:rPr>
              <w:t>3、车容整洁，去破损、满溢、车辆外吊挂杂物的现象，在运输过程中应密闭运输。发现抛、撒、漏、吊挂的每次扣1分，车辆破损的每次扣1分，车辆不洁的每次扣0.5分。</w:t>
            </w:r>
          </w:p>
        </w:tc>
        <w:tc>
          <w:tcPr>
            <w:tcW w:w="642" w:type="dxa"/>
            <w:noWrap w:val="0"/>
            <w:vAlign w:val="center"/>
          </w:tcPr>
          <w:p w14:paraId="774A5007">
            <w:pPr>
              <w:widowControl/>
              <w:jc w:val="center"/>
              <w:rPr>
                <w:rFonts w:hint="default" w:ascii="宋体" w:hAnsi="宋体" w:eastAsia="宋体" w:cs="宋体"/>
                <w:kern w:val="0"/>
                <w:szCs w:val="21"/>
                <w:lang w:val="en-US" w:eastAsia="zh-CN"/>
              </w:rPr>
            </w:pPr>
          </w:p>
        </w:tc>
        <w:tc>
          <w:tcPr>
            <w:tcW w:w="642" w:type="dxa"/>
            <w:noWrap w:val="0"/>
            <w:vAlign w:val="center"/>
          </w:tcPr>
          <w:p w14:paraId="2E8DA61F">
            <w:pPr>
              <w:widowControl/>
              <w:jc w:val="center"/>
              <w:rPr>
                <w:rFonts w:hint="default" w:ascii="宋体" w:hAnsi="宋体" w:eastAsia="宋体" w:cs="宋体"/>
                <w:kern w:val="0"/>
                <w:szCs w:val="21"/>
                <w:lang w:val="en-US" w:eastAsia="zh-CN"/>
              </w:rPr>
            </w:pPr>
          </w:p>
        </w:tc>
      </w:tr>
      <w:tr w14:paraId="3007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418" w:type="dxa"/>
            <w:noWrap w:val="0"/>
            <w:vAlign w:val="center"/>
          </w:tcPr>
          <w:p w14:paraId="667BC52A">
            <w:pPr>
              <w:widowControl/>
              <w:jc w:val="center"/>
              <w:rPr>
                <w:rFonts w:ascii="宋体" w:hAnsi="宋体" w:cs="宋体"/>
                <w:kern w:val="0"/>
                <w:szCs w:val="21"/>
              </w:rPr>
            </w:pPr>
            <w:r>
              <w:rPr>
                <w:rFonts w:hint="eastAsia" w:ascii="宋体" w:hAnsi="宋体" w:cs="宋体"/>
                <w:kern w:val="0"/>
                <w:szCs w:val="21"/>
              </w:rPr>
              <w:t>6</w:t>
            </w:r>
          </w:p>
        </w:tc>
        <w:tc>
          <w:tcPr>
            <w:tcW w:w="855" w:type="dxa"/>
            <w:noWrap w:val="0"/>
            <w:vAlign w:val="center"/>
          </w:tcPr>
          <w:p w14:paraId="0ABD4373">
            <w:pPr>
              <w:widowControl/>
              <w:jc w:val="center"/>
              <w:rPr>
                <w:rFonts w:ascii="宋体" w:hAnsi="宋体" w:cs="宋体"/>
                <w:kern w:val="0"/>
                <w:sz w:val="21"/>
                <w:szCs w:val="21"/>
              </w:rPr>
            </w:pPr>
            <w:r>
              <w:rPr>
                <w:rFonts w:hint="eastAsia" w:ascii="宋体" w:hAnsi="宋体" w:cs="宋体"/>
                <w:kern w:val="0"/>
                <w:sz w:val="21"/>
                <w:szCs w:val="21"/>
              </w:rPr>
              <w:t>突发事件重大事件处理</w:t>
            </w:r>
          </w:p>
        </w:tc>
        <w:tc>
          <w:tcPr>
            <w:tcW w:w="499" w:type="dxa"/>
            <w:noWrap w:val="0"/>
            <w:vAlign w:val="center"/>
          </w:tcPr>
          <w:p w14:paraId="16C81192">
            <w:pPr>
              <w:widowControl/>
              <w:jc w:val="center"/>
              <w:rPr>
                <w:rFonts w:hint="eastAsia" w:ascii="宋体" w:hAnsi="宋体" w:cs="宋体"/>
                <w:kern w:val="0"/>
                <w:sz w:val="21"/>
                <w:szCs w:val="21"/>
              </w:rPr>
            </w:pPr>
            <w:r>
              <w:rPr>
                <w:rFonts w:hint="eastAsia" w:ascii="宋体" w:hAnsi="宋体" w:cs="宋体"/>
                <w:kern w:val="0"/>
                <w:sz w:val="21"/>
                <w:szCs w:val="21"/>
              </w:rPr>
              <w:t>8</w:t>
            </w:r>
          </w:p>
        </w:tc>
        <w:tc>
          <w:tcPr>
            <w:tcW w:w="6901" w:type="dxa"/>
            <w:noWrap w:val="0"/>
            <w:vAlign w:val="center"/>
          </w:tcPr>
          <w:p w14:paraId="64917DD7">
            <w:pPr>
              <w:widowControl/>
              <w:rPr>
                <w:rFonts w:hint="eastAsia" w:ascii="宋体" w:hAnsi="宋体" w:cs="宋体"/>
                <w:kern w:val="0"/>
                <w:sz w:val="21"/>
                <w:szCs w:val="21"/>
              </w:rPr>
            </w:pPr>
            <w:r>
              <w:rPr>
                <w:rFonts w:hint="eastAsia" w:ascii="宋体" w:hAnsi="宋体" w:cs="宋体"/>
                <w:kern w:val="0"/>
                <w:sz w:val="21"/>
                <w:szCs w:val="21"/>
              </w:rPr>
              <w:t>1、发生一起有责任的投诉扣1分，有责任投诉处理不及时的加扣2分；</w:t>
            </w:r>
          </w:p>
          <w:p w14:paraId="60834381">
            <w:pPr>
              <w:widowControl/>
              <w:rPr>
                <w:rFonts w:ascii="宋体" w:hAnsi="宋体" w:cs="宋体"/>
                <w:kern w:val="0"/>
                <w:sz w:val="21"/>
                <w:szCs w:val="21"/>
              </w:rPr>
            </w:pPr>
            <w:r>
              <w:rPr>
                <w:rFonts w:hint="eastAsia" w:ascii="宋体" w:hAnsi="宋体" w:cs="宋体"/>
                <w:kern w:val="0"/>
                <w:sz w:val="21"/>
                <w:szCs w:val="21"/>
              </w:rPr>
              <w:t>2、对新闻媒体曝光“12345”受理中心和信访投诉的有责时间按处理不及时</w:t>
            </w:r>
            <w:r>
              <w:rPr>
                <w:rFonts w:hint="eastAsia" w:ascii="宋体" w:hAnsi="宋体" w:cs="宋体"/>
                <w:kern w:val="0"/>
                <w:sz w:val="21"/>
                <w:szCs w:val="21"/>
                <w:lang w:eastAsia="zh-CN"/>
              </w:rPr>
              <w:t>或</w:t>
            </w:r>
            <w:r>
              <w:rPr>
                <w:rFonts w:hint="eastAsia" w:ascii="宋体" w:hAnsi="宋体" w:cs="宋体"/>
                <w:kern w:val="0"/>
                <w:sz w:val="21"/>
                <w:szCs w:val="21"/>
              </w:rPr>
              <w:t>处理不力的全扣。区级以上检查不失责任分，失责任分的全扣。</w:t>
            </w:r>
          </w:p>
        </w:tc>
        <w:tc>
          <w:tcPr>
            <w:tcW w:w="642" w:type="dxa"/>
            <w:noWrap w:val="0"/>
            <w:vAlign w:val="center"/>
          </w:tcPr>
          <w:p w14:paraId="041E2C5F">
            <w:pPr>
              <w:widowControl/>
              <w:jc w:val="center"/>
              <w:rPr>
                <w:rFonts w:hint="eastAsia" w:ascii="宋体" w:hAnsi="宋体" w:eastAsia="宋体" w:cs="宋体"/>
                <w:kern w:val="0"/>
                <w:szCs w:val="21"/>
                <w:lang w:val="en-US" w:eastAsia="zh-CN"/>
              </w:rPr>
            </w:pPr>
          </w:p>
        </w:tc>
        <w:tc>
          <w:tcPr>
            <w:tcW w:w="642" w:type="dxa"/>
            <w:noWrap w:val="0"/>
            <w:vAlign w:val="center"/>
          </w:tcPr>
          <w:p w14:paraId="46B4A742">
            <w:pPr>
              <w:widowControl/>
              <w:jc w:val="center"/>
              <w:rPr>
                <w:rFonts w:hint="eastAsia"/>
                <w:lang w:val="en-US" w:eastAsia="zh-CN"/>
              </w:rPr>
            </w:pPr>
          </w:p>
          <w:p w14:paraId="00E10A6D">
            <w:pPr>
              <w:pStyle w:val="24"/>
              <w:rPr>
                <w:rFonts w:hint="eastAsia" w:ascii="宋体" w:hAnsi="宋体" w:eastAsia="宋体" w:cs="宋体"/>
                <w:kern w:val="0"/>
                <w:szCs w:val="21"/>
                <w:lang w:val="en-US" w:eastAsia="zh-CN"/>
              </w:rPr>
            </w:pPr>
          </w:p>
          <w:p w14:paraId="315F41B5">
            <w:pPr>
              <w:pStyle w:val="24"/>
              <w:ind w:left="0" w:leftChars="0" w:firstLine="0" w:firstLineChars="0"/>
              <w:rPr>
                <w:rFonts w:hint="eastAsia" w:ascii="宋体" w:hAnsi="宋体" w:eastAsia="宋体" w:cs="宋体"/>
                <w:kern w:val="0"/>
                <w:szCs w:val="21"/>
                <w:lang w:val="en-US" w:eastAsia="zh-CN"/>
              </w:rPr>
            </w:pPr>
          </w:p>
        </w:tc>
      </w:tr>
      <w:tr w14:paraId="0368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673" w:type="dxa"/>
            <w:gridSpan w:val="4"/>
            <w:noWrap w:val="0"/>
            <w:vAlign w:val="center"/>
          </w:tcPr>
          <w:p w14:paraId="376E1837">
            <w:pPr>
              <w:widowControl/>
              <w:jc w:val="center"/>
              <w:rPr>
                <w:rFonts w:hint="eastAsia" w:ascii="宋体" w:hAnsi="宋体" w:cs="宋体" w:eastAsiaTheme="minorEastAsia"/>
                <w:kern w:val="0"/>
                <w:sz w:val="21"/>
                <w:szCs w:val="21"/>
                <w:lang w:eastAsia="zh-CN"/>
              </w:rPr>
            </w:pPr>
            <w:r>
              <w:rPr>
                <w:rFonts w:hint="eastAsia" w:ascii="宋体" w:hAnsi="宋体" w:cs="宋体"/>
                <w:kern w:val="0"/>
                <w:sz w:val="21"/>
                <w:szCs w:val="21"/>
                <w:lang w:eastAsia="zh-CN"/>
              </w:rPr>
              <w:t>总分</w:t>
            </w:r>
          </w:p>
        </w:tc>
        <w:tc>
          <w:tcPr>
            <w:tcW w:w="642" w:type="dxa"/>
            <w:noWrap w:val="0"/>
            <w:vAlign w:val="center"/>
          </w:tcPr>
          <w:p w14:paraId="61F475D2">
            <w:pPr>
              <w:widowControl/>
              <w:jc w:val="center"/>
              <w:rPr>
                <w:rFonts w:hint="eastAsia" w:ascii="宋体" w:hAnsi="宋体" w:eastAsia="宋体" w:cs="宋体"/>
                <w:kern w:val="0"/>
                <w:szCs w:val="21"/>
                <w:lang w:val="en-US" w:eastAsia="zh-CN"/>
              </w:rPr>
            </w:pPr>
          </w:p>
        </w:tc>
        <w:tc>
          <w:tcPr>
            <w:tcW w:w="642" w:type="dxa"/>
            <w:noWrap w:val="0"/>
            <w:vAlign w:val="center"/>
          </w:tcPr>
          <w:p w14:paraId="5BD0C1F3">
            <w:pPr>
              <w:pStyle w:val="24"/>
              <w:ind w:left="0" w:leftChars="0" w:firstLine="0" w:firstLineChars="0"/>
              <w:rPr>
                <w:rFonts w:hint="eastAsia" w:ascii="宋体" w:hAnsi="宋体" w:eastAsia="宋体" w:cs="宋体"/>
                <w:kern w:val="0"/>
                <w:szCs w:val="21"/>
                <w:lang w:val="en-US" w:eastAsia="zh-CN"/>
              </w:rPr>
            </w:pPr>
          </w:p>
        </w:tc>
      </w:tr>
    </w:tbl>
    <w:p w14:paraId="6138DCEC">
      <w:pPr>
        <w:spacing w:line="360" w:lineRule="auto"/>
        <w:jc w:val="both"/>
        <w:rPr>
          <w:rFonts w:hint="eastAsia" w:ascii="宋体" w:hAnsi="宋体" w:eastAsia="宋体" w:cs="宋体"/>
          <w:kern w:val="0"/>
          <w:sz w:val="21"/>
          <w:szCs w:val="21"/>
        </w:rPr>
      </w:pPr>
    </w:p>
    <w:p w14:paraId="0E70725A">
      <w:pPr>
        <w:spacing w:line="360" w:lineRule="auto"/>
        <w:jc w:val="both"/>
        <w:rPr>
          <w:rFonts w:hint="eastAsia" w:ascii="宋体" w:hAnsi="宋体" w:cs="宋体"/>
          <w:b/>
          <w:color w:val="auto"/>
          <w:sz w:val="36"/>
          <w:szCs w:val="36"/>
          <w:highlight w:val="none"/>
        </w:rPr>
      </w:pPr>
      <w:r>
        <w:rPr>
          <w:rFonts w:hint="eastAsia" w:ascii="宋体" w:hAnsi="宋体" w:eastAsia="宋体" w:cs="宋体"/>
          <w:kern w:val="0"/>
          <w:sz w:val="21"/>
          <w:szCs w:val="21"/>
        </w:rPr>
        <w:t>考评时间：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    考评单位：</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  考评人员：</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   </w:t>
      </w:r>
      <w:r>
        <w:rPr>
          <w:rFonts w:hint="eastAsia" w:ascii="宋体" w:hAnsi="宋体" w:cs="宋体"/>
          <w:b/>
          <w:color w:val="auto"/>
          <w:sz w:val="36"/>
          <w:szCs w:val="36"/>
          <w:highlight w:val="none"/>
        </w:rPr>
        <w:t xml:space="preserve">                      </w:t>
      </w:r>
    </w:p>
    <w:p w14:paraId="7DD7E981">
      <w:pPr>
        <w:spacing w:line="360" w:lineRule="auto"/>
        <w:ind w:firstLine="723" w:firstLineChars="200"/>
        <w:jc w:val="center"/>
        <w:rPr>
          <w:rFonts w:hint="eastAsia" w:ascii="宋体" w:hAnsi="宋体" w:cs="宋体"/>
          <w:b/>
          <w:color w:val="auto"/>
          <w:sz w:val="36"/>
          <w:szCs w:val="36"/>
          <w:highlight w:val="none"/>
        </w:rPr>
      </w:pPr>
    </w:p>
    <w:p w14:paraId="467791DB">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D18B210">
      <w:pPr>
        <w:spacing w:line="360" w:lineRule="auto"/>
        <w:ind w:firstLine="723" w:firstLineChars="200"/>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08041"/>
      <w:bookmarkEnd w:id="28"/>
      <w:bookmarkStart w:id="29" w:name="_Toc184313246"/>
      <w:bookmarkEnd w:id="29"/>
      <w:bookmarkStart w:id="30" w:name="_Toc184312131"/>
      <w:bookmarkEnd w:id="30"/>
      <w:bookmarkStart w:id="31" w:name="_Toc184308092"/>
      <w:bookmarkEnd w:id="31"/>
      <w:bookmarkStart w:id="32" w:name="_Toc184313278"/>
      <w:bookmarkEnd w:id="32"/>
      <w:bookmarkStart w:id="33" w:name="_Toc184313294"/>
      <w:bookmarkEnd w:id="33"/>
      <w:bookmarkStart w:id="34" w:name="_Toc184313286"/>
      <w:bookmarkEnd w:id="34"/>
      <w:bookmarkStart w:id="35" w:name="_Toc184313261"/>
      <w:bookmarkEnd w:id="35"/>
      <w:bookmarkStart w:id="36" w:name="_Toc184312126"/>
      <w:bookmarkEnd w:id="36"/>
      <w:bookmarkStart w:id="37" w:name="_Toc184308065"/>
      <w:bookmarkEnd w:id="37"/>
      <w:bookmarkStart w:id="38" w:name="_Toc184314455"/>
      <w:bookmarkEnd w:id="38"/>
      <w:bookmarkStart w:id="39" w:name="_Toc184310284"/>
      <w:bookmarkEnd w:id="39"/>
      <w:bookmarkStart w:id="40" w:name="_Toc184314476"/>
      <w:bookmarkEnd w:id="40"/>
      <w:bookmarkStart w:id="41" w:name="_Toc184308049"/>
      <w:bookmarkEnd w:id="41"/>
      <w:bookmarkStart w:id="42" w:name="_Toc184313254"/>
      <w:bookmarkEnd w:id="42"/>
      <w:bookmarkStart w:id="43" w:name="_Toc184313296"/>
      <w:bookmarkEnd w:id="43"/>
      <w:bookmarkStart w:id="44" w:name="_Toc184308081"/>
      <w:bookmarkEnd w:id="44"/>
      <w:bookmarkStart w:id="45" w:name="_Toc184310327"/>
      <w:bookmarkEnd w:id="45"/>
      <w:bookmarkStart w:id="46" w:name="_Toc184314431"/>
      <w:bookmarkEnd w:id="46"/>
      <w:bookmarkStart w:id="47" w:name="_Toc184314416"/>
      <w:bookmarkEnd w:id="47"/>
      <w:bookmarkStart w:id="48" w:name="_Toc184312133"/>
      <w:bookmarkEnd w:id="48"/>
      <w:bookmarkStart w:id="49" w:name="_Toc184308063"/>
      <w:bookmarkEnd w:id="49"/>
      <w:bookmarkStart w:id="50" w:name="_Toc184313292"/>
      <w:bookmarkEnd w:id="50"/>
      <w:bookmarkStart w:id="51" w:name="_Toc184314414"/>
      <w:bookmarkEnd w:id="51"/>
      <w:bookmarkStart w:id="52" w:name="_Toc184308107"/>
      <w:bookmarkEnd w:id="52"/>
      <w:bookmarkStart w:id="53" w:name="_Toc184312068"/>
      <w:bookmarkEnd w:id="53"/>
      <w:bookmarkStart w:id="54" w:name="_Toc184308050"/>
      <w:bookmarkEnd w:id="54"/>
      <w:bookmarkStart w:id="55" w:name="_Toc184308076"/>
      <w:bookmarkEnd w:id="55"/>
      <w:bookmarkStart w:id="56" w:name="_Toc184310343"/>
      <w:bookmarkEnd w:id="56"/>
      <w:bookmarkStart w:id="57" w:name="_Toc184310273"/>
      <w:bookmarkEnd w:id="57"/>
      <w:bookmarkStart w:id="58" w:name="_Toc184312094"/>
      <w:bookmarkEnd w:id="58"/>
      <w:bookmarkStart w:id="59" w:name="_Toc184312102"/>
      <w:bookmarkEnd w:id="59"/>
      <w:bookmarkStart w:id="60" w:name="_Toc184314435"/>
      <w:bookmarkEnd w:id="60"/>
      <w:bookmarkStart w:id="61" w:name="_Toc184308098"/>
      <w:bookmarkEnd w:id="61"/>
      <w:bookmarkStart w:id="62" w:name="_Toc184312091"/>
      <w:bookmarkEnd w:id="62"/>
      <w:bookmarkStart w:id="63" w:name="_Toc184308043"/>
      <w:bookmarkEnd w:id="63"/>
      <w:bookmarkStart w:id="64" w:name="_Toc184308042"/>
      <w:bookmarkEnd w:id="64"/>
      <w:bookmarkStart w:id="65" w:name="_Toc184308052"/>
      <w:bookmarkEnd w:id="65"/>
      <w:bookmarkStart w:id="66" w:name="_Toc184308085"/>
      <w:bookmarkEnd w:id="66"/>
      <w:bookmarkStart w:id="67" w:name="_Toc184310310"/>
      <w:bookmarkEnd w:id="67"/>
      <w:bookmarkStart w:id="68" w:name="_Toc184313273"/>
      <w:bookmarkEnd w:id="68"/>
      <w:bookmarkStart w:id="69" w:name="_Toc184312124"/>
      <w:bookmarkEnd w:id="69"/>
      <w:bookmarkStart w:id="70" w:name="_Toc184308077"/>
      <w:bookmarkEnd w:id="70"/>
      <w:bookmarkStart w:id="71" w:name="_Toc184312073"/>
      <w:bookmarkEnd w:id="71"/>
      <w:bookmarkStart w:id="72" w:name="_Toc184314427"/>
      <w:bookmarkEnd w:id="72"/>
      <w:bookmarkStart w:id="73" w:name="_Toc184314479"/>
      <w:bookmarkEnd w:id="73"/>
      <w:bookmarkStart w:id="74" w:name="_Toc184308105"/>
      <w:bookmarkEnd w:id="74"/>
      <w:bookmarkStart w:id="75" w:name="_Toc184312085"/>
      <w:bookmarkEnd w:id="75"/>
      <w:bookmarkStart w:id="76" w:name="_Toc184308057"/>
      <w:bookmarkEnd w:id="76"/>
      <w:bookmarkStart w:id="77" w:name="_Toc184313243"/>
      <w:bookmarkEnd w:id="77"/>
      <w:bookmarkStart w:id="78" w:name="_Toc184312096"/>
      <w:bookmarkEnd w:id="78"/>
      <w:bookmarkStart w:id="79" w:name="_Toc184313264"/>
      <w:bookmarkEnd w:id="79"/>
      <w:bookmarkStart w:id="80" w:name="_Toc184314420"/>
      <w:bookmarkEnd w:id="80"/>
      <w:bookmarkStart w:id="81" w:name="_Toc184313275"/>
      <w:bookmarkEnd w:id="81"/>
      <w:bookmarkStart w:id="82" w:name="_Toc184313244"/>
      <w:bookmarkEnd w:id="82"/>
      <w:bookmarkStart w:id="83" w:name="_Toc184312069"/>
      <w:bookmarkEnd w:id="83"/>
      <w:bookmarkStart w:id="84" w:name="_Toc184310344"/>
      <w:bookmarkEnd w:id="84"/>
      <w:bookmarkStart w:id="85" w:name="_Toc184313308"/>
      <w:bookmarkEnd w:id="85"/>
      <w:bookmarkStart w:id="86" w:name="_Toc184313248"/>
      <w:bookmarkEnd w:id="86"/>
      <w:bookmarkStart w:id="87" w:name="_Toc184313253"/>
      <w:bookmarkEnd w:id="87"/>
      <w:bookmarkStart w:id="88" w:name="_Toc184308064"/>
      <w:bookmarkEnd w:id="88"/>
      <w:bookmarkStart w:id="89" w:name="_Toc184312103"/>
      <w:bookmarkEnd w:id="89"/>
      <w:bookmarkStart w:id="90" w:name="_Toc184312104"/>
      <w:bookmarkEnd w:id="90"/>
      <w:bookmarkStart w:id="91" w:name="_Toc184314445"/>
      <w:bookmarkEnd w:id="91"/>
      <w:bookmarkStart w:id="92" w:name="_Toc184308053"/>
      <w:bookmarkEnd w:id="92"/>
      <w:bookmarkStart w:id="93" w:name="_Toc184308087"/>
      <w:bookmarkEnd w:id="93"/>
      <w:bookmarkStart w:id="94" w:name="_Toc184312105"/>
      <w:bookmarkEnd w:id="94"/>
      <w:bookmarkStart w:id="95" w:name="_Toc184313287"/>
      <w:bookmarkEnd w:id="95"/>
      <w:bookmarkStart w:id="96" w:name="_Toc184314447"/>
      <w:bookmarkEnd w:id="96"/>
      <w:bookmarkStart w:id="97" w:name="_Toc184310332"/>
      <w:bookmarkEnd w:id="97"/>
      <w:bookmarkStart w:id="98" w:name="_Toc184308039"/>
      <w:bookmarkEnd w:id="98"/>
      <w:bookmarkStart w:id="99" w:name="_Toc184313282"/>
      <w:bookmarkEnd w:id="99"/>
      <w:bookmarkStart w:id="100" w:name="_Toc184312113"/>
      <w:bookmarkEnd w:id="100"/>
      <w:bookmarkStart w:id="101" w:name="_Toc184312078"/>
      <w:bookmarkEnd w:id="101"/>
      <w:bookmarkStart w:id="102" w:name="_Toc184312075"/>
      <w:bookmarkEnd w:id="102"/>
      <w:bookmarkStart w:id="103" w:name="_Toc184313265"/>
      <w:bookmarkEnd w:id="103"/>
      <w:bookmarkStart w:id="104" w:name="_Toc184313266"/>
      <w:bookmarkEnd w:id="104"/>
      <w:bookmarkStart w:id="105" w:name="_Toc184308062"/>
      <w:bookmarkEnd w:id="105"/>
      <w:bookmarkStart w:id="106" w:name="_Toc184308066"/>
      <w:bookmarkEnd w:id="106"/>
      <w:bookmarkStart w:id="107" w:name="_Toc184310293"/>
      <w:bookmarkEnd w:id="107"/>
      <w:bookmarkStart w:id="108" w:name="_Toc184312082"/>
      <w:bookmarkEnd w:id="108"/>
      <w:bookmarkStart w:id="109" w:name="_Toc184313279"/>
      <w:bookmarkEnd w:id="109"/>
      <w:bookmarkStart w:id="110" w:name="_Toc184308061"/>
      <w:bookmarkEnd w:id="110"/>
      <w:bookmarkStart w:id="111" w:name="_Toc184312110"/>
      <w:bookmarkEnd w:id="111"/>
      <w:bookmarkStart w:id="112" w:name="_Toc184314434"/>
      <w:bookmarkEnd w:id="112"/>
      <w:bookmarkStart w:id="113" w:name="_Toc184312128"/>
      <w:bookmarkEnd w:id="113"/>
      <w:bookmarkStart w:id="114" w:name="_Toc184314457"/>
      <w:bookmarkEnd w:id="114"/>
      <w:bookmarkStart w:id="115" w:name="_Toc184314474"/>
      <w:bookmarkEnd w:id="115"/>
      <w:bookmarkStart w:id="116" w:name="_Toc184314410"/>
      <w:bookmarkEnd w:id="116"/>
      <w:bookmarkStart w:id="117" w:name="_Toc184313260"/>
      <w:bookmarkEnd w:id="117"/>
      <w:bookmarkStart w:id="118" w:name="_Toc184312100"/>
      <w:bookmarkEnd w:id="118"/>
      <w:bookmarkStart w:id="119" w:name="_Toc184314453"/>
      <w:bookmarkEnd w:id="119"/>
      <w:bookmarkStart w:id="120" w:name="_Toc184310275"/>
      <w:bookmarkEnd w:id="120"/>
      <w:bookmarkStart w:id="121" w:name="_Toc184314471"/>
      <w:bookmarkEnd w:id="121"/>
      <w:bookmarkStart w:id="122" w:name="_Toc184312099"/>
      <w:bookmarkEnd w:id="122"/>
      <w:bookmarkStart w:id="123" w:name="_Toc184313249"/>
      <w:bookmarkEnd w:id="123"/>
      <w:bookmarkStart w:id="124" w:name="_Toc184308099"/>
      <w:bookmarkEnd w:id="124"/>
      <w:bookmarkStart w:id="125" w:name="_Toc184313257"/>
      <w:bookmarkEnd w:id="125"/>
      <w:bookmarkStart w:id="126" w:name="_Toc184310274"/>
      <w:bookmarkEnd w:id="126"/>
      <w:bookmarkStart w:id="127" w:name="_Toc184310342"/>
      <w:bookmarkEnd w:id="127"/>
      <w:bookmarkStart w:id="128" w:name="_Toc184310285"/>
      <w:bookmarkEnd w:id="128"/>
      <w:bookmarkStart w:id="129" w:name="_Toc184310319"/>
      <w:bookmarkEnd w:id="129"/>
      <w:bookmarkStart w:id="130" w:name="_Toc184308058"/>
      <w:bookmarkEnd w:id="130"/>
      <w:bookmarkStart w:id="131" w:name="_Toc184310290"/>
      <w:bookmarkEnd w:id="131"/>
      <w:bookmarkStart w:id="132" w:name="_Toc184308097"/>
      <w:bookmarkEnd w:id="132"/>
      <w:bookmarkStart w:id="133" w:name="_Toc184310320"/>
      <w:bookmarkEnd w:id="133"/>
      <w:bookmarkStart w:id="134" w:name="_Toc184314478"/>
      <w:bookmarkEnd w:id="134"/>
      <w:bookmarkStart w:id="135" w:name="_Toc184308075"/>
      <w:bookmarkEnd w:id="135"/>
      <w:bookmarkStart w:id="136" w:name="_Toc184308071"/>
      <w:bookmarkEnd w:id="136"/>
      <w:bookmarkStart w:id="137" w:name="_Toc184310281"/>
      <w:bookmarkEnd w:id="137"/>
      <w:bookmarkStart w:id="138" w:name="_Toc184314448"/>
      <w:bookmarkEnd w:id="138"/>
      <w:bookmarkStart w:id="139" w:name="_Toc184314424"/>
      <w:bookmarkEnd w:id="139"/>
      <w:bookmarkStart w:id="140" w:name="_Toc184314423"/>
      <w:bookmarkEnd w:id="140"/>
      <w:bookmarkStart w:id="141" w:name="_Toc184310330"/>
      <w:bookmarkEnd w:id="141"/>
      <w:bookmarkStart w:id="142" w:name="_Toc184312137"/>
      <w:bookmarkEnd w:id="142"/>
      <w:bookmarkStart w:id="143" w:name="_Toc184313302"/>
      <w:bookmarkEnd w:id="143"/>
      <w:bookmarkStart w:id="144" w:name="_Toc184312083"/>
      <w:bookmarkEnd w:id="144"/>
      <w:bookmarkStart w:id="145" w:name="_Toc184308040"/>
      <w:bookmarkEnd w:id="145"/>
      <w:bookmarkStart w:id="146" w:name="_Toc184308060"/>
      <w:bookmarkEnd w:id="146"/>
      <w:bookmarkStart w:id="147" w:name="_Toc184310277"/>
      <w:bookmarkEnd w:id="147"/>
      <w:bookmarkStart w:id="148" w:name="_Toc184312098"/>
      <w:bookmarkEnd w:id="148"/>
      <w:bookmarkStart w:id="149" w:name="_Toc184310315"/>
      <w:bookmarkEnd w:id="149"/>
      <w:bookmarkStart w:id="150" w:name="_Toc184310296"/>
      <w:bookmarkEnd w:id="150"/>
      <w:bookmarkStart w:id="151" w:name="_Toc184313281"/>
      <w:bookmarkEnd w:id="151"/>
      <w:bookmarkStart w:id="152" w:name="_Toc184314426"/>
      <w:bookmarkEnd w:id="152"/>
      <w:bookmarkStart w:id="153" w:name="_Toc184308072"/>
      <w:bookmarkEnd w:id="153"/>
      <w:bookmarkStart w:id="154" w:name="_Toc184314422"/>
      <w:bookmarkEnd w:id="154"/>
      <w:bookmarkStart w:id="155" w:name="_Toc184312111"/>
      <w:bookmarkEnd w:id="155"/>
      <w:bookmarkStart w:id="156" w:name="_Toc184314458"/>
      <w:bookmarkEnd w:id="156"/>
      <w:bookmarkStart w:id="157" w:name="_Toc184314467"/>
      <w:bookmarkEnd w:id="157"/>
      <w:bookmarkStart w:id="158" w:name="_Toc184310286"/>
      <w:bookmarkEnd w:id="158"/>
      <w:bookmarkStart w:id="159" w:name="_Toc184312117"/>
      <w:bookmarkEnd w:id="159"/>
      <w:bookmarkStart w:id="160" w:name="_Toc184314415"/>
      <w:bookmarkEnd w:id="160"/>
      <w:bookmarkStart w:id="161" w:name="_Toc184308070"/>
      <w:bookmarkEnd w:id="161"/>
      <w:bookmarkStart w:id="162" w:name="_Toc184312129"/>
      <w:bookmarkEnd w:id="162"/>
      <w:bookmarkStart w:id="163" w:name="_Toc184313274"/>
      <w:bookmarkEnd w:id="163"/>
      <w:bookmarkStart w:id="164" w:name="_Toc184310308"/>
      <w:bookmarkEnd w:id="164"/>
      <w:bookmarkStart w:id="165" w:name="_Toc184310287"/>
      <w:bookmarkEnd w:id="165"/>
      <w:bookmarkStart w:id="166" w:name="_Toc184314417"/>
      <w:bookmarkEnd w:id="166"/>
      <w:bookmarkStart w:id="167" w:name="_Toc184312123"/>
      <w:bookmarkEnd w:id="167"/>
      <w:bookmarkStart w:id="168" w:name="_Toc184310322"/>
      <w:bookmarkEnd w:id="168"/>
      <w:bookmarkStart w:id="169" w:name="_Toc184314480"/>
      <w:bookmarkEnd w:id="169"/>
      <w:bookmarkStart w:id="170" w:name="_Toc184314456"/>
      <w:bookmarkEnd w:id="170"/>
      <w:bookmarkStart w:id="171" w:name="_Toc184308046"/>
      <w:bookmarkEnd w:id="171"/>
      <w:bookmarkStart w:id="172" w:name="_Toc184313284"/>
      <w:bookmarkEnd w:id="172"/>
      <w:bookmarkStart w:id="173" w:name="_Toc184312125"/>
      <w:bookmarkEnd w:id="173"/>
      <w:bookmarkStart w:id="174" w:name="_Toc184314460"/>
      <w:bookmarkEnd w:id="174"/>
      <w:bookmarkStart w:id="175" w:name="_Toc184312120"/>
      <w:bookmarkEnd w:id="175"/>
      <w:bookmarkStart w:id="176" w:name="_Toc184312118"/>
      <w:bookmarkEnd w:id="176"/>
      <w:bookmarkStart w:id="177" w:name="_Toc184312093"/>
      <w:bookmarkEnd w:id="177"/>
      <w:bookmarkStart w:id="178" w:name="_Toc184308084"/>
      <w:bookmarkEnd w:id="178"/>
      <w:bookmarkStart w:id="179" w:name="_Toc184312101"/>
      <w:bookmarkEnd w:id="179"/>
      <w:bookmarkStart w:id="180" w:name="_Toc184310314"/>
      <w:bookmarkEnd w:id="180"/>
      <w:bookmarkStart w:id="181" w:name="_Toc184312081"/>
      <w:bookmarkEnd w:id="181"/>
      <w:bookmarkStart w:id="182" w:name="_Toc184308036"/>
      <w:bookmarkEnd w:id="182"/>
      <w:bookmarkStart w:id="183" w:name="_Toc184313263"/>
      <w:bookmarkEnd w:id="183"/>
      <w:bookmarkStart w:id="184" w:name="_Toc184310313"/>
      <w:bookmarkEnd w:id="184"/>
      <w:bookmarkStart w:id="185" w:name="_Toc184312108"/>
      <w:bookmarkEnd w:id="185"/>
      <w:bookmarkStart w:id="186" w:name="_Toc184308088"/>
      <w:bookmarkEnd w:id="186"/>
      <w:bookmarkStart w:id="187" w:name="_Toc184313306"/>
      <w:bookmarkEnd w:id="187"/>
      <w:bookmarkStart w:id="188" w:name="_Toc184308094"/>
      <w:bookmarkEnd w:id="188"/>
      <w:bookmarkStart w:id="189" w:name="_Toc184310301"/>
      <w:bookmarkEnd w:id="189"/>
      <w:bookmarkStart w:id="190" w:name="_Toc184313247"/>
      <w:bookmarkEnd w:id="190"/>
      <w:bookmarkStart w:id="191" w:name="_Toc184310300"/>
      <w:bookmarkEnd w:id="191"/>
      <w:bookmarkStart w:id="192" w:name="_Toc184314412"/>
      <w:bookmarkEnd w:id="192"/>
      <w:bookmarkStart w:id="193" w:name="_Toc184308067"/>
      <w:bookmarkEnd w:id="193"/>
      <w:bookmarkStart w:id="194" w:name="_Toc184313245"/>
      <w:bookmarkEnd w:id="194"/>
      <w:bookmarkStart w:id="195" w:name="_Toc184310326"/>
      <w:bookmarkEnd w:id="195"/>
      <w:bookmarkStart w:id="196" w:name="_Toc184310282"/>
      <w:bookmarkEnd w:id="196"/>
      <w:bookmarkStart w:id="197" w:name="_Toc184313277"/>
      <w:bookmarkEnd w:id="197"/>
      <w:bookmarkStart w:id="198" w:name="_Toc184310337"/>
      <w:bookmarkEnd w:id="198"/>
      <w:bookmarkStart w:id="199" w:name="_Toc184314452"/>
      <w:bookmarkEnd w:id="199"/>
      <w:bookmarkStart w:id="200" w:name="_Toc184313272"/>
      <w:bookmarkEnd w:id="200"/>
      <w:bookmarkStart w:id="201" w:name="_Toc184314440"/>
      <w:bookmarkEnd w:id="201"/>
      <w:bookmarkStart w:id="202" w:name="_Toc184308044"/>
      <w:bookmarkEnd w:id="202"/>
      <w:bookmarkStart w:id="203" w:name="_Toc184312076"/>
      <w:bookmarkEnd w:id="203"/>
      <w:bookmarkStart w:id="204" w:name="_Toc184312095"/>
      <w:bookmarkEnd w:id="204"/>
      <w:bookmarkStart w:id="205" w:name="_Toc184313242"/>
      <w:bookmarkEnd w:id="205"/>
      <w:bookmarkStart w:id="206" w:name="_Toc184310272"/>
      <w:bookmarkEnd w:id="206"/>
      <w:bookmarkStart w:id="207" w:name="_Toc184314454"/>
      <w:bookmarkEnd w:id="207"/>
      <w:bookmarkStart w:id="208" w:name="_Toc184313301"/>
      <w:bookmarkEnd w:id="208"/>
      <w:bookmarkStart w:id="209" w:name="_Toc184314441"/>
      <w:bookmarkEnd w:id="209"/>
      <w:bookmarkStart w:id="210" w:name="_Toc184308059"/>
      <w:bookmarkEnd w:id="210"/>
      <w:bookmarkStart w:id="211" w:name="_Toc184310316"/>
      <w:bookmarkEnd w:id="211"/>
      <w:bookmarkStart w:id="212" w:name="_Toc184308096"/>
      <w:bookmarkEnd w:id="212"/>
      <w:bookmarkStart w:id="213" w:name="_Toc184312070"/>
      <w:bookmarkEnd w:id="213"/>
      <w:bookmarkStart w:id="214" w:name="_Toc184313276"/>
      <w:bookmarkEnd w:id="214"/>
      <w:bookmarkStart w:id="215" w:name="_Toc184314459"/>
      <w:bookmarkEnd w:id="215"/>
      <w:bookmarkStart w:id="216" w:name="_Toc184310323"/>
      <w:bookmarkEnd w:id="216"/>
      <w:bookmarkStart w:id="217" w:name="_Toc184308055"/>
      <w:bookmarkEnd w:id="217"/>
      <w:bookmarkStart w:id="218" w:name="_Toc184314462"/>
      <w:bookmarkEnd w:id="218"/>
      <w:bookmarkStart w:id="219" w:name="_Toc184314411"/>
      <w:bookmarkEnd w:id="219"/>
      <w:bookmarkStart w:id="220" w:name="_Toc184310276"/>
      <w:bookmarkEnd w:id="220"/>
      <w:bookmarkStart w:id="221" w:name="_Toc184313303"/>
      <w:bookmarkEnd w:id="221"/>
      <w:bookmarkStart w:id="222" w:name="_Toc184314477"/>
      <w:bookmarkEnd w:id="222"/>
      <w:bookmarkStart w:id="223" w:name="_Toc184310305"/>
      <w:bookmarkEnd w:id="223"/>
      <w:bookmarkStart w:id="224" w:name="_Toc184310328"/>
      <w:bookmarkEnd w:id="224"/>
      <w:bookmarkStart w:id="225" w:name="_Toc184310298"/>
      <w:bookmarkEnd w:id="225"/>
      <w:bookmarkStart w:id="226" w:name="_Toc184314451"/>
      <w:bookmarkEnd w:id="226"/>
      <w:bookmarkStart w:id="227" w:name="_Toc184312109"/>
      <w:bookmarkEnd w:id="227"/>
      <w:bookmarkStart w:id="228" w:name="_Toc184310331"/>
      <w:bookmarkEnd w:id="228"/>
      <w:bookmarkStart w:id="229" w:name="_Toc184314437"/>
      <w:bookmarkEnd w:id="229"/>
      <w:bookmarkStart w:id="230" w:name="_Toc184308089"/>
      <w:bookmarkEnd w:id="230"/>
      <w:bookmarkStart w:id="231" w:name="_Toc184314432"/>
      <w:bookmarkEnd w:id="231"/>
      <w:bookmarkStart w:id="232" w:name="_Toc184313268"/>
      <w:bookmarkEnd w:id="232"/>
      <w:bookmarkStart w:id="233" w:name="_Toc184314468"/>
      <w:bookmarkEnd w:id="233"/>
      <w:bookmarkStart w:id="234" w:name="_Toc184313291"/>
      <w:bookmarkEnd w:id="234"/>
      <w:bookmarkStart w:id="235" w:name="_Toc184312090"/>
      <w:bookmarkEnd w:id="235"/>
      <w:bookmarkStart w:id="236" w:name="_Toc184313239"/>
      <w:bookmarkEnd w:id="236"/>
      <w:bookmarkStart w:id="237" w:name="_Toc184313271"/>
      <w:bookmarkEnd w:id="237"/>
      <w:bookmarkStart w:id="238" w:name="_Toc184313238"/>
      <w:bookmarkEnd w:id="238"/>
      <w:bookmarkStart w:id="239" w:name="_Toc184312086"/>
      <w:bookmarkEnd w:id="239"/>
      <w:bookmarkStart w:id="240" w:name="_Toc184314461"/>
      <w:bookmarkEnd w:id="240"/>
      <w:bookmarkStart w:id="241" w:name="_Toc184313307"/>
      <w:bookmarkEnd w:id="241"/>
      <w:bookmarkStart w:id="242" w:name="_Toc184313297"/>
      <w:bookmarkEnd w:id="242"/>
      <w:bookmarkStart w:id="243" w:name="_Toc184313289"/>
      <w:bookmarkEnd w:id="243"/>
      <w:bookmarkStart w:id="244" w:name="_Toc184312087"/>
      <w:bookmarkEnd w:id="244"/>
      <w:bookmarkStart w:id="245" w:name="_Toc184313293"/>
      <w:bookmarkEnd w:id="245"/>
      <w:bookmarkStart w:id="246" w:name="_Toc184310299"/>
      <w:bookmarkEnd w:id="246"/>
      <w:bookmarkStart w:id="247" w:name="_Toc184314449"/>
      <w:bookmarkEnd w:id="247"/>
      <w:bookmarkStart w:id="248" w:name="_Toc184308093"/>
      <w:bookmarkEnd w:id="248"/>
      <w:bookmarkStart w:id="249" w:name="_Toc184310289"/>
      <w:bookmarkEnd w:id="249"/>
      <w:bookmarkStart w:id="250" w:name="_Toc184312116"/>
      <w:bookmarkEnd w:id="250"/>
      <w:bookmarkStart w:id="251" w:name="_Toc184310295"/>
      <w:bookmarkEnd w:id="251"/>
      <w:bookmarkStart w:id="252" w:name="_Toc184312114"/>
      <w:bookmarkEnd w:id="252"/>
      <w:bookmarkStart w:id="253" w:name="_Toc184314428"/>
      <w:bookmarkEnd w:id="253"/>
      <w:bookmarkStart w:id="254" w:name="_Toc184314425"/>
      <w:bookmarkEnd w:id="254"/>
      <w:bookmarkStart w:id="255" w:name="_Toc184308069"/>
      <w:bookmarkEnd w:id="255"/>
      <w:bookmarkStart w:id="256" w:name="_Toc184308079"/>
      <w:bookmarkEnd w:id="256"/>
      <w:bookmarkStart w:id="257" w:name="_Toc184310338"/>
      <w:bookmarkEnd w:id="257"/>
      <w:bookmarkStart w:id="258" w:name="_Toc184310325"/>
      <w:bookmarkEnd w:id="258"/>
      <w:bookmarkStart w:id="259" w:name="_Toc184308102"/>
      <w:bookmarkEnd w:id="259"/>
      <w:bookmarkStart w:id="260" w:name="_Toc184310279"/>
      <w:bookmarkEnd w:id="260"/>
      <w:bookmarkStart w:id="261" w:name="_Toc184313304"/>
      <w:bookmarkEnd w:id="261"/>
      <w:bookmarkStart w:id="262" w:name="_Toc184313270"/>
      <w:bookmarkEnd w:id="262"/>
      <w:bookmarkStart w:id="263" w:name="_Toc184313295"/>
      <w:bookmarkEnd w:id="263"/>
      <w:bookmarkStart w:id="264" w:name="_Toc184312088"/>
      <w:bookmarkEnd w:id="264"/>
      <w:bookmarkStart w:id="265" w:name="_Toc184314472"/>
      <w:bookmarkEnd w:id="265"/>
      <w:bookmarkStart w:id="266" w:name="_Toc184308037"/>
      <w:bookmarkEnd w:id="266"/>
      <w:bookmarkStart w:id="267" w:name="_Toc184310339"/>
      <w:bookmarkEnd w:id="267"/>
      <w:bookmarkStart w:id="268" w:name="_Toc184310307"/>
      <w:bookmarkEnd w:id="268"/>
      <w:bookmarkStart w:id="269" w:name="_Toc184313267"/>
      <w:bookmarkEnd w:id="269"/>
      <w:bookmarkStart w:id="270" w:name="_Toc184314450"/>
      <w:bookmarkEnd w:id="270"/>
      <w:bookmarkStart w:id="271" w:name="_Toc184312121"/>
      <w:bookmarkEnd w:id="271"/>
      <w:bookmarkStart w:id="272" w:name="_Toc184312135"/>
      <w:bookmarkEnd w:id="272"/>
      <w:bookmarkStart w:id="273" w:name="_Toc184314465"/>
      <w:bookmarkEnd w:id="273"/>
      <w:bookmarkStart w:id="274" w:name="_Toc184314473"/>
      <w:bookmarkEnd w:id="274"/>
      <w:bookmarkStart w:id="275" w:name="_Toc184314436"/>
      <w:bookmarkEnd w:id="275"/>
      <w:bookmarkStart w:id="276" w:name="_Toc184312127"/>
      <w:bookmarkEnd w:id="276"/>
      <w:bookmarkStart w:id="277" w:name="_Toc184313309"/>
      <w:bookmarkEnd w:id="277"/>
      <w:bookmarkStart w:id="278" w:name="_Toc184310309"/>
      <w:bookmarkEnd w:id="278"/>
      <w:bookmarkStart w:id="279" w:name="_Toc184308056"/>
      <w:bookmarkEnd w:id="279"/>
      <w:bookmarkStart w:id="280" w:name="_Toc184310288"/>
      <w:bookmarkEnd w:id="280"/>
      <w:bookmarkStart w:id="281" w:name="_Toc184314482"/>
      <w:bookmarkEnd w:id="281"/>
      <w:bookmarkStart w:id="282" w:name="_Toc184314419"/>
      <w:bookmarkEnd w:id="282"/>
      <w:bookmarkStart w:id="283" w:name="_Toc184310336"/>
      <w:bookmarkEnd w:id="283"/>
      <w:bookmarkStart w:id="284" w:name="_Toc184314466"/>
      <w:bookmarkEnd w:id="284"/>
      <w:bookmarkStart w:id="285" w:name="_Toc184313251"/>
      <w:bookmarkEnd w:id="285"/>
      <w:bookmarkStart w:id="286" w:name="_Toc184312074"/>
      <w:bookmarkEnd w:id="286"/>
      <w:bookmarkStart w:id="287" w:name="_Toc184312122"/>
      <w:bookmarkEnd w:id="287"/>
      <w:bookmarkStart w:id="288" w:name="_Toc184308078"/>
      <w:bookmarkEnd w:id="288"/>
      <w:bookmarkStart w:id="289" w:name="_Toc184313305"/>
      <w:bookmarkEnd w:id="289"/>
      <w:bookmarkStart w:id="290" w:name="_Toc184312130"/>
      <w:bookmarkEnd w:id="290"/>
      <w:bookmarkStart w:id="291" w:name="_Toc184313269"/>
      <w:bookmarkEnd w:id="291"/>
      <w:bookmarkStart w:id="292" w:name="_Toc184313288"/>
      <w:bookmarkEnd w:id="292"/>
      <w:bookmarkStart w:id="293" w:name="_Toc184310311"/>
      <w:bookmarkEnd w:id="293"/>
      <w:bookmarkStart w:id="294" w:name="_Toc184312106"/>
      <w:bookmarkEnd w:id="294"/>
      <w:bookmarkStart w:id="295" w:name="_Toc184313262"/>
      <w:bookmarkEnd w:id="295"/>
      <w:bookmarkStart w:id="296" w:name="_Toc184312077"/>
      <w:bookmarkEnd w:id="296"/>
      <w:bookmarkStart w:id="297" w:name="_Toc184313256"/>
      <w:bookmarkEnd w:id="297"/>
      <w:bookmarkStart w:id="298" w:name="_Toc184310329"/>
      <w:bookmarkEnd w:id="298"/>
      <w:bookmarkStart w:id="299" w:name="_Toc184312084"/>
      <w:bookmarkEnd w:id="299"/>
      <w:bookmarkStart w:id="300" w:name="_Toc184310283"/>
      <w:bookmarkEnd w:id="300"/>
      <w:bookmarkStart w:id="301" w:name="_Toc184308095"/>
      <w:bookmarkEnd w:id="301"/>
      <w:bookmarkStart w:id="302" w:name="_Toc184308106"/>
      <w:bookmarkEnd w:id="302"/>
      <w:bookmarkStart w:id="303" w:name="_Toc184314481"/>
      <w:bookmarkEnd w:id="303"/>
      <w:bookmarkStart w:id="304" w:name="_Toc184314475"/>
      <w:bookmarkEnd w:id="304"/>
      <w:bookmarkStart w:id="305" w:name="_Toc184310278"/>
      <w:bookmarkEnd w:id="305"/>
      <w:bookmarkStart w:id="306" w:name="_Toc184308104"/>
      <w:bookmarkEnd w:id="306"/>
      <w:bookmarkStart w:id="307" w:name="_Toc184308051"/>
      <w:bookmarkEnd w:id="307"/>
      <w:bookmarkStart w:id="308" w:name="_Toc184312119"/>
      <w:bookmarkEnd w:id="308"/>
      <w:bookmarkStart w:id="309" w:name="_Toc184314439"/>
      <w:bookmarkEnd w:id="309"/>
      <w:bookmarkStart w:id="310" w:name="_Toc184312089"/>
      <w:bookmarkEnd w:id="310"/>
      <w:bookmarkStart w:id="311" w:name="_Toc184310317"/>
      <w:bookmarkEnd w:id="311"/>
      <w:bookmarkStart w:id="312" w:name="_Toc184308101"/>
      <w:bookmarkEnd w:id="312"/>
      <w:bookmarkStart w:id="313" w:name="_Toc184310306"/>
      <w:bookmarkEnd w:id="313"/>
      <w:bookmarkStart w:id="314" w:name="_Toc184308103"/>
      <w:bookmarkEnd w:id="314"/>
      <w:bookmarkStart w:id="315" w:name="_Toc184313280"/>
      <w:bookmarkEnd w:id="315"/>
      <w:bookmarkStart w:id="316" w:name="_Toc184313285"/>
      <w:bookmarkEnd w:id="316"/>
      <w:bookmarkStart w:id="317" w:name="_Toc184310334"/>
      <w:bookmarkEnd w:id="317"/>
      <w:bookmarkStart w:id="318" w:name="_Toc184312079"/>
      <w:bookmarkEnd w:id="318"/>
      <w:bookmarkStart w:id="319" w:name="_Toc184310297"/>
      <w:bookmarkEnd w:id="319"/>
      <w:bookmarkStart w:id="320" w:name="_Toc184312134"/>
      <w:bookmarkEnd w:id="320"/>
      <w:bookmarkStart w:id="321" w:name="_Toc184312139"/>
      <w:bookmarkEnd w:id="321"/>
      <w:bookmarkStart w:id="322" w:name="_Toc184313310"/>
      <w:bookmarkEnd w:id="322"/>
      <w:bookmarkStart w:id="323" w:name="_Toc184310294"/>
      <w:bookmarkEnd w:id="323"/>
      <w:bookmarkStart w:id="324" w:name="_Toc184308074"/>
      <w:bookmarkEnd w:id="324"/>
      <w:bookmarkStart w:id="325" w:name="_Toc184313240"/>
      <w:bookmarkEnd w:id="325"/>
      <w:bookmarkStart w:id="326" w:name="_Toc184308045"/>
      <w:bookmarkEnd w:id="326"/>
      <w:bookmarkStart w:id="327" w:name="_Toc184312097"/>
      <w:bookmarkEnd w:id="327"/>
      <w:bookmarkStart w:id="328" w:name="_Toc184313300"/>
      <w:bookmarkEnd w:id="328"/>
      <w:bookmarkStart w:id="329" w:name="_Toc184310303"/>
      <w:bookmarkEnd w:id="329"/>
      <w:bookmarkStart w:id="330" w:name="_Toc184314463"/>
      <w:bookmarkEnd w:id="330"/>
      <w:bookmarkStart w:id="331" w:name="_Toc184310341"/>
      <w:bookmarkEnd w:id="331"/>
      <w:bookmarkStart w:id="332" w:name="_Toc184310304"/>
      <w:bookmarkEnd w:id="332"/>
      <w:bookmarkStart w:id="333" w:name="_Toc184310292"/>
      <w:bookmarkEnd w:id="333"/>
      <w:bookmarkStart w:id="334" w:name="_Toc184314464"/>
      <w:bookmarkEnd w:id="334"/>
      <w:bookmarkStart w:id="335" w:name="_Toc184310302"/>
      <w:bookmarkEnd w:id="335"/>
      <w:bookmarkStart w:id="336" w:name="_Toc184312072"/>
      <w:bookmarkEnd w:id="336"/>
      <w:bookmarkStart w:id="337" w:name="_Toc184308073"/>
      <w:bookmarkEnd w:id="337"/>
      <w:bookmarkStart w:id="338" w:name="_Toc184312071"/>
      <w:bookmarkEnd w:id="338"/>
      <w:bookmarkStart w:id="339" w:name="_Toc184308038"/>
      <w:bookmarkEnd w:id="339"/>
      <w:bookmarkStart w:id="340" w:name="_Toc184308100"/>
      <w:bookmarkEnd w:id="340"/>
      <w:bookmarkStart w:id="341" w:name="_Toc184310324"/>
      <w:bookmarkEnd w:id="341"/>
      <w:bookmarkStart w:id="342" w:name="_Toc184313298"/>
      <w:bookmarkEnd w:id="342"/>
      <w:bookmarkStart w:id="343" w:name="_Toc184314433"/>
      <w:bookmarkEnd w:id="343"/>
      <w:bookmarkStart w:id="344" w:name="_Toc184312107"/>
      <w:bookmarkEnd w:id="344"/>
      <w:bookmarkStart w:id="345" w:name="_Toc184310340"/>
      <w:bookmarkEnd w:id="345"/>
      <w:bookmarkStart w:id="346" w:name="_Toc184312092"/>
      <w:bookmarkEnd w:id="346"/>
      <w:bookmarkStart w:id="347" w:name="_Toc184310280"/>
      <w:bookmarkEnd w:id="347"/>
      <w:bookmarkStart w:id="348" w:name="_Toc184310321"/>
      <w:bookmarkEnd w:id="348"/>
      <w:bookmarkStart w:id="349" w:name="_Toc184308091"/>
      <w:bookmarkEnd w:id="349"/>
      <w:bookmarkStart w:id="350" w:name="_Toc184308108"/>
      <w:bookmarkEnd w:id="350"/>
      <w:bookmarkStart w:id="351" w:name="_Toc184310291"/>
      <w:bookmarkEnd w:id="351"/>
      <w:bookmarkStart w:id="352" w:name="_Toc184312080"/>
      <w:bookmarkEnd w:id="352"/>
      <w:bookmarkStart w:id="353" w:name="_Toc184314429"/>
      <w:bookmarkEnd w:id="353"/>
      <w:bookmarkStart w:id="354" w:name="_Toc184314446"/>
      <w:bookmarkEnd w:id="354"/>
      <w:bookmarkStart w:id="355" w:name="_Toc184313283"/>
      <w:bookmarkEnd w:id="355"/>
      <w:bookmarkStart w:id="356" w:name="_Toc184314413"/>
      <w:bookmarkEnd w:id="356"/>
      <w:bookmarkStart w:id="357" w:name="_Toc184308090"/>
      <w:bookmarkEnd w:id="357"/>
      <w:bookmarkStart w:id="358" w:name="_Toc184313255"/>
      <w:bookmarkEnd w:id="358"/>
      <w:bookmarkStart w:id="359" w:name="_Toc184313241"/>
      <w:bookmarkEnd w:id="359"/>
      <w:bookmarkStart w:id="360" w:name="_Toc184313258"/>
      <w:bookmarkEnd w:id="360"/>
      <w:bookmarkStart w:id="361" w:name="_Toc184314418"/>
      <w:bookmarkEnd w:id="361"/>
      <w:bookmarkStart w:id="362" w:name="_Toc184310312"/>
      <w:bookmarkEnd w:id="362"/>
      <w:bookmarkStart w:id="363" w:name="_Toc184314470"/>
      <w:bookmarkEnd w:id="363"/>
      <w:bookmarkStart w:id="364" w:name="_Toc184308068"/>
      <w:bookmarkEnd w:id="364"/>
      <w:bookmarkStart w:id="365" w:name="_Toc184310333"/>
      <w:bookmarkEnd w:id="365"/>
      <w:bookmarkStart w:id="366" w:name="_Toc184308082"/>
      <w:bookmarkEnd w:id="366"/>
      <w:bookmarkStart w:id="367" w:name="_Toc184313250"/>
      <w:bookmarkEnd w:id="367"/>
      <w:bookmarkStart w:id="368" w:name="_Toc184310335"/>
      <w:bookmarkEnd w:id="368"/>
      <w:bookmarkStart w:id="369" w:name="_Toc184314438"/>
      <w:bookmarkEnd w:id="369"/>
      <w:bookmarkStart w:id="370" w:name="_Toc184313252"/>
      <w:bookmarkEnd w:id="370"/>
      <w:bookmarkStart w:id="371" w:name="_Toc184308047"/>
      <w:bookmarkEnd w:id="371"/>
      <w:bookmarkStart w:id="372" w:name="_Toc184312115"/>
      <w:bookmarkEnd w:id="372"/>
      <w:bookmarkStart w:id="373" w:name="_Toc184312067"/>
      <w:bookmarkEnd w:id="373"/>
      <w:bookmarkStart w:id="374" w:name="_Toc184314469"/>
      <w:bookmarkEnd w:id="374"/>
      <w:bookmarkStart w:id="375" w:name="_Toc184312136"/>
      <w:bookmarkEnd w:id="375"/>
      <w:bookmarkStart w:id="376" w:name="_Toc184312132"/>
      <w:bookmarkEnd w:id="376"/>
      <w:bookmarkStart w:id="377" w:name="_Toc184308080"/>
      <w:bookmarkEnd w:id="377"/>
      <w:bookmarkStart w:id="378" w:name="_Toc184308083"/>
      <w:bookmarkEnd w:id="378"/>
      <w:bookmarkStart w:id="379" w:name="_Toc184312138"/>
      <w:bookmarkEnd w:id="379"/>
      <w:bookmarkStart w:id="380" w:name="_Toc184314444"/>
      <w:bookmarkEnd w:id="380"/>
      <w:bookmarkStart w:id="381" w:name="_Toc184310318"/>
      <w:bookmarkEnd w:id="381"/>
      <w:bookmarkStart w:id="382" w:name="_Toc184308048"/>
      <w:bookmarkEnd w:id="382"/>
      <w:bookmarkStart w:id="383" w:name="_Toc184314430"/>
      <w:bookmarkEnd w:id="383"/>
      <w:bookmarkStart w:id="384" w:name="_Toc184313259"/>
      <w:bookmarkEnd w:id="384"/>
      <w:bookmarkStart w:id="385" w:name="_Toc184313299"/>
      <w:bookmarkEnd w:id="385"/>
      <w:bookmarkStart w:id="386" w:name="_Toc184313290"/>
      <w:bookmarkEnd w:id="386"/>
      <w:bookmarkStart w:id="387" w:name="_Toc184314443"/>
      <w:bookmarkEnd w:id="387"/>
      <w:bookmarkStart w:id="388" w:name="_Toc184308054"/>
      <w:bookmarkEnd w:id="388"/>
      <w:bookmarkStart w:id="389" w:name="_Toc184314421"/>
      <w:bookmarkEnd w:id="389"/>
      <w:bookmarkStart w:id="390" w:name="_Toc184314442"/>
      <w:bookmarkEnd w:id="390"/>
      <w:bookmarkStart w:id="391" w:name="_Toc184308086"/>
      <w:bookmarkEnd w:id="391"/>
      <w:bookmarkStart w:id="392" w:name="_Toc184312112"/>
      <w:bookmarkEnd w:id="392"/>
      <w:r>
        <w:rPr>
          <w:rFonts w:hint="eastAsia" w:ascii="宋体" w:hAnsi="宋体" w:cs="宋体"/>
          <w:b/>
          <w:color w:val="auto"/>
          <w:sz w:val="36"/>
          <w:szCs w:val="36"/>
          <w:highlight w:val="none"/>
        </w:rPr>
        <w:t>评标办法</w:t>
      </w:r>
    </w:p>
    <w:p w14:paraId="5927472B">
      <w:pPr>
        <w:pStyle w:val="23"/>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评标采用综合评分法，总分为100分。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2541FBAA">
      <w:pPr>
        <w:snapToGrid w:val="0"/>
        <w:spacing w:line="360" w:lineRule="auto"/>
        <w:ind w:firstLine="482" w:firstLineChars="2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各投标人的综合得分为：商务技术得分+投标价格得分之和，总分为100分，其中：商务技术得分</w:t>
      </w: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rPr>
        <w:t>0分（权重</w:t>
      </w: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rPr>
        <w:t>0%），投标价格得分</w:t>
      </w: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rPr>
        <w:t>分（权重</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0%）。</w:t>
      </w:r>
    </w:p>
    <w:tbl>
      <w:tblPr>
        <w:tblStyle w:val="63"/>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4065"/>
        <w:gridCol w:w="870"/>
        <w:gridCol w:w="1125"/>
        <w:gridCol w:w="1935"/>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19" w:type="dxa"/>
            <w:vAlign w:val="center"/>
          </w:tcPr>
          <w:p w14:paraId="10C7BF1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065" w:type="dxa"/>
            <w:vAlign w:val="center"/>
          </w:tcPr>
          <w:p w14:paraId="7623FBD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870" w:type="dxa"/>
            <w:vAlign w:val="center"/>
          </w:tcPr>
          <w:p w14:paraId="449D912F">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25" w:type="dxa"/>
            <w:vAlign w:val="center"/>
          </w:tcPr>
          <w:p w14:paraId="18E86A03">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935" w:type="dxa"/>
          </w:tcPr>
          <w:p w14:paraId="5537C6F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3F64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619" w:type="dxa"/>
            <w:vAlign w:val="center"/>
          </w:tcPr>
          <w:p w14:paraId="3B223BD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4065" w:type="dxa"/>
            <w:shd w:val="clear" w:color="auto" w:fill="auto"/>
            <w:vAlign w:val="center"/>
          </w:tcPr>
          <w:p w14:paraId="6FDDDFD8">
            <w:pPr>
              <w:spacing w:beforeLines="0" w:afterLines="0" w:line="400" w:lineRule="atLeas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根据本项目特点提出合理的服务理念，提出服务定位、目标，投标人的管理模式能够切合实际，且安全可行，保密性、安全性、文明服务的计划及承诺情况</w:t>
            </w:r>
            <w:r>
              <w:rPr>
                <w:rFonts w:hint="eastAsia" w:ascii="宋体" w:hAnsi="宋体" w:eastAsia="宋体" w:cs="宋体"/>
                <w:sz w:val="24"/>
                <w:szCs w:val="24"/>
                <w:highlight w:val="none"/>
                <w:lang w:eastAsia="zh-CN"/>
              </w:rPr>
              <w:t>。</w:t>
            </w:r>
            <w:r>
              <w:rPr>
                <w:rFonts w:hint="eastAsia" w:ascii="宋体" w:hAnsi="宋体" w:eastAsia="宋体" w:cs="宋体"/>
                <w:color w:val="auto"/>
                <w:kern w:val="2"/>
                <w:sz w:val="24"/>
                <w:szCs w:val="24"/>
                <w:highlight w:val="none"/>
                <w:lang w:val="en-US" w:eastAsia="zh-CN"/>
              </w:rPr>
              <w:t>切合本项目采购需求，针对性、操作性强、科学合理得</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分，方案基本符合的得3分，方案较为符合本项目采购需求的得1分；未提供方案不得分</w:t>
            </w:r>
            <w:r>
              <w:rPr>
                <w:rFonts w:hint="eastAsia" w:ascii="宋体" w:hAnsi="宋体" w:eastAsia="宋体" w:cs="宋体"/>
                <w:sz w:val="24"/>
                <w:szCs w:val="24"/>
                <w:highlight w:val="none"/>
              </w:rPr>
              <w:t>。</w:t>
            </w:r>
          </w:p>
        </w:tc>
        <w:tc>
          <w:tcPr>
            <w:tcW w:w="870" w:type="dxa"/>
            <w:shd w:val="clear" w:color="auto" w:fill="auto"/>
            <w:vAlign w:val="center"/>
          </w:tcPr>
          <w:p w14:paraId="6F13E1CD">
            <w:pPr>
              <w:keepNext w:val="0"/>
              <w:keepLines w:val="0"/>
              <w:pageBreakBefore w:val="0"/>
              <w:widowControl w:val="0"/>
              <w:kinsoku/>
              <w:wordWrap/>
              <w:overflowPunct/>
              <w:topLinePunct w:val="0"/>
              <w:bidi w:val="0"/>
              <w:adjustRightInd w:val="0"/>
              <w:spacing w:line="400" w:lineRule="exact"/>
              <w:ind w:left="0" w:lef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6</w:t>
            </w:r>
          </w:p>
        </w:tc>
        <w:tc>
          <w:tcPr>
            <w:tcW w:w="1125" w:type="dxa"/>
            <w:shd w:val="clear" w:color="auto" w:fill="auto"/>
            <w:vAlign w:val="center"/>
          </w:tcPr>
          <w:p w14:paraId="3574C94B">
            <w:pPr>
              <w:keepNext w:val="0"/>
              <w:keepLines w:val="0"/>
              <w:pageBreakBefore w:val="0"/>
              <w:widowControl w:val="0"/>
              <w:kinsoku/>
              <w:wordWrap/>
              <w:overflowPunct/>
              <w:topLinePunct w:val="0"/>
              <w:bidi w:val="0"/>
              <w:adjustRightInd w:val="0"/>
              <w:spacing w:line="40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c>
          <w:tcPr>
            <w:tcW w:w="1935" w:type="dxa"/>
            <w:shd w:val="clear" w:color="auto" w:fill="auto"/>
            <w:vAlign w:val="center"/>
          </w:tcPr>
          <w:p w14:paraId="675EC9F2">
            <w:pPr>
              <w:keepNext w:val="0"/>
              <w:keepLines w:val="0"/>
              <w:pageBreakBefore w:val="0"/>
              <w:widowControl w:val="0"/>
              <w:kinsoku/>
              <w:wordWrap/>
              <w:overflowPunct/>
              <w:topLinePunct w:val="0"/>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p>
        </w:tc>
      </w:tr>
      <w:tr w14:paraId="7FF3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6CECBE5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4065" w:type="dxa"/>
            <w:shd w:val="clear" w:color="auto" w:fill="auto"/>
            <w:vAlign w:val="center"/>
          </w:tcPr>
          <w:p w14:paraId="38F89DE8">
            <w:pPr>
              <w:spacing w:beforeLines="0" w:afterLines="0" w:line="400" w:lineRule="atLeas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有比较完善的组织架构，清晰简练地列出主要管理流程，包括运作流程图、激励机制、监督机制、自我约束机制、信息反馈渠道及处理机制，管理指标承诺达到保洁服务标准</w:t>
            </w:r>
            <w:r>
              <w:rPr>
                <w:rFonts w:hint="eastAsia" w:ascii="宋体" w:hAnsi="宋体" w:eastAsia="宋体" w:cs="宋体"/>
                <w:sz w:val="24"/>
                <w:szCs w:val="24"/>
                <w:highlight w:val="none"/>
                <w:lang w:eastAsia="zh-CN"/>
              </w:rPr>
              <w:t>。</w:t>
            </w:r>
            <w:r>
              <w:rPr>
                <w:rFonts w:hint="eastAsia" w:ascii="宋体" w:hAnsi="宋体" w:eastAsia="宋体" w:cs="宋体"/>
                <w:color w:val="auto"/>
                <w:kern w:val="2"/>
                <w:sz w:val="24"/>
                <w:szCs w:val="24"/>
                <w:highlight w:val="none"/>
                <w:lang w:val="en-US" w:eastAsia="zh-CN"/>
              </w:rPr>
              <w:t>切合本项目采购需求，针对性、操作性强、科学合理得</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分，基本符合的得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分，较为符合本项目采购需求的得</w:t>
            </w:r>
            <w:r>
              <w:rPr>
                <w:rFonts w:hint="eastAsia" w:ascii="宋体"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分；未提供不得分</w:t>
            </w:r>
            <w:r>
              <w:rPr>
                <w:rFonts w:hint="eastAsia" w:ascii="宋体" w:hAnsi="宋体" w:eastAsia="宋体" w:cs="宋体"/>
                <w:sz w:val="24"/>
                <w:szCs w:val="24"/>
                <w:highlight w:val="none"/>
              </w:rPr>
              <w:t>。</w:t>
            </w:r>
          </w:p>
        </w:tc>
        <w:tc>
          <w:tcPr>
            <w:tcW w:w="870" w:type="dxa"/>
            <w:shd w:val="clear" w:color="auto" w:fill="auto"/>
            <w:vAlign w:val="center"/>
          </w:tcPr>
          <w:p w14:paraId="5DE0D3B7">
            <w:pPr>
              <w:keepNext w:val="0"/>
              <w:keepLines w:val="0"/>
              <w:pageBreakBefore w:val="0"/>
              <w:widowControl w:val="0"/>
              <w:kinsoku/>
              <w:wordWrap/>
              <w:overflowPunct/>
              <w:topLinePunct w:val="0"/>
              <w:bidi w:val="0"/>
              <w:adjustRightInd w:val="0"/>
              <w:spacing w:line="400" w:lineRule="exact"/>
              <w:ind w:left="0" w:lef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6</w:t>
            </w:r>
          </w:p>
        </w:tc>
        <w:tc>
          <w:tcPr>
            <w:tcW w:w="1125" w:type="dxa"/>
            <w:shd w:val="clear" w:color="auto" w:fill="auto"/>
            <w:vAlign w:val="center"/>
          </w:tcPr>
          <w:p w14:paraId="5FFB9F58">
            <w:pPr>
              <w:keepNext w:val="0"/>
              <w:keepLines w:val="0"/>
              <w:pageBreakBefore w:val="0"/>
              <w:widowControl w:val="0"/>
              <w:kinsoku/>
              <w:wordWrap/>
              <w:overflowPunct/>
              <w:topLinePunct w:val="0"/>
              <w:bidi w:val="0"/>
              <w:adjustRightInd w:val="0"/>
              <w:spacing w:line="40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c>
          <w:tcPr>
            <w:tcW w:w="1935" w:type="dxa"/>
            <w:shd w:val="clear" w:color="auto" w:fill="auto"/>
            <w:vAlign w:val="center"/>
          </w:tcPr>
          <w:p w14:paraId="515E1610">
            <w:pPr>
              <w:keepNext w:val="0"/>
              <w:keepLines w:val="0"/>
              <w:pageBreakBefore w:val="0"/>
              <w:widowControl w:val="0"/>
              <w:kinsoku/>
              <w:wordWrap/>
              <w:overflowPunct/>
              <w:topLinePunct w:val="0"/>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p>
        </w:tc>
      </w:tr>
      <w:tr w14:paraId="3BDA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trPr>
        <w:tc>
          <w:tcPr>
            <w:tcW w:w="619" w:type="dxa"/>
            <w:vAlign w:val="center"/>
          </w:tcPr>
          <w:p w14:paraId="4DB42AB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4065" w:type="dxa"/>
            <w:shd w:val="clear" w:color="auto" w:fill="auto"/>
            <w:vAlign w:val="center"/>
          </w:tcPr>
          <w:p w14:paraId="773044A4">
            <w:pPr>
              <w:spacing w:beforeLines="0" w:afterLines="0" w:line="400" w:lineRule="atLeas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有完善的管理制度、作业流程及工作计划及实施时间，并建立和完善档案管理制度、管理制度等，体现标准化服务，管理服务水平是否符合国家和行业标准</w:t>
            </w:r>
            <w:r>
              <w:rPr>
                <w:rFonts w:hint="eastAsia" w:ascii="宋体" w:hAnsi="宋体" w:eastAsia="宋体" w:cs="宋体"/>
                <w:sz w:val="24"/>
                <w:szCs w:val="24"/>
                <w:highlight w:val="none"/>
                <w:lang w:eastAsia="zh-CN"/>
              </w:rPr>
              <w:t>，</w:t>
            </w:r>
            <w:r>
              <w:rPr>
                <w:rFonts w:hint="eastAsia" w:ascii="宋体" w:hAnsi="宋体" w:eastAsia="宋体" w:cs="宋体"/>
                <w:color w:val="auto"/>
                <w:kern w:val="2"/>
                <w:sz w:val="24"/>
                <w:szCs w:val="24"/>
                <w:highlight w:val="none"/>
                <w:lang w:val="en-US" w:eastAsia="zh-CN"/>
              </w:rPr>
              <w:t>切合本项目采购需求，针对性、操作性强、科学合理得6分，基本符合的得3分，较为符合本项目采购需求的得1分；未提供不得分</w:t>
            </w:r>
            <w:r>
              <w:rPr>
                <w:rFonts w:hint="eastAsia" w:ascii="宋体" w:hAnsi="宋体" w:eastAsia="宋体" w:cs="宋体"/>
                <w:sz w:val="24"/>
                <w:szCs w:val="24"/>
                <w:highlight w:val="none"/>
              </w:rPr>
              <w:t>。</w:t>
            </w:r>
          </w:p>
        </w:tc>
        <w:tc>
          <w:tcPr>
            <w:tcW w:w="870" w:type="dxa"/>
            <w:shd w:val="clear" w:color="auto" w:fill="auto"/>
            <w:vAlign w:val="center"/>
          </w:tcPr>
          <w:p w14:paraId="5F0F080A">
            <w:pPr>
              <w:keepNext w:val="0"/>
              <w:keepLines w:val="0"/>
              <w:pageBreakBefore w:val="0"/>
              <w:widowControl w:val="0"/>
              <w:kinsoku/>
              <w:wordWrap/>
              <w:overflowPunct/>
              <w:topLinePunct w:val="0"/>
              <w:bidi w:val="0"/>
              <w:adjustRightInd w:val="0"/>
              <w:spacing w:line="400" w:lineRule="exact"/>
              <w:ind w:left="0" w:lef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6</w:t>
            </w:r>
          </w:p>
        </w:tc>
        <w:tc>
          <w:tcPr>
            <w:tcW w:w="1125" w:type="dxa"/>
            <w:shd w:val="clear" w:color="auto" w:fill="auto"/>
            <w:vAlign w:val="center"/>
          </w:tcPr>
          <w:p w14:paraId="0210B7E3">
            <w:pPr>
              <w:keepNext w:val="0"/>
              <w:keepLines w:val="0"/>
              <w:pageBreakBefore w:val="0"/>
              <w:widowControl w:val="0"/>
              <w:kinsoku/>
              <w:wordWrap/>
              <w:overflowPunct/>
              <w:topLinePunct w:val="0"/>
              <w:bidi w:val="0"/>
              <w:adjustRightInd w:val="0"/>
              <w:spacing w:line="40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c>
          <w:tcPr>
            <w:tcW w:w="1935" w:type="dxa"/>
            <w:shd w:val="clear" w:color="auto" w:fill="auto"/>
            <w:vAlign w:val="center"/>
          </w:tcPr>
          <w:p w14:paraId="52FCD0C4">
            <w:pPr>
              <w:keepNext w:val="0"/>
              <w:keepLines w:val="0"/>
              <w:pageBreakBefore w:val="0"/>
              <w:widowControl w:val="0"/>
              <w:kinsoku/>
              <w:wordWrap/>
              <w:overflowPunct/>
              <w:topLinePunct w:val="0"/>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p>
        </w:tc>
      </w:tr>
      <w:tr w14:paraId="2E3D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7653EA6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4065" w:type="dxa"/>
            <w:shd w:val="clear" w:color="auto" w:fill="auto"/>
            <w:vAlign w:val="center"/>
          </w:tcPr>
          <w:p w14:paraId="05B9300A">
            <w:pPr>
              <w:spacing w:beforeLines="0" w:afterLines="0" w:line="400" w:lineRule="atLeas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对服务区域内垃圾分类管理服务方案比较酌情给分</w:t>
            </w:r>
            <w:r>
              <w:rPr>
                <w:rFonts w:hint="eastAsia" w:ascii="宋体" w:hAnsi="宋体" w:eastAsia="宋体" w:cs="宋体"/>
                <w:sz w:val="24"/>
                <w:szCs w:val="24"/>
                <w:highlight w:val="none"/>
                <w:lang w:eastAsia="zh-CN"/>
              </w:rPr>
              <w:t>，</w:t>
            </w:r>
            <w:r>
              <w:rPr>
                <w:rFonts w:hint="eastAsia" w:ascii="宋体" w:hAnsi="宋体" w:eastAsia="宋体" w:cs="宋体"/>
                <w:color w:val="auto"/>
                <w:kern w:val="2"/>
                <w:sz w:val="24"/>
                <w:szCs w:val="24"/>
                <w:highlight w:val="none"/>
                <w:lang w:val="en-US" w:eastAsia="zh-CN"/>
              </w:rPr>
              <w:t>切合本项目采购需求，针对性、操作性强、科学合理得5分，方案基本符合的得3分，方案较为符合本项目采购需求的得1分；未提供方案不得分。</w:t>
            </w:r>
          </w:p>
        </w:tc>
        <w:tc>
          <w:tcPr>
            <w:tcW w:w="870" w:type="dxa"/>
            <w:shd w:val="clear" w:color="auto" w:fill="auto"/>
            <w:vAlign w:val="center"/>
          </w:tcPr>
          <w:p w14:paraId="111D4899">
            <w:pPr>
              <w:keepNext w:val="0"/>
              <w:keepLines w:val="0"/>
              <w:pageBreakBefore w:val="0"/>
              <w:widowControl w:val="0"/>
              <w:kinsoku/>
              <w:wordWrap/>
              <w:overflowPunct/>
              <w:topLinePunct w:val="0"/>
              <w:bidi w:val="0"/>
              <w:adjustRightInd w:val="0"/>
              <w:spacing w:line="40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1125" w:type="dxa"/>
            <w:shd w:val="clear" w:color="auto" w:fill="auto"/>
            <w:vAlign w:val="center"/>
          </w:tcPr>
          <w:p w14:paraId="2CC2A968">
            <w:pPr>
              <w:keepNext w:val="0"/>
              <w:keepLines w:val="0"/>
              <w:pageBreakBefore w:val="0"/>
              <w:widowControl w:val="0"/>
              <w:kinsoku/>
              <w:wordWrap/>
              <w:overflowPunct/>
              <w:topLinePunct w:val="0"/>
              <w:bidi w:val="0"/>
              <w:adjustRightInd w:val="0"/>
              <w:spacing w:line="40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c>
          <w:tcPr>
            <w:tcW w:w="1935" w:type="dxa"/>
            <w:shd w:val="clear" w:color="auto" w:fill="auto"/>
            <w:vAlign w:val="center"/>
          </w:tcPr>
          <w:p w14:paraId="7845198A">
            <w:pPr>
              <w:keepNext w:val="0"/>
              <w:keepLines w:val="0"/>
              <w:pageBreakBefore w:val="0"/>
              <w:widowControl w:val="0"/>
              <w:kinsoku/>
              <w:wordWrap/>
              <w:overflowPunct/>
              <w:topLinePunct w:val="0"/>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p>
        </w:tc>
      </w:tr>
      <w:tr w14:paraId="1240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45EC22DA">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4065" w:type="dxa"/>
            <w:shd w:val="clear" w:color="auto" w:fill="auto"/>
            <w:vAlign w:val="center"/>
          </w:tcPr>
          <w:p w14:paraId="1DBB7ACC">
            <w:pPr>
              <w:spacing w:beforeLines="0" w:afterLines="0" w:line="400" w:lineRule="atLeas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对服务区域内安全防范措施等</w:t>
            </w:r>
            <w:r>
              <w:rPr>
                <w:rFonts w:hint="eastAsia" w:ascii="宋体" w:hAnsi="宋体" w:eastAsia="宋体" w:cs="宋体"/>
                <w:sz w:val="24"/>
                <w:szCs w:val="24"/>
                <w:highlight w:val="none"/>
                <w:lang w:eastAsia="zh-CN"/>
              </w:rPr>
              <w:t>服务方案</w:t>
            </w:r>
            <w:r>
              <w:rPr>
                <w:rFonts w:hint="eastAsia" w:ascii="宋体" w:hAnsi="宋体" w:eastAsia="宋体" w:cs="宋体"/>
                <w:sz w:val="24"/>
                <w:szCs w:val="24"/>
                <w:highlight w:val="none"/>
              </w:rPr>
              <w:t>比较酌情给分</w:t>
            </w:r>
            <w:r>
              <w:rPr>
                <w:rFonts w:hint="eastAsia" w:ascii="宋体" w:hAnsi="宋体" w:eastAsia="宋体" w:cs="宋体"/>
                <w:sz w:val="24"/>
                <w:szCs w:val="24"/>
                <w:highlight w:val="none"/>
                <w:lang w:eastAsia="zh-CN"/>
              </w:rPr>
              <w:t>，</w:t>
            </w:r>
            <w:r>
              <w:rPr>
                <w:rFonts w:hint="eastAsia" w:ascii="宋体" w:hAnsi="宋体" w:eastAsia="宋体" w:cs="宋体"/>
                <w:color w:val="auto"/>
                <w:kern w:val="2"/>
                <w:sz w:val="24"/>
                <w:szCs w:val="24"/>
                <w:highlight w:val="none"/>
                <w:lang w:val="en-US" w:eastAsia="zh-CN"/>
              </w:rPr>
              <w:t>切合本项目采购需求，针对性、操作性强、科学合理得5分，方案基本符合的得3分，方案较为符合本项目采购需求的得1分；未提供方案不得分。</w:t>
            </w:r>
          </w:p>
        </w:tc>
        <w:tc>
          <w:tcPr>
            <w:tcW w:w="870" w:type="dxa"/>
            <w:shd w:val="clear" w:color="auto" w:fill="auto"/>
            <w:vAlign w:val="center"/>
          </w:tcPr>
          <w:p w14:paraId="3951CCEB">
            <w:pPr>
              <w:keepNext w:val="0"/>
              <w:keepLines w:val="0"/>
              <w:pageBreakBefore w:val="0"/>
              <w:widowControl w:val="0"/>
              <w:kinsoku/>
              <w:wordWrap/>
              <w:overflowPunct/>
              <w:topLinePunct w:val="0"/>
              <w:bidi w:val="0"/>
              <w:adjustRightInd w:val="0"/>
              <w:spacing w:line="40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1125" w:type="dxa"/>
            <w:shd w:val="clear" w:color="auto" w:fill="auto"/>
            <w:vAlign w:val="center"/>
          </w:tcPr>
          <w:p w14:paraId="69173B65">
            <w:pPr>
              <w:keepNext w:val="0"/>
              <w:keepLines w:val="0"/>
              <w:pageBreakBefore w:val="0"/>
              <w:widowControl w:val="0"/>
              <w:kinsoku/>
              <w:wordWrap/>
              <w:overflowPunct/>
              <w:topLinePunct w:val="0"/>
              <w:bidi w:val="0"/>
              <w:adjustRightInd w:val="0"/>
              <w:spacing w:line="40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c>
          <w:tcPr>
            <w:tcW w:w="1935" w:type="dxa"/>
            <w:shd w:val="clear" w:color="auto" w:fill="auto"/>
            <w:vAlign w:val="center"/>
          </w:tcPr>
          <w:p w14:paraId="0345B4B2">
            <w:pPr>
              <w:keepNext w:val="0"/>
              <w:keepLines w:val="0"/>
              <w:pageBreakBefore w:val="0"/>
              <w:widowControl w:val="0"/>
              <w:kinsoku/>
              <w:wordWrap/>
              <w:overflowPunct/>
              <w:topLinePunct w:val="0"/>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p>
        </w:tc>
      </w:tr>
      <w:tr w14:paraId="1A85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16BBB874">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4065" w:type="dxa"/>
            <w:shd w:val="clear" w:color="auto" w:fill="auto"/>
            <w:vAlign w:val="center"/>
          </w:tcPr>
          <w:p w14:paraId="6E359CDF">
            <w:pPr>
              <w:spacing w:beforeLines="0" w:afterLines="0" w:line="400" w:lineRule="atLeas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对服务区域</w:t>
            </w:r>
            <w:r>
              <w:rPr>
                <w:rFonts w:hint="eastAsia" w:ascii="宋体" w:hAnsi="宋体" w:eastAsia="宋体" w:cs="宋体"/>
                <w:sz w:val="24"/>
                <w:szCs w:val="24"/>
                <w:highlight w:val="none"/>
                <w:lang w:eastAsia="zh-CN"/>
              </w:rPr>
              <w:t>内</w:t>
            </w:r>
            <w:r>
              <w:rPr>
                <w:rFonts w:hint="eastAsia" w:ascii="宋体" w:hAnsi="宋体" w:eastAsia="宋体" w:cs="宋体"/>
                <w:sz w:val="24"/>
                <w:szCs w:val="24"/>
                <w:highlight w:val="none"/>
              </w:rPr>
              <w:t>绿化养护方案比较酌情给分，并</w:t>
            </w:r>
            <w:r>
              <w:rPr>
                <w:rFonts w:hint="eastAsia" w:ascii="宋体" w:hAnsi="宋体" w:eastAsia="宋体" w:cs="宋体"/>
                <w:sz w:val="24"/>
                <w:szCs w:val="24"/>
                <w:highlight w:val="none"/>
                <w:lang w:eastAsia="zh-CN"/>
              </w:rPr>
              <w:t>配附</w:t>
            </w:r>
            <w:r>
              <w:rPr>
                <w:rFonts w:hint="eastAsia" w:ascii="宋体" w:hAnsi="宋体" w:eastAsia="宋体" w:cs="宋体"/>
                <w:sz w:val="24"/>
                <w:szCs w:val="24"/>
                <w:highlight w:val="none"/>
              </w:rPr>
              <w:t>全年工作计划表及人员配置</w:t>
            </w:r>
            <w:r>
              <w:rPr>
                <w:rFonts w:hint="eastAsia" w:ascii="宋体" w:hAnsi="宋体" w:eastAsia="宋体" w:cs="宋体"/>
                <w:sz w:val="24"/>
                <w:szCs w:val="24"/>
                <w:highlight w:val="none"/>
                <w:lang w:eastAsia="zh-CN"/>
              </w:rPr>
              <w:t>，</w:t>
            </w:r>
            <w:r>
              <w:rPr>
                <w:rFonts w:hint="eastAsia" w:ascii="宋体" w:hAnsi="宋体" w:eastAsia="宋体" w:cs="宋体"/>
                <w:color w:val="auto"/>
                <w:kern w:val="2"/>
                <w:sz w:val="24"/>
                <w:szCs w:val="24"/>
                <w:highlight w:val="none"/>
                <w:lang w:val="en-US" w:eastAsia="zh-CN"/>
              </w:rPr>
              <w:t>切合本项目采购需求，针对性、操作性强、科学合理得5分，方案基本符合的得3分，方案较为符合本项目采购需求的得1分；未提供方案不得分。</w:t>
            </w:r>
          </w:p>
        </w:tc>
        <w:tc>
          <w:tcPr>
            <w:tcW w:w="870" w:type="dxa"/>
            <w:shd w:val="clear" w:color="auto" w:fill="auto"/>
            <w:vAlign w:val="center"/>
          </w:tcPr>
          <w:p w14:paraId="59E3926D">
            <w:pPr>
              <w:keepNext w:val="0"/>
              <w:keepLines w:val="0"/>
              <w:pageBreakBefore w:val="0"/>
              <w:widowControl w:val="0"/>
              <w:kinsoku/>
              <w:wordWrap/>
              <w:overflowPunct/>
              <w:topLinePunct w:val="0"/>
              <w:bidi w:val="0"/>
              <w:adjustRightInd w:val="0"/>
              <w:spacing w:line="400" w:lineRule="exact"/>
              <w:ind w:left="0" w:lef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1125" w:type="dxa"/>
            <w:shd w:val="clear" w:color="auto" w:fill="auto"/>
            <w:vAlign w:val="center"/>
          </w:tcPr>
          <w:p w14:paraId="6207E284">
            <w:pPr>
              <w:keepNext w:val="0"/>
              <w:keepLines w:val="0"/>
              <w:pageBreakBefore w:val="0"/>
              <w:widowControl w:val="0"/>
              <w:kinsoku/>
              <w:wordWrap/>
              <w:overflowPunct/>
              <w:topLinePunct w:val="0"/>
              <w:bidi w:val="0"/>
              <w:adjustRightInd w:val="0"/>
              <w:spacing w:line="40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c>
          <w:tcPr>
            <w:tcW w:w="1935" w:type="dxa"/>
            <w:shd w:val="clear" w:color="auto" w:fill="auto"/>
            <w:vAlign w:val="center"/>
          </w:tcPr>
          <w:p w14:paraId="54A43B96">
            <w:pPr>
              <w:keepNext w:val="0"/>
              <w:keepLines w:val="0"/>
              <w:pageBreakBefore w:val="0"/>
              <w:widowControl w:val="0"/>
              <w:kinsoku/>
              <w:wordWrap/>
              <w:overflowPunct/>
              <w:topLinePunct w:val="0"/>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p>
        </w:tc>
      </w:tr>
      <w:tr w14:paraId="62F3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1304D11B">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4065" w:type="dxa"/>
            <w:shd w:val="clear" w:color="auto" w:fill="auto"/>
            <w:vAlign w:val="center"/>
          </w:tcPr>
          <w:p w14:paraId="4D25560F">
            <w:pPr>
              <w:spacing w:beforeLines="0" w:afterLines="0" w:line="400" w:lineRule="atLeas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本项目管理的重点难点及应对措施保障(方案详细描述、符合要求、内容完整、充实的得6分；详细描述、符合要求，内容完整，但有所欠缺的得3分；详细描述、符合要求，但内容不完整的得1分，不提供不得分)</w:t>
            </w:r>
          </w:p>
        </w:tc>
        <w:tc>
          <w:tcPr>
            <w:tcW w:w="870" w:type="dxa"/>
            <w:shd w:val="clear" w:color="auto" w:fill="auto"/>
            <w:vAlign w:val="center"/>
          </w:tcPr>
          <w:p w14:paraId="0B8457DD">
            <w:pPr>
              <w:keepNext w:val="0"/>
              <w:keepLines w:val="0"/>
              <w:pageBreakBefore w:val="0"/>
              <w:widowControl w:val="0"/>
              <w:kinsoku/>
              <w:wordWrap/>
              <w:overflowPunct/>
              <w:topLinePunct w:val="0"/>
              <w:bidi w:val="0"/>
              <w:adjustRightInd w:val="0"/>
              <w:spacing w:line="400" w:lineRule="exact"/>
              <w:ind w:left="0" w:lef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p>
        </w:tc>
        <w:tc>
          <w:tcPr>
            <w:tcW w:w="1125" w:type="dxa"/>
            <w:shd w:val="clear" w:color="auto" w:fill="auto"/>
            <w:vAlign w:val="center"/>
          </w:tcPr>
          <w:p w14:paraId="1CB374E8">
            <w:pPr>
              <w:keepNext w:val="0"/>
              <w:keepLines w:val="0"/>
              <w:pageBreakBefore w:val="0"/>
              <w:widowControl w:val="0"/>
              <w:kinsoku/>
              <w:wordWrap/>
              <w:overflowPunct/>
              <w:topLinePunct w:val="0"/>
              <w:bidi w:val="0"/>
              <w:adjustRightInd w:val="0"/>
              <w:spacing w:line="40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c>
          <w:tcPr>
            <w:tcW w:w="1935" w:type="dxa"/>
            <w:shd w:val="clear" w:color="auto" w:fill="auto"/>
            <w:vAlign w:val="center"/>
          </w:tcPr>
          <w:p w14:paraId="61D17E1A">
            <w:pPr>
              <w:keepNext w:val="0"/>
              <w:keepLines w:val="0"/>
              <w:pageBreakBefore w:val="0"/>
              <w:widowControl w:val="0"/>
              <w:kinsoku/>
              <w:wordWrap/>
              <w:overflowPunct/>
              <w:topLinePunct w:val="0"/>
              <w:bidi w:val="0"/>
              <w:adjustRightInd w:val="0"/>
              <w:snapToGrid w:val="0"/>
              <w:spacing w:line="400" w:lineRule="exact"/>
              <w:ind w:left="0" w:leftChars="0" w:firstLine="0" w:firstLineChars="0"/>
              <w:jc w:val="center"/>
              <w:textAlignment w:val="auto"/>
              <w:rPr>
                <w:rFonts w:hint="default" w:ascii="宋体" w:hAnsi="宋体" w:eastAsia="宋体" w:cs="宋体"/>
                <w:color w:val="auto"/>
                <w:spacing w:val="1"/>
                <w:kern w:val="2"/>
                <w:sz w:val="24"/>
                <w:szCs w:val="24"/>
                <w:lang w:val="en-US" w:eastAsia="zh-CN" w:bidi="ar-SA"/>
              </w:rPr>
            </w:pPr>
          </w:p>
        </w:tc>
      </w:tr>
      <w:tr w14:paraId="1A7C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627894D3">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4065" w:type="dxa"/>
            <w:shd w:val="clear" w:color="auto" w:fill="auto"/>
            <w:vAlign w:val="center"/>
          </w:tcPr>
          <w:p w14:paraId="5B769984">
            <w:pPr>
              <w:spacing w:beforeLines="0" w:afterLines="0" w:line="400" w:lineRule="atLeas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承诺</w:t>
            </w:r>
            <w:r>
              <w:rPr>
                <w:rFonts w:hint="eastAsia" w:ascii="宋体" w:hAnsi="宋体" w:eastAsia="宋体" w:cs="宋体"/>
                <w:sz w:val="24"/>
                <w:szCs w:val="24"/>
                <w:highlight w:val="none"/>
              </w:rPr>
              <w:t>对服务区域内配合业主进行雨污管网巡察</w:t>
            </w:r>
            <w:r>
              <w:rPr>
                <w:rFonts w:hint="eastAsia" w:ascii="宋体" w:hAnsi="宋体" w:cs="宋体"/>
                <w:sz w:val="24"/>
                <w:szCs w:val="24"/>
                <w:highlight w:val="none"/>
                <w:lang w:val="en-US" w:eastAsia="zh-CN"/>
              </w:rPr>
              <w:t>及相关方案</w:t>
            </w:r>
            <w:r>
              <w:rPr>
                <w:rFonts w:hint="eastAsia" w:ascii="宋体" w:hAnsi="宋体" w:eastAsia="宋体" w:cs="宋体"/>
                <w:sz w:val="24"/>
                <w:szCs w:val="24"/>
                <w:highlight w:val="none"/>
                <w:lang w:eastAsia="zh-CN"/>
              </w:rPr>
              <w:t>（投标文件提供承诺书，格式自拟。</w:t>
            </w:r>
            <w:r>
              <w:rPr>
                <w:rFonts w:hint="eastAsia" w:ascii="宋体" w:hAnsi="宋体" w:eastAsia="宋体" w:cs="宋体"/>
                <w:color w:val="auto"/>
                <w:kern w:val="2"/>
                <w:sz w:val="24"/>
                <w:szCs w:val="24"/>
                <w:highlight w:val="none"/>
                <w:lang w:val="en-US" w:eastAsia="zh-CN"/>
              </w:rPr>
              <w:t>切合本项目采购需求，针对性、操作性强、科学合理得5分，方案基本符合的得3分，方案较为符合本项目采购需求的得1分；未提供方案不得分。</w:t>
            </w:r>
          </w:p>
        </w:tc>
        <w:tc>
          <w:tcPr>
            <w:tcW w:w="870" w:type="dxa"/>
            <w:shd w:val="clear" w:color="auto" w:fill="auto"/>
            <w:vAlign w:val="center"/>
          </w:tcPr>
          <w:p w14:paraId="5D21BB6F">
            <w:pPr>
              <w:keepNext w:val="0"/>
              <w:keepLines w:val="0"/>
              <w:pageBreakBefore w:val="0"/>
              <w:widowControl w:val="0"/>
              <w:kinsoku/>
              <w:wordWrap/>
              <w:overflowPunct/>
              <w:topLinePunct w:val="0"/>
              <w:bidi w:val="0"/>
              <w:adjustRightInd w:val="0"/>
              <w:spacing w:line="40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1125" w:type="dxa"/>
            <w:shd w:val="clear" w:color="auto" w:fill="auto"/>
            <w:vAlign w:val="center"/>
          </w:tcPr>
          <w:p w14:paraId="6DA5DCC0">
            <w:pPr>
              <w:keepNext w:val="0"/>
              <w:keepLines w:val="0"/>
              <w:pageBreakBefore w:val="0"/>
              <w:widowControl w:val="0"/>
              <w:kinsoku/>
              <w:wordWrap/>
              <w:overflowPunct/>
              <w:topLinePunct w:val="0"/>
              <w:bidi w:val="0"/>
              <w:adjustRightInd w:val="0"/>
              <w:spacing w:line="40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c>
          <w:tcPr>
            <w:tcW w:w="1935" w:type="dxa"/>
            <w:shd w:val="clear" w:color="auto" w:fill="auto"/>
            <w:vAlign w:val="center"/>
          </w:tcPr>
          <w:p w14:paraId="4F083D74">
            <w:pPr>
              <w:keepNext w:val="0"/>
              <w:keepLines w:val="0"/>
              <w:pageBreakBefore w:val="0"/>
              <w:widowControl w:val="0"/>
              <w:kinsoku/>
              <w:wordWrap/>
              <w:overflowPunct/>
              <w:topLinePunct w:val="0"/>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p>
        </w:tc>
      </w:tr>
      <w:tr w14:paraId="6FDA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540993FC">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4065" w:type="dxa"/>
            <w:shd w:val="clear" w:color="auto" w:fill="auto"/>
            <w:vAlign w:val="center"/>
          </w:tcPr>
          <w:p w14:paraId="24913EC0">
            <w:pPr>
              <w:spacing w:beforeLines="0" w:afterLines="0" w:line="400" w:lineRule="atLeas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对服务区域</w:t>
            </w:r>
            <w:r>
              <w:rPr>
                <w:rFonts w:hint="eastAsia" w:ascii="宋体" w:hAnsi="宋体" w:eastAsia="宋体" w:cs="宋体"/>
                <w:sz w:val="24"/>
                <w:szCs w:val="24"/>
                <w:highlight w:val="none"/>
                <w:lang w:eastAsia="zh-CN"/>
              </w:rPr>
              <w:t>内</w:t>
            </w:r>
            <w:r>
              <w:rPr>
                <w:rFonts w:hint="eastAsia" w:ascii="宋体" w:hAnsi="宋体" w:eastAsia="宋体" w:cs="宋体"/>
                <w:sz w:val="24"/>
                <w:szCs w:val="24"/>
                <w:highlight w:val="none"/>
              </w:rPr>
              <w:t>现场勘察后，</w:t>
            </w:r>
            <w:r>
              <w:rPr>
                <w:rFonts w:hint="eastAsia" w:ascii="宋体" w:hAnsi="宋体" w:eastAsia="宋体" w:cs="宋体"/>
                <w:sz w:val="24"/>
                <w:szCs w:val="24"/>
                <w:highlight w:val="none"/>
                <w:lang w:val="en-US" w:eastAsia="zh-CN"/>
              </w:rPr>
              <w:t>结合现场提供车辆管理方案，</w:t>
            </w:r>
            <w:r>
              <w:rPr>
                <w:rFonts w:hint="eastAsia" w:ascii="宋体" w:hAnsi="宋体" w:eastAsia="宋体" w:cs="宋体"/>
                <w:color w:val="auto"/>
                <w:kern w:val="2"/>
                <w:sz w:val="24"/>
                <w:szCs w:val="24"/>
                <w:highlight w:val="none"/>
                <w:lang w:val="en-US" w:eastAsia="zh-CN"/>
              </w:rPr>
              <w:t>切合本项目采购需求，针对性、操作性强、科学合理得6分，方案基本符合的得3分，方案较为符合本项目采购需求的得1分；未提供方案不得分。</w:t>
            </w:r>
          </w:p>
        </w:tc>
        <w:tc>
          <w:tcPr>
            <w:tcW w:w="870" w:type="dxa"/>
            <w:shd w:val="clear" w:color="auto" w:fill="auto"/>
            <w:vAlign w:val="center"/>
          </w:tcPr>
          <w:p w14:paraId="05F6710E">
            <w:pPr>
              <w:keepNext w:val="0"/>
              <w:keepLines w:val="0"/>
              <w:pageBreakBefore w:val="0"/>
              <w:widowControl w:val="0"/>
              <w:kinsoku/>
              <w:wordWrap/>
              <w:overflowPunct/>
              <w:topLinePunct w:val="0"/>
              <w:bidi w:val="0"/>
              <w:adjustRightInd w:val="0"/>
              <w:spacing w:line="400" w:lineRule="exact"/>
              <w:ind w:left="0" w:lef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p>
        </w:tc>
        <w:tc>
          <w:tcPr>
            <w:tcW w:w="1125" w:type="dxa"/>
            <w:shd w:val="clear" w:color="auto" w:fill="auto"/>
            <w:vAlign w:val="center"/>
          </w:tcPr>
          <w:p w14:paraId="564606E1">
            <w:pPr>
              <w:keepNext w:val="0"/>
              <w:keepLines w:val="0"/>
              <w:pageBreakBefore w:val="0"/>
              <w:widowControl w:val="0"/>
              <w:kinsoku/>
              <w:wordWrap/>
              <w:overflowPunct/>
              <w:topLinePunct w:val="0"/>
              <w:bidi w:val="0"/>
              <w:adjustRightInd w:val="0"/>
              <w:spacing w:line="40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c>
          <w:tcPr>
            <w:tcW w:w="1935" w:type="dxa"/>
            <w:shd w:val="clear" w:color="auto" w:fill="auto"/>
            <w:vAlign w:val="center"/>
          </w:tcPr>
          <w:p w14:paraId="0334D252">
            <w:pPr>
              <w:keepNext w:val="0"/>
              <w:keepLines w:val="0"/>
              <w:pageBreakBefore w:val="0"/>
              <w:widowControl w:val="0"/>
              <w:kinsoku/>
              <w:wordWrap/>
              <w:overflowPunct/>
              <w:topLinePunct w:val="0"/>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p>
        </w:tc>
      </w:tr>
      <w:tr w14:paraId="32C3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75CC7922">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4065" w:type="dxa"/>
            <w:shd w:val="clear" w:color="auto" w:fill="auto"/>
            <w:vAlign w:val="center"/>
          </w:tcPr>
          <w:p w14:paraId="2B47A84B">
            <w:pPr>
              <w:spacing w:beforeLines="0" w:afterLines="0" w:line="400" w:lineRule="atLeast"/>
              <w:rPr>
                <w:rFonts w:hint="eastAsia" w:ascii="宋体" w:hAnsi="宋体" w:eastAsia="宋体" w:cs="宋体"/>
                <w:color w:val="auto"/>
                <w:kern w:val="2"/>
                <w:sz w:val="24"/>
                <w:szCs w:val="24"/>
                <w:highlight w:val="none"/>
                <w:lang w:val="en-US" w:eastAsia="zh-CN"/>
              </w:rPr>
            </w:pPr>
            <w:r>
              <w:rPr>
                <w:rFonts w:hint="eastAsia" w:ascii="宋体" w:hAnsi="宋体" w:eastAsia="宋体" w:cs="宋体"/>
                <w:sz w:val="24"/>
                <w:szCs w:val="24"/>
                <w:highlight w:val="none"/>
              </w:rPr>
              <w:t>①</w:t>
            </w:r>
            <w:r>
              <w:rPr>
                <w:rFonts w:hint="eastAsia" w:ascii="宋体" w:hAnsi="宋体" w:eastAsia="宋体" w:cs="宋体"/>
                <w:sz w:val="24"/>
                <w:szCs w:val="24"/>
                <w:highlight w:val="none"/>
                <w:lang w:eastAsia="zh-CN"/>
              </w:rPr>
              <w:t>针对服务区域内垃圾偷倒现象提供预防措施及应对方案</w:t>
            </w:r>
            <w:r>
              <w:rPr>
                <w:rFonts w:hint="eastAsia" w:ascii="宋体" w:hAnsi="宋体" w:eastAsia="宋体" w:cs="宋体"/>
                <w:sz w:val="24"/>
                <w:szCs w:val="24"/>
                <w:highlight w:val="none"/>
              </w:rPr>
              <w:t>比较酌情给分</w:t>
            </w:r>
            <w:r>
              <w:rPr>
                <w:rFonts w:hint="eastAsia" w:ascii="宋体" w:hAnsi="宋体" w:eastAsia="宋体" w:cs="宋体"/>
                <w:sz w:val="24"/>
                <w:szCs w:val="24"/>
                <w:highlight w:val="none"/>
                <w:lang w:eastAsia="zh-CN"/>
              </w:rPr>
              <w:t>，</w:t>
            </w:r>
            <w:r>
              <w:rPr>
                <w:rFonts w:hint="eastAsia" w:ascii="宋体" w:hAnsi="宋体" w:eastAsia="宋体" w:cs="宋体"/>
                <w:color w:val="auto"/>
                <w:kern w:val="2"/>
                <w:sz w:val="24"/>
                <w:szCs w:val="24"/>
                <w:highlight w:val="none"/>
                <w:lang w:val="en-US" w:eastAsia="zh-CN"/>
              </w:rPr>
              <w:t>切合本项目采购需求，针对性、操作性强、科学合理得5分，方案基本符合的得3分，方案较为符合本项目采购需求的得1分；未提供方案不得分。</w:t>
            </w:r>
            <w:r>
              <w:rPr>
                <w:rFonts w:hint="eastAsia" w:ascii="宋体" w:hAnsi="宋体" w:eastAsia="宋体" w:cs="宋体"/>
                <w:sz w:val="24"/>
                <w:szCs w:val="24"/>
                <w:highlight w:val="none"/>
              </w:rPr>
              <w:t>②对物业服务区域内消防、抗台、抗震等紧急预案比较酌情给分</w:t>
            </w:r>
            <w:r>
              <w:rPr>
                <w:rFonts w:hint="eastAsia" w:ascii="宋体" w:hAnsi="宋体" w:eastAsia="宋体" w:cs="宋体"/>
                <w:sz w:val="24"/>
                <w:szCs w:val="24"/>
                <w:highlight w:val="none"/>
                <w:lang w:val="en-US" w:eastAsia="zh-CN"/>
              </w:rPr>
              <w:t>,</w:t>
            </w:r>
            <w:r>
              <w:rPr>
                <w:rFonts w:hint="eastAsia" w:ascii="宋体" w:hAnsi="宋体" w:eastAsia="宋体" w:cs="宋体"/>
                <w:color w:val="auto"/>
                <w:kern w:val="2"/>
                <w:sz w:val="24"/>
                <w:szCs w:val="24"/>
                <w:highlight w:val="none"/>
                <w:lang w:val="en-US" w:eastAsia="zh-CN"/>
              </w:rPr>
              <w:t>切合本项目采购需求，针对性、操作性强、科学合理得5分，方案基本符合的得3分，方案较为符合本项目采购需求的得1分；未提供方案不得分。</w:t>
            </w:r>
          </w:p>
          <w:p w14:paraId="646E24E9">
            <w:pPr>
              <w:spacing w:beforeLines="0" w:afterLines="0" w:line="400" w:lineRule="atLeas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③对物业服务区域内节假日活动或上级迎检活动预案比较酌情给分</w:t>
            </w:r>
            <w:r>
              <w:rPr>
                <w:rFonts w:hint="eastAsia" w:ascii="宋体" w:hAnsi="宋体" w:eastAsia="宋体" w:cs="宋体"/>
                <w:sz w:val="24"/>
                <w:szCs w:val="24"/>
                <w:highlight w:val="none"/>
                <w:lang w:val="en-US" w:eastAsia="zh-CN"/>
              </w:rPr>
              <w:t>,</w:t>
            </w:r>
            <w:r>
              <w:rPr>
                <w:rFonts w:hint="eastAsia" w:ascii="宋体" w:hAnsi="宋体" w:eastAsia="宋体" w:cs="宋体"/>
                <w:color w:val="auto"/>
                <w:kern w:val="2"/>
                <w:sz w:val="24"/>
                <w:szCs w:val="24"/>
                <w:highlight w:val="none"/>
                <w:lang w:val="en-US" w:eastAsia="zh-CN"/>
              </w:rPr>
              <w:t>切合本项目采购需求，针对性、操作性强、科学合理得5分，方案基本符合的得3分，方案较为符合本项目采购需求的得1分；未提供方案不得分。</w:t>
            </w:r>
          </w:p>
        </w:tc>
        <w:tc>
          <w:tcPr>
            <w:tcW w:w="870" w:type="dxa"/>
            <w:shd w:val="clear" w:color="auto" w:fill="auto"/>
            <w:vAlign w:val="center"/>
          </w:tcPr>
          <w:p w14:paraId="206AC7D7">
            <w:pPr>
              <w:keepNext w:val="0"/>
              <w:keepLines w:val="0"/>
              <w:pageBreakBefore w:val="0"/>
              <w:widowControl w:val="0"/>
              <w:kinsoku/>
              <w:wordWrap/>
              <w:overflowPunct/>
              <w:topLinePunct w:val="0"/>
              <w:bidi w:val="0"/>
              <w:adjustRightInd w:val="0"/>
              <w:spacing w:line="400" w:lineRule="exact"/>
              <w:ind w:left="0" w:lef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15</w:t>
            </w:r>
          </w:p>
        </w:tc>
        <w:tc>
          <w:tcPr>
            <w:tcW w:w="1125" w:type="dxa"/>
            <w:shd w:val="clear" w:color="auto" w:fill="auto"/>
            <w:vAlign w:val="center"/>
          </w:tcPr>
          <w:p w14:paraId="65D24385">
            <w:pPr>
              <w:keepNext w:val="0"/>
              <w:keepLines w:val="0"/>
              <w:pageBreakBefore w:val="0"/>
              <w:widowControl w:val="0"/>
              <w:kinsoku/>
              <w:wordWrap/>
              <w:overflowPunct/>
              <w:topLinePunct w:val="0"/>
              <w:bidi w:val="0"/>
              <w:adjustRightInd w:val="0"/>
              <w:spacing w:line="40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c>
          <w:tcPr>
            <w:tcW w:w="1935" w:type="dxa"/>
            <w:shd w:val="clear" w:color="auto" w:fill="auto"/>
            <w:vAlign w:val="center"/>
          </w:tcPr>
          <w:p w14:paraId="7DEF68D2">
            <w:pPr>
              <w:keepNext w:val="0"/>
              <w:keepLines w:val="0"/>
              <w:pageBreakBefore w:val="0"/>
              <w:widowControl w:val="0"/>
              <w:kinsoku/>
              <w:wordWrap/>
              <w:overflowPunct/>
              <w:topLinePunct w:val="0"/>
              <w:bidi w:val="0"/>
              <w:adjustRightInd w:val="0"/>
              <w:snapToGrid w:val="0"/>
              <w:spacing w:line="400" w:lineRule="exact"/>
              <w:ind w:left="0" w:leftChars="0" w:firstLine="0" w:firstLineChars="0"/>
              <w:jc w:val="center"/>
              <w:textAlignment w:val="auto"/>
              <w:rPr>
                <w:rFonts w:hint="eastAsia" w:ascii="宋体" w:hAnsi="宋体" w:eastAsia="宋体" w:cs="宋体"/>
                <w:color w:val="auto"/>
                <w:kern w:val="2"/>
                <w:sz w:val="24"/>
                <w:szCs w:val="24"/>
                <w:lang w:val="en-US" w:eastAsia="zh-CN" w:bidi="ar-SA"/>
              </w:rPr>
            </w:pPr>
          </w:p>
        </w:tc>
      </w:tr>
      <w:tr w14:paraId="649A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7ECFA418">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4065" w:type="dxa"/>
            <w:shd w:val="clear" w:color="auto" w:fill="auto"/>
            <w:vAlign w:val="center"/>
          </w:tcPr>
          <w:p w14:paraId="32FC1721">
            <w:pPr>
              <w:spacing w:beforeLines="0" w:afterLines="0" w:line="400" w:lineRule="atLeast"/>
              <w:rPr>
                <w:rFonts w:hint="eastAsia" w:ascii="宋体" w:hAnsi="宋体" w:eastAsia="宋体" w:cs="宋体"/>
                <w:kern w:val="2"/>
                <w:sz w:val="24"/>
                <w:szCs w:val="24"/>
                <w:highlight w:val="none"/>
                <w:lang w:val="zh-CN" w:eastAsia="zh-CN" w:bidi="ar-SA"/>
              </w:rPr>
            </w:pPr>
            <w:r>
              <w:rPr>
                <w:rFonts w:hint="eastAsia" w:ascii="宋体" w:hAnsi="宋体" w:eastAsia="宋体" w:cs="宋体"/>
                <w:sz w:val="24"/>
                <w:szCs w:val="24"/>
                <w:highlight w:val="none"/>
              </w:rPr>
              <w:t>①项目负责人：具有物业项目经理上岗证书的得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分，；年龄在</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周岁以下的</w:t>
            </w:r>
            <w:r>
              <w:rPr>
                <w:rFonts w:hint="eastAsia" w:ascii="宋体" w:hAnsi="宋体" w:eastAsia="宋体" w:cs="宋体"/>
                <w:sz w:val="24"/>
                <w:szCs w:val="24"/>
                <w:highlight w:val="none"/>
                <w:lang w:val="en-US" w:eastAsia="zh-CN"/>
              </w:rPr>
              <w:t>得</w:t>
            </w:r>
            <w:r>
              <w:rPr>
                <w:rFonts w:hint="eastAsia" w:ascii="宋体" w:hAnsi="宋体" w:eastAsia="宋体" w:cs="宋体"/>
                <w:sz w:val="24"/>
                <w:szCs w:val="24"/>
                <w:highlight w:val="none"/>
              </w:rPr>
              <w:t>1分，</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周岁至60周岁的</w:t>
            </w:r>
            <w:r>
              <w:rPr>
                <w:rFonts w:hint="eastAsia" w:ascii="宋体" w:hAnsi="宋体" w:eastAsia="宋体" w:cs="宋体"/>
                <w:sz w:val="24"/>
                <w:szCs w:val="24"/>
                <w:highlight w:val="none"/>
                <w:lang w:val="en-US" w:eastAsia="zh-CN"/>
              </w:rPr>
              <w:t>得</w:t>
            </w:r>
            <w:r>
              <w:rPr>
                <w:rFonts w:hint="eastAsia" w:ascii="宋体" w:hAnsi="宋体" w:eastAsia="宋体" w:cs="宋体"/>
                <w:sz w:val="24"/>
                <w:szCs w:val="24"/>
                <w:highlight w:val="none"/>
              </w:rPr>
              <w:t>0.5分，6</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周岁以上的</w:t>
            </w:r>
            <w:r>
              <w:rPr>
                <w:rFonts w:hint="eastAsia" w:ascii="宋体" w:hAnsi="宋体" w:eastAsia="宋体" w:cs="宋体"/>
                <w:sz w:val="24"/>
                <w:szCs w:val="24"/>
                <w:highlight w:val="none"/>
                <w:lang w:eastAsia="zh-CN"/>
              </w:rPr>
              <w:t>不</w:t>
            </w:r>
            <w:r>
              <w:rPr>
                <w:rFonts w:hint="eastAsia" w:ascii="宋体" w:hAnsi="宋体" w:eastAsia="宋体" w:cs="宋体"/>
                <w:sz w:val="24"/>
                <w:szCs w:val="24"/>
                <w:highlight w:val="none"/>
                <w:lang w:val="en-US" w:eastAsia="zh-CN"/>
              </w:rPr>
              <w:t>得</w:t>
            </w:r>
            <w:r>
              <w:rPr>
                <w:rFonts w:hint="eastAsia" w:ascii="宋体" w:hAnsi="宋体" w:eastAsia="宋体" w:cs="宋体"/>
                <w:sz w:val="24"/>
                <w:szCs w:val="24"/>
                <w:highlight w:val="none"/>
              </w:rPr>
              <w:t>分</w:t>
            </w:r>
            <w:r>
              <w:rPr>
                <w:rFonts w:hint="eastAsia" w:ascii="宋体" w:hAnsi="宋体" w:eastAsia="宋体" w:cs="宋体"/>
                <w:b/>
                <w:bCs/>
                <w:sz w:val="24"/>
                <w:szCs w:val="24"/>
                <w:highlight w:val="none"/>
              </w:rPr>
              <w:t>（须提供近</w:t>
            </w: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rPr>
              <w:t>个月社保证明及</w:t>
            </w:r>
            <w:r>
              <w:rPr>
                <w:rFonts w:hint="eastAsia" w:ascii="宋体" w:hAnsi="宋体" w:eastAsia="宋体" w:cs="宋体"/>
                <w:b/>
                <w:bCs/>
                <w:sz w:val="24"/>
                <w:szCs w:val="24"/>
                <w:highlight w:val="none"/>
                <w:lang w:val="en-US" w:eastAsia="zh-CN"/>
              </w:rPr>
              <w:t>相关</w:t>
            </w:r>
            <w:r>
              <w:rPr>
                <w:rFonts w:hint="eastAsia" w:ascii="宋体" w:hAnsi="宋体" w:eastAsia="宋体" w:cs="宋体"/>
                <w:b/>
                <w:bCs/>
                <w:sz w:val="24"/>
                <w:szCs w:val="24"/>
                <w:highlight w:val="none"/>
              </w:rPr>
              <w:t>证书</w:t>
            </w:r>
            <w:r>
              <w:rPr>
                <w:rFonts w:hint="eastAsia" w:ascii="宋体" w:hAnsi="宋体" w:eastAsia="宋体" w:cs="宋体"/>
                <w:b/>
                <w:bCs/>
                <w:sz w:val="24"/>
                <w:szCs w:val="24"/>
                <w:highlight w:val="none"/>
                <w:lang w:eastAsia="zh-CN"/>
              </w:rPr>
              <w:t>复印件并加盖公章</w:t>
            </w:r>
            <w:r>
              <w:rPr>
                <w:rFonts w:hint="eastAsia" w:ascii="宋体" w:hAnsi="宋体" w:eastAsia="宋体" w:cs="宋体"/>
                <w:b/>
                <w:bCs/>
                <w:sz w:val="24"/>
                <w:szCs w:val="24"/>
                <w:highlight w:val="none"/>
              </w:rPr>
              <w:t>，否则不得分）</w:t>
            </w:r>
            <w:r>
              <w:rPr>
                <w:rFonts w:hint="eastAsia" w:ascii="宋体" w:hAnsi="宋体" w:eastAsia="宋体" w:cs="宋体"/>
                <w:sz w:val="24"/>
                <w:szCs w:val="24"/>
                <w:highlight w:val="none"/>
              </w:rPr>
              <w:t>②保安人员岗位不得少于</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且</w:t>
            </w:r>
            <w:r>
              <w:rPr>
                <w:rFonts w:hint="eastAsia" w:ascii="宋体" w:hAnsi="宋体" w:eastAsia="宋体" w:cs="宋体"/>
                <w:sz w:val="24"/>
                <w:szCs w:val="24"/>
                <w:highlight w:val="none"/>
              </w:rPr>
              <w:t>人员年龄至少</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人不超过6</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周岁</w:t>
            </w:r>
            <w:r>
              <w:rPr>
                <w:rFonts w:hint="eastAsia" w:ascii="宋体" w:hAnsi="宋体" w:eastAsia="宋体" w:cs="宋体"/>
                <w:sz w:val="24"/>
                <w:szCs w:val="24"/>
                <w:highlight w:val="none"/>
                <w:lang w:val="en-US" w:eastAsia="zh-CN"/>
              </w:rPr>
              <w:t>的得3分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lang w:val="en-US" w:eastAsia="zh-CN"/>
              </w:rPr>
              <w:t>需提供承诺函格式自拟并加盖公章，否则不得分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③保洁人员岗位不得少于</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val="en-US" w:eastAsia="zh-CN"/>
              </w:rPr>
              <w:t>的得3分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lang w:val="en-US" w:eastAsia="zh-CN"/>
              </w:rPr>
              <w:t>需提供承诺函格式自拟并加盖公章，否则不得分</w:t>
            </w:r>
            <w:r>
              <w:rPr>
                <w:rFonts w:hint="eastAsia" w:ascii="宋体" w:hAnsi="宋体" w:eastAsia="宋体" w:cs="宋体"/>
                <w:sz w:val="24"/>
                <w:szCs w:val="24"/>
                <w:highlight w:val="none"/>
                <w:lang w:eastAsia="zh-CN"/>
              </w:rPr>
              <w:t>）</w:t>
            </w:r>
          </w:p>
        </w:tc>
        <w:tc>
          <w:tcPr>
            <w:tcW w:w="870" w:type="dxa"/>
            <w:shd w:val="clear" w:color="auto" w:fill="auto"/>
            <w:vAlign w:val="center"/>
          </w:tcPr>
          <w:p w14:paraId="28BCE189">
            <w:pPr>
              <w:keepNext w:val="0"/>
              <w:keepLines w:val="0"/>
              <w:pageBreakBefore w:val="0"/>
              <w:widowControl w:val="0"/>
              <w:kinsoku/>
              <w:wordWrap/>
              <w:overflowPunct/>
              <w:topLinePunct w:val="0"/>
              <w:bidi w:val="0"/>
              <w:adjustRightInd w:val="0"/>
              <w:spacing w:line="400" w:lineRule="exact"/>
              <w:ind w:left="0" w:lef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9</w:t>
            </w:r>
          </w:p>
        </w:tc>
        <w:tc>
          <w:tcPr>
            <w:tcW w:w="1125" w:type="dxa"/>
            <w:shd w:val="clear" w:color="auto" w:fill="auto"/>
            <w:vAlign w:val="center"/>
          </w:tcPr>
          <w:p w14:paraId="2E58B081">
            <w:pPr>
              <w:keepNext w:val="0"/>
              <w:keepLines w:val="0"/>
              <w:pageBreakBefore w:val="0"/>
              <w:widowControl w:val="0"/>
              <w:kinsoku/>
              <w:wordWrap/>
              <w:overflowPunct/>
              <w:topLinePunct w:val="0"/>
              <w:bidi w:val="0"/>
              <w:adjustRightInd w:val="0"/>
              <w:spacing w:line="400" w:lineRule="exact"/>
              <w:ind w:left="0" w:lef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客观分</w:t>
            </w:r>
          </w:p>
        </w:tc>
        <w:tc>
          <w:tcPr>
            <w:tcW w:w="1935" w:type="dxa"/>
            <w:shd w:val="clear" w:color="auto" w:fill="auto"/>
            <w:vAlign w:val="center"/>
          </w:tcPr>
          <w:p w14:paraId="6F7B3DB8">
            <w:pPr>
              <w:keepNext w:val="0"/>
              <w:keepLines w:val="0"/>
              <w:pageBreakBefore w:val="0"/>
              <w:widowControl w:val="0"/>
              <w:kinsoku/>
              <w:wordWrap/>
              <w:overflowPunct/>
              <w:topLinePunct w:val="0"/>
              <w:bidi w:val="0"/>
              <w:adjustRightInd w:val="0"/>
              <w:snapToGrid w:val="0"/>
              <w:spacing w:line="400" w:lineRule="exact"/>
              <w:ind w:left="0" w:leftChars="0" w:firstLine="0" w:firstLineChars="0"/>
              <w:jc w:val="center"/>
              <w:textAlignment w:val="auto"/>
              <w:rPr>
                <w:rFonts w:hint="default" w:ascii="宋体" w:hAnsi="宋体" w:eastAsia="宋体" w:cs="宋体"/>
                <w:color w:val="auto"/>
                <w:kern w:val="2"/>
                <w:sz w:val="24"/>
                <w:szCs w:val="24"/>
                <w:lang w:val="en-US" w:eastAsia="zh-CN" w:bidi="ar-SA"/>
              </w:rPr>
            </w:pPr>
          </w:p>
        </w:tc>
      </w:tr>
      <w:tr w14:paraId="7959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trPr>
        <w:tc>
          <w:tcPr>
            <w:tcW w:w="619" w:type="dxa"/>
            <w:vAlign w:val="center"/>
          </w:tcPr>
          <w:p w14:paraId="6CB1BE4D">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w:t>
            </w:r>
          </w:p>
        </w:tc>
        <w:tc>
          <w:tcPr>
            <w:tcW w:w="4065" w:type="dxa"/>
          </w:tcPr>
          <w:p w14:paraId="2168C89C">
            <w:pPr>
              <w:spacing w:beforeLines="0" w:afterLines="0" w:line="400" w:lineRule="atLeas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投标单位针对本项目需配备下列设备：</w:t>
            </w:r>
          </w:p>
          <w:p w14:paraId="41F8B922">
            <w:pPr>
              <w:spacing w:beforeLines="0" w:afterLines="0" w:line="400" w:lineRule="atLeas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1、自备电动环卫保洁车每辆得3分，最高得6分；</w:t>
            </w:r>
          </w:p>
          <w:p w14:paraId="7E385193">
            <w:pPr>
              <w:spacing w:beforeLines="0" w:afterLines="0" w:line="400" w:lineRule="atLeas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2、自备六桶及以上电动垃圾分类车，每辆得3分，最高得3分；</w:t>
            </w:r>
          </w:p>
          <w:p w14:paraId="16D7947F">
            <w:pPr>
              <w:spacing w:beforeLines="0" w:afterLines="0" w:line="400" w:lineRule="atLeas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注：A、投标文件提供上述设备购买发票及实物照片（清晰带正面、45 度斜侧面照片）；租赁的除提供以上资料外还需租赁合同复印件加盖公章，否则不得分。</w:t>
            </w:r>
          </w:p>
          <w:p w14:paraId="435EE32A">
            <w:pPr>
              <w:spacing w:beforeLines="0" w:afterLines="0" w:line="400" w:lineRule="atLeast"/>
              <w:rPr>
                <w:rFonts w:cs="仿宋_GB2312" w:asciiTheme="minorEastAsia" w:hAnsiTheme="minorEastAsia" w:eastAsiaTheme="minorEastAsia"/>
                <w:color w:val="auto"/>
                <w:sz w:val="24"/>
                <w:highlight w:val="none"/>
              </w:rPr>
            </w:pPr>
            <w:r>
              <w:rPr>
                <w:rFonts w:hint="eastAsia" w:ascii="宋体" w:hAnsi="宋体" w:eastAsia="宋体" w:cs="宋体"/>
                <w:b/>
                <w:bCs/>
                <w:kern w:val="2"/>
                <w:sz w:val="24"/>
                <w:szCs w:val="24"/>
                <w:highlight w:val="none"/>
                <w:lang w:val="en-US" w:eastAsia="zh-CN" w:bidi="ar-SA"/>
              </w:rPr>
              <w:t>B、上述缺一不可，否则不得分；本项最高得</w:t>
            </w:r>
            <w:r>
              <w:rPr>
                <w:rFonts w:hint="eastAsia" w:ascii="宋体" w:hAnsi="宋体" w:cs="宋体"/>
                <w:b/>
                <w:bCs/>
                <w:kern w:val="2"/>
                <w:sz w:val="24"/>
                <w:szCs w:val="24"/>
                <w:highlight w:val="none"/>
                <w:lang w:val="en-US" w:eastAsia="zh-CN" w:bidi="ar-SA"/>
              </w:rPr>
              <w:t>9</w:t>
            </w:r>
            <w:r>
              <w:rPr>
                <w:rFonts w:hint="eastAsia" w:ascii="宋体" w:hAnsi="宋体" w:eastAsia="宋体" w:cs="宋体"/>
                <w:b/>
                <w:bCs/>
                <w:kern w:val="2"/>
                <w:sz w:val="24"/>
                <w:szCs w:val="24"/>
                <w:highlight w:val="none"/>
                <w:lang w:val="en-US" w:eastAsia="zh-CN" w:bidi="ar-SA"/>
              </w:rPr>
              <w:t>分。</w:t>
            </w:r>
          </w:p>
        </w:tc>
        <w:tc>
          <w:tcPr>
            <w:tcW w:w="870" w:type="dxa"/>
            <w:vAlign w:val="center"/>
          </w:tcPr>
          <w:p w14:paraId="506A8858">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1125" w:type="dxa"/>
            <w:vAlign w:val="center"/>
          </w:tcPr>
          <w:p w14:paraId="48D7630D">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color w:val="auto"/>
                <w:kern w:val="2"/>
                <w:sz w:val="24"/>
                <w:szCs w:val="24"/>
                <w:lang w:val="en-US" w:eastAsia="zh-CN" w:bidi="ar-SA"/>
              </w:rPr>
              <w:t>客观分</w:t>
            </w:r>
          </w:p>
        </w:tc>
        <w:tc>
          <w:tcPr>
            <w:tcW w:w="1935" w:type="dxa"/>
          </w:tcPr>
          <w:p w14:paraId="658D6009">
            <w:pPr>
              <w:snapToGrid w:val="0"/>
              <w:spacing w:line="360" w:lineRule="auto"/>
              <w:jc w:val="center"/>
              <w:rPr>
                <w:rFonts w:cs="仿宋_GB2312" w:asciiTheme="minorEastAsia" w:hAnsiTheme="minorEastAsia" w:eastAsiaTheme="minorEastAsia"/>
                <w:color w:val="auto"/>
                <w:sz w:val="24"/>
                <w:highlight w:val="none"/>
              </w:rPr>
            </w:pPr>
          </w:p>
        </w:tc>
      </w:tr>
      <w:tr w14:paraId="068C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75F3F9E7">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w:t>
            </w:r>
          </w:p>
        </w:tc>
        <w:tc>
          <w:tcPr>
            <w:tcW w:w="4065" w:type="dxa"/>
            <w:shd w:val="clear" w:color="auto" w:fill="auto"/>
            <w:vAlign w:val="top"/>
          </w:tcPr>
          <w:p w14:paraId="7045EB69">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投标人自</w:t>
            </w:r>
            <w:r>
              <w:rPr>
                <w:rFonts w:hint="eastAsia" w:ascii="宋体" w:hAnsi="宋体" w:cs="宋体"/>
                <w:color w:val="000000"/>
                <w:sz w:val="24"/>
                <w:highlight w:val="none"/>
                <w:lang w:eastAsia="zh-CN"/>
              </w:rPr>
              <w:t>202</w:t>
            </w: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年1月1日</w:t>
            </w:r>
            <w:r>
              <w:rPr>
                <w:rFonts w:hint="eastAsia" w:ascii="宋体" w:hAnsi="宋体" w:eastAsia="宋体" w:cs="宋体"/>
                <w:color w:val="000000"/>
                <w:sz w:val="24"/>
                <w:highlight w:val="none"/>
                <w:lang w:eastAsia="zh-CN"/>
              </w:rPr>
              <w:t>（含）</w:t>
            </w:r>
            <w:r>
              <w:rPr>
                <w:rFonts w:hint="eastAsia" w:ascii="宋体" w:hAnsi="宋体" w:eastAsia="宋体" w:cs="宋体"/>
                <w:color w:val="000000"/>
                <w:sz w:val="24"/>
                <w:highlight w:val="none"/>
              </w:rPr>
              <w:t>至今（以合同签订时间为准）</w:t>
            </w:r>
            <w:r>
              <w:rPr>
                <w:rFonts w:hint="eastAsia" w:ascii="宋体" w:hAnsi="宋体" w:eastAsia="宋体" w:cs="宋体"/>
                <w:color w:val="000000"/>
                <w:sz w:val="24"/>
                <w:highlight w:val="none"/>
                <w:lang w:eastAsia="zh-CN"/>
              </w:rPr>
              <w:t>承接过类似项目的</w:t>
            </w:r>
            <w:r>
              <w:rPr>
                <w:rFonts w:hint="eastAsia" w:ascii="宋体" w:hAnsi="宋体" w:eastAsia="宋体" w:cs="宋体"/>
                <w:color w:val="000000"/>
                <w:sz w:val="24"/>
                <w:highlight w:val="none"/>
              </w:rPr>
              <w:t>，每提供一个合同得</w:t>
            </w:r>
            <w:r>
              <w:rPr>
                <w:rFonts w:hint="eastAsia" w:ascii="宋体" w:hAnsi="宋体" w:eastAsia="宋体" w:cs="宋体"/>
                <w:color w:val="000000"/>
                <w:sz w:val="24"/>
                <w:highlight w:val="none"/>
                <w:lang w:val="en-US" w:eastAsia="zh-CN"/>
              </w:rPr>
              <w:t>0.5</w:t>
            </w:r>
            <w:r>
              <w:rPr>
                <w:rFonts w:hint="eastAsia" w:ascii="宋体" w:hAnsi="宋体" w:eastAsia="宋体" w:cs="宋体"/>
                <w:color w:val="000000"/>
                <w:sz w:val="24"/>
                <w:highlight w:val="none"/>
              </w:rPr>
              <w:t>分，最高得</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分。</w:t>
            </w:r>
          </w:p>
          <w:p w14:paraId="165BB38F">
            <w:pPr>
              <w:spacing w:line="360" w:lineRule="auto"/>
              <w:jc w:val="left"/>
              <w:rPr>
                <w:rFonts w:hint="eastAsia" w:ascii="宋体" w:hAnsi="宋体" w:eastAsia="宋体" w:cs="宋体"/>
                <w:bCs/>
                <w:kern w:val="2"/>
                <w:sz w:val="24"/>
                <w:szCs w:val="24"/>
                <w:lang w:val="en-US" w:eastAsia="zh-CN" w:bidi="ar-SA"/>
              </w:rPr>
            </w:pPr>
            <w:r>
              <w:rPr>
                <w:rFonts w:hint="eastAsia" w:ascii="宋体" w:hAnsi="宋体" w:eastAsia="宋体" w:cs="宋体"/>
                <w:b/>
                <w:bCs/>
                <w:color w:val="000000"/>
                <w:sz w:val="24"/>
                <w:highlight w:val="none"/>
                <w:lang w:val="en-US" w:eastAsia="zh-CN"/>
              </w:rPr>
              <w:t>注：</w:t>
            </w:r>
            <w:r>
              <w:rPr>
                <w:rFonts w:hint="eastAsia" w:ascii="宋体" w:hAnsi="宋体" w:eastAsia="宋体" w:cs="宋体"/>
                <w:b/>
                <w:bCs/>
                <w:color w:val="000000"/>
                <w:sz w:val="24"/>
                <w:highlight w:val="none"/>
              </w:rPr>
              <w:t>投标文件中提供</w:t>
            </w:r>
            <w:r>
              <w:rPr>
                <w:rFonts w:hint="eastAsia" w:ascii="宋体" w:hAnsi="宋体" w:eastAsia="宋体" w:cs="宋体"/>
                <w:b/>
                <w:bCs/>
                <w:color w:val="000000"/>
                <w:sz w:val="24"/>
                <w:szCs w:val="24"/>
                <w:highlight w:val="none"/>
              </w:rPr>
              <w:t>合同复印件或扫描打印件并加盖投标人公章</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highlight w:val="none"/>
              </w:rPr>
              <w:t>否则不</w:t>
            </w:r>
            <w:r>
              <w:rPr>
                <w:rFonts w:hint="eastAsia" w:ascii="宋体" w:hAnsi="宋体" w:eastAsia="宋体" w:cs="宋体"/>
                <w:b/>
                <w:bCs/>
                <w:color w:val="000000"/>
                <w:sz w:val="24"/>
                <w:highlight w:val="none"/>
                <w:lang w:eastAsia="zh-CN"/>
              </w:rPr>
              <w:t>得分。</w:t>
            </w:r>
          </w:p>
        </w:tc>
        <w:tc>
          <w:tcPr>
            <w:tcW w:w="870" w:type="dxa"/>
            <w:shd w:val="clear" w:color="auto" w:fill="auto"/>
            <w:vAlign w:val="center"/>
          </w:tcPr>
          <w:p w14:paraId="34B30DC1">
            <w:pPr>
              <w:snapToGrid w:val="0"/>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w:t>
            </w:r>
          </w:p>
        </w:tc>
        <w:tc>
          <w:tcPr>
            <w:tcW w:w="1125" w:type="dxa"/>
            <w:shd w:val="clear" w:color="auto" w:fill="auto"/>
            <w:vAlign w:val="center"/>
          </w:tcPr>
          <w:p w14:paraId="364C0664">
            <w:pPr>
              <w:snapToGrid w:val="0"/>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客观分</w:t>
            </w:r>
          </w:p>
        </w:tc>
        <w:tc>
          <w:tcPr>
            <w:tcW w:w="1935" w:type="dxa"/>
            <w:shd w:val="clear" w:color="auto" w:fill="auto"/>
            <w:vAlign w:val="center"/>
          </w:tcPr>
          <w:p w14:paraId="7BC57FE6">
            <w:pPr>
              <w:snapToGrid w:val="0"/>
              <w:spacing w:line="360" w:lineRule="auto"/>
              <w:jc w:val="center"/>
              <w:rPr>
                <w:rFonts w:hint="eastAsia" w:ascii="宋体" w:hAnsi="宋体" w:eastAsia="宋体" w:cs="宋体"/>
                <w:b w:val="0"/>
                <w:bCs w:val="0"/>
                <w:kern w:val="2"/>
                <w:sz w:val="24"/>
                <w:szCs w:val="24"/>
                <w:lang w:val="en-US" w:eastAsia="zh-CN" w:bidi="ar-SA"/>
              </w:rPr>
            </w:pPr>
          </w:p>
        </w:tc>
      </w:tr>
      <w:tr w14:paraId="677C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7DDEFE60">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w:t>
            </w:r>
          </w:p>
        </w:tc>
        <w:tc>
          <w:tcPr>
            <w:tcW w:w="4065" w:type="dxa"/>
            <w:shd w:val="clear" w:color="auto" w:fill="auto"/>
            <w:vAlign w:val="top"/>
          </w:tcPr>
          <w:p w14:paraId="6E4379E8">
            <w:pPr>
              <w:snapToGrid w:val="0"/>
              <w:spacing w:line="360" w:lineRule="auto"/>
              <w:rPr>
                <w:rFonts w:hint="eastAsia" w:ascii="宋体" w:hAnsi="宋体" w:eastAsia="宋体" w:cs="宋体"/>
                <w:color w:val="000000"/>
                <w:highlight w:val="none"/>
              </w:rPr>
            </w:pPr>
            <w:r>
              <w:rPr>
                <w:rFonts w:hint="eastAsia" w:ascii="宋体" w:hAnsi="宋体" w:eastAsia="宋体" w:cs="宋体"/>
                <w:color w:val="000000"/>
                <w:sz w:val="24"/>
                <w:highlight w:val="none"/>
                <w:lang w:val="en-US" w:eastAsia="zh-CN"/>
              </w:rPr>
              <w:t>投标人通过质量管理体系认证证书、环境管理体系认证证书、职业健康安全管理体系认证证书</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每</w:t>
            </w:r>
            <w:r>
              <w:rPr>
                <w:rFonts w:hint="eastAsia" w:ascii="宋体" w:hAnsi="宋体" w:eastAsia="宋体" w:cs="宋体"/>
                <w:color w:val="000000"/>
                <w:sz w:val="24"/>
                <w:highlight w:val="none"/>
              </w:rPr>
              <w:t>提供一个得</w:t>
            </w: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rPr>
              <w:t>分，本项最高得</w:t>
            </w:r>
            <w:r>
              <w:rPr>
                <w:rFonts w:hint="eastAsia" w:ascii="宋体" w:hAnsi="宋体" w:cs="宋体"/>
                <w:color w:val="000000"/>
                <w:sz w:val="24"/>
                <w:highlight w:val="none"/>
                <w:lang w:val="en-US" w:eastAsia="zh-CN"/>
              </w:rPr>
              <w:t>6</w:t>
            </w:r>
            <w:r>
              <w:rPr>
                <w:rFonts w:hint="eastAsia" w:ascii="宋体" w:hAnsi="宋体" w:eastAsia="宋体" w:cs="宋体"/>
                <w:color w:val="000000"/>
                <w:sz w:val="24"/>
                <w:highlight w:val="none"/>
              </w:rPr>
              <w:t>分。）</w:t>
            </w:r>
          </w:p>
          <w:p w14:paraId="08D3569F">
            <w:pPr>
              <w:spacing w:line="360" w:lineRule="auto"/>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color w:val="000000"/>
                <w:sz w:val="24"/>
                <w:highlight w:val="none"/>
              </w:rPr>
              <w:t xml:space="preserve"> </w:t>
            </w:r>
            <w:r>
              <w:rPr>
                <w:rFonts w:hint="eastAsia" w:ascii="宋体" w:hAnsi="宋体" w:eastAsia="宋体" w:cs="宋体"/>
                <w:b/>
                <w:bCs/>
                <w:color w:val="000000"/>
                <w:sz w:val="24"/>
                <w:highlight w:val="none"/>
              </w:rPr>
              <w:t>注：投标文件中须提</w:t>
            </w:r>
            <w:r>
              <w:rPr>
                <w:rFonts w:hint="eastAsia" w:ascii="宋体" w:hAnsi="宋体" w:eastAsia="宋体" w:cs="宋体"/>
                <w:b/>
                <w:bCs/>
                <w:color w:val="000000"/>
                <w:sz w:val="24"/>
                <w:highlight w:val="none"/>
                <w:lang w:eastAsia="zh-CN"/>
              </w:rPr>
              <w:t>有效期内的</w:t>
            </w:r>
            <w:r>
              <w:rPr>
                <w:rFonts w:hint="eastAsia" w:ascii="宋体" w:hAnsi="宋体" w:eastAsia="宋体" w:cs="宋体"/>
                <w:b/>
                <w:bCs/>
                <w:color w:val="000000"/>
                <w:sz w:val="24"/>
                <w:highlight w:val="none"/>
              </w:rPr>
              <w:t>证书复印件或扫描件</w:t>
            </w:r>
            <w:r>
              <w:rPr>
                <w:rFonts w:hint="eastAsia" w:ascii="宋体" w:hAnsi="宋体" w:eastAsia="宋体" w:cs="宋体"/>
                <w:b/>
                <w:bCs/>
                <w:color w:val="000000"/>
                <w:sz w:val="24"/>
                <w:highlight w:val="none"/>
                <w:lang w:eastAsia="zh-CN"/>
              </w:rPr>
              <w:t>及</w:t>
            </w:r>
            <w:r>
              <w:rPr>
                <w:rFonts w:hint="eastAsia" w:ascii="宋体" w:hAnsi="宋体" w:eastAsia="宋体" w:cs="宋体"/>
                <w:b/>
                <w:bCs/>
                <w:color w:val="000000"/>
                <w:sz w:val="24"/>
                <w:highlight w:val="none"/>
              </w:rPr>
              <w:t>全国认证认可信息公共服务平台</w:t>
            </w:r>
            <w:r>
              <w:rPr>
                <w:rFonts w:hint="eastAsia" w:ascii="宋体" w:hAnsi="宋体" w:eastAsia="宋体" w:cs="宋体"/>
                <w:b/>
                <w:bCs/>
                <w:color w:val="000000"/>
                <w:sz w:val="24"/>
                <w:highlight w:val="none"/>
                <w:lang w:eastAsia="zh-CN"/>
              </w:rPr>
              <w:t>网站</w:t>
            </w:r>
            <w:r>
              <w:rPr>
                <w:rFonts w:hint="eastAsia" w:ascii="宋体" w:hAnsi="宋体" w:eastAsia="宋体" w:cs="宋体"/>
                <w:b/>
                <w:bCs/>
                <w:snapToGrid/>
                <w:color w:val="000000"/>
                <w:kern w:val="2"/>
                <w:sz w:val="24"/>
                <w:szCs w:val="24"/>
                <w:highlight w:val="none"/>
              </w:rPr>
              <w:fldChar w:fldCharType="begin"/>
            </w:r>
            <w:r>
              <w:rPr>
                <w:rFonts w:hint="eastAsia" w:ascii="宋体" w:hAnsi="宋体" w:eastAsia="宋体" w:cs="宋体"/>
                <w:b/>
                <w:bCs/>
                <w:snapToGrid/>
                <w:color w:val="000000"/>
                <w:kern w:val="2"/>
                <w:sz w:val="24"/>
                <w:szCs w:val="24"/>
                <w:highlight w:val="none"/>
              </w:rPr>
              <w:instrText xml:space="preserve"> HYPERLINK "http://www.cnca" </w:instrText>
            </w:r>
            <w:r>
              <w:rPr>
                <w:rFonts w:hint="eastAsia" w:ascii="宋体" w:hAnsi="宋体" w:eastAsia="宋体" w:cs="宋体"/>
                <w:b/>
                <w:bCs/>
                <w:snapToGrid/>
                <w:color w:val="000000"/>
                <w:kern w:val="2"/>
                <w:sz w:val="24"/>
                <w:szCs w:val="24"/>
                <w:highlight w:val="none"/>
              </w:rPr>
              <w:fldChar w:fldCharType="separate"/>
            </w:r>
            <w:r>
              <w:rPr>
                <w:rStyle w:val="69"/>
                <w:rFonts w:hint="eastAsia" w:ascii="宋体" w:hAnsi="宋体" w:eastAsia="宋体" w:cs="宋体"/>
                <w:b/>
                <w:bCs/>
                <w:snapToGrid/>
                <w:kern w:val="2"/>
                <w:sz w:val="24"/>
                <w:szCs w:val="24"/>
                <w:highlight w:val="none"/>
              </w:rPr>
              <w:t>http://www.cnca</w:t>
            </w:r>
            <w:r>
              <w:rPr>
                <w:rFonts w:hint="eastAsia" w:ascii="宋体" w:hAnsi="宋体" w:eastAsia="宋体" w:cs="宋体"/>
                <w:b/>
                <w:bCs/>
                <w:snapToGrid/>
                <w:color w:val="000000"/>
                <w:kern w:val="2"/>
                <w:sz w:val="24"/>
                <w:szCs w:val="24"/>
                <w:highlight w:val="none"/>
              </w:rPr>
              <w:fldChar w:fldCharType="end"/>
            </w:r>
            <w:r>
              <w:rPr>
                <w:rFonts w:hint="eastAsia" w:ascii="宋体" w:hAnsi="宋体" w:eastAsia="宋体" w:cs="宋体"/>
                <w:b/>
                <w:bCs/>
                <w:snapToGrid/>
                <w:color w:val="000000"/>
                <w:kern w:val="2"/>
                <w:sz w:val="24"/>
                <w:szCs w:val="24"/>
                <w:highlight w:val="none"/>
                <w:lang w:val="en-US" w:eastAsia="zh-CN"/>
              </w:rPr>
              <w:t xml:space="preserve"> </w:t>
            </w:r>
            <w:r>
              <w:rPr>
                <w:rFonts w:hint="eastAsia" w:ascii="宋体" w:hAnsi="宋体" w:eastAsia="宋体" w:cs="宋体"/>
                <w:b/>
                <w:bCs/>
                <w:snapToGrid/>
                <w:color w:val="000000"/>
                <w:kern w:val="2"/>
                <w:sz w:val="24"/>
                <w:szCs w:val="24"/>
                <w:highlight w:val="none"/>
              </w:rPr>
              <w:t>.gov.cn/</w:t>
            </w:r>
            <w:r>
              <w:rPr>
                <w:rFonts w:hint="eastAsia" w:ascii="宋体" w:hAnsi="宋体" w:eastAsia="宋体" w:cs="宋体"/>
                <w:b/>
                <w:bCs/>
                <w:color w:val="000000"/>
                <w:sz w:val="24"/>
                <w:highlight w:val="none"/>
              </w:rPr>
              <w:t>证书信息查询截图</w:t>
            </w:r>
            <w:r>
              <w:rPr>
                <w:rFonts w:hint="eastAsia" w:ascii="宋体" w:hAnsi="宋体" w:eastAsia="宋体" w:cs="宋体"/>
                <w:b/>
                <w:bCs/>
                <w:color w:val="000000"/>
                <w:sz w:val="24"/>
                <w:highlight w:val="none"/>
                <w:lang w:eastAsia="zh-CN"/>
              </w:rPr>
              <w:t>打印件并加盖投标人公章</w:t>
            </w:r>
            <w:r>
              <w:rPr>
                <w:rFonts w:hint="eastAsia" w:ascii="宋体" w:hAnsi="宋体" w:eastAsia="宋体" w:cs="宋体"/>
                <w:b/>
                <w:bCs/>
                <w:color w:val="000000"/>
                <w:sz w:val="24"/>
                <w:highlight w:val="none"/>
              </w:rPr>
              <w:t>,否则不得分。</w:t>
            </w:r>
          </w:p>
        </w:tc>
        <w:tc>
          <w:tcPr>
            <w:tcW w:w="870" w:type="dxa"/>
            <w:shd w:val="clear" w:color="auto" w:fill="auto"/>
            <w:vAlign w:val="center"/>
          </w:tcPr>
          <w:p w14:paraId="12E35829">
            <w:pPr>
              <w:snapToGrid w:val="0"/>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cs="宋体"/>
                <w:b w:val="0"/>
                <w:bCs w:val="0"/>
                <w:sz w:val="24"/>
                <w:szCs w:val="24"/>
                <w:lang w:val="en-US" w:eastAsia="zh-CN"/>
              </w:rPr>
              <w:t>6</w:t>
            </w:r>
          </w:p>
        </w:tc>
        <w:tc>
          <w:tcPr>
            <w:tcW w:w="1125" w:type="dxa"/>
            <w:shd w:val="clear" w:color="auto" w:fill="auto"/>
            <w:vAlign w:val="center"/>
          </w:tcPr>
          <w:p w14:paraId="71386C9A">
            <w:pPr>
              <w:snapToGrid w:val="0"/>
              <w:spacing w:line="36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客观分</w:t>
            </w:r>
          </w:p>
        </w:tc>
        <w:tc>
          <w:tcPr>
            <w:tcW w:w="1935" w:type="dxa"/>
            <w:shd w:val="clear" w:color="auto" w:fill="auto"/>
            <w:vAlign w:val="center"/>
          </w:tcPr>
          <w:p w14:paraId="5041E234">
            <w:pPr>
              <w:keepNext w:val="0"/>
              <w:pageBreakBefore w:val="0"/>
              <w:kinsoku/>
              <w:wordWrap/>
              <w:overflowPunct/>
              <w:topLinePunct w:val="0"/>
              <w:bidi w:val="0"/>
              <w:spacing w:line="360" w:lineRule="auto"/>
              <w:ind w:firstLine="0" w:firstLineChars="0"/>
              <w:textAlignment w:val="auto"/>
              <w:rPr>
                <w:rFonts w:hint="eastAsia" w:ascii="宋体" w:hAnsi="宋体" w:eastAsia="宋体" w:cs="宋体"/>
                <w:b w:val="0"/>
                <w:bCs w:val="0"/>
                <w:kern w:val="2"/>
                <w:sz w:val="24"/>
                <w:szCs w:val="24"/>
                <w:lang w:val="en-US" w:eastAsia="zh-CN" w:bidi="ar-SA"/>
              </w:rPr>
            </w:pP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14:paraId="614DF20B">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w:t>
            </w:r>
          </w:p>
        </w:tc>
        <w:tc>
          <w:tcPr>
            <w:tcW w:w="4065" w:type="dxa"/>
          </w:tcPr>
          <w:p w14:paraId="2C5BA208">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4ADC17FE">
            <w:pPr>
              <w:widowControl/>
              <w:shd w:val="clear" w:color="auto" w:fill="FFFFFF"/>
              <w:adjustRightInd/>
              <w:spacing w:after="225" w:line="315" w:lineRule="atLeast"/>
              <w:ind w:firstLine="420"/>
              <w:jc w:val="left"/>
              <w:rPr>
                <w:rFonts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tc>
        <w:tc>
          <w:tcPr>
            <w:tcW w:w="870" w:type="dxa"/>
            <w:vAlign w:val="center"/>
          </w:tcPr>
          <w:p w14:paraId="695BA13C">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125" w:type="dxa"/>
            <w:vAlign w:val="center"/>
          </w:tcPr>
          <w:p w14:paraId="7D0AD58D">
            <w:pPr>
              <w:spacing w:line="360" w:lineRule="auto"/>
              <w:jc w:val="center"/>
              <w:outlineLvl w:val="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报价分</w:t>
            </w:r>
          </w:p>
        </w:tc>
        <w:tc>
          <w:tcPr>
            <w:tcW w:w="1935" w:type="dxa"/>
            <w:vAlign w:val="center"/>
          </w:tcPr>
          <w:p w14:paraId="52B5A744">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3DF8A823">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1人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4"/>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2"/>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5" w:name="_Toc28855"/>
      <w:bookmarkStart w:id="396" w:name="_Toc15367"/>
      <w:bookmarkStart w:id="397" w:name="_Toc20421"/>
      <w:bookmarkStart w:id="398" w:name="_Toc22967"/>
      <w:bookmarkStart w:id="399"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0" w:name="_Toc2918"/>
      <w:bookmarkStart w:id="401" w:name="_Toc6773"/>
      <w:bookmarkStart w:id="402" w:name="_Toc22185"/>
      <w:bookmarkStart w:id="403" w:name="_Toc6311"/>
      <w:bookmarkStart w:id="404"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5" w:name="_Toc4929"/>
      <w:bookmarkStart w:id="406" w:name="_Toc13918"/>
      <w:bookmarkStart w:id="407" w:name="_Toc21124"/>
      <w:bookmarkStart w:id="408" w:name="_Toc5635"/>
      <w:bookmarkStart w:id="409"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0" w:name="_Toc26916"/>
      <w:bookmarkStart w:id="411" w:name="_Toc14993"/>
      <w:bookmarkStart w:id="412" w:name="_Toc3654"/>
      <w:bookmarkStart w:id="413" w:name="_Toc30158"/>
      <w:bookmarkStart w:id="414"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F5CCC91">
      <w:pPr>
        <w:pStyle w:val="960"/>
        <w:spacing w:before="0" w:beforeAutospacing="0" w:after="0" w:afterAutospacing="0" w:line="360" w:lineRule="auto"/>
        <w:ind w:firstLine="480"/>
        <w:rPr>
          <w:b/>
          <w:color w:val="auto"/>
          <w:highlight w:val="none"/>
        </w:rPr>
      </w:pPr>
      <w:bookmarkStart w:id="415" w:name="_Toc10340"/>
      <w:bookmarkStart w:id="416" w:name="_Toc22618"/>
      <w:bookmarkStart w:id="417" w:name="_Toc1814"/>
      <w:bookmarkStart w:id="418" w:name="_Toc8772"/>
      <w:bookmarkStart w:id="419" w:name="_Toc11108"/>
      <w:bookmarkStart w:id="420" w:name="_Toc3625"/>
      <w:bookmarkStart w:id="421" w:name="_Toc31421"/>
      <w:bookmarkStart w:id="422" w:name="_Toc4760"/>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3" w:name="_Toc24662"/>
      <w:bookmarkStart w:id="424" w:name="_Toc8586"/>
      <w:bookmarkStart w:id="425" w:name="_Toc5698"/>
      <w:bookmarkStart w:id="426" w:name="_Toc2375"/>
      <w:bookmarkStart w:id="427"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8" w:name="_Toc30329"/>
      <w:bookmarkStart w:id="429" w:name="_Toc18683"/>
      <w:bookmarkStart w:id="430" w:name="_Toc9497"/>
      <w:bookmarkStart w:id="431" w:name="_Toc32454"/>
      <w:bookmarkStart w:id="432"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A3040A7">
      <w:pPr>
        <w:spacing w:line="560" w:lineRule="exact"/>
        <w:ind w:firstLine="482" w:firstLineChars="200"/>
        <w:outlineLvl w:val="0"/>
        <w:rPr>
          <w:rFonts w:ascii="宋体" w:hAnsi="宋体" w:cs="宋体"/>
          <w:b/>
          <w:color w:val="auto"/>
          <w:sz w:val="24"/>
          <w:highlight w:val="none"/>
        </w:rPr>
      </w:pPr>
      <w:bookmarkStart w:id="433" w:name="_Toc16021"/>
      <w:bookmarkStart w:id="434" w:name="_Toc28375"/>
      <w:bookmarkStart w:id="435" w:name="_Toc15583"/>
      <w:r>
        <w:rPr>
          <w:rFonts w:hint="eastAsia" w:ascii="宋体" w:hAnsi="宋体" w:cs="宋体"/>
          <w:b/>
          <w:color w:val="auto"/>
          <w:sz w:val="24"/>
          <w:highlight w:val="none"/>
        </w:rPr>
        <w:t>1.9合同争议的解决</w:t>
      </w:r>
      <w:bookmarkEnd w:id="433"/>
      <w:bookmarkEnd w:id="434"/>
      <w:bookmarkEnd w:id="435"/>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6" w:name="_Toc15322"/>
      <w:bookmarkStart w:id="437" w:name="_Toc11173"/>
      <w:bookmarkStart w:id="438" w:name="_Toc7245"/>
      <w:r>
        <w:rPr>
          <w:rFonts w:hint="eastAsia" w:ascii="宋体" w:hAnsi="宋体" w:cs="宋体"/>
          <w:b/>
          <w:color w:val="auto"/>
          <w:sz w:val="24"/>
          <w:highlight w:val="none"/>
        </w:rPr>
        <w:t>2.0 合同生效</w:t>
      </w:r>
      <w:bookmarkEnd w:id="436"/>
      <w:bookmarkEnd w:id="437"/>
      <w:bookmarkEnd w:id="438"/>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9" w:name="_Toc19680"/>
      <w:bookmarkStart w:id="440" w:name="_Toc14021"/>
      <w:bookmarkStart w:id="441" w:name="_Toc31297"/>
      <w:bookmarkStart w:id="442" w:name="_Toc25079"/>
      <w:bookmarkStart w:id="443" w:name="_Toc5228"/>
      <w:r>
        <w:rPr>
          <w:rFonts w:ascii="宋体" w:hAnsi="宋体"/>
          <w:b/>
          <w:color w:val="auto"/>
          <w:sz w:val="24"/>
          <w:highlight w:val="none"/>
        </w:rPr>
        <w:t>2.1 定义</w:t>
      </w:r>
      <w:bookmarkEnd w:id="439"/>
      <w:bookmarkEnd w:id="440"/>
      <w:bookmarkEnd w:id="441"/>
      <w:bookmarkEnd w:id="442"/>
      <w:bookmarkEnd w:id="443"/>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4" w:name="_Toc3769"/>
      <w:bookmarkStart w:id="445" w:name="_Toc16752"/>
      <w:bookmarkStart w:id="446" w:name="_Toc23289"/>
      <w:bookmarkStart w:id="447" w:name="_Toc31402"/>
      <w:bookmarkStart w:id="448" w:name="_Toc19539"/>
      <w:r>
        <w:rPr>
          <w:rFonts w:ascii="宋体" w:hAnsi="宋体"/>
          <w:b/>
          <w:color w:val="auto"/>
          <w:sz w:val="24"/>
          <w:highlight w:val="none"/>
        </w:rPr>
        <w:t>2.2 技术规范</w:t>
      </w:r>
      <w:bookmarkEnd w:id="444"/>
      <w:bookmarkEnd w:id="445"/>
      <w:bookmarkEnd w:id="446"/>
      <w:bookmarkEnd w:id="447"/>
      <w:bookmarkEnd w:id="448"/>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9" w:name="_Toc27945"/>
      <w:bookmarkStart w:id="450" w:name="_Toc13673"/>
      <w:bookmarkStart w:id="451" w:name="_Toc4133"/>
      <w:bookmarkStart w:id="452" w:name="_Toc12412"/>
      <w:bookmarkStart w:id="453" w:name="_Toc9161"/>
      <w:r>
        <w:rPr>
          <w:rFonts w:ascii="宋体" w:hAnsi="宋体"/>
          <w:b/>
          <w:color w:val="auto"/>
          <w:sz w:val="24"/>
          <w:highlight w:val="none"/>
        </w:rPr>
        <w:t>2.3 知识产权</w:t>
      </w:r>
      <w:bookmarkEnd w:id="449"/>
      <w:bookmarkEnd w:id="450"/>
      <w:bookmarkEnd w:id="451"/>
      <w:bookmarkEnd w:id="452"/>
      <w:bookmarkEnd w:id="453"/>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4" w:name="_Toc26555"/>
      <w:bookmarkStart w:id="455" w:name="_Toc31233"/>
      <w:bookmarkStart w:id="456" w:name="_Toc22011"/>
      <w:bookmarkStart w:id="457" w:name="_Toc32670"/>
      <w:bookmarkStart w:id="458" w:name="_Toc15447"/>
      <w:r>
        <w:rPr>
          <w:rFonts w:ascii="宋体" w:hAnsi="宋体"/>
          <w:b/>
          <w:color w:val="auto"/>
          <w:sz w:val="24"/>
          <w:highlight w:val="none"/>
        </w:rPr>
        <w:t>2.5 结算方式和付款条件</w:t>
      </w:r>
      <w:bookmarkEnd w:id="454"/>
      <w:bookmarkEnd w:id="455"/>
      <w:bookmarkEnd w:id="456"/>
      <w:bookmarkEnd w:id="457"/>
      <w:bookmarkEnd w:id="458"/>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9" w:name="_Toc30507"/>
      <w:bookmarkStart w:id="460" w:name="_Toc13467"/>
      <w:bookmarkStart w:id="461" w:name="_Toc18990"/>
      <w:bookmarkStart w:id="462" w:name="_Toc13154"/>
      <w:bookmarkStart w:id="463" w:name="_Toc16163"/>
      <w:r>
        <w:rPr>
          <w:rFonts w:ascii="宋体" w:hAnsi="宋体"/>
          <w:b/>
          <w:color w:val="auto"/>
          <w:sz w:val="24"/>
          <w:highlight w:val="none"/>
        </w:rPr>
        <w:t>2.6 技术资料和保密义务</w:t>
      </w:r>
      <w:bookmarkEnd w:id="459"/>
      <w:bookmarkEnd w:id="460"/>
      <w:bookmarkEnd w:id="461"/>
      <w:bookmarkEnd w:id="462"/>
      <w:bookmarkEnd w:id="463"/>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7" w:name="_Toc42"/>
      <w:bookmarkStart w:id="468" w:name="_Toc26689"/>
      <w:bookmarkStart w:id="469" w:name="_Toc23368"/>
      <w:bookmarkStart w:id="470" w:name="_Toc10663"/>
      <w:bookmarkStart w:id="471" w:name="_Toc21830"/>
      <w:r>
        <w:rPr>
          <w:rFonts w:ascii="宋体" w:hAnsi="宋体"/>
          <w:b/>
          <w:color w:val="auto"/>
          <w:sz w:val="24"/>
          <w:highlight w:val="none"/>
        </w:rPr>
        <w:t>2.10 合同转让和分包</w:t>
      </w:r>
      <w:bookmarkEnd w:id="467"/>
      <w:bookmarkEnd w:id="468"/>
      <w:bookmarkEnd w:id="469"/>
      <w:bookmarkEnd w:id="470"/>
      <w:bookmarkEnd w:id="471"/>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2" w:name="_Toc14371"/>
      <w:bookmarkStart w:id="473" w:name="_Toc26633"/>
      <w:bookmarkStart w:id="474" w:name="_Toc4720"/>
      <w:bookmarkStart w:id="475" w:name="_Toc32494"/>
      <w:bookmarkStart w:id="476" w:name="_Toc25571"/>
      <w:r>
        <w:rPr>
          <w:rFonts w:ascii="宋体" w:hAnsi="宋体"/>
          <w:b/>
          <w:color w:val="auto"/>
          <w:sz w:val="24"/>
          <w:highlight w:val="none"/>
        </w:rPr>
        <w:t>2.11 不可抗力</w:t>
      </w:r>
      <w:bookmarkEnd w:id="472"/>
      <w:bookmarkEnd w:id="473"/>
      <w:bookmarkEnd w:id="474"/>
      <w:bookmarkEnd w:id="475"/>
      <w:bookmarkEnd w:id="476"/>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7" w:name="_Toc25783"/>
      <w:bookmarkStart w:id="478" w:name="_Toc24465"/>
      <w:bookmarkStart w:id="479" w:name="_Toc23854"/>
      <w:bookmarkStart w:id="480" w:name="_Toc14115"/>
      <w:bookmarkStart w:id="481" w:name="_Toc3638"/>
      <w:r>
        <w:rPr>
          <w:rFonts w:ascii="宋体" w:hAnsi="宋体"/>
          <w:b/>
          <w:color w:val="auto"/>
          <w:sz w:val="24"/>
          <w:highlight w:val="none"/>
        </w:rPr>
        <w:t>2.12 税费</w:t>
      </w:r>
      <w:bookmarkEnd w:id="477"/>
      <w:bookmarkEnd w:id="478"/>
      <w:bookmarkEnd w:id="479"/>
      <w:bookmarkEnd w:id="480"/>
      <w:bookmarkEnd w:id="481"/>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2" w:name="_Toc26883"/>
      <w:bookmarkStart w:id="483" w:name="_Toc14814"/>
      <w:bookmarkStart w:id="484" w:name="_Toc25525"/>
      <w:bookmarkStart w:id="485" w:name="_Toc30105"/>
      <w:bookmarkStart w:id="486" w:name="_Toc7315"/>
      <w:r>
        <w:rPr>
          <w:rFonts w:ascii="宋体" w:hAnsi="宋体"/>
          <w:b/>
          <w:color w:val="auto"/>
          <w:sz w:val="24"/>
          <w:highlight w:val="none"/>
        </w:rPr>
        <w:t>2.13 乙方破产</w:t>
      </w:r>
      <w:bookmarkEnd w:id="482"/>
      <w:bookmarkEnd w:id="483"/>
      <w:bookmarkEnd w:id="484"/>
      <w:bookmarkEnd w:id="485"/>
      <w:bookmarkEnd w:id="486"/>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7" w:name="_Toc2016"/>
      <w:bookmarkStart w:id="488" w:name="_Toc1123"/>
      <w:bookmarkStart w:id="489" w:name="_Toc23323"/>
      <w:r>
        <w:rPr>
          <w:rFonts w:ascii="宋体" w:hAnsi="宋体"/>
          <w:b/>
          <w:color w:val="auto"/>
          <w:sz w:val="24"/>
          <w:highlight w:val="none"/>
        </w:rPr>
        <w:t>2.14 合同中止、终止</w:t>
      </w:r>
      <w:bookmarkEnd w:id="487"/>
      <w:bookmarkEnd w:id="488"/>
      <w:bookmarkEnd w:id="489"/>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0" w:name="_Toc1969"/>
      <w:bookmarkStart w:id="491" w:name="_Toc14525"/>
      <w:bookmarkStart w:id="492" w:name="_Toc17363"/>
      <w:r>
        <w:rPr>
          <w:rFonts w:ascii="宋体" w:hAnsi="宋体"/>
          <w:b/>
          <w:color w:val="auto"/>
          <w:sz w:val="24"/>
          <w:highlight w:val="none"/>
        </w:rPr>
        <w:t>2.15 检验和验收</w:t>
      </w:r>
      <w:bookmarkEnd w:id="490"/>
      <w:bookmarkEnd w:id="491"/>
      <w:bookmarkEnd w:id="492"/>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3" w:name="_Toc25198"/>
      <w:bookmarkStart w:id="494" w:name="_Toc12666"/>
      <w:bookmarkStart w:id="495" w:name="_Toc9808"/>
      <w:bookmarkStart w:id="496" w:name="_Toc31892"/>
      <w:bookmarkStart w:id="497" w:name="_Toc2308"/>
      <w:r>
        <w:rPr>
          <w:rFonts w:ascii="宋体" w:hAnsi="宋体"/>
          <w:b/>
          <w:color w:val="auto"/>
          <w:sz w:val="24"/>
          <w:highlight w:val="none"/>
        </w:rPr>
        <w:t>2.16 通知和送达</w:t>
      </w:r>
      <w:bookmarkEnd w:id="493"/>
      <w:bookmarkEnd w:id="494"/>
      <w:bookmarkEnd w:id="495"/>
      <w:bookmarkEnd w:id="496"/>
      <w:bookmarkEnd w:id="497"/>
    </w:p>
    <w:p w14:paraId="2D57AD58">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spacing w:line="560" w:lineRule="exact"/>
        <w:ind w:firstLine="482" w:firstLineChars="200"/>
        <w:outlineLvl w:val="0"/>
        <w:rPr>
          <w:rFonts w:ascii="宋体" w:hAnsi="宋体"/>
          <w:b/>
          <w:color w:val="auto"/>
          <w:sz w:val="24"/>
          <w:highlight w:val="none"/>
        </w:rPr>
      </w:pPr>
      <w:bookmarkStart w:id="500" w:name="_Toc27644"/>
      <w:bookmarkStart w:id="501" w:name="_Toc12254"/>
      <w:bookmarkStart w:id="502" w:name="_Toc28906"/>
      <w:bookmarkStart w:id="503" w:name="_Toc5063"/>
      <w:bookmarkStart w:id="504"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5" w:name="_Toc30599"/>
      <w:bookmarkStart w:id="506" w:name="_Toc18540"/>
      <w:bookmarkStart w:id="507" w:name="_Toc4355"/>
      <w:r>
        <w:rPr>
          <w:rFonts w:hint="eastAsia" w:ascii="宋体" w:hAnsi="宋体" w:cs="宋体"/>
          <w:b/>
          <w:color w:val="auto"/>
          <w:sz w:val="24"/>
          <w:highlight w:val="none"/>
        </w:rPr>
        <w:t>2.18 计量单位</w:t>
      </w:r>
      <w:bookmarkEnd w:id="505"/>
      <w:bookmarkEnd w:id="506"/>
      <w:bookmarkEnd w:id="507"/>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08EFFB3F">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6BBC6C38">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19BFCBE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350A167A">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60BE55A8">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3D5A23A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1FB7945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4249029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7871283D">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w:t>
      </w:r>
      <w:r>
        <w:rPr>
          <w:rFonts w:hint="eastAsia" w:ascii="宋体" w:hAnsi="宋体" w:cs="宋体"/>
          <w:color w:val="auto"/>
          <w:sz w:val="24"/>
          <w:highlight w:val="none"/>
          <w:lang w:eastAsia="zh-CN"/>
        </w:rPr>
        <w:t>202</w:t>
      </w:r>
      <w:r>
        <w:rPr>
          <w:rFonts w:hint="eastAsia" w:ascii="宋体" w:hAnsi="宋体" w:cs="宋体"/>
          <w:color w:val="auto"/>
          <w:sz w:val="24"/>
          <w:highlight w:val="none"/>
        </w:rPr>
        <w:t xml:space="preserve">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91899912"/>
    <w:bookmarkStart w:id="517" w:name="_Toc36110187"/>
    <w:bookmarkStart w:id="518" w:name="_Toc164085800"/>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lang w:val="en-US" w:eastAsia="zh-CN"/>
      </w:rPr>
      <w:t xml:space="preserve">  </w:t>
    </w:r>
    <w:r>
      <w:rPr>
        <w:rFonts w:hint="eastAsia"/>
      </w:rPr>
      <w:t>临平区</w:t>
    </w:r>
    <w:r>
      <w:rPr>
        <w:lang w:val="zh-CN"/>
      </w:rPr>
      <w:t>政府采购公开招标文件</w:t>
    </w:r>
    <w:r>
      <w:rPr>
        <w:rFonts w:hint="eastAsia"/>
      </w:rPr>
      <w:t xml:space="preserve">            </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rPr>
        <w:rFonts w:hint="eastAsia" w:eastAsia="宋体"/>
        <w:lang w:eastAsia="zh-CN"/>
      </w:rPr>
    </w:pPr>
    <w:r>
      <w:t></w:t>
    </w:r>
    <w:r>
      <w:rPr>
        <w:rFonts w:hint="eastAsia"/>
      </w:rPr>
      <w:t xml:space="preserve">                                             </w:t>
    </w:r>
    <w:r>
      <w:rPr>
        <w:rFonts w:hint="eastAsia"/>
        <w:lang w:eastAsia="zh-CN"/>
      </w:rPr>
      <w:t>临平区政府采购公开招标文件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hint="eastAsia" w:ascii="仿宋_GB2312" w:eastAsia="宋体"/>
        <w:b/>
        <w:i/>
        <w:u w:val="single"/>
        <w:lang w:eastAsia="zh-CN"/>
      </w:rPr>
    </w:pPr>
    <w:r>
      <w:t></w:t>
    </w:r>
    <w:r>
      <w:rPr>
        <w:rFonts w:hint="eastAsia"/>
      </w:rPr>
      <w:t xml:space="preserve">                                                  </w:t>
    </w:r>
    <w:r>
      <w:t xml:space="preserve">             </w:t>
    </w:r>
    <w:r>
      <w:rPr>
        <w:rFonts w:hint="eastAsia"/>
        <w:lang w:eastAsia="zh-CN"/>
      </w:rPr>
      <w:t>临平区政府采购公开招标文件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rPr>
        <w:rFonts w:hint="eastAsia" w:eastAsia="宋体"/>
        <w:lang w:eastAsia="zh-CN"/>
      </w:rPr>
    </w:pPr>
    <w:r>
      <w:rPr>
        <w:rFonts w:hint="eastAsia"/>
      </w:rPr>
      <w:t xml:space="preserve">                                                                  </w:t>
    </w:r>
    <w:r>
      <w:rPr>
        <w:rFonts w:hint="eastAsia"/>
        <w:lang w:eastAsia="zh-CN"/>
      </w:rPr>
      <w:t>临平区政府采购公开招标文件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hint="eastAsia" w:ascii="仿宋_GB2312" w:eastAsia="宋体"/>
        <w:b/>
        <w:i/>
        <w:u w:val="single"/>
        <w:lang w:eastAsia="zh-CN"/>
      </w:rPr>
    </w:pPr>
    <w:r>
      <w:t></w:t>
    </w:r>
    <w:r>
      <w:rPr>
        <w:rFonts w:hint="eastAsia"/>
      </w:rPr>
      <w:t xml:space="preserve">                                                  </w:t>
    </w:r>
    <w:r>
      <w:rPr>
        <w:rFonts w:hint="eastAsia"/>
        <w:lang w:eastAsia="zh-CN"/>
      </w:rPr>
      <w:t>临平区政府采购公开招标文件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临平区政府采购公开招标文件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hint="eastAsia" w:ascii="仿宋_GB2312" w:eastAsia="宋体"/>
        <w:b/>
        <w:i/>
        <w:u w:val="single"/>
        <w:lang w:eastAsia="zh-CN"/>
      </w:rPr>
    </w:pPr>
    <w:r>
      <w:rPr>
        <w:rFonts w:hint="eastAsia"/>
      </w:rPr>
      <w:t xml:space="preserve">                                  </w:t>
    </w:r>
    <w:r>
      <w:rPr>
        <w:rFonts w:hint="eastAsia"/>
        <w:lang w:eastAsia="zh-CN"/>
      </w:rPr>
      <w:t>临平区政府采购公开招标文件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rPr>
        <w:rFonts w:hint="eastAsia" w:eastAsia="宋体"/>
        <w:lang w:eastAsia="zh-CN"/>
      </w:rPr>
    </w:pPr>
    <w:r>
      <w:rPr>
        <w:rFonts w:hint="eastAsia"/>
      </w:rPr>
      <w:t xml:space="preserve">                                                                                                        </w:t>
    </w:r>
    <w:r>
      <w:rPr>
        <w:rFonts w:hint="eastAsia"/>
        <w:lang w:eastAsia="zh-CN"/>
      </w:rPr>
      <w:t>临平区政府采购公开招标文件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hint="eastAsia" w:ascii="仿宋_GB2312" w:eastAsia="宋体"/>
        <w:b/>
        <w:i/>
        <w:iCs/>
        <w:u w:val="single"/>
        <w:lang w:eastAsia="zh-CN"/>
      </w:rPr>
    </w:pPr>
    <w:r>
      <w:t></w:t>
    </w:r>
    <w:r>
      <w:rPr>
        <w:rFonts w:hint="eastAsia"/>
        <w:lang w:eastAsia="zh-CN"/>
      </w:rPr>
      <w:t>临平区政府采购公开招标文件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A64EB"/>
    <w:multiLevelType w:val="singleLevel"/>
    <w:tmpl w:val="AF4A64EB"/>
    <w:lvl w:ilvl="0" w:tentative="0">
      <w:start w:val="2"/>
      <w:numFmt w:val="chineseCounting"/>
      <w:suff w:val="nothing"/>
      <w:lvlText w:val="（%1）"/>
      <w:lvlJc w:val="left"/>
      <w:rPr>
        <w:rFonts w:hint="eastAsia"/>
      </w:rPr>
    </w:lvl>
  </w:abstractNum>
  <w:abstractNum w:abstractNumId="1">
    <w:nsid w:val="0E923628"/>
    <w:multiLevelType w:val="multilevel"/>
    <w:tmpl w:val="0E92362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5A17DBCE"/>
    <w:multiLevelType w:val="singleLevel"/>
    <w:tmpl w:val="5A17DBCE"/>
    <w:lvl w:ilvl="0" w:tentative="0">
      <w:start w:val="2"/>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25592"/>
    <w:rsid w:val="01EC2C57"/>
    <w:rsid w:val="0247556A"/>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222576"/>
    <w:rsid w:val="062E778B"/>
    <w:rsid w:val="06493CA7"/>
    <w:rsid w:val="065A6178"/>
    <w:rsid w:val="066F1CF3"/>
    <w:rsid w:val="06930BB8"/>
    <w:rsid w:val="06A02FCC"/>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47989"/>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9592B"/>
    <w:rsid w:val="0EF94D4B"/>
    <w:rsid w:val="0F2974D8"/>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9D51A7"/>
    <w:rsid w:val="11C6522A"/>
    <w:rsid w:val="11E104CC"/>
    <w:rsid w:val="11E20309"/>
    <w:rsid w:val="12255233"/>
    <w:rsid w:val="12301B77"/>
    <w:rsid w:val="12530213"/>
    <w:rsid w:val="127723A9"/>
    <w:rsid w:val="12862074"/>
    <w:rsid w:val="12883966"/>
    <w:rsid w:val="129E45B4"/>
    <w:rsid w:val="12D81596"/>
    <w:rsid w:val="13072A44"/>
    <w:rsid w:val="135F4BE2"/>
    <w:rsid w:val="138008DC"/>
    <w:rsid w:val="139B1A0A"/>
    <w:rsid w:val="139D25C7"/>
    <w:rsid w:val="13BF3CE4"/>
    <w:rsid w:val="13CE750E"/>
    <w:rsid w:val="141008D8"/>
    <w:rsid w:val="14125FE6"/>
    <w:rsid w:val="146D271E"/>
    <w:rsid w:val="14982588"/>
    <w:rsid w:val="149A5AD9"/>
    <w:rsid w:val="14A7619D"/>
    <w:rsid w:val="150536C3"/>
    <w:rsid w:val="150C1963"/>
    <w:rsid w:val="151447A0"/>
    <w:rsid w:val="15316332"/>
    <w:rsid w:val="154A6454"/>
    <w:rsid w:val="15762120"/>
    <w:rsid w:val="15915022"/>
    <w:rsid w:val="16070E41"/>
    <w:rsid w:val="166167A3"/>
    <w:rsid w:val="16A8729C"/>
    <w:rsid w:val="16B33777"/>
    <w:rsid w:val="16BC70A7"/>
    <w:rsid w:val="16C6339E"/>
    <w:rsid w:val="172F2D79"/>
    <w:rsid w:val="17557BEF"/>
    <w:rsid w:val="17C403A2"/>
    <w:rsid w:val="17D349C1"/>
    <w:rsid w:val="1830729E"/>
    <w:rsid w:val="184C3483"/>
    <w:rsid w:val="1870062C"/>
    <w:rsid w:val="18817102"/>
    <w:rsid w:val="18830A15"/>
    <w:rsid w:val="18852B28"/>
    <w:rsid w:val="188B5321"/>
    <w:rsid w:val="19932372"/>
    <w:rsid w:val="19A20DD5"/>
    <w:rsid w:val="19AE03F1"/>
    <w:rsid w:val="1A071A03"/>
    <w:rsid w:val="1A1F16AE"/>
    <w:rsid w:val="1A3B5C77"/>
    <w:rsid w:val="1A4D2472"/>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44C11"/>
    <w:rsid w:val="1D3963AF"/>
    <w:rsid w:val="1D6A673C"/>
    <w:rsid w:val="1D9247AE"/>
    <w:rsid w:val="1DB567EC"/>
    <w:rsid w:val="1DF51A98"/>
    <w:rsid w:val="1E3D060F"/>
    <w:rsid w:val="1E3F7D2E"/>
    <w:rsid w:val="1E4134E4"/>
    <w:rsid w:val="1E5062B3"/>
    <w:rsid w:val="1E523514"/>
    <w:rsid w:val="1E714A66"/>
    <w:rsid w:val="1E802593"/>
    <w:rsid w:val="1E8B6156"/>
    <w:rsid w:val="1EA2204E"/>
    <w:rsid w:val="1EA703CC"/>
    <w:rsid w:val="1EB7330C"/>
    <w:rsid w:val="1EFA7794"/>
    <w:rsid w:val="1F0A0FF3"/>
    <w:rsid w:val="1F5771FF"/>
    <w:rsid w:val="1FC12E96"/>
    <w:rsid w:val="1FD52DD5"/>
    <w:rsid w:val="1FE868A9"/>
    <w:rsid w:val="20034907"/>
    <w:rsid w:val="20173E4B"/>
    <w:rsid w:val="204E48BC"/>
    <w:rsid w:val="208921B3"/>
    <w:rsid w:val="20973DEB"/>
    <w:rsid w:val="20B26522"/>
    <w:rsid w:val="20B44310"/>
    <w:rsid w:val="20E06E5E"/>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DE7685"/>
    <w:rsid w:val="23E95BEF"/>
    <w:rsid w:val="23FD0064"/>
    <w:rsid w:val="24264B88"/>
    <w:rsid w:val="2433479E"/>
    <w:rsid w:val="245375B0"/>
    <w:rsid w:val="24642C0A"/>
    <w:rsid w:val="24B22173"/>
    <w:rsid w:val="24B95AD9"/>
    <w:rsid w:val="24BE24DA"/>
    <w:rsid w:val="24CF5825"/>
    <w:rsid w:val="24D663E6"/>
    <w:rsid w:val="24D77F2B"/>
    <w:rsid w:val="258B00E2"/>
    <w:rsid w:val="25A917A6"/>
    <w:rsid w:val="25BE27CC"/>
    <w:rsid w:val="25CD5911"/>
    <w:rsid w:val="25F74A5C"/>
    <w:rsid w:val="2628662C"/>
    <w:rsid w:val="262D45DE"/>
    <w:rsid w:val="26527EB6"/>
    <w:rsid w:val="26871DC8"/>
    <w:rsid w:val="26A53EF9"/>
    <w:rsid w:val="26A94201"/>
    <w:rsid w:val="26AC274F"/>
    <w:rsid w:val="27044A29"/>
    <w:rsid w:val="270A3647"/>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563950"/>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6D5D61"/>
    <w:rsid w:val="2F946CCB"/>
    <w:rsid w:val="2FD25781"/>
    <w:rsid w:val="2FDC745C"/>
    <w:rsid w:val="2FFD7934"/>
    <w:rsid w:val="30733ACD"/>
    <w:rsid w:val="308C3862"/>
    <w:rsid w:val="309379D8"/>
    <w:rsid w:val="30A270F7"/>
    <w:rsid w:val="30DF1478"/>
    <w:rsid w:val="30EC586F"/>
    <w:rsid w:val="30F93D50"/>
    <w:rsid w:val="30FF50DE"/>
    <w:rsid w:val="310402C4"/>
    <w:rsid w:val="314550B7"/>
    <w:rsid w:val="319C6071"/>
    <w:rsid w:val="31AC537E"/>
    <w:rsid w:val="31E3679B"/>
    <w:rsid w:val="31E732FD"/>
    <w:rsid w:val="32454D73"/>
    <w:rsid w:val="32517576"/>
    <w:rsid w:val="32BE5C2C"/>
    <w:rsid w:val="32FB6478"/>
    <w:rsid w:val="33204271"/>
    <w:rsid w:val="33263B3F"/>
    <w:rsid w:val="336963EB"/>
    <w:rsid w:val="33816EEB"/>
    <w:rsid w:val="33EB55CD"/>
    <w:rsid w:val="33EC4C02"/>
    <w:rsid w:val="33F96445"/>
    <w:rsid w:val="340D2360"/>
    <w:rsid w:val="3410665D"/>
    <w:rsid w:val="34211214"/>
    <w:rsid w:val="342E63AB"/>
    <w:rsid w:val="34950E68"/>
    <w:rsid w:val="34986E94"/>
    <w:rsid w:val="34AF62C9"/>
    <w:rsid w:val="34BF4CAA"/>
    <w:rsid w:val="34CB4388"/>
    <w:rsid w:val="34FA6E12"/>
    <w:rsid w:val="354D7158"/>
    <w:rsid w:val="35616A8C"/>
    <w:rsid w:val="358463F8"/>
    <w:rsid w:val="358D5588"/>
    <w:rsid w:val="363A3B40"/>
    <w:rsid w:val="365302AE"/>
    <w:rsid w:val="36607A0A"/>
    <w:rsid w:val="366E227C"/>
    <w:rsid w:val="366F2E0D"/>
    <w:rsid w:val="367B6A5C"/>
    <w:rsid w:val="36A74ADA"/>
    <w:rsid w:val="36AD60D5"/>
    <w:rsid w:val="36B224F9"/>
    <w:rsid w:val="36B87DE8"/>
    <w:rsid w:val="36EC0CC9"/>
    <w:rsid w:val="373F410B"/>
    <w:rsid w:val="37C4673A"/>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9C2A7A"/>
    <w:rsid w:val="3BC01EFC"/>
    <w:rsid w:val="3BCA786A"/>
    <w:rsid w:val="3BD31E2F"/>
    <w:rsid w:val="3BD60870"/>
    <w:rsid w:val="3BF15831"/>
    <w:rsid w:val="3C105946"/>
    <w:rsid w:val="3C471448"/>
    <w:rsid w:val="3C5F759A"/>
    <w:rsid w:val="3C6C525A"/>
    <w:rsid w:val="3CCE23CB"/>
    <w:rsid w:val="3CD17D17"/>
    <w:rsid w:val="3D264775"/>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5540F"/>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380092"/>
    <w:rsid w:val="434B790E"/>
    <w:rsid w:val="4360274F"/>
    <w:rsid w:val="43977AB6"/>
    <w:rsid w:val="43A3342B"/>
    <w:rsid w:val="43C77C27"/>
    <w:rsid w:val="43DE09EE"/>
    <w:rsid w:val="44002FAD"/>
    <w:rsid w:val="44233EA5"/>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53A21"/>
    <w:rsid w:val="46893F2B"/>
    <w:rsid w:val="46C4686E"/>
    <w:rsid w:val="47265A19"/>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B45B3B"/>
    <w:rsid w:val="4EC569ED"/>
    <w:rsid w:val="4ED50EA1"/>
    <w:rsid w:val="4EEC050C"/>
    <w:rsid w:val="4F104EC3"/>
    <w:rsid w:val="4F1E46E2"/>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1D0F3D"/>
    <w:rsid w:val="5142540C"/>
    <w:rsid w:val="518832C8"/>
    <w:rsid w:val="519D3C50"/>
    <w:rsid w:val="51A0432A"/>
    <w:rsid w:val="51A86090"/>
    <w:rsid w:val="51B7396D"/>
    <w:rsid w:val="5211451D"/>
    <w:rsid w:val="522E4CC3"/>
    <w:rsid w:val="5244713B"/>
    <w:rsid w:val="52615633"/>
    <w:rsid w:val="526D1A50"/>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F3629C"/>
    <w:rsid w:val="56F52014"/>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873D5"/>
    <w:rsid w:val="583765FC"/>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E5E13"/>
    <w:rsid w:val="5D5F10C0"/>
    <w:rsid w:val="5D891B7B"/>
    <w:rsid w:val="5DAD38EE"/>
    <w:rsid w:val="5DBD1A8C"/>
    <w:rsid w:val="5E006862"/>
    <w:rsid w:val="5E0207B9"/>
    <w:rsid w:val="5E1834A1"/>
    <w:rsid w:val="5E261785"/>
    <w:rsid w:val="5E4A7017"/>
    <w:rsid w:val="5E552BBA"/>
    <w:rsid w:val="5E611C10"/>
    <w:rsid w:val="5E7A0F3F"/>
    <w:rsid w:val="5EFC7377"/>
    <w:rsid w:val="5F06174D"/>
    <w:rsid w:val="5F200E11"/>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02DC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25890"/>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AE755D"/>
    <w:rsid w:val="6C196F71"/>
    <w:rsid w:val="6C226FCB"/>
    <w:rsid w:val="6C31226F"/>
    <w:rsid w:val="6C3D64D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16D44"/>
    <w:rsid w:val="6E972936"/>
    <w:rsid w:val="6ED446C5"/>
    <w:rsid w:val="6F2A7D94"/>
    <w:rsid w:val="6F541B76"/>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20753"/>
    <w:rsid w:val="74476126"/>
    <w:rsid w:val="74706664"/>
    <w:rsid w:val="747F3682"/>
    <w:rsid w:val="749C4185"/>
    <w:rsid w:val="74F71921"/>
    <w:rsid w:val="75067759"/>
    <w:rsid w:val="752E6DCD"/>
    <w:rsid w:val="753C7334"/>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3802EE"/>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4C229B"/>
    <w:rsid w:val="7B5A2978"/>
    <w:rsid w:val="7B5A7E4C"/>
    <w:rsid w:val="7B667AF9"/>
    <w:rsid w:val="7B7468F8"/>
    <w:rsid w:val="7BA9702E"/>
    <w:rsid w:val="7BDF0D26"/>
    <w:rsid w:val="7BEE0103"/>
    <w:rsid w:val="7C0A0FE4"/>
    <w:rsid w:val="7C0E57A2"/>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10346</Words>
  <Characters>11233</Characters>
  <Lines>281</Lines>
  <Paragraphs>79</Paragraphs>
  <TotalTime>46</TotalTime>
  <ScaleCrop>false</ScaleCrop>
  <LinksUpToDate>false</LinksUpToDate>
  <CharactersWithSpaces>11620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ss</cp:lastModifiedBy>
  <cp:lastPrinted>2021-12-28T03:06:00Z</cp:lastPrinted>
  <dcterms:modified xsi:type="dcterms:W3CDTF">2025-07-08T08:16:15Z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eyJoZGlkIjoiOTE1YmQxYTllZGIxNjg1YmM2N2QyYjk5YjE5YWFlYTciLCJ1c2VySWQiOiI1MzE5NzUxODYifQ==</vt:lpwstr>
  </property>
</Properties>
</file>