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DB8A1">
      <w:pPr>
        <w:jc w:val="center"/>
        <w:rPr>
          <w:rFonts w:hint="eastAsia" w:ascii="宋体" w:hAnsi="宋体" w:eastAsia="宋体" w:cs="宋体"/>
          <w:b/>
          <w:sz w:val="48"/>
          <w:szCs w:val="48"/>
          <w:lang w:eastAsia="zh-CN"/>
        </w:rPr>
      </w:pPr>
      <w:r>
        <w:rPr>
          <w:rFonts w:hint="eastAsia" w:ascii="宋体" w:hAnsi="宋体" w:cs="宋体"/>
          <w:b/>
          <w:sz w:val="52"/>
          <w:szCs w:val="52"/>
          <w:lang w:eastAsia="zh-CN"/>
        </w:rPr>
        <w:t>慈溪市排水有限公司污水处理厂、污水泵站废旧设备清运、集中堆放项目（重发）</w:t>
      </w:r>
    </w:p>
    <w:p w14:paraId="04824098">
      <w:pPr>
        <w:pStyle w:val="43"/>
        <w:ind w:firstLine="480"/>
        <w:jc w:val="center"/>
        <w:rPr>
          <w:rFonts w:hint="default" w:ascii="宋体" w:hAnsi="宋体" w:eastAsia="宋体" w:cs="宋体"/>
        </w:rPr>
      </w:pPr>
    </w:p>
    <w:p w14:paraId="75674993">
      <w:pPr>
        <w:pStyle w:val="43"/>
        <w:ind w:firstLine="480"/>
        <w:jc w:val="center"/>
        <w:rPr>
          <w:rFonts w:hint="default" w:ascii="宋体" w:hAnsi="宋体" w:eastAsia="宋体" w:cs="宋体"/>
        </w:rPr>
      </w:pPr>
    </w:p>
    <w:p w14:paraId="5DCA81D2">
      <w:pPr>
        <w:ind w:firstLine="2250" w:firstLineChars="750"/>
        <w:rPr>
          <w:rFonts w:ascii="宋体" w:hAnsi="宋体" w:cs="宋体"/>
          <w:b/>
          <w:sz w:val="36"/>
          <w:szCs w:val="36"/>
        </w:rPr>
      </w:pPr>
      <w:r>
        <w:rPr>
          <w:rFonts w:hint="eastAsia" w:ascii="宋体" w:hAnsi="宋体" w:cs="宋体"/>
          <w:bCs/>
          <w:sz w:val="30"/>
          <w:szCs w:val="30"/>
        </w:rPr>
        <w:t>（招标编号：QTGGZY202</w:t>
      </w:r>
      <w:r>
        <w:rPr>
          <w:rFonts w:ascii="宋体" w:hAnsi="宋体" w:cs="宋体"/>
          <w:bCs/>
          <w:sz w:val="30"/>
          <w:szCs w:val="30"/>
        </w:rPr>
        <w:t>5</w:t>
      </w:r>
      <w:r>
        <w:rPr>
          <w:rFonts w:hint="eastAsia" w:ascii="宋体" w:hAnsi="宋体" w:cs="宋体"/>
          <w:bCs/>
          <w:sz w:val="30"/>
          <w:szCs w:val="30"/>
          <w:lang w:val="en-US" w:eastAsia="zh-CN"/>
        </w:rPr>
        <w:t>089-2</w:t>
      </w:r>
      <w:r>
        <w:rPr>
          <w:rFonts w:ascii="宋体" w:hAnsi="宋体" w:cs="宋体"/>
          <w:bCs/>
          <w:sz w:val="30"/>
          <w:szCs w:val="30"/>
        </w:rPr>
        <w:t xml:space="preserve"> </w:t>
      </w:r>
      <w:r>
        <w:rPr>
          <w:rFonts w:hint="eastAsia" w:ascii="宋体" w:hAnsi="宋体" w:cs="宋体"/>
          <w:bCs/>
          <w:sz w:val="30"/>
          <w:szCs w:val="30"/>
        </w:rPr>
        <w:t>）</w:t>
      </w:r>
    </w:p>
    <w:p w14:paraId="413F71CB">
      <w:pPr>
        <w:jc w:val="center"/>
        <w:rPr>
          <w:rFonts w:ascii="宋体" w:hAnsi="宋体" w:cs="宋体"/>
          <w:b/>
          <w:szCs w:val="21"/>
        </w:rPr>
      </w:pPr>
    </w:p>
    <w:p w14:paraId="305703D2">
      <w:pPr>
        <w:jc w:val="center"/>
        <w:rPr>
          <w:rFonts w:ascii="宋体" w:hAnsi="宋体" w:cs="宋体"/>
          <w:b/>
          <w:bCs/>
          <w:szCs w:val="21"/>
        </w:rPr>
      </w:pPr>
    </w:p>
    <w:p w14:paraId="05AA237E">
      <w:pPr>
        <w:pStyle w:val="43"/>
        <w:ind w:firstLine="480"/>
        <w:jc w:val="center"/>
        <w:rPr>
          <w:rFonts w:hint="default" w:ascii="宋体" w:hAnsi="宋体" w:eastAsia="宋体" w:cs="宋体"/>
        </w:rPr>
      </w:pPr>
    </w:p>
    <w:p w14:paraId="5BC22AAB">
      <w:pPr>
        <w:pStyle w:val="43"/>
        <w:ind w:firstLine="480"/>
        <w:rPr>
          <w:rFonts w:hint="default" w:ascii="宋体" w:hAnsi="宋体" w:eastAsia="宋体" w:cs="宋体"/>
        </w:rPr>
      </w:pPr>
    </w:p>
    <w:p w14:paraId="6E0F4E67">
      <w:pPr>
        <w:jc w:val="center"/>
        <w:rPr>
          <w:rFonts w:ascii="宋体" w:hAnsi="宋体" w:cs="宋体"/>
          <w:b/>
          <w:bCs/>
          <w:sz w:val="72"/>
          <w:szCs w:val="72"/>
        </w:rPr>
      </w:pPr>
      <w:r>
        <w:rPr>
          <w:rFonts w:hint="eastAsia" w:ascii="宋体" w:hAnsi="宋体" w:cs="宋体"/>
          <w:b/>
          <w:bCs/>
          <w:sz w:val="72"/>
          <w:szCs w:val="72"/>
        </w:rPr>
        <w:t>公</w:t>
      </w:r>
    </w:p>
    <w:p w14:paraId="002F1454">
      <w:pPr>
        <w:jc w:val="center"/>
        <w:rPr>
          <w:rFonts w:ascii="宋体" w:hAnsi="宋体" w:cs="宋体"/>
          <w:b/>
          <w:bCs/>
          <w:sz w:val="72"/>
          <w:szCs w:val="72"/>
        </w:rPr>
      </w:pPr>
      <w:r>
        <w:rPr>
          <w:rFonts w:hint="eastAsia" w:ascii="宋体" w:hAnsi="宋体" w:cs="宋体"/>
          <w:b/>
          <w:bCs/>
          <w:sz w:val="72"/>
          <w:szCs w:val="72"/>
        </w:rPr>
        <w:t>开</w:t>
      </w:r>
    </w:p>
    <w:p w14:paraId="6F2613DB">
      <w:pPr>
        <w:jc w:val="center"/>
        <w:rPr>
          <w:rFonts w:ascii="宋体" w:hAnsi="宋体" w:cs="宋体"/>
          <w:b/>
          <w:bCs/>
          <w:sz w:val="72"/>
          <w:szCs w:val="72"/>
        </w:rPr>
      </w:pPr>
      <w:r>
        <w:rPr>
          <w:rFonts w:hint="eastAsia" w:ascii="宋体" w:hAnsi="宋体" w:cs="宋体"/>
          <w:b/>
          <w:bCs/>
          <w:sz w:val="72"/>
          <w:szCs w:val="72"/>
        </w:rPr>
        <w:t>招</w:t>
      </w:r>
    </w:p>
    <w:p w14:paraId="6D04784C">
      <w:pPr>
        <w:jc w:val="center"/>
        <w:rPr>
          <w:rFonts w:ascii="宋体" w:hAnsi="宋体" w:cs="宋体"/>
          <w:b/>
          <w:bCs/>
          <w:sz w:val="72"/>
          <w:szCs w:val="72"/>
        </w:rPr>
      </w:pPr>
      <w:r>
        <w:rPr>
          <w:rFonts w:hint="eastAsia" w:ascii="宋体" w:hAnsi="宋体" w:cs="宋体"/>
          <w:b/>
          <w:bCs/>
          <w:sz w:val="72"/>
          <w:szCs w:val="72"/>
        </w:rPr>
        <w:t>标</w:t>
      </w:r>
    </w:p>
    <w:p w14:paraId="40CBE85C">
      <w:pPr>
        <w:jc w:val="center"/>
        <w:rPr>
          <w:rFonts w:ascii="宋体" w:hAnsi="宋体" w:cs="宋体"/>
          <w:b/>
          <w:bCs/>
          <w:sz w:val="72"/>
          <w:szCs w:val="72"/>
        </w:rPr>
      </w:pPr>
      <w:r>
        <w:rPr>
          <w:rFonts w:hint="eastAsia" w:ascii="宋体" w:hAnsi="宋体" w:cs="宋体"/>
          <w:b/>
          <w:bCs/>
          <w:sz w:val="72"/>
          <w:szCs w:val="72"/>
        </w:rPr>
        <w:t>文</w:t>
      </w:r>
    </w:p>
    <w:p w14:paraId="67D85F08">
      <w:pPr>
        <w:jc w:val="center"/>
        <w:rPr>
          <w:rFonts w:ascii="宋体" w:hAnsi="宋体" w:cs="宋体"/>
          <w:b/>
          <w:bCs/>
          <w:sz w:val="72"/>
          <w:szCs w:val="72"/>
        </w:rPr>
      </w:pPr>
      <w:r>
        <w:rPr>
          <w:rFonts w:hint="eastAsia" w:ascii="宋体" w:hAnsi="宋体" w:cs="宋体"/>
          <w:b/>
          <w:bCs/>
          <w:sz w:val="72"/>
          <w:szCs w:val="72"/>
        </w:rPr>
        <w:t>件</w:t>
      </w:r>
    </w:p>
    <w:p w14:paraId="219960A8">
      <w:pPr>
        <w:pStyle w:val="43"/>
        <w:ind w:firstLine="1446"/>
        <w:rPr>
          <w:rFonts w:hint="default" w:ascii="宋体" w:hAnsi="宋体" w:eastAsia="宋体" w:cs="宋体"/>
          <w:b/>
          <w:bCs/>
          <w:sz w:val="72"/>
          <w:szCs w:val="72"/>
        </w:rPr>
      </w:pPr>
    </w:p>
    <w:p w14:paraId="249F258A">
      <w:pPr>
        <w:pStyle w:val="43"/>
        <w:ind w:firstLine="1446"/>
        <w:rPr>
          <w:rFonts w:hint="default" w:ascii="宋体" w:hAnsi="宋体" w:eastAsia="宋体" w:cs="宋体"/>
          <w:b/>
          <w:bCs/>
          <w:sz w:val="72"/>
          <w:szCs w:val="72"/>
        </w:rPr>
      </w:pPr>
    </w:p>
    <w:p w14:paraId="2FE74D41">
      <w:pPr>
        <w:adjustRightInd w:val="0"/>
        <w:snapToGrid w:val="0"/>
        <w:spacing w:line="700" w:lineRule="exact"/>
        <w:rPr>
          <w:rFonts w:ascii="宋体" w:hAnsi="宋体" w:cs="宋体"/>
          <w:b/>
          <w:bCs/>
          <w:sz w:val="30"/>
          <w:szCs w:val="30"/>
        </w:rPr>
      </w:pPr>
      <w:r>
        <w:rPr>
          <w:rFonts w:hint="eastAsia" w:ascii="宋体" w:hAnsi="宋体" w:cs="宋体"/>
          <w:b/>
          <w:bCs/>
          <w:sz w:val="30"/>
          <w:szCs w:val="30"/>
        </w:rPr>
        <w:t xml:space="preserve">           招 标 人：慈溪市排水有限公司</w:t>
      </w:r>
    </w:p>
    <w:p w14:paraId="301A0768">
      <w:pPr>
        <w:adjustRightInd w:val="0"/>
        <w:snapToGrid w:val="0"/>
        <w:spacing w:line="700" w:lineRule="exact"/>
        <w:rPr>
          <w:rFonts w:ascii="宋体" w:hAnsi="宋体" w:cs="宋体"/>
          <w:b/>
          <w:bCs/>
          <w:sz w:val="30"/>
          <w:szCs w:val="30"/>
        </w:rPr>
      </w:pPr>
      <w:r>
        <w:rPr>
          <w:rFonts w:hint="eastAsia" w:ascii="宋体" w:hAnsi="宋体" w:cs="宋体"/>
          <w:b/>
          <w:bCs/>
          <w:sz w:val="30"/>
          <w:szCs w:val="30"/>
        </w:rPr>
        <w:t xml:space="preserve">           代理机构：宁波能诚工程管理有限公司</w:t>
      </w:r>
    </w:p>
    <w:p w14:paraId="31888A5B">
      <w:pPr>
        <w:adjustRightInd w:val="0"/>
        <w:snapToGrid w:val="0"/>
        <w:spacing w:line="700" w:lineRule="exact"/>
        <w:ind w:firstLine="280" w:firstLineChars="93"/>
        <w:rPr>
          <w:rFonts w:ascii="宋体" w:hAnsi="宋体" w:cs="宋体"/>
          <w:b/>
          <w:bCs/>
          <w:sz w:val="30"/>
          <w:szCs w:val="30"/>
        </w:rPr>
      </w:pPr>
      <w:r>
        <w:rPr>
          <w:rFonts w:hint="eastAsia" w:ascii="宋体" w:hAnsi="宋体" w:cs="宋体"/>
          <w:b/>
          <w:bCs/>
          <w:sz w:val="30"/>
          <w:szCs w:val="30"/>
        </w:rPr>
        <w:t xml:space="preserve">         编制日期：202</w:t>
      </w:r>
      <w:r>
        <w:rPr>
          <w:rFonts w:ascii="宋体" w:hAnsi="宋体" w:cs="宋体"/>
          <w:b/>
          <w:bCs/>
          <w:sz w:val="30"/>
          <w:szCs w:val="30"/>
        </w:rPr>
        <w:t>5</w:t>
      </w:r>
      <w:r>
        <w:rPr>
          <w:rFonts w:hint="eastAsia" w:ascii="宋体" w:hAnsi="宋体" w:cs="宋体"/>
          <w:b/>
          <w:bCs/>
          <w:sz w:val="30"/>
          <w:szCs w:val="30"/>
        </w:rPr>
        <w:t>年</w:t>
      </w:r>
      <w:r>
        <w:rPr>
          <w:rFonts w:hint="eastAsia" w:ascii="宋体" w:hAnsi="宋体" w:cs="宋体"/>
          <w:b/>
          <w:bCs/>
          <w:sz w:val="30"/>
          <w:szCs w:val="30"/>
          <w:lang w:val="en-US" w:eastAsia="zh-CN"/>
        </w:rPr>
        <w:t>6</w:t>
      </w:r>
      <w:r>
        <w:rPr>
          <w:rFonts w:hint="eastAsia" w:ascii="宋体" w:hAnsi="宋体" w:cs="宋体"/>
          <w:b/>
          <w:bCs/>
          <w:sz w:val="30"/>
          <w:szCs w:val="30"/>
        </w:rPr>
        <w:t>月</w:t>
      </w:r>
    </w:p>
    <w:p w14:paraId="2EC9BC2D">
      <w:pPr>
        <w:spacing w:line="360" w:lineRule="auto"/>
        <w:jc w:val="center"/>
        <w:rPr>
          <w:rFonts w:ascii="宋体" w:hAnsi="宋体" w:cs="宋体"/>
          <w:b/>
          <w:bCs/>
          <w:sz w:val="24"/>
          <w:szCs w:val="24"/>
          <w:u w:val="single"/>
        </w:rPr>
        <w:sectPr>
          <w:headerReference r:id="rId3" w:type="default"/>
          <w:footerReference r:id="rId4" w:type="even"/>
          <w:pgSz w:w="11906" w:h="16838"/>
          <w:pgMar w:top="1701" w:right="1418" w:bottom="1134" w:left="1418" w:header="851" w:footer="992" w:gutter="0"/>
          <w:pgNumType w:start="1"/>
          <w:cols w:space="720" w:num="1"/>
          <w:docGrid w:linePitch="312" w:charSpace="0"/>
        </w:sectPr>
      </w:pPr>
      <w:r>
        <w:rPr>
          <w:rFonts w:hint="eastAsia" w:ascii="宋体" w:hAnsi="宋体" w:cs="宋体"/>
          <w:b/>
          <w:bCs/>
          <w:sz w:val="24"/>
          <w:szCs w:val="24"/>
        </w:rPr>
        <w:t xml:space="preserve">  </w:t>
      </w:r>
    </w:p>
    <w:p w14:paraId="2B5D4A40">
      <w:pPr>
        <w:spacing w:line="1000" w:lineRule="exact"/>
        <w:jc w:val="center"/>
        <w:rPr>
          <w:rFonts w:ascii="宋体" w:hAnsi="宋体" w:cs="宋体"/>
          <w:b/>
          <w:sz w:val="52"/>
          <w:szCs w:val="52"/>
        </w:rPr>
      </w:pPr>
    </w:p>
    <w:p w14:paraId="6D9538D1">
      <w:pPr>
        <w:spacing w:line="1000" w:lineRule="exact"/>
        <w:jc w:val="center"/>
        <w:rPr>
          <w:rFonts w:ascii="宋体" w:hAnsi="宋体" w:cs="宋体"/>
          <w:sz w:val="48"/>
          <w:szCs w:val="48"/>
        </w:rPr>
      </w:pPr>
      <w:r>
        <w:rPr>
          <w:rFonts w:hint="eastAsia" w:ascii="宋体" w:hAnsi="宋体" w:cs="宋体"/>
          <w:b/>
          <w:sz w:val="52"/>
          <w:szCs w:val="52"/>
        </w:rPr>
        <w:tab/>
      </w:r>
      <w:r>
        <w:rPr>
          <w:rFonts w:hint="eastAsia" w:ascii="宋体" w:hAnsi="宋体" w:cs="宋体"/>
          <w:b/>
          <w:sz w:val="48"/>
          <w:szCs w:val="48"/>
          <w:lang w:bidi="ar"/>
        </w:rPr>
        <w:t>温馨提醒</w:t>
      </w:r>
    </w:p>
    <w:p w14:paraId="228CEFE9">
      <w:pPr>
        <w:spacing w:line="1000" w:lineRule="exact"/>
        <w:jc w:val="center"/>
        <w:rPr>
          <w:rFonts w:ascii="宋体" w:hAnsi="宋体" w:cs="宋体"/>
          <w:sz w:val="32"/>
          <w:szCs w:val="32"/>
        </w:rPr>
      </w:pPr>
    </w:p>
    <w:p w14:paraId="384FA1B7">
      <w:pPr>
        <w:spacing w:line="360" w:lineRule="auto"/>
        <w:ind w:firstLine="602" w:firstLineChars="200"/>
        <w:jc w:val="left"/>
        <w:rPr>
          <w:rFonts w:ascii="宋体" w:hAnsi="宋体" w:cs="宋体"/>
          <w:b/>
          <w:sz w:val="30"/>
          <w:szCs w:val="30"/>
        </w:rPr>
      </w:pPr>
      <w:r>
        <w:rPr>
          <w:rFonts w:hint="eastAsia" w:ascii="宋体" w:hAnsi="宋体" w:cs="宋体"/>
          <w:b/>
          <w:sz w:val="30"/>
          <w:szCs w:val="30"/>
          <w:lang w:bidi="ar"/>
        </w:rPr>
        <w:t>1、招标人可以对已发出的招标文件进行必要的澄清或者修改，将以“变更公告”的形式发布在乐采云平台，供应商应及时登录乐采云平台，进行浏览并下载，未及时浏览下载的责任自负。</w:t>
      </w:r>
    </w:p>
    <w:p w14:paraId="11ADFBC2">
      <w:pPr>
        <w:spacing w:line="360" w:lineRule="auto"/>
        <w:ind w:firstLine="602" w:firstLineChars="200"/>
        <w:jc w:val="left"/>
        <w:rPr>
          <w:rFonts w:ascii="宋体" w:hAnsi="宋体" w:cs="宋体"/>
          <w:b/>
          <w:sz w:val="30"/>
          <w:szCs w:val="30"/>
          <w:lang w:bidi="ar"/>
        </w:rPr>
      </w:pPr>
      <w:r>
        <w:rPr>
          <w:rFonts w:ascii="宋体" w:hAnsi="宋体" w:cs="宋体"/>
          <w:b/>
          <w:sz w:val="30"/>
          <w:szCs w:val="30"/>
          <w:lang w:bidi="ar"/>
        </w:rPr>
        <w:t xml:space="preserve"> </w:t>
      </w:r>
    </w:p>
    <w:p w14:paraId="2C54E536">
      <w:pPr>
        <w:pStyle w:val="43"/>
        <w:ind w:firstLine="720"/>
        <w:rPr>
          <w:rFonts w:hint="default" w:ascii="宋体" w:hAnsi="宋体" w:eastAsia="宋体" w:cs="宋体"/>
          <w:sz w:val="36"/>
          <w:szCs w:val="36"/>
        </w:rPr>
      </w:pPr>
    </w:p>
    <w:p w14:paraId="62841035">
      <w:pPr>
        <w:pStyle w:val="43"/>
        <w:ind w:firstLine="720"/>
        <w:rPr>
          <w:rFonts w:hint="default" w:ascii="宋体" w:hAnsi="宋体" w:eastAsia="宋体" w:cs="宋体"/>
          <w:sz w:val="36"/>
          <w:szCs w:val="36"/>
        </w:rPr>
      </w:pPr>
    </w:p>
    <w:p w14:paraId="6D3D877C">
      <w:pPr>
        <w:pStyle w:val="43"/>
        <w:ind w:firstLine="720"/>
        <w:rPr>
          <w:rFonts w:hint="default" w:ascii="宋体" w:hAnsi="宋体" w:eastAsia="宋体" w:cs="宋体"/>
          <w:sz w:val="36"/>
          <w:szCs w:val="36"/>
        </w:rPr>
      </w:pPr>
    </w:p>
    <w:p w14:paraId="6DA1710E">
      <w:pPr>
        <w:pStyle w:val="43"/>
        <w:ind w:firstLine="720"/>
        <w:rPr>
          <w:rFonts w:hint="default" w:ascii="宋体" w:hAnsi="宋体" w:eastAsia="宋体" w:cs="宋体"/>
          <w:sz w:val="36"/>
          <w:szCs w:val="36"/>
        </w:rPr>
      </w:pPr>
    </w:p>
    <w:p w14:paraId="3CBA4D2A">
      <w:pPr>
        <w:pStyle w:val="43"/>
        <w:ind w:firstLine="720"/>
        <w:rPr>
          <w:rFonts w:hint="default" w:ascii="宋体" w:hAnsi="宋体" w:eastAsia="宋体" w:cs="宋体"/>
          <w:sz w:val="36"/>
          <w:szCs w:val="36"/>
        </w:rPr>
      </w:pPr>
    </w:p>
    <w:p w14:paraId="557D761B">
      <w:pPr>
        <w:pStyle w:val="43"/>
        <w:ind w:firstLine="720"/>
        <w:rPr>
          <w:rFonts w:hint="default" w:ascii="宋体" w:hAnsi="宋体" w:eastAsia="宋体" w:cs="宋体"/>
          <w:sz w:val="36"/>
          <w:szCs w:val="36"/>
        </w:rPr>
      </w:pPr>
    </w:p>
    <w:p w14:paraId="3B7A51B7">
      <w:pPr>
        <w:pStyle w:val="43"/>
        <w:ind w:firstLine="720"/>
        <w:rPr>
          <w:rFonts w:hint="default" w:ascii="宋体" w:hAnsi="宋体" w:eastAsia="宋体" w:cs="宋体"/>
          <w:sz w:val="36"/>
          <w:szCs w:val="36"/>
        </w:rPr>
      </w:pPr>
    </w:p>
    <w:p w14:paraId="7C959C51">
      <w:pPr>
        <w:pStyle w:val="43"/>
        <w:ind w:firstLine="720"/>
        <w:rPr>
          <w:rFonts w:hint="default" w:ascii="宋体" w:hAnsi="宋体" w:eastAsia="宋体" w:cs="宋体"/>
          <w:sz w:val="36"/>
          <w:szCs w:val="36"/>
        </w:rPr>
      </w:pPr>
    </w:p>
    <w:p w14:paraId="71FB4C52">
      <w:pPr>
        <w:pStyle w:val="43"/>
        <w:ind w:firstLine="720"/>
        <w:rPr>
          <w:rFonts w:hint="default" w:ascii="宋体" w:hAnsi="宋体" w:eastAsia="宋体" w:cs="宋体"/>
          <w:sz w:val="36"/>
          <w:szCs w:val="36"/>
        </w:rPr>
      </w:pPr>
    </w:p>
    <w:p w14:paraId="54A7FEDD">
      <w:pPr>
        <w:pStyle w:val="43"/>
        <w:ind w:firstLine="720"/>
        <w:rPr>
          <w:rFonts w:hint="default" w:ascii="宋体" w:hAnsi="宋体" w:eastAsia="宋体" w:cs="宋体"/>
          <w:sz w:val="36"/>
          <w:szCs w:val="36"/>
        </w:rPr>
      </w:pPr>
    </w:p>
    <w:p w14:paraId="1F04C0B7">
      <w:pPr>
        <w:pStyle w:val="43"/>
        <w:ind w:firstLine="720"/>
        <w:rPr>
          <w:rFonts w:hint="default" w:ascii="宋体" w:hAnsi="宋体" w:eastAsia="宋体" w:cs="宋体"/>
          <w:sz w:val="36"/>
          <w:szCs w:val="36"/>
        </w:rPr>
      </w:pPr>
    </w:p>
    <w:p w14:paraId="6C1A12AF">
      <w:pPr>
        <w:pStyle w:val="43"/>
        <w:ind w:firstLine="720"/>
        <w:rPr>
          <w:rFonts w:hint="default" w:ascii="宋体" w:hAnsi="宋体" w:eastAsia="宋体" w:cs="宋体"/>
          <w:sz w:val="36"/>
          <w:szCs w:val="36"/>
        </w:rPr>
      </w:pPr>
    </w:p>
    <w:p w14:paraId="7D947267">
      <w:pPr>
        <w:pStyle w:val="43"/>
        <w:ind w:firstLine="720"/>
        <w:rPr>
          <w:rFonts w:hint="default" w:ascii="宋体" w:hAnsi="宋体" w:eastAsia="宋体" w:cs="宋体"/>
          <w:sz w:val="36"/>
          <w:szCs w:val="36"/>
        </w:rPr>
      </w:pPr>
    </w:p>
    <w:p w14:paraId="7BD918F7">
      <w:pPr>
        <w:pStyle w:val="43"/>
        <w:ind w:firstLine="720"/>
        <w:rPr>
          <w:rFonts w:hint="default" w:ascii="宋体" w:hAnsi="宋体" w:eastAsia="宋体" w:cs="宋体"/>
          <w:sz w:val="36"/>
          <w:szCs w:val="36"/>
        </w:rPr>
      </w:pPr>
    </w:p>
    <w:p w14:paraId="53F05FFB">
      <w:pPr>
        <w:pStyle w:val="43"/>
        <w:ind w:firstLine="720"/>
        <w:rPr>
          <w:rFonts w:hint="default" w:ascii="宋体" w:hAnsi="宋体" w:eastAsia="宋体" w:cs="宋体"/>
          <w:sz w:val="36"/>
          <w:szCs w:val="36"/>
        </w:rPr>
      </w:pPr>
    </w:p>
    <w:p w14:paraId="1C9E99BB">
      <w:pPr>
        <w:pStyle w:val="43"/>
        <w:ind w:firstLine="720"/>
        <w:rPr>
          <w:rFonts w:hint="default" w:ascii="宋体" w:hAnsi="宋体" w:eastAsia="宋体" w:cs="宋体"/>
          <w:sz w:val="36"/>
          <w:szCs w:val="36"/>
        </w:rPr>
      </w:pPr>
    </w:p>
    <w:p w14:paraId="4F36B42E">
      <w:pPr>
        <w:pStyle w:val="43"/>
        <w:ind w:firstLine="720"/>
        <w:rPr>
          <w:rFonts w:hint="default" w:ascii="宋体" w:hAnsi="宋体" w:eastAsia="宋体" w:cs="宋体"/>
          <w:sz w:val="36"/>
          <w:szCs w:val="36"/>
        </w:rPr>
      </w:pPr>
    </w:p>
    <w:p w14:paraId="752F61E3">
      <w:pPr>
        <w:rPr>
          <w:rFonts w:ascii="宋体" w:hAnsi="宋体" w:cs="宋体"/>
          <w:sz w:val="36"/>
          <w:szCs w:val="36"/>
        </w:rPr>
      </w:pPr>
    </w:p>
    <w:p w14:paraId="7713C441">
      <w:pPr>
        <w:pStyle w:val="43"/>
        <w:ind w:firstLine="480"/>
        <w:rPr>
          <w:rFonts w:hint="default" w:ascii="宋体" w:hAnsi="宋体" w:eastAsia="宋体" w:cs="宋体"/>
        </w:rPr>
      </w:pPr>
    </w:p>
    <w:p w14:paraId="43F27E8B">
      <w:pPr>
        <w:pStyle w:val="3"/>
        <w:keepLines/>
        <w:spacing w:before="340" w:after="330" w:line="360" w:lineRule="auto"/>
        <w:rPr>
          <w:rFonts w:ascii="宋体" w:hAnsi="宋体" w:cs="宋体"/>
          <w:sz w:val="36"/>
          <w:szCs w:val="36"/>
        </w:rPr>
        <w:sectPr>
          <w:headerReference r:id="rId5" w:type="default"/>
          <w:footerReference r:id="rId6" w:type="default"/>
          <w:type w:val="nextColumn"/>
          <w:pgSz w:w="11906" w:h="16838"/>
          <w:pgMar w:top="1134" w:right="1418" w:bottom="1134" w:left="1418" w:header="851" w:footer="992" w:gutter="0"/>
          <w:pgNumType w:start="1"/>
          <w:cols w:space="720" w:num="1"/>
          <w:docGrid w:linePitch="312" w:charSpace="0"/>
        </w:sectPr>
      </w:pPr>
    </w:p>
    <w:p w14:paraId="76FAA59F">
      <w:pPr>
        <w:tabs>
          <w:tab w:val="center" w:pos="4365"/>
        </w:tabs>
        <w:spacing w:line="480" w:lineRule="auto"/>
        <w:jc w:val="center"/>
        <w:rPr>
          <w:rFonts w:ascii="宋体" w:hAnsi="宋体" w:cs="宋体"/>
          <w:b/>
          <w:sz w:val="52"/>
          <w:szCs w:val="52"/>
        </w:rPr>
      </w:pPr>
      <w:r>
        <w:rPr>
          <w:rFonts w:hint="eastAsia" w:ascii="宋体" w:hAnsi="宋体" w:cs="宋体"/>
          <w:b/>
          <w:sz w:val="36"/>
          <w:szCs w:val="36"/>
        </w:rPr>
        <w:t>目    录</w:t>
      </w:r>
    </w:p>
    <w:p w14:paraId="194BD22C">
      <w:pPr>
        <w:pStyle w:val="30"/>
        <w:tabs>
          <w:tab w:val="right" w:leader="dot" w:pos="9073"/>
          <w:tab w:val="clear" w:pos="8721"/>
        </w:tabs>
        <w:spacing w:line="360" w:lineRule="auto"/>
        <w:rPr>
          <w:rFonts w:cs="宋体"/>
          <w:color w:val="auto"/>
          <w:sz w:val="21"/>
          <w:szCs w:val="21"/>
        </w:rPr>
      </w:pPr>
      <w:r>
        <w:rPr>
          <w:rFonts w:hint="eastAsia" w:cs="宋体"/>
          <w:color w:val="auto"/>
          <w:sz w:val="21"/>
          <w:szCs w:val="21"/>
        </w:rPr>
        <w:fldChar w:fldCharType="begin"/>
      </w:r>
      <w:r>
        <w:rPr>
          <w:rFonts w:hint="eastAsia" w:cs="宋体"/>
          <w:color w:val="auto"/>
          <w:sz w:val="21"/>
          <w:szCs w:val="21"/>
        </w:rPr>
        <w:instrText xml:space="preserve"> TOC \o "1-3" \h \z \u </w:instrText>
      </w:r>
      <w:r>
        <w:rPr>
          <w:rFonts w:hint="eastAsia" w:cs="宋体"/>
          <w:color w:val="auto"/>
          <w:sz w:val="21"/>
          <w:szCs w:val="21"/>
        </w:rPr>
        <w:fldChar w:fldCharType="separate"/>
      </w:r>
      <w:r>
        <w:fldChar w:fldCharType="begin"/>
      </w:r>
      <w:r>
        <w:instrText xml:space="preserve"> HYPERLINK \l "_Toc29951" </w:instrText>
      </w:r>
      <w:r>
        <w:fldChar w:fldCharType="separate"/>
      </w:r>
      <w:r>
        <w:rPr>
          <w:rFonts w:hint="eastAsia" w:cs="宋体"/>
          <w:color w:val="auto"/>
          <w:sz w:val="21"/>
          <w:szCs w:val="21"/>
        </w:rPr>
        <w:t>第一章  采购公告</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_Toc29951 </w:instrText>
      </w:r>
      <w:r>
        <w:rPr>
          <w:rFonts w:hint="eastAsia" w:cs="宋体"/>
          <w:color w:val="auto"/>
          <w:sz w:val="21"/>
          <w:szCs w:val="21"/>
        </w:rPr>
        <w:fldChar w:fldCharType="separate"/>
      </w:r>
      <w:r>
        <w:rPr>
          <w:rFonts w:hint="eastAsia" w:cs="宋体"/>
          <w:color w:val="auto"/>
          <w:sz w:val="21"/>
          <w:szCs w:val="21"/>
        </w:rPr>
        <w:t>2</w:t>
      </w:r>
      <w:r>
        <w:rPr>
          <w:rFonts w:hint="eastAsia" w:cs="宋体"/>
          <w:color w:val="auto"/>
          <w:sz w:val="21"/>
          <w:szCs w:val="21"/>
        </w:rPr>
        <w:fldChar w:fldCharType="end"/>
      </w:r>
      <w:r>
        <w:rPr>
          <w:rFonts w:hint="eastAsia" w:cs="宋体"/>
          <w:color w:val="auto"/>
          <w:sz w:val="21"/>
          <w:szCs w:val="21"/>
        </w:rPr>
        <w:fldChar w:fldCharType="end"/>
      </w:r>
    </w:p>
    <w:p w14:paraId="0315E5C4">
      <w:pPr>
        <w:pStyle w:val="30"/>
        <w:tabs>
          <w:tab w:val="right" w:leader="dot" w:pos="9073"/>
          <w:tab w:val="clear" w:pos="8721"/>
        </w:tabs>
        <w:spacing w:line="360" w:lineRule="auto"/>
        <w:rPr>
          <w:rFonts w:cs="宋体"/>
          <w:color w:val="auto"/>
          <w:sz w:val="21"/>
          <w:szCs w:val="21"/>
        </w:rPr>
      </w:pPr>
      <w:r>
        <w:fldChar w:fldCharType="begin"/>
      </w:r>
      <w:r>
        <w:instrText xml:space="preserve"> HYPERLINK \l "_Toc23064" </w:instrText>
      </w:r>
      <w:r>
        <w:fldChar w:fldCharType="separate"/>
      </w:r>
      <w:r>
        <w:rPr>
          <w:rFonts w:hint="eastAsia" w:cs="宋体"/>
          <w:color w:val="auto"/>
          <w:sz w:val="21"/>
          <w:szCs w:val="21"/>
        </w:rPr>
        <w:t>第二章  投标须知</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_Toc23064 </w:instrText>
      </w:r>
      <w:r>
        <w:rPr>
          <w:rFonts w:hint="eastAsia" w:cs="宋体"/>
          <w:color w:val="auto"/>
          <w:sz w:val="21"/>
          <w:szCs w:val="21"/>
        </w:rPr>
        <w:fldChar w:fldCharType="separate"/>
      </w:r>
      <w:r>
        <w:rPr>
          <w:rFonts w:hint="eastAsia" w:cs="宋体"/>
          <w:color w:val="auto"/>
          <w:sz w:val="21"/>
          <w:szCs w:val="21"/>
        </w:rPr>
        <w:t>5</w:t>
      </w:r>
      <w:r>
        <w:rPr>
          <w:rFonts w:hint="eastAsia" w:cs="宋体"/>
          <w:color w:val="auto"/>
          <w:sz w:val="21"/>
          <w:szCs w:val="21"/>
        </w:rPr>
        <w:fldChar w:fldCharType="end"/>
      </w:r>
      <w:r>
        <w:rPr>
          <w:rFonts w:hint="eastAsia" w:cs="宋体"/>
          <w:color w:val="auto"/>
          <w:sz w:val="21"/>
          <w:szCs w:val="21"/>
        </w:rPr>
        <w:fldChar w:fldCharType="end"/>
      </w:r>
    </w:p>
    <w:p w14:paraId="6D9CE237">
      <w:pPr>
        <w:pStyle w:val="30"/>
        <w:tabs>
          <w:tab w:val="right" w:leader="dot" w:pos="9073"/>
          <w:tab w:val="clear" w:pos="8721"/>
        </w:tabs>
        <w:spacing w:line="360" w:lineRule="auto"/>
        <w:rPr>
          <w:rFonts w:cs="宋体"/>
          <w:color w:val="auto"/>
          <w:sz w:val="21"/>
          <w:szCs w:val="21"/>
        </w:rPr>
      </w:pPr>
      <w:r>
        <w:fldChar w:fldCharType="begin"/>
      </w:r>
      <w:r>
        <w:instrText xml:space="preserve"> HYPERLINK \l "_Toc15581" </w:instrText>
      </w:r>
      <w:r>
        <w:fldChar w:fldCharType="separate"/>
      </w:r>
      <w:r>
        <w:rPr>
          <w:rFonts w:hint="eastAsia" w:cs="宋体"/>
          <w:color w:val="auto"/>
          <w:sz w:val="21"/>
          <w:szCs w:val="21"/>
        </w:rPr>
        <w:t>第三章  评标办法及标准</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_Toc15581 </w:instrText>
      </w:r>
      <w:r>
        <w:rPr>
          <w:rFonts w:hint="eastAsia" w:cs="宋体"/>
          <w:color w:val="auto"/>
          <w:sz w:val="21"/>
          <w:szCs w:val="21"/>
        </w:rPr>
        <w:fldChar w:fldCharType="separate"/>
      </w:r>
      <w:r>
        <w:rPr>
          <w:rFonts w:hint="eastAsia" w:cs="宋体"/>
          <w:color w:val="auto"/>
          <w:sz w:val="21"/>
          <w:szCs w:val="21"/>
        </w:rPr>
        <w:t>13</w:t>
      </w:r>
      <w:r>
        <w:rPr>
          <w:rFonts w:hint="eastAsia" w:cs="宋体"/>
          <w:color w:val="auto"/>
          <w:sz w:val="21"/>
          <w:szCs w:val="21"/>
        </w:rPr>
        <w:fldChar w:fldCharType="end"/>
      </w:r>
      <w:r>
        <w:rPr>
          <w:rFonts w:hint="eastAsia" w:cs="宋体"/>
          <w:color w:val="auto"/>
          <w:sz w:val="21"/>
          <w:szCs w:val="21"/>
        </w:rPr>
        <w:fldChar w:fldCharType="end"/>
      </w:r>
    </w:p>
    <w:p w14:paraId="7E2A149F">
      <w:pPr>
        <w:pStyle w:val="30"/>
        <w:tabs>
          <w:tab w:val="right" w:leader="dot" w:pos="9073"/>
          <w:tab w:val="clear" w:pos="8721"/>
        </w:tabs>
        <w:spacing w:line="360" w:lineRule="auto"/>
        <w:rPr>
          <w:rFonts w:cs="宋体"/>
          <w:color w:val="auto"/>
          <w:sz w:val="21"/>
          <w:szCs w:val="21"/>
        </w:rPr>
      </w:pPr>
      <w:r>
        <w:fldChar w:fldCharType="begin"/>
      </w:r>
      <w:r>
        <w:instrText xml:space="preserve"> HYPERLINK \l "_Toc16187" </w:instrText>
      </w:r>
      <w:r>
        <w:fldChar w:fldCharType="separate"/>
      </w:r>
      <w:r>
        <w:rPr>
          <w:rFonts w:hint="eastAsia" w:cs="宋体"/>
          <w:color w:val="auto"/>
          <w:sz w:val="21"/>
          <w:szCs w:val="21"/>
        </w:rPr>
        <w:t>第四章  采购合同样本</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_Toc16187 </w:instrText>
      </w:r>
      <w:r>
        <w:rPr>
          <w:rFonts w:hint="eastAsia" w:cs="宋体"/>
          <w:color w:val="auto"/>
          <w:sz w:val="21"/>
          <w:szCs w:val="21"/>
        </w:rPr>
        <w:fldChar w:fldCharType="separate"/>
      </w:r>
      <w:r>
        <w:rPr>
          <w:rFonts w:hint="eastAsia" w:cs="宋体"/>
          <w:color w:val="auto"/>
          <w:sz w:val="21"/>
          <w:szCs w:val="21"/>
        </w:rPr>
        <w:t>17</w:t>
      </w:r>
      <w:r>
        <w:rPr>
          <w:rFonts w:hint="eastAsia" w:cs="宋体"/>
          <w:color w:val="auto"/>
          <w:sz w:val="21"/>
          <w:szCs w:val="21"/>
        </w:rPr>
        <w:fldChar w:fldCharType="end"/>
      </w:r>
      <w:r>
        <w:rPr>
          <w:rFonts w:hint="eastAsia" w:cs="宋体"/>
          <w:color w:val="auto"/>
          <w:sz w:val="21"/>
          <w:szCs w:val="21"/>
        </w:rPr>
        <w:fldChar w:fldCharType="end"/>
      </w:r>
    </w:p>
    <w:p w14:paraId="4A2BF78B">
      <w:pPr>
        <w:pStyle w:val="30"/>
        <w:tabs>
          <w:tab w:val="right" w:leader="dot" w:pos="9073"/>
          <w:tab w:val="clear" w:pos="8721"/>
        </w:tabs>
        <w:spacing w:line="360" w:lineRule="auto"/>
        <w:rPr>
          <w:rFonts w:cs="宋体"/>
          <w:color w:val="auto"/>
          <w:sz w:val="21"/>
          <w:szCs w:val="21"/>
        </w:rPr>
      </w:pPr>
      <w:r>
        <w:fldChar w:fldCharType="begin"/>
      </w:r>
      <w:r>
        <w:instrText xml:space="preserve"> HYPERLINK \l "_Toc21364" </w:instrText>
      </w:r>
      <w:r>
        <w:fldChar w:fldCharType="separate"/>
      </w:r>
      <w:r>
        <w:rPr>
          <w:rFonts w:hint="eastAsia" w:cs="宋体"/>
          <w:color w:val="auto"/>
          <w:sz w:val="21"/>
          <w:szCs w:val="21"/>
        </w:rPr>
        <w:t>第五章  采购项目需求</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_Toc21364 </w:instrText>
      </w:r>
      <w:r>
        <w:rPr>
          <w:rFonts w:hint="eastAsia" w:cs="宋体"/>
          <w:color w:val="auto"/>
          <w:sz w:val="21"/>
          <w:szCs w:val="21"/>
        </w:rPr>
        <w:fldChar w:fldCharType="separate"/>
      </w:r>
      <w:r>
        <w:rPr>
          <w:rFonts w:hint="eastAsia" w:cs="宋体"/>
          <w:color w:val="auto"/>
          <w:sz w:val="21"/>
          <w:szCs w:val="21"/>
        </w:rPr>
        <w:t>20</w:t>
      </w:r>
      <w:r>
        <w:rPr>
          <w:rFonts w:hint="eastAsia" w:cs="宋体"/>
          <w:color w:val="auto"/>
          <w:sz w:val="21"/>
          <w:szCs w:val="21"/>
        </w:rPr>
        <w:fldChar w:fldCharType="end"/>
      </w:r>
      <w:r>
        <w:rPr>
          <w:rFonts w:hint="eastAsia" w:cs="宋体"/>
          <w:color w:val="auto"/>
          <w:sz w:val="21"/>
          <w:szCs w:val="21"/>
        </w:rPr>
        <w:fldChar w:fldCharType="end"/>
      </w:r>
    </w:p>
    <w:p w14:paraId="49A22037">
      <w:pPr>
        <w:pStyle w:val="30"/>
        <w:tabs>
          <w:tab w:val="right" w:leader="dot" w:pos="9073"/>
          <w:tab w:val="clear" w:pos="8721"/>
        </w:tabs>
        <w:spacing w:line="360" w:lineRule="auto"/>
        <w:rPr>
          <w:rFonts w:cs="宋体"/>
          <w:color w:val="auto"/>
          <w:sz w:val="21"/>
          <w:szCs w:val="21"/>
        </w:rPr>
      </w:pPr>
      <w:r>
        <w:fldChar w:fldCharType="begin"/>
      </w:r>
      <w:r>
        <w:instrText xml:space="preserve"> HYPERLINK \l "_Toc5926" </w:instrText>
      </w:r>
      <w:r>
        <w:fldChar w:fldCharType="separate"/>
      </w:r>
      <w:r>
        <w:rPr>
          <w:rFonts w:hint="eastAsia" w:cs="宋体"/>
          <w:color w:val="auto"/>
          <w:sz w:val="21"/>
          <w:szCs w:val="21"/>
        </w:rPr>
        <w:t>第六章  商务条款</w:t>
      </w:r>
      <w:r>
        <w:rPr>
          <w:rFonts w:hint="eastAsia" w:cs="宋体"/>
          <w:color w:val="auto"/>
          <w:sz w:val="21"/>
          <w:szCs w:val="21"/>
        </w:rPr>
        <w:tab/>
      </w:r>
      <w:r>
        <w:rPr>
          <w:rFonts w:hint="eastAsia" w:cs="宋体"/>
          <w:color w:val="auto"/>
          <w:sz w:val="21"/>
          <w:szCs w:val="21"/>
        </w:rPr>
        <w:fldChar w:fldCharType="end"/>
      </w:r>
      <w:r>
        <w:rPr>
          <w:rFonts w:cs="宋体"/>
          <w:color w:val="auto"/>
          <w:sz w:val="21"/>
          <w:szCs w:val="21"/>
        </w:rPr>
        <w:t>33</w:t>
      </w:r>
    </w:p>
    <w:p w14:paraId="4D3702D2">
      <w:pPr>
        <w:pStyle w:val="30"/>
        <w:tabs>
          <w:tab w:val="right" w:leader="dot" w:pos="9073"/>
          <w:tab w:val="clear" w:pos="8721"/>
        </w:tabs>
        <w:spacing w:line="360" w:lineRule="auto"/>
        <w:rPr>
          <w:rFonts w:cs="宋体"/>
          <w:color w:val="auto"/>
          <w:sz w:val="21"/>
          <w:szCs w:val="21"/>
        </w:rPr>
      </w:pPr>
      <w:r>
        <w:fldChar w:fldCharType="begin"/>
      </w:r>
      <w:r>
        <w:instrText xml:space="preserve"> HYPERLINK \l "_Toc5926" </w:instrText>
      </w:r>
      <w:r>
        <w:fldChar w:fldCharType="separate"/>
      </w:r>
      <w:r>
        <w:rPr>
          <w:rFonts w:hint="eastAsia" w:cs="宋体"/>
          <w:color w:val="auto"/>
          <w:sz w:val="21"/>
          <w:szCs w:val="21"/>
        </w:rPr>
        <w:t>第七章  附件</w:t>
      </w:r>
      <w:r>
        <w:rPr>
          <w:rFonts w:hint="eastAsia" w:cs="宋体"/>
          <w:color w:val="auto"/>
          <w:sz w:val="21"/>
          <w:szCs w:val="21"/>
        </w:rPr>
        <w:tab/>
      </w:r>
      <w:r>
        <w:rPr>
          <w:rFonts w:hint="eastAsia" w:cs="宋体"/>
          <w:color w:val="auto"/>
          <w:sz w:val="21"/>
          <w:szCs w:val="21"/>
        </w:rPr>
        <w:fldChar w:fldCharType="end"/>
      </w:r>
      <w:r>
        <w:rPr>
          <w:rFonts w:cs="宋体"/>
          <w:color w:val="auto"/>
          <w:sz w:val="21"/>
          <w:szCs w:val="21"/>
        </w:rPr>
        <w:t>34</w:t>
      </w:r>
    </w:p>
    <w:p w14:paraId="6E597DA1">
      <w:pPr>
        <w:spacing w:line="360" w:lineRule="auto"/>
        <w:jc w:val="center"/>
        <w:rPr>
          <w:rFonts w:ascii="宋体" w:hAnsi="宋体" w:cs="宋体"/>
          <w:b/>
          <w:szCs w:val="21"/>
        </w:rPr>
      </w:pPr>
      <w:r>
        <w:rPr>
          <w:rFonts w:hint="eastAsia" w:ascii="宋体" w:hAnsi="宋体" w:cs="宋体"/>
          <w:szCs w:val="21"/>
        </w:rPr>
        <w:fldChar w:fldCharType="end"/>
      </w:r>
    </w:p>
    <w:p w14:paraId="74A84CC1">
      <w:pPr>
        <w:spacing w:line="400" w:lineRule="exact"/>
        <w:jc w:val="center"/>
        <w:rPr>
          <w:rFonts w:ascii="宋体" w:hAnsi="宋体" w:cs="宋体"/>
          <w:b/>
          <w:szCs w:val="21"/>
        </w:rPr>
        <w:sectPr>
          <w:headerReference r:id="rId7" w:type="default"/>
          <w:footerReference r:id="rId8" w:type="default"/>
          <w:type w:val="nextColumn"/>
          <w:pgSz w:w="11907" w:h="16840"/>
          <w:pgMar w:top="1134" w:right="1417" w:bottom="1134" w:left="1417" w:header="569" w:footer="697" w:gutter="0"/>
          <w:pgNumType w:start="1"/>
          <w:cols w:space="720" w:num="1"/>
          <w:docGrid w:linePitch="285" w:charSpace="0"/>
        </w:sectPr>
      </w:pPr>
    </w:p>
    <w:p w14:paraId="77829604">
      <w:pPr>
        <w:pStyle w:val="3"/>
        <w:keepLines/>
        <w:spacing w:before="340" w:after="330" w:line="360" w:lineRule="auto"/>
        <w:rPr>
          <w:rFonts w:ascii="宋体" w:hAnsi="宋体" w:cs="宋体"/>
          <w:sz w:val="36"/>
          <w:szCs w:val="36"/>
        </w:rPr>
      </w:pPr>
      <w:bookmarkStart w:id="0" w:name="_Toc29951"/>
      <w:r>
        <w:rPr>
          <w:rFonts w:hint="eastAsia" w:ascii="宋体" w:hAnsi="宋体" w:cs="宋体"/>
          <w:sz w:val="36"/>
          <w:szCs w:val="36"/>
        </w:rPr>
        <w:t>第一章  采购公告</w:t>
      </w:r>
      <w:bookmarkEnd w:id="0"/>
    </w:p>
    <w:p w14:paraId="54AC68E1">
      <w:pPr>
        <w:spacing w:line="380" w:lineRule="exact"/>
        <w:ind w:firstLine="420" w:firstLineChars="200"/>
        <w:rPr>
          <w:rFonts w:ascii="宋体" w:hAnsi="宋体" w:cs="宋体"/>
          <w:szCs w:val="21"/>
        </w:rPr>
      </w:pPr>
      <w:r>
        <w:rPr>
          <w:rFonts w:hint="eastAsia" w:ascii="宋体" w:hAnsi="宋体" w:cs="宋体"/>
          <w:szCs w:val="21"/>
        </w:rPr>
        <w:t>根据《中华人民共和国招标投标法》、《关于规范国有企业货物和服务招标采购的指导意见（试行）》（慈国资【2014】149号）》等有关规定，宁波能诚工程管理有限公司受慈溪市排水有限公司的委托，就</w:t>
      </w:r>
      <w:r>
        <w:rPr>
          <w:rFonts w:hint="eastAsia" w:ascii="宋体" w:hAnsi="宋体" w:cs="宋体"/>
          <w:szCs w:val="21"/>
          <w:lang w:eastAsia="zh-CN"/>
        </w:rPr>
        <w:t>慈溪市排水有限公司污水处理厂、污水泵站废旧设备清运、集中堆放项目（重发）</w:t>
      </w:r>
      <w:r>
        <w:rPr>
          <w:rFonts w:hint="eastAsia" w:ascii="宋体" w:hAnsi="宋体" w:cs="宋体"/>
          <w:szCs w:val="21"/>
        </w:rPr>
        <w:t>进行公开招标，欢迎符合要求的供应商前来投标。</w:t>
      </w:r>
    </w:p>
    <w:p w14:paraId="00F6E241">
      <w:pPr>
        <w:spacing w:line="380" w:lineRule="exact"/>
        <w:rPr>
          <w:rFonts w:ascii="宋体" w:hAnsi="宋体" w:cs="宋体"/>
          <w:b/>
          <w:bCs/>
          <w:szCs w:val="21"/>
        </w:rPr>
      </w:pPr>
      <w:r>
        <w:rPr>
          <w:rFonts w:hint="eastAsia" w:ascii="宋体" w:hAnsi="宋体" w:cs="宋体"/>
          <w:b/>
          <w:bCs/>
          <w:szCs w:val="21"/>
        </w:rPr>
        <w:t>一、采购编号：QTGGZY2025</w:t>
      </w:r>
      <w:r>
        <w:rPr>
          <w:rFonts w:hint="eastAsia" w:ascii="宋体" w:hAnsi="宋体" w:cs="宋体"/>
          <w:b/>
          <w:bCs/>
          <w:szCs w:val="21"/>
          <w:lang w:val="en-US" w:eastAsia="zh-CN"/>
        </w:rPr>
        <w:t>089-2</w:t>
      </w:r>
      <w:r>
        <w:rPr>
          <w:rFonts w:hint="eastAsia" w:ascii="宋体" w:hAnsi="宋体" w:cs="宋体"/>
          <w:b/>
          <w:bCs/>
          <w:szCs w:val="21"/>
        </w:rPr>
        <w:t xml:space="preserve"> </w:t>
      </w:r>
    </w:p>
    <w:p w14:paraId="5A89C4B6">
      <w:pPr>
        <w:spacing w:line="380" w:lineRule="exact"/>
        <w:rPr>
          <w:rFonts w:hint="eastAsia" w:ascii="宋体" w:hAnsi="宋体" w:eastAsia="宋体" w:cs="宋体"/>
          <w:b/>
          <w:bCs/>
          <w:szCs w:val="21"/>
          <w:lang w:eastAsia="zh-CN"/>
        </w:rPr>
      </w:pPr>
      <w:r>
        <w:rPr>
          <w:rFonts w:hint="eastAsia" w:ascii="宋体" w:hAnsi="宋体" w:cs="宋体"/>
          <w:b/>
          <w:bCs/>
          <w:szCs w:val="21"/>
        </w:rPr>
        <w:t>二、项目名称：</w:t>
      </w:r>
      <w:r>
        <w:rPr>
          <w:rFonts w:hint="eastAsia" w:ascii="宋体" w:hAnsi="宋体" w:cs="宋体"/>
          <w:b/>
          <w:bCs/>
          <w:szCs w:val="21"/>
          <w:lang w:eastAsia="zh-CN"/>
        </w:rPr>
        <w:t>慈溪市排水有限公司污水处理厂、污水泵站废旧设备清运、集中堆放项目（重发）</w:t>
      </w:r>
      <w:r>
        <w:rPr>
          <w:rFonts w:hint="eastAsia" w:ascii="宋体" w:hAnsi="宋体" w:cs="宋体"/>
          <w:b/>
          <w:bCs/>
          <w:szCs w:val="21"/>
          <w:lang w:val="en-US" w:eastAsia="zh-CN"/>
        </w:rPr>
        <w:t xml:space="preserve"> </w:t>
      </w:r>
    </w:p>
    <w:p w14:paraId="4A644A48">
      <w:pPr>
        <w:spacing w:line="380" w:lineRule="exact"/>
        <w:rPr>
          <w:rFonts w:ascii="宋体" w:hAnsi="宋体" w:cs="宋体"/>
          <w:b/>
          <w:bCs/>
          <w:szCs w:val="21"/>
        </w:rPr>
      </w:pPr>
      <w:r>
        <w:rPr>
          <w:rFonts w:hint="eastAsia" w:ascii="宋体" w:hAnsi="宋体" w:cs="宋体"/>
          <w:b/>
          <w:bCs/>
          <w:szCs w:val="21"/>
        </w:rPr>
        <w:t>三、采购方式：公开招标</w:t>
      </w:r>
    </w:p>
    <w:p w14:paraId="44D6B8CD">
      <w:pPr>
        <w:spacing w:line="380" w:lineRule="exact"/>
        <w:rPr>
          <w:rFonts w:ascii="宋体" w:hAnsi="宋体" w:cs="宋体"/>
          <w:b/>
          <w:bCs/>
          <w:szCs w:val="21"/>
        </w:rPr>
      </w:pPr>
      <w:r>
        <w:rPr>
          <w:rFonts w:hint="eastAsia" w:ascii="宋体" w:hAnsi="宋体" w:cs="宋体"/>
          <w:b/>
          <w:bCs/>
          <w:szCs w:val="21"/>
        </w:rPr>
        <w:t>四、招标内容</w:t>
      </w:r>
    </w:p>
    <w:tbl>
      <w:tblPr>
        <w:tblStyle w:val="44"/>
        <w:tblW w:w="92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4"/>
        <w:gridCol w:w="3069"/>
        <w:gridCol w:w="3421"/>
        <w:gridCol w:w="1558"/>
      </w:tblGrid>
      <w:tr w14:paraId="05904C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1174" w:type="dxa"/>
            <w:shd w:val="clear" w:color="000000" w:fill="auto"/>
            <w:vAlign w:val="center"/>
          </w:tcPr>
          <w:p w14:paraId="641ECF45">
            <w:pPr>
              <w:spacing w:line="400" w:lineRule="exact"/>
              <w:jc w:val="center"/>
              <w:rPr>
                <w:rFonts w:ascii="宋体" w:hAnsi="宋体" w:cs="仿宋_GB2312"/>
                <w:b/>
                <w:bCs/>
                <w:szCs w:val="21"/>
              </w:rPr>
            </w:pPr>
            <w:r>
              <w:rPr>
                <w:rFonts w:hint="eastAsia" w:ascii="宋体" w:hAnsi="宋体" w:cs="仿宋_GB2312"/>
                <w:b/>
                <w:bCs/>
                <w:szCs w:val="21"/>
              </w:rPr>
              <w:t>子包号</w:t>
            </w:r>
          </w:p>
        </w:tc>
        <w:tc>
          <w:tcPr>
            <w:tcW w:w="3069" w:type="dxa"/>
            <w:shd w:val="clear" w:color="000000" w:fill="auto"/>
            <w:vAlign w:val="center"/>
          </w:tcPr>
          <w:p w14:paraId="657661E4">
            <w:pPr>
              <w:spacing w:line="400" w:lineRule="exact"/>
              <w:jc w:val="center"/>
              <w:rPr>
                <w:rFonts w:ascii="宋体" w:hAnsi="宋体" w:cs="仿宋_GB2312"/>
                <w:b/>
                <w:bCs/>
                <w:szCs w:val="21"/>
              </w:rPr>
            </w:pPr>
            <w:r>
              <w:rPr>
                <w:rFonts w:hint="eastAsia" w:ascii="宋体" w:hAnsi="宋体" w:cs="仿宋_GB2312"/>
                <w:b/>
                <w:bCs/>
                <w:szCs w:val="21"/>
              </w:rPr>
              <w:t>采购项目</w:t>
            </w:r>
          </w:p>
        </w:tc>
        <w:tc>
          <w:tcPr>
            <w:tcW w:w="3421" w:type="dxa"/>
            <w:shd w:val="clear" w:color="000000" w:fill="auto"/>
            <w:vAlign w:val="center"/>
          </w:tcPr>
          <w:p w14:paraId="4D5CB77B">
            <w:pPr>
              <w:spacing w:line="400" w:lineRule="exact"/>
              <w:jc w:val="center"/>
              <w:rPr>
                <w:rFonts w:ascii="宋体" w:hAnsi="宋体" w:cs="仿宋_GB2312"/>
                <w:b/>
                <w:bCs/>
                <w:szCs w:val="21"/>
              </w:rPr>
            </w:pPr>
            <w:r>
              <w:rPr>
                <w:rFonts w:hint="eastAsia" w:ascii="宋体" w:hAnsi="宋体" w:cs="仿宋_GB2312"/>
                <w:b/>
                <w:bCs/>
                <w:szCs w:val="21"/>
              </w:rPr>
              <w:t>技术要求</w:t>
            </w:r>
          </w:p>
        </w:tc>
        <w:tc>
          <w:tcPr>
            <w:tcW w:w="1558" w:type="dxa"/>
            <w:shd w:val="clear" w:color="000000" w:fill="auto"/>
            <w:vAlign w:val="center"/>
          </w:tcPr>
          <w:p w14:paraId="6CFDFCF9">
            <w:pPr>
              <w:spacing w:line="400" w:lineRule="exact"/>
              <w:jc w:val="center"/>
              <w:rPr>
                <w:rFonts w:ascii="宋体" w:hAnsi="宋体" w:cs="仿宋_GB2312"/>
                <w:b/>
                <w:bCs/>
                <w:szCs w:val="21"/>
              </w:rPr>
            </w:pPr>
            <w:r>
              <w:rPr>
                <w:rFonts w:hint="eastAsia" w:ascii="宋体" w:hAnsi="宋体" w:cs="仿宋_GB2312"/>
                <w:b/>
                <w:bCs/>
                <w:szCs w:val="21"/>
              </w:rPr>
              <w:t>最高限价</w:t>
            </w:r>
          </w:p>
        </w:tc>
      </w:tr>
      <w:tr w14:paraId="7C6C7D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74" w:type="dxa"/>
            <w:vAlign w:val="center"/>
          </w:tcPr>
          <w:p w14:paraId="6833C664">
            <w:pPr>
              <w:spacing w:line="400" w:lineRule="exact"/>
              <w:jc w:val="center"/>
              <w:rPr>
                <w:rFonts w:ascii="宋体" w:hAnsi="宋体"/>
                <w:szCs w:val="21"/>
              </w:rPr>
            </w:pPr>
            <w:r>
              <w:rPr>
                <w:rFonts w:hint="eastAsia" w:ascii="宋体" w:hAnsi="宋体"/>
                <w:szCs w:val="21"/>
              </w:rPr>
              <w:t>1</w:t>
            </w:r>
          </w:p>
        </w:tc>
        <w:tc>
          <w:tcPr>
            <w:tcW w:w="3069" w:type="dxa"/>
            <w:vAlign w:val="center"/>
          </w:tcPr>
          <w:p w14:paraId="26A2718E">
            <w:pPr>
              <w:pStyle w:val="41"/>
              <w:spacing w:line="360" w:lineRule="auto"/>
              <w:jc w:val="left"/>
              <w:outlineLvl w:val="9"/>
              <w:rPr>
                <w:rFonts w:hint="eastAsia" w:ascii="宋体" w:hAnsi="宋体" w:eastAsia="宋体"/>
                <w:b w:val="0"/>
                <w:bCs w:val="0"/>
                <w:kern w:val="0"/>
                <w:sz w:val="21"/>
                <w:szCs w:val="21"/>
                <w:lang w:eastAsia="zh-CN"/>
              </w:rPr>
            </w:pPr>
            <w:r>
              <w:rPr>
                <w:rFonts w:hint="eastAsia" w:ascii="宋体" w:hAnsi="宋体"/>
                <w:b w:val="0"/>
                <w:bCs w:val="0"/>
                <w:kern w:val="0"/>
                <w:sz w:val="21"/>
                <w:szCs w:val="21"/>
                <w:lang w:eastAsia="zh-CN"/>
              </w:rPr>
              <w:t>慈溪市排水有限公司污水处理厂、污水泵站废旧设备清运、集中堆放项目（重发）</w:t>
            </w:r>
          </w:p>
        </w:tc>
        <w:tc>
          <w:tcPr>
            <w:tcW w:w="3421" w:type="dxa"/>
            <w:vAlign w:val="center"/>
          </w:tcPr>
          <w:p w14:paraId="2D9870CD">
            <w:pPr>
              <w:spacing w:line="400" w:lineRule="exact"/>
              <w:jc w:val="center"/>
              <w:rPr>
                <w:rFonts w:ascii="宋体" w:hAnsi="宋体"/>
                <w:szCs w:val="21"/>
              </w:rPr>
            </w:pPr>
            <w:r>
              <w:rPr>
                <w:rFonts w:hint="eastAsia" w:ascii="宋体" w:hAnsi="宋体"/>
                <w:kern w:val="0"/>
                <w:szCs w:val="21"/>
              </w:rPr>
              <w:t xml:space="preserve"> 慈溪市排水有限公司污水处理厂、污水泵站废旧设备清运、集中堆放，具体见招标文件第五章采购项目需求。</w:t>
            </w:r>
          </w:p>
        </w:tc>
        <w:tc>
          <w:tcPr>
            <w:tcW w:w="1558" w:type="dxa"/>
            <w:vAlign w:val="center"/>
          </w:tcPr>
          <w:p w14:paraId="1A1B5C66">
            <w:pPr>
              <w:spacing w:line="400" w:lineRule="exact"/>
              <w:jc w:val="center"/>
              <w:rPr>
                <w:rFonts w:ascii="宋体" w:hAnsi="宋体"/>
                <w:szCs w:val="21"/>
              </w:rPr>
            </w:pPr>
            <w:r>
              <w:rPr>
                <w:rFonts w:hint="eastAsia" w:ascii="宋体" w:hAnsi="宋体"/>
                <w:szCs w:val="21"/>
              </w:rPr>
              <w:t>341960元</w:t>
            </w:r>
          </w:p>
        </w:tc>
      </w:tr>
    </w:tbl>
    <w:p w14:paraId="6B4E7414">
      <w:pPr>
        <w:spacing w:line="360" w:lineRule="auto"/>
        <w:ind w:firstLine="403" w:firstLineChars="192"/>
        <w:rPr>
          <w:rFonts w:ascii="宋体" w:hAnsi="宋体" w:cs="宋体"/>
          <w:szCs w:val="21"/>
        </w:rPr>
      </w:pPr>
      <w:r>
        <w:rPr>
          <w:rFonts w:hint="eastAsia" w:ascii="宋体" w:hAnsi="宋体" w:cs="宋体"/>
          <w:szCs w:val="21"/>
        </w:rPr>
        <w:t>五、投标方的资格要求：</w:t>
      </w:r>
    </w:p>
    <w:p w14:paraId="36D3C96A">
      <w:pPr>
        <w:spacing w:line="360" w:lineRule="auto"/>
        <w:ind w:firstLine="403" w:firstLineChars="192"/>
        <w:rPr>
          <w:rFonts w:ascii="宋体" w:hAnsi="宋体" w:cs="宋体"/>
          <w:szCs w:val="21"/>
        </w:rPr>
      </w:pPr>
      <w:r>
        <w:rPr>
          <w:rFonts w:hint="eastAsia" w:ascii="宋体" w:hAnsi="宋体" w:cs="宋体"/>
          <w:szCs w:val="21"/>
        </w:rPr>
        <w:t xml:space="preserve">1、投标方须具有合法有效的营业执照； </w:t>
      </w:r>
    </w:p>
    <w:p w14:paraId="4099E576">
      <w:pPr>
        <w:spacing w:line="360" w:lineRule="auto"/>
        <w:ind w:firstLine="403" w:firstLineChars="192"/>
        <w:rPr>
          <w:rFonts w:ascii="宋体" w:hAnsi="宋体" w:cs="宋体"/>
          <w:szCs w:val="21"/>
        </w:rPr>
      </w:pPr>
      <w:r>
        <w:rPr>
          <w:rFonts w:hint="eastAsia" w:ascii="宋体" w:hAnsi="宋体" w:cs="宋体"/>
          <w:szCs w:val="21"/>
        </w:rPr>
        <w:t>2、投标方未被信用中国网站（</w:t>
      </w:r>
      <w:r>
        <w:fldChar w:fldCharType="begin"/>
      </w:r>
      <w:r>
        <w:instrText xml:space="preserve"> HYPERLINK "http://www.creditchina.gov.cn" </w:instrText>
      </w:r>
      <w:r>
        <w:fldChar w:fldCharType="separate"/>
      </w:r>
      <w:r>
        <w:rPr>
          <w:rFonts w:hint="eastAsia" w:ascii="宋体" w:hAnsi="宋体" w:cs="宋体"/>
          <w:szCs w:val="21"/>
        </w:rPr>
        <w:t>www.creditchina.gov.cn</w:t>
      </w:r>
      <w:r>
        <w:rPr>
          <w:rFonts w:hint="eastAsia" w:ascii="宋体" w:hAnsi="宋体" w:cs="宋体"/>
          <w:szCs w:val="21"/>
        </w:rPr>
        <w:fldChar w:fldCharType="end"/>
      </w:r>
      <w:r>
        <w:rPr>
          <w:rFonts w:hint="eastAsia" w:ascii="宋体" w:hAnsi="宋体" w:cs="宋体"/>
          <w:szCs w:val="21"/>
        </w:rPr>
        <w:t>）列入失信被执行人、重大税收违法案件当事人名单，未被中国政府采购网（www.ccgp.gov.cn）列入政府采购严重违法失信行为记录名单；</w:t>
      </w:r>
    </w:p>
    <w:p w14:paraId="5C4E4B15">
      <w:pPr>
        <w:spacing w:line="360" w:lineRule="auto"/>
        <w:ind w:firstLine="420" w:firstLineChars="200"/>
        <w:rPr>
          <w:rFonts w:ascii="宋体" w:hAnsi="宋体" w:cs="宋体"/>
          <w:szCs w:val="21"/>
        </w:rPr>
      </w:pPr>
      <w:r>
        <w:rPr>
          <w:rFonts w:hint="eastAsia" w:ascii="宋体" w:hAnsi="宋体" w:cs="宋体"/>
          <w:szCs w:val="21"/>
        </w:rPr>
        <w:t>3、本项目不接受联合体投标。</w:t>
      </w:r>
    </w:p>
    <w:p w14:paraId="51A4E031">
      <w:pPr>
        <w:spacing w:line="360" w:lineRule="auto"/>
        <w:ind w:firstLine="420" w:firstLineChars="200"/>
        <w:rPr>
          <w:rFonts w:ascii="宋体" w:hAnsi="宋体" w:cs="宋体"/>
          <w:szCs w:val="21"/>
        </w:rPr>
      </w:pPr>
      <w:r>
        <w:rPr>
          <w:rFonts w:hint="eastAsia" w:ascii="宋体" w:hAnsi="宋体" w:cs="宋体"/>
          <w:szCs w:val="21"/>
        </w:rPr>
        <w:t>六、招标文件的获取：</w:t>
      </w:r>
    </w:p>
    <w:p w14:paraId="3B5A3602">
      <w:pPr>
        <w:spacing w:line="400" w:lineRule="exact"/>
        <w:ind w:firstLine="420" w:firstLineChars="200"/>
        <w:rPr>
          <w:rFonts w:ascii="宋体" w:hAnsi="宋体" w:cs="宋体"/>
          <w:szCs w:val="21"/>
        </w:rPr>
      </w:pPr>
      <w:r>
        <w:rPr>
          <w:rFonts w:hint="eastAsia" w:ascii="宋体" w:hAnsi="宋体" w:cs="宋体"/>
          <w:szCs w:val="21"/>
        </w:rPr>
        <w:t>1、时间：自招标公告发布之日起至202</w:t>
      </w:r>
      <w:r>
        <w:rPr>
          <w:rFonts w:ascii="宋体" w:hAnsi="宋体" w:cs="宋体"/>
          <w:szCs w:val="21"/>
        </w:rPr>
        <w:t>5</w:t>
      </w:r>
      <w:r>
        <w:rPr>
          <w:rFonts w:hint="eastAsia" w:ascii="宋体" w:hAnsi="宋体" w:cs="宋体"/>
          <w:szCs w:val="21"/>
        </w:rPr>
        <w:t>年</w:t>
      </w:r>
      <w:r>
        <w:rPr>
          <w:rFonts w:ascii="宋体" w:hAnsi="宋体" w:cs="宋体"/>
          <w:szCs w:val="21"/>
        </w:rPr>
        <w:t xml:space="preserve"> </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日止，每天上午00：00至12：00，下午12：00至23：59（北京时间）；</w:t>
      </w:r>
    </w:p>
    <w:p w14:paraId="2BE8B19B">
      <w:pPr>
        <w:spacing w:line="400" w:lineRule="exact"/>
        <w:ind w:firstLine="420" w:firstLineChars="200"/>
        <w:rPr>
          <w:rFonts w:ascii="宋体" w:hAnsi="宋体" w:cs="宋体"/>
          <w:szCs w:val="21"/>
        </w:rPr>
      </w:pPr>
      <w:r>
        <w:rPr>
          <w:rFonts w:hint="eastAsia" w:ascii="宋体" w:hAnsi="宋体" w:cs="宋体"/>
          <w:szCs w:val="21"/>
        </w:rPr>
        <w:t>2、地点：乐采云平台（</w:t>
      </w:r>
      <w:r>
        <w:rPr>
          <w:rFonts w:ascii="宋体" w:hAnsi="宋体" w:cs="宋体"/>
          <w:szCs w:val="21"/>
        </w:rPr>
        <w:t>https://www.lecaiyun.com/</w:t>
      </w:r>
      <w:r>
        <w:rPr>
          <w:rFonts w:hint="eastAsia" w:ascii="宋体" w:hAnsi="宋体" w:cs="宋体"/>
          <w:szCs w:val="21"/>
        </w:rPr>
        <w:t>）；</w:t>
      </w:r>
    </w:p>
    <w:p w14:paraId="4441007A">
      <w:pPr>
        <w:spacing w:line="400" w:lineRule="exact"/>
        <w:ind w:firstLine="420" w:firstLineChars="200"/>
        <w:rPr>
          <w:rFonts w:ascii="宋体" w:hAnsi="宋体" w:cs="宋体"/>
          <w:szCs w:val="21"/>
        </w:rPr>
      </w:pPr>
      <w:r>
        <w:rPr>
          <w:rFonts w:hint="eastAsia" w:ascii="宋体" w:hAnsi="宋体" w:cs="宋体"/>
          <w:szCs w:val="21"/>
        </w:rPr>
        <w:t>3、方式：本项目不提供纸制版招标文件，投标人可通过“浙江政府采购网”在线获取（采购公告下方选取“潜在供应商”处“获取采购文件”）；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14:paraId="0BEECCF4">
      <w:pPr>
        <w:spacing w:line="400" w:lineRule="exact"/>
        <w:ind w:firstLine="420" w:firstLineChars="200"/>
        <w:rPr>
          <w:rFonts w:ascii="宋体" w:hAnsi="宋体" w:cs="宋体"/>
          <w:szCs w:val="21"/>
        </w:rPr>
      </w:pPr>
      <w:r>
        <w:rPr>
          <w:rFonts w:hint="eastAsia" w:ascii="宋体" w:hAnsi="宋体" w:cs="宋体"/>
          <w:szCs w:val="21"/>
        </w:rPr>
        <w:t>4、招标文件售价：免费。</w:t>
      </w:r>
    </w:p>
    <w:p w14:paraId="302C3B16">
      <w:pPr>
        <w:widowControl/>
        <w:spacing w:line="400" w:lineRule="exact"/>
        <w:ind w:firstLine="420" w:firstLineChars="200"/>
        <w:rPr>
          <w:rFonts w:ascii="宋体" w:hAnsi="宋体" w:cs="宋体"/>
          <w:bCs/>
          <w:kern w:val="0"/>
          <w:szCs w:val="21"/>
        </w:rPr>
      </w:pPr>
      <w:r>
        <w:rPr>
          <w:rFonts w:hint="eastAsia" w:ascii="宋体" w:hAnsi="宋体" w:cs="宋体"/>
          <w:bCs/>
          <w:kern w:val="0"/>
          <w:szCs w:val="21"/>
        </w:rPr>
        <w:t>七、</w:t>
      </w:r>
      <w:r>
        <w:rPr>
          <w:rFonts w:hint="eastAsia" w:cs="宋体"/>
          <w:kern w:val="0"/>
        </w:rPr>
        <w:t>提交投标文件截止时间、开标时间和地点</w:t>
      </w:r>
      <w:r>
        <w:rPr>
          <w:rFonts w:hint="eastAsia" w:ascii="宋体" w:hAnsi="宋体" w:cs="宋体"/>
          <w:bCs/>
          <w:kern w:val="0"/>
          <w:szCs w:val="21"/>
        </w:rPr>
        <w:t>：</w:t>
      </w:r>
    </w:p>
    <w:p w14:paraId="75A77F76">
      <w:pPr>
        <w:spacing w:line="400" w:lineRule="exact"/>
        <w:ind w:firstLine="420" w:firstLineChars="200"/>
        <w:rPr>
          <w:rFonts w:ascii="宋体" w:hAnsi="宋体" w:cs="宋体"/>
          <w:szCs w:val="21"/>
        </w:rPr>
      </w:pPr>
      <w:r>
        <w:rPr>
          <w:rFonts w:hint="eastAsia" w:ascii="宋体" w:hAnsi="宋体" w:cs="宋体"/>
          <w:szCs w:val="21"/>
        </w:rPr>
        <w:t>1、提交投标文件截止时间：202</w:t>
      </w:r>
      <w:r>
        <w:rPr>
          <w:rFonts w:ascii="宋体" w:hAnsi="宋体" w:cs="宋体"/>
          <w:szCs w:val="21"/>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28</w:t>
      </w:r>
      <w:r>
        <w:rPr>
          <w:rFonts w:ascii="宋体" w:hAnsi="宋体" w:cs="宋体"/>
          <w:szCs w:val="21"/>
        </w:rPr>
        <w:t xml:space="preserve"> </w:t>
      </w:r>
      <w:r>
        <w:rPr>
          <w:rFonts w:hint="eastAsia" w:ascii="宋体" w:hAnsi="宋体" w:cs="宋体"/>
          <w:szCs w:val="21"/>
        </w:rPr>
        <w:t>日</w:t>
      </w:r>
      <w:r>
        <w:rPr>
          <w:rFonts w:ascii="宋体" w:hAnsi="宋体" w:cs="宋体"/>
          <w:szCs w:val="21"/>
        </w:rPr>
        <w:t>14</w:t>
      </w:r>
      <w:r>
        <w:rPr>
          <w:rFonts w:hint="eastAsia" w:ascii="宋体" w:hAnsi="宋体" w:cs="宋体"/>
          <w:szCs w:val="21"/>
        </w:rPr>
        <w:t>点30分（北京时间）。</w:t>
      </w:r>
    </w:p>
    <w:p w14:paraId="54B82C89">
      <w:pPr>
        <w:spacing w:line="400" w:lineRule="exact"/>
        <w:ind w:firstLine="420" w:firstLineChars="200"/>
        <w:rPr>
          <w:rFonts w:ascii="宋体" w:hAnsi="宋体" w:cs="宋体"/>
          <w:szCs w:val="21"/>
        </w:rPr>
      </w:pPr>
      <w:r>
        <w:rPr>
          <w:rFonts w:hint="eastAsia" w:ascii="宋体" w:hAnsi="宋体" w:cs="宋体"/>
          <w:szCs w:val="21"/>
        </w:rPr>
        <w:t>2、投标地点（网址）：乐采云 （https://www.lecaiyun.com/）。</w:t>
      </w:r>
    </w:p>
    <w:p w14:paraId="2A21D991">
      <w:pPr>
        <w:spacing w:line="400" w:lineRule="exact"/>
        <w:ind w:firstLine="420" w:firstLineChars="200"/>
        <w:rPr>
          <w:rFonts w:ascii="宋体" w:hAnsi="宋体" w:cs="宋体"/>
          <w:szCs w:val="21"/>
        </w:rPr>
      </w:pPr>
      <w:r>
        <w:rPr>
          <w:rFonts w:hint="eastAsia" w:ascii="宋体" w:hAnsi="宋体" w:cs="宋体"/>
          <w:szCs w:val="21"/>
        </w:rPr>
        <w:t>3、开标时间：202</w:t>
      </w:r>
      <w:r>
        <w:rPr>
          <w:rFonts w:ascii="宋体" w:hAnsi="宋体" w:cs="宋体"/>
          <w:szCs w:val="21"/>
        </w:rPr>
        <w:t>5</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r>
        <w:rPr>
          <w:rFonts w:ascii="宋体" w:hAnsi="宋体" w:cs="宋体"/>
          <w:szCs w:val="21"/>
        </w:rPr>
        <w:t>14</w:t>
      </w:r>
      <w:r>
        <w:rPr>
          <w:rFonts w:hint="eastAsia" w:ascii="宋体" w:hAnsi="宋体" w:cs="宋体"/>
          <w:szCs w:val="21"/>
        </w:rPr>
        <w:t>点30分（北京时间）。</w:t>
      </w:r>
      <w:bookmarkStart w:id="30" w:name="_GoBack"/>
      <w:bookmarkEnd w:id="30"/>
    </w:p>
    <w:p w14:paraId="4563F857">
      <w:pPr>
        <w:spacing w:line="400" w:lineRule="exact"/>
        <w:ind w:firstLine="420" w:firstLineChars="200"/>
        <w:rPr>
          <w:rFonts w:ascii="宋体" w:hAnsi="宋体" w:cs="宋体"/>
          <w:szCs w:val="21"/>
        </w:rPr>
      </w:pPr>
      <w:r>
        <w:rPr>
          <w:rFonts w:hint="eastAsia" w:ascii="宋体" w:hAnsi="宋体" w:cs="宋体"/>
          <w:szCs w:val="21"/>
        </w:rPr>
        <w:t>4、开标地点（网址）：乐采云平台开标大厅。</w:t>
      </w:r>
    </w:p>
    <w:p w14:paraId="6E72B5ED">
      <w:pPr>
        <w:spacing w:line="400" w:lineRule="exact"/>
        <w:ind w:firstLine="420" w:firstLineChars="200"/>
        <w:jc w:val="left"/>
        <w:rPr>
          <w:rFonts w:ascii="宋体" w:hAnsi="宋体" w:cs="仿宋_GB2312"/>
          <w:szCs w:val="21"/>
          <w:lang w:bidi="ar"/>
        </w:rPr>
      </w:pPr>
      <w:r>
        <w:rPr>
          <w:rFonts w:hint="eastAsia" w:ascii="宋体" w:hAnsi="宋体" w:cs="仿宋_GB2312"/>
          <w:szCs w:val="21"/>
          <w:lang w:bidi="ar"/>
        </w:rPr>
        <w:t>八、</w:t>
      </w:r>
      <w:r>
        <w:rPr>
          <w:rFonts w:hint="eastAsia"/>
          <w:bCs/>
          <w:szCs w:val="21"/>
        </w:rPr>
        <w:t>投标与开标注意事项：</w:t>
      </w:r>
    </w:p>
    <w:p w14:paraId="5E17194F">
      <w:pPr>
        <w:wordWrap w:val="0"/>
        <w:spacing w:line="400" w:lineRule="exact"/>
        <w:ind w:firstLine="420" w:firstLineChars="200"/>
        <w:rPr>
          <w:rFonts w:ascii="宋体" w:hAnsi="宋体" w:cs="宋体"/>
          <w:szCs w:val="21"/>
        </w:rPr>
      </w:pPr>
      <w:r>
        <w:rPr>
          <w:rFonts w:hint="eastAsia" w:ascii="宋体" w:hAnsi="宋体" w:cs="宋体"/>
          <w:szCs w:val="21"/>
        </w:rPr>
        <w:t>1.投标形式：本项目实行网上投标，采用电子投标文件。若供应商参与投标，自行承担投标一切费用。</w:t>
      </w:r>
    </w:p>
    <w:p w14:paraId="426DE02A">
      <w:pPr>
        <w:wordWrap w:val="0"/>
        <w:spacing w:line="400" w:lineRule="exact"/>
        <w:ind w:firstLine="420" w:firstLineChars="200"/>
      </w:pPr>
      <w:r>
        <w:rPr>
          <w:rFonts w:hint="eastAsia" w:ascii="宋体" w:hAnsi="宋体" w:cs="宋体"/>
          <w:szCs w:val="21"/>
        </w:rPr>
        <w:t>2.开标时间后半小时内投标人可以登录乐采云平台，用“项目采购-开标评标”功能进行解密投标文件。投标人按时在线解密投标文件的，以在线解密的投标文件作为评审依据，若投标人在规定时间内无法解密或解密失败，则以备份电子投标文件作为评审依据（若备份电子投标文件与乐采云平台上传的投标文件被识别为不一致，仍以备份电子投标文件作为评审依据）。若投标人在规定时间内无法解密或解密失败且未提供备份电子投标文件或所提供的备份电子投标文件无法读取的，视为投标文件撤回。</w:t>
      </w:r>
    </w:p>
    <w:p w14:paraId="2ED9853F">
      <w:pPr>
        <w:wordWrap w:val="0"/>
        <w:spacing w:line="400" w:lineRule="exact"/>
        <w:ind w:firstLine="420" w:firstLineChars="200"/>
        <w:rPr>
          <w:rFonts w:ascii="宋体" w:hAnsi="宋体" w:cs="宋体"/>
          <w:szCs w:val="21"/>
        </w:rPr>
      </w:pPr>
      <w:r>
        <w:rPr>
          <w:rFonts w:hint="eastAsia" w:ascii="宋体" w:hAnsi="宋体" w:cs="宋体"/>
          <w:szCs w:val="21"/>
        </w:rPr>
        <w:t>3.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14:paraId="347F8533">
      <w:pPr>
        <w:wordWrap w:val="0"/>
        <w:spacing w:line="400" w:lineRule="exact"/>
        <w:ind w:firstLine="420" w:firstLineChars="200"/>
        <w:rPr>
          <w:rFonts w:ascii="宋体" w:hAnsi="宋体" w:cs="宋体"/>
          <w:szCs w:val="21"/>
        </w:rPr>
      </w:pPr>
      <w:r>
        <w:rPr>
          <w:rFonts w:hint="eastAsia" w:ascii="宋体" w:hAnsi="宋体" w:cs="宋体"/>
          <w:szCs w:val="21"/>
        </w:rPr>
        <w:t>4.投标文件制作：</w:t>
      </w:r>
    </w:p>
    <w:p w14:paraId="11C73A51">
      <w:pPr>
        <w:wordWrap w:val="0"/>
        <w:spacing w:line="400" w:lineRule="exact"/>
        <w:ind w:firstLine="420" w:firstLineChars="200"/>
        <w:rPr>
          <w:rFonts w:ascii="宋体" w:hAnsi="宋体" w:cs="宋体"/>
          <w:szCs w:val="21"/>
        </w:rPr>
      </w:pPr>
      <w:r>
        <w:rPr>
          <w:rFonts w:hint="eastAsia" w:ascii="宋体" w:hAnsi="宋体" w:cs="宋体"/>
          <w:szCs w:val="21"/>
        </w:rPr>
        <w:t>1）应按照本项目招标文件和乐采云平台的要求编制、加密并递交投标文件。供应商在使用系统进行投标的过程中遇到涉及平台使用的任何问题，可致电乐采云平台技术支持热线咨询，联系方式：95763。</w:t>
      </w:r>
    </w:p>
    <w:p w14:paraId="3443A36E">
      <w:pPr>
        <w:wordWrap w:val="0"/>
        <w:spacing w:line="400" w:lineRule="exact"/>
        <w:ind w:firstLine="420" w:firstLineChars="200"/>
        <w:rPr>
          <w:rFonts w:ascii="宋体" w:hAnsi="宋体" w:cs="宋体"/>
          <w:szCs w:val="21"/>
        </w:rPr>
      </w:pPr>
      <w:r>
        <w:rPr>
          <w:rFonts w:hint="eastAsia" w:ascii="宋体" w:hAnsi="宋体" w:cs="宋体"/>
          <w:szCs w:val="21"/>
        </w:rPr>
        <w:t>2）供应商通过乐采云平台电子投标工具制作投标文件。电子投标工具请供应商自行前往乐采云投标客户端下载。</w:t>
      </w:r>
    </w:p>
    <w:p w14:paraId="199AD287">
      <w:pPr>
        <w:spacing w:line="400" w:lineRule="exact"/>
        <w:jc w:val="left"/>
        <w:rPr>
          <w:rFonts w:ascii="宋体" w:hAnsi="宋体" w:cs="宋体"/>
          <w:szCs w:val="21"/>
        </w:rPr>
      </w:pPr>
      <w:r>
        <w:rPr>
          <w:rFonts w:hint="eastAsia" w:ascii="宋体" w:hAnsi="宋体" w:cs="宋体"/>
          <w:szCs w:val="21"/>
        </w:rPr>
        <w:t>九、其他事项：</w:t>
      </w:r>
    </w:p>
    <w:p w14:paraId="589D8B9C">
      <w:pPr>
        <w:spacing w:line="400" w:lineRule="exact"/>
        <w:ind w:firstLine="315" w:firstLineChars="150"/>
        <w:jc w:val="left"/>
        <w:rPr>
          <w:rFonts w:ascii="宋体" w:hAnsi="宋体" w:cs="宋体"/>
          <w:szCs w:val="21"/>
        </w:rPr>
      </w:pPr>
      <w:r>
        <w:rPr>
          <w:rFonts w:hint="eastAsia" w:ascii="宋体" w:hAnsi="宋体" w:cs="宋体"/>
          <w:szCs w:val="21"/>
        </w:rPr>
        <w:t>1、单位负责人为同一人或者存在直接控股、管理关系的不同投标人，不得参加同一合同项下的投标。</w:t>
      </w:r>
    </w:p>
    <w:p w14:paraId="068DA919">
      <w:pPr>
        <w:spacing w:line="400" w:lineRule="exact"/>
        <w:ind w:firstLine="315" w:firstLineChars="150"/>
        <w:jc w:val="left"/>
        <w:rPr>
          <w:rFonts w:ascii="宋体" w:hAnsi="宋体" w:cs="宋体"/>
          <w:szCs w:val="21"/>
        </w:rPr>
      </w:pPr>
      <w:r>
        <w:rPr>
          <w:rFonts w:hint="eastAsia" w:ascii="宋体" w:hAnsi="宋体" w:cs="宋体"/>
          <w:szCs w:val="21"/>
        </w:rPr>
        <w:t>2、与招标人存在利害关系可能影响招标公正性的法人、其他组织或者个人，不得参加投标。</w:t>
      </w:r>
    </w:p>
    <w:p w14:paraId="6AEBF2C5">
      <w:pPr>
        <w:spacing w:line="400" w:lineRule="exact"/>
        <w:ind w:firstLine="420" w:firstLineChars="200"/>
        <w:rPr>
          <w:rFonts w:ascii="宋体" w:hAnsi="宋体" w:cs="宋体"/>
          <w:szCs w:val="21"/>
        </w:rPr>
      </w:pPr>
      <w:r>
        <w:rPr>
          <w:rFonts w:hint="eastAsia" w:ascii="宋体" w:hAnsi="宋体" w:cs="宋体"/>
          <w:szCs w:val="21"/>
        </w:rPr>
        <w:t>3、未获取招标文件者的投标将被拒绝。</w:t>
      </w:r>
    </w:p>
    <w:p w14:paraId="46377970">
      <w:pPr>
        <w:spacing w:line="400" w:lineRule="exact"/>
        <w:ind w:firstLine="420" w:firstLineChars="200"/>
        <w:rPr>
          <w:rFonts w:ascii="宋体" w:hAnsi="宋体" w:cs="仿宋_GB2312"/>
          <w:szCs w:val="21"/>
          <w:lang w:bidi="ar"/>
        </w:rPr>
      </w:pPr>
      <w:r>
        <w:rPr>
          <w:rFonts w:hint="eastAsia" w:ascii="宋体" w:hAnsi="宋体" w:cs="仿宋_GB2312"/>
          <w:szCs w:val="21"/>
          <w:lang w:bidi="ar"/>
        </w:rPr>
        <w:t xml:space="preserve">十、项目联系人： </w:t>
      </w:r>
    </w:p>
    <w:p w14:paraId="6D19B325">
      <w:pPr>
        <w:spacing w:line="400" w:lineRule="exact"/>
        <w:ind w:firstLine="420" w:firstLineChars="200"/>
        <w:rPr>
          <w:rFonts w:ascii="宋体" w:hAnsi="宋体" w:cs="宋体"/>
          <w:szCs w:val="21"/>
        </w:rPr>
      </w:pPr>
      <w:r>
        <w:rPr>
          <w:rFonts w:hint="eastAsia" w:ascii="宋体" w:hAnsi="宋体" w:cs="宋体"/>
          <w:szCs w:val="21"/>
        </w:rPr>
        <w:t>1、招标人名称：慈溪市排水有限公司</w:t>
      </w:r>
    </w:p>
    <w:p w14:paraId="0D7E37AC">
      <w:pPr>
        <w:spacing w:line="400" w:lineRule="exact"/>
        <w:ind w:firstLine="420" w:firstLineChars="200"/>
        <w:rPr>
          <w:rFonts w:ascii="宋体" w:hAnsi="宋体" w:cs="宋体"/>
          <w:szCs w:val="21"/>
        </w:rPr>
      </w:pPr>
      <w:r>
        <w:rPr>
          <w:rFonts w:hint="eastAsia" w:ascii="宋体" w:hAnsi="宋体" w:cs="宋体"/>
          <w:szCs w:val="21"/>
        </w:rPr>
        <w:t>地址</w:t>
      </w:r>
      <w:r>
        <w:rPr>
          <w:rFonts w:ascii="宋体" w:hAnsi="宋体" w:cs="宋体"/>
          <w:szCs w:val="21"/>
        </w:rPr>
        <w:t>：慈溪市古塘街道</w:t>
      </w:r>
      <w:r>
        <w:rPr>
          <w:rFonts w:hint="eastAsia" w:ascii="宋体" w:hAnsi="宋体" w:cs="宋体"/>
          <w:szCs w:val="21"/>
          <w:lang w:eastAsia="zh-CN"/>
        </w:rPr>
        <w:t>吉祥西路</w:t>
      </w:r>
      <w:r>
        <w:rPr>
          <w:rFonts w:hint="eastAsia" w:ascii="宋体" w:hAnsi="宋体" w:cs="宋体"/>
          <w:szCs w:val="21"/>
          <w:lang w:val="en-US" w:eastAsia="zh-CN"/>
        </w:rPr>
        <w:t>66</w:t>
      </w:r>
      <w:r>
        <w:rPr>
          <w:rFonts w:ascii="宋体" w:hAnsi="宋体" w:cs="宋体"/>
          <w:szCs w:val="21"/>
        </w:rPr>
        <w:t>号</w:t>
      </w:r>
    </w:p>
    <w:p w14:paraId="5FC66CB6">
      <w:pPr>
        <w:spacing w:line="400" w:lineRule="exact"/>
        <w:ind w:firstLine="420" w:firstLineChars="200"/>
        <w:rPr>
          <w:rFonts w:ascii="宋体" w:hAnsi="宋体" w:cs="宋体"/>
          <w:szCs w:val="21"/>
        </w:rPr>
      </w:pPr>
      <w:r>
        <w:rPr>
          <w:rFonts w:hint="eastAsia" w:ascii="宋体" w:hAnsi="宋体" w:cs="宋体"/>
          <w:szCs w:val="21"/>
        </w:rPr>
        <w:t>联 系 人：岑先生</w:t>
      </w:r>
    </w:p>
    <w:p w14:paraId="6C971746">
      <w:pPr>
        <w:spacing w:line="400" w:lineRule="exact"/>
        <w:ind w:firstLine="420" w:firstLineChars="200"/>
        <w:rPr>
          <w:rFonts w:ascii="宋体" w:hAnsi="宋体" w:cs="宋体"/>
          <w:szCs w:val="21"/>
        </w:rPr>
      </w:pPr>
      <w:r>
        <w:rPr>
          <w:rFonts w:hint="eastAsia" w:ascii="宋体" w:hAnsi="宋体" w:cs="宋体"/>
          <w:szCs w:val="21"/>
        </w:rPr>
        <w:t>联系电话：</w:t>
      </w:r>
      <w:r>
        <w:rPr>
          <w:rFonts w:ascii="宋体" w:hAnsi="宋体" w:cs="宋体"/>
          <w:szCs w:val="21"/>
        </w:rPr>
        <w:t>18605817690</w:t>
      </w:r>
    </w:p>
    <w:p w14:paraId="45A9B816">
      <w:pPr>
        <w:spacing w:line="400" w:lineRule="exact"/>
        <w:ind w:firstLine="420" w:firstLineChars="200"/>
        <w:rPr>
          <w:rFonts w:ascii="宋体" w:hAnsi="宋体" w:cs="宋体"/>
          <w:szCs w:val="21"/>
        </w:rPr>
      </w:pPr>
      <w:r>
        <w:rPr>
          <w:rFonts w:hint="eastAsia" w:ascii="宋体" w:hAnsi="宋体" w:cs="宋体"/>
          <w:szCs w:val="21"/>
        </w:rPr>
        <w:t>2、招标代理机构：宁波能诚工程管理有限公司</w:t>
      </w:r>
    </w:p>
    <w:p w14:paraId="6F8C9FBD">
      <w:pPr>
        <w:spacing w:line="400" w:lineRule="exact"/>
        <w:ind w:firstLine="420" w:firstLineChars="200"/>
        <w:rPr>
          <w:rFonts w:ascii="宋体" w:hAnsi="宋体" w:cs="宋体"/>
          <w:szCs w:val="21"/>
        </w:rPr>
      </w:pPr>
      <w:r>
        <w:rPr>
          <w:rFonts w:hint="eastAsia" w:ascii="宋体" w:hAnsi="宋体" w:cs="宋体"/>
          <w:szCs w:val="21"/>
        </w:rPr>
        <w:t>联系地址：慈溪市古塘街道大发路145号附楼三楼</w:t>
      </w:r>
      <w:r>
        <w:rPr>
          <w:rFonts w:ascii="宋体" w:hAnsi="宋体" w:cs="宋体"/>
          <w:szCs w:val="21"/>
        </w:rPr>
        <w:t xml:space="preserve"> </w:t>
      </w:r>
    </w:p>
    <w:p w14:paraId="1317598B">
      <w:pPr>
        <w:spacing w:line="400" w:lineRule="exact"/>
        <w:ind w:firstLine="420" w:firstLineChars="200"/>
        <w:rPr>
          <w:rFonts w:ascii="宋体" w:hAnsi="宋体" w:cs="宋体"/>
          <w:szCs w:val="21"/>
        </w:rPr>
      </w:pPr>
      <w:r>
        <w:rPr>
          <w:rFonts w:hint="eastAsia" w:ascii="宋体" w:hAnsi="宋体" w:cs="宋体"/>
          <w:szCs w:val="21"/>
        </w:rPr>
        <w:t>联 系 人：岑</w:t>
      </w:r>
      <w:r>
        <w:rPr>
          <w:rFonts w:ascii="宋体" w:hAnsi="宋体" w:cs="宋体"/>
          <w:szCs w:val="21"/>
        </w:rPr>
        <w:t>工</w:t>
      </w:r>
    </w:p>
    <w:p w14:paraId="526F2E34">
      <w:pPr>
        <w:spacing w:line="400" w:lineRule="exact"/>
        <w:ind w:firstLine="420" w:firstLineChars="200"/>
        <w:jc w:val="left"/>
        <w:rPr>
          <w:rFonts w:ascii="宋体" w:hAnsi="宋体" w:cs="宋体"/>
          <w:szCs w:val="21"/>
        </w:rPr>
      </w:pPr>
      <w:r>
        <w:rPr>
          <w:rFonts w:hint="eastAsia" w:ascii="宋体" w:hAnsi="宋体" w:cs="宋体"/>
          <w:szCs w:val="21"/>
        </w:rPr>
        <w:t>联系电话/传真：0574-5897633</w:t>
      </w:r>
      <w:r>
        <w:rPr>
          <w:rFonts w:ascii="宋体" w:hAnsi="宋体" w:cs="宋体"/>
          <w:szCs w:val="21"/>
        </w:rPr>
        <w:t>5</w:t>
      </w:r>
    </w:p>
    <w:p w14:paraId="08A53612">
      <w:pPr>
        <w:spacing w:line="380" w:lineRule="exact"/>
        <w:ind w:firstLine="420" w:firstLineChars="200"/>
        <w:jc w:val="left"/>
        <w:rPr>
          <w:rFonts w:ascii="宋体" w:hAnsi="宋体" w:cs="宋体"/>
          <w:szCs w:val="21"/>
        </w:rPr>
      </w:pPr>
      <w:r>
        <w:rPr>
          <w:rFonts w:hint="eastAsia" w:ascii="宋体" w:hAnsi="宋体" w:cs="宋体"/>
          <w:szCs w:val="21"/>
        </w:rPr>
        <w:t>3、投诉处理单位：宁波慈溪城建投资集团有限公司</w:t>
      </w:r>
    </w:p>
    <w:p w14:paraId="72CA5DA1">
      <w:pPr>
        <w:spacing w:line="380" w:lineRule="exact"/>
        <w:ind w:firstLine="420" w:firstLineChars="200"/>
        <w:jc w:val="left"/>
        <w:rPr>
          <w:rFonts w:ascii="宋体" w:hAnsi="宋体" w:cs="宋体"/>
          <w:szCs w:val="21"/>
        </w:rPr>
      </w:pPr>
      <w:r>
        <w:rPr>
          <w:rFonts w:hint="eastAsia" w:ascii="宋体" w:hAnsi="宋体" w:cs="宋体"/>
          <w:szCs w:val="21"/>
        </w:rPr>
        <w:t>联系地址：慈溪市三北大街674号</w:t>
      </w:r>
    </w:p>
    <w:p w14:paraId="6A60815F">
      <w:pPr>
        <w:spacing w:line="380" w:lineRule="exact"/>
        <w:ind w:firstLine="420" w:firstLineChars="200"/>
        <w:jc w:val="left"/>
        <w:rPr>
          <w:rFonts w:ascii="宋体" w:hAnsi="宋体" w:cs="宋体"/>
          <w:szCs w:val="21"/>
        </w:rPr>
      </w:pPr>
      <w:r>
        <w:rPr>
          <w:rFonts w:hint="eastAsia" w:ascii="宋体" w:hAnsi="宋体" w:cs="宋体"/>
          <w:szCs w:val="21"/>
        </w:rPr>
        <w:t>联系人：陆老师</w:t>
      </w:r>
    </w:p>
    <w:p w14:paraId="7A45F28B">
      <w:pPr>
        <w:spacing w:line="380" w:lineRule="exact"/>
        <w:ind w:left="630" w:leftChars="200" w:hanging="210" w:hangingChars="100"/>
        <w:jc w:val="left"/>
        <w:rPr>
          <w:rFonts w:ascii="宋体" w:hAnsi="宋体" w:cs="宋体"/>
          <w:b/>
          <w:bCs/>
          <w:kern w:val="44"/>
          <w:sz w:val="36"/>
          <w:szCs w:val="36"/>
        </w:rPr>
      </w:pPr>
      <w:r>
        <w:rPr>
          <w:rFonts w:hint="eastAsia" w:ascii="宋体" w:hAnsi="宋体" w:cs="宋体"/>
          <w:szCs w:val="21"/>
        </w:rPr>
        <w:t xml:space="preserve">联系电话：0574-63086539  </w:t>
      </w:r>
      <w:r>
        <w:rPr>
          <w:rFonts w:hint="eastAsia" w:ascii="宋体" w:hAnsi="宋体" w:cs="宋体"/>
          <w:szCs w:val="21"/>
        </w:rPr>
        <w:br w:type="page"/>
      </w:r>
      <w:bookmarkStart w:id="1" w:name="_Toc23064"/>
      <w:r>
        <w:rPr>
          <w:rFonts w:hint="eastAsia" w:ascii="宋体" w:hAnsi="宋体" w:cs="宋体"/>
          <w:b/>
          <w:bCs/>
          <w:kern w:val="44"/>
          <w:sz w:val="36"/>
          <w:szCs w:val="36"/>
        </w:rPr>
        <w:t>第二章  投标须知</w:t>
      </w:r>
      <w:bookmarkEnd w:id="1"/>
    </w:p>
    <w:p w14:paraId="4B05BC35">
      <w:pPr>
        <w:pStyle w:val="43"/>
        <w:ind w:firstLine="480"/>
        <w:rPr>
          <w:rFonts w:hint="default"/>
        </w:rPr>
      </w:pPr>
    </w:p>
    <w:p w14:paraId="27DF4F14">
      <w:pPr>
        <w:spacing w:line="380" w:lineRule="exact"/>
        <w:ind w:firstLine="422" w:firstLineChars="200"/>
        <w:rPr>
          <w:rFonts w:ascii="宋体" w:hAnsi="宋体" w:cs="宋体"/>
          <w:b/>
          <w:szCs w:val="21"/>
        </w:rPr>
      </w:pPr>
      <w:r>
        <w:rPr>
          <w:rFonts w:hint="eastAsia" w:ascii="宋体" w:hAnsi="宋体" w:cs="宋体"/>
          <w:b/>
          <w:szCs w:val="21"/>
        </w:rPr>
        <w:t>一、适用范围</w:t>
      </w:r>
    </w:p>
    <w:p w14:paraId="4BFA5B74">
      <w:pPr>
        <w:spacing w:line="380" w:lineRule="exact"/>
        <w:ind w:firstLine="420" w:firstLineChars="200"/>
        <w:jc w:val="left"/>
        <w:rPr>
          <w:rFonts w:ascii="宋体" w:hAnsi="宋体" w:cs="宋体"/>
          <w:szCs w:val="21"/>
        </w:rPr>
      </w:pPr>
      <w:r>
        <w:rPr>
          <w:rFonts w:hint="eastAsia" w:ascii="宋体" w:hAnsi="宋体" w:cs="宋体"/>
          <w:szCs w:val="21"/>
        </w:rPr>
        <w:t>本招标文件仅适用于本采购项目所叙述的货物（服务）的招标、评标、定标、验收、合同履约、付款等（法律、法规另有规定的，从其规定）。</w:t>
      </w:r>
    </w:p>
    <w:p w14:paraId="619E9CF3">
      <w:pPr>
        <w:spacing w:line="380" w:lineRule="exact"/>
        <w:ind w:firstLine="422" w:firstLineChars="200"/>
        <w:jc w:val="left"/>
        <w:rPr>
          <w:rFonts w:ascii="宋体" w:hAnsi="宋体" w:cs="宋体"/>
          <w:b/>
          <w:szCs w:val="21"/>
        </w:rPr>
      </w:pPr>
      <w:r>
        <w:rPr>
          <w:rFonts w:hint="eastAsia" w:ascii="宋体" w:hAnsi="宋体" w:cs="宋体"/>
          <w:b/>
          <w:szCs w:val="21"/>
        </w:rPr>
        <w:t>二、定义</w:t>
      </w:r>
    </w:p>
    <w:p w14:paraId="42C83E5D">
      <w:pPr>
        <w:spacing w:line="400" w:lineRule="exact"/>
        <w:ind w:firstLine="420" w:firstLineChars="200"/>
        <w:jc w:val="left"/>
        <w:rPr>
          <w:rFonts w:ascii="宋体" w:hAnsi="宋体" w:cs="宋体"/>
          <w:szCs w:val="21"/>
          <w:lang w:bidi="ar"/>
        </w:rPr>
      </w:pPr>
      <w:r>
        <w:rPr>
          <w:rFonts w:hint="eastAsia" w:ascii="宋体" w:hAnsi="宋体" w:cs="宋体"/>
          <w:szCs w:val="21"/>
          <w:lang w:bidi="ar"/>
        </w:rPr>
        <w:t>1、“招标人”系指慈溪市排水有限公司。</w:t>
      </w:r>
    </w:p>
    <w:p w14:paraId="3C315CE5">
      <w:pPr>
        <w:spacing w:line="400" w:lineRule="exact"/>
        <w:ind w:firstLine="420" w:firstLineChars="200"/>
        <w:jc w:val="left"/>
        <w:rPr>
          <w:rFonts w:ascii="宋体" w:hAnsi="宋体" w:cs="宋体"/>
          <w:szCs w:val="21"/>
        </w:rPr>
      </w:pPr>
      <w:r>
        <w:rPr>
          <w:rFonts w:hint="eastAsia" w:ascii="宋体" w:hAnsi="宋体" w:cs="宋体"/>
          <w:szCs w:val="21"/>
          <w:lang w:bidi="ar"/>
        </w:rPr>
        <w:t>2、“代理机构”系指宁波能诚工程管理有限公司。</w:t>
      </w:r>
    </w:p>
    <w:p w14:paraId="03741DE7">
      <w:pPr>
        <w:spacing w:line="400" w:lineRule="exact"/>
        <w:ind w:firstLine="420" w:firstLineChars="200"/>
        <w:jc w:val="left"/>
        <w:rPr>
          <w:rFonts w:ascii="宋体" w:hAnsi="宋体" w:cs="宋体"/>
          <w:szCs w:val="21"/>
        </w:rPr>
      </w:pPr>
      <w:r>
        <w:rPr>
          <w:rFonts w:hint="eastAsia" w:ascii="宋体" w:hAnsi="宋体" w:cs="宋体"/>
          <w:szCs w:val="21"/>
          <w:lang w:bidi="ar"/>
        </w:rPr>
        <w:t>3、“供应商”系指向招标人提供投标文件的供应商。</w:t>
      </w:r>
    </w:p>
    <w:p w14:paraId="7179DE42">
      <w:pPr>
        <w:spacing w:line="400" w:lineRule="exact"/>
        <w:ind w:firstLine="420" w:firstLineChars="200"/>
        <w:jc w:val="left"/>
        <w:rPr>
          <w:rFonts w:ascii="宋体" w:hAnsi="宋体" w:cs="宋体"/>
          <w:szCs w:val="21"/>
        </w:rPr>
      </w:pPr>
      <w:r>
        <w:rPr>
          <w:rFonts w:hint="eastAsia" w:ascii="宋体" w:hAnsi="宋体" w:cs="宋体"/>
          <w:szCs w:val="21"/>
          <w:lang w:bidi="ar"/>
        </w:rPr>
        <w:t>4、“中标人”系指在本次招标中确定向招标人提供</w:t>
      </w:r>
      <w:r>
        <w:rPr>
          <w:rFonts w:hint="eastAsia" w:ascii="宋体" w:hAnsi="宋体" w:cs="宋体"/>
          <w:szCs w:val="21"/>
          <w:lang w:eastAsia="zh-CN" w:bidi="ar"/>
        </w:rPr>
        <w:t>慈溪市排水有限公司污水处理厂、污水泵站废旧设备清运、集中堆放项目（重发）</w:t>
      </w:r>
      <w:r>
        <w:rPr>
          <w:rFonts w:hint="eastAsia" w:ascii="宋体" w:hAnsi="宋体" w:cs="宋体"/>
          <w:szCs w:val="21"/>
          <w:lang w:bidi="ar"/>
        </w:rPr>
        <w:t>的供应商；</w:t>
      </w:r>
    </w:p>
    <w:p w14:paraId="41E9BAF4">
      <w:pPr>
        <w:spacing w:line="400" w:lineRule="exact"/>
        <w:ind w:firstLine="420" w:firstLineChars="200"/>
        <w:jc w:val="left"/>
        <w:rPr>
          <w:rFonts w:ascii="宋体" w:hAnsi="宋体" w:cs="宋体"/>
          <w:szCs w:val="21"/>
        </w:rPr>
      </w:pPr>
      <w:r>
        <w:rPr>
          <w:rFonts w:hint="eastAsia" w:ascii="宋体" w:hAnsi="宋体" w:cs="宋体"/>
          <w:szCs w:val="21"/>
        </w:rPr>
        <w:t>5、“货物”系指供应商按招标文件规定，须向采购人提供的一切设备、保险、税金、备品备件、工具、手册及其它有关技术资料和材料。</w:t>
      </w:r>
    </w:p>
    <w:p w14:paraId="1AA7A7CF">
      <w:pPr>
        <w:widowControl/>
        <w:ind w:firstLine="525" w:firstLineChars="250"/>
        <w:jc w:val="left"/>
        <w:rPr>
          <w:rFonts w:ascii="宋体" w:hAnsi="宋体" w:cs="宋体"/>
          <w:szCs w:val="21"/>
        </w:rPr>
      </w:pPr>
      <w:r>
        <w:rPr>
          <w:rFonts w:hint="eastAsia" w:ascii="宋体" w:hAnsi="宋体" w:cs="宋体"/>
          <w:szCs w:val="21"/>
        </w:rPr>
        <w:t>6、“服务”系指招标文件规定供应商须承担的设备清运、集中堆放、小型拆卸机械费、措施费、保险、税金、原建筑保护、切割辅材以及其他类似的义务。</w:t>
      </w:r>
    </w:p>
    <w:p w14:paraId="01E660FB">
      <w:pPr>
        <w:spacing w:line="400" w:lineRule="exact"/>
        <w:ind w:firstLine="420" w:firstLineChars="200"/>
        <w:jc w:val="left"/>
        <w:rPr>
          <w:rFonts w:ascii="宋体" w:hAnsi="宋体" w:cs="宋体"/>
          <w:szCs w:val="21"/>
        </w:rPr>
      </w:pPr>
      <w:r>
        <w:rPr>
          <w:rFonts w:hint="eastAsia" w:ascii="宋体" w:hAnsi="宋体" w:cs="宋体"/>
          <w:szCs w:val="21"/>
        </w:rPr>
        <w:t>7、“▲”系指实质性响应条款。</w:t>
      </w:r>
    </w:p>
    <w:p w14:paraId="3E9FF545">
      <w:pPr>
        <w:spacing w:line="380" w:lineRule="exact"/>
        <w:ind w:firstLine="422" w:firstLineChars="200"/>
        <w:jc w:val="left"/>
        <w:rPr>
          <w:rFonts w:ascii="宋体" w:hAnsi="宋体" w:cs="宋体"/>
          <w:b/>
          <w:szCs w:val="21"/>
        </w:rPr>
      </w:pPr>
      <w:r>
        <w:rPr>
          <w:rFonts w:hint="eastAsia" w:ascii="宋体" w:hAnsi="宋体" w:cs="宋体"/>
          <w:b/>
          <w:szCs w:val="21"/>
        </w:rPr>
        <w:t>三、供应商的资格要求</w:t>
      </w:r>
    </w:p>
    <w:p w14:paraId="746ECF90">
      <w:pPr>
        <w:spacing w:line="380" w:lineRule="exact"/>
        <w:ind w:firstLine="420" w:firstLineChars="200"/>
        <w:jc w:val="left"/>
        <w:rPr>
          <w:rFonts w:ascii="宋体" w:hAnsi="宋体" w:cs="宋体"/>
          <w:szCs w:val="21"/>
        </w:rPr>
      </w:pPr>
      <w:r>
        <w:rPr>
          <w:rFonts w:hint="eastAsia" w:ascii="宋体" w:hAnsi="宋体" w:cs="宋体"/>
          <w:szCs w:val="21"/>
        </w:rPr>
        <w:t>详见采购公告。</w:t>
      </w:r>
    </w:p>
    <w:p w14:paraId="7C93FE8C">
      <w:pPr>
        <w:spacing w:line="380" w:lineRule="exact"/>
        <w:ind w:firstLine="422" w:firstLineChars="200"/>
        <w:jc w:val="left"/>
        <w:rPr>
          <w:rFonts w:ascii="宋体" w:hAnsi="宋体" w:cs="宋体"/>
          <w:b/>
          <w:szCs w:val="21"/>
        </w:rPr>
      </w:pPr>
      <w:r>
        <w:rPr>
          <w:rFonts w:hint="eastAsia" w:ascii="宋体" w:hAnsi="宋体" w:cs="宋体"/>
          <w:b/>
          <w:szCs w:val="21"/>
        </w:rPr>
        <w:t>四、投标费用</w:t>
      </w:r>
    </w:p>
    <w:p w14:paraId="6D0D1E26">
      <w:pPr>
        <w:spacing w:line="380" w:lineRule="exact"/>
        <w:ind w:firstLine="420" w:firstLineChars="200"/>
        <w:jc w:val="left"/>
        <w:rPr>
          <w:rFonts w:ascii="宋体" w:hAnsi="宋体" w:cs="宋体"/>
          <w:szCs w:val="21"/>
        </w:rPr>
      </w:pPr>
      <w:r>
        <w:rPr>
          <w:rFonts w:hint="eastAsia" w:ascii="宋体" w:hAnsi="宋体" w:cs="宋体"/>
          <w:szCs w:val="21"/>
        </w:rPr>
        <w:t>1、无论投标过程和结果如何，供应商自行承担与投标有关的全部费用。</w:t>
      </w:r>
    </w:p>
    <w:p w14:paraId="54FD6CE4">
      <w:pPr>
        <w:spacing w:line="400" w:lineRule="exact"/>
        <w:ind w:firstLine="420" w:firstLineChars="200"/>
        <w:jc w:val="left"/>
        <w:rPr>
          <w:rFonts w:ascii="宋体" w:hAnsi="宋体"/>
          <w:szCs w:val="21"/>
        </w:rPr>
      </w:pPr>
      <w:r>
        <w:rPr>
          <w:rFonts w:hint="eastAsia" w:ascii="宋体" w:hAnsi="宋体" w:cs="宋体"/>
          <w:szCs w:val="21"/>
        </w:rPr>
        <w:t>2、供应商准备和参加投标活动发生的费用自理，本次采购中标服务费由中标人支付，</w:t>
      </w:r>
      <w:r>
        <w:rPr>
          <w:rFonts w:hint="eastAsia" w:ascii="宋体" w:hAnsi="宋体" w:cs="宋体"/>
          <w:szCs w:val="21"/>
          <w:lang w:bidi="ar"/>
        </w:rPr>
        <w:t>中标人在发放中标通知书之前支付给代理机构</w:t>
      </w:r>
      <w:r>
        <w:rPr>
          <w:rFonts w:hint="eastAsia" w:ascii="宋体" w:hAnsi="宋体" w:cs="宋体"/>
          <w:szCs w:val="21"/>
        </w:rPr>
        <w:t>代理</w:t>
      </w:r>
      <w:r>
        <w:rPr>
          <w:rFonts w:hint="eastAsia" w:ascii="宋体" w:hAnsi="宋体" w:cs="宋体"/>
          <w:bCs/>
          <w:szCs w:val="21"/>
        </w:rPr>
        <w:t>。</w:t>
      </w:r>
      <w:r>
        <w:rPr>
          <w:rFonts w:hint="eastAsia" w:ascii="宋体" w:hAnsi="宋体" w:cs="宋体"/>
          <w:szCs w:val="21"/>
          <w:lang w:bidi="ar"/>
        </w:rPr>
        <w:t>代理服务费不另列项目，但其费用在报价时综合考虑，投标总价中包含此项费用。招标代理服务费金额：</w:t>
      </w:r>
      <w:r>
        <w:rPr>
          <w:rFonts w:hint="eastAsia" w:ascii="宋体" w:hAnsi="宋体"/>
          <w:szCs w:val="21"/>
        </w:rPr>
        <w:t>按发改价格【2011】534号等文件收费标准乘以报价折70%，类型按服务招标，低于5000元按5000元计取。</w:t>
      </w:r>
    </w:p>
    <w:p w14:paraId="04F50FD6">
      <w:pPr>
        <w:spacing w:line="400" w:lineRule="exact"/>
        <w:ind w:firstLine="420" w:firstLineChars="200"/>
        <w:jc w:val="left"/>
      </w:pPr>
      <w:r>
        <w:rPr>
          <w:rFonts w:hint="eastAsia" w:ascii="宋体" w:hAnsi="宋体"/>
          <w:szCs w:val="21"/>
        </w:rPr>
        <w:t>3、</w:t>
      </w:r>
      <w:r>
        <w:rPr>
          <w:rFonts w:ascii="宋体" w:hAnsi="宋体"/>
          <w:szCs w:val="21"/>
        </w:rPr>
        <w:t>中标人需</w:t>
      </w:r>
      <w:r>
        <w:rPr>
          <w:rFonts w:hint="eastAsia" w:ascii="宋体" w:hAnsi="宋体"/>
          <w:szCs w:val="21"/>
        </w:rPr>
        <w:t>按慈溪市公共资源交易中心的规定，</w:t>
      </w:r>
      <w:r>
        <w:rPr>
          <w:rFonts w:ascii="宋体" w:hAnsi="宋体"/>
          <w:szCs w:val="21"/>
        </w:rPr>
        <w:t>缴纳中标金额0.</w:t>
      </w:r>
      <w:r>
        <w:rPr>
          <w:rFonts w:hint="eastAsia" w:ascii="宋体" w:hAnsi="宋体"/>
          <w:szCs w:val="21"/>
        </w:rPr>
        <w:t>15</w:t>
      </w:r>
      <w:r>
        <w:rPr>
          <w:rFonts w:ascii="宋体" w:hAnsi="宋体"/>
          <w:szCs w:val="21"/>
        </w:rPr>
        <w:t>‰的交易费。</w:t>
      </w:r>
    </w:p>
    <w:p w14:paraId="6F4A4DA7">
      <w:pPr>
        <w:spacing w:line="380" w:lineRule="exact"/>
        <w:ind w:firstLine="422" w:firstLineChars="200"/>
        <w:jc w:val="left"/>
        <w:rPr>
          <w:rFonts w:ascii="宋体" w:hAnsi="宋体" w:cs="宋体"/>
          <w:b/>
          <w:szCs w:val="21"/>
        </w:rPr>
      </w:pPr>
      <w:r>
        <w:rPr>
          <w:rFonts w:hint="eastAsia" w:ascii="宋体" w:hAnsi="宋体" w:cs="宋体"/>
          <w:b/>
          <w:szCs w:val="21"/>
        </w:rPr>
        <w:t>五、投标报价</w:t>
      </w:r>
    </w:p>
    <w:p w14:paraId="599AFE41">
      <w:pPr>
        <w:spacing w:line="380" w:lineRule="exact"/>
        <w:ind w:firstLine="420" w:firstLineChars="200"/>
        <w:jc w:val="left"/>
        <w:rPr>
          <w:rFonts w:ascii="宋体" w:hAnsi="宋体" w:cs="宋体"/>
          <w:szCs w:val="21"/>
          <w:lang w:val="zh-CN"/>
        </w:rPr>
      </w:pPr>
      <w:r>
        <w:rPr>
          <w:rFonts w:hint="eastAsia" w:ascii="宋体" w:hAnsi="宋体" w:cs="宋体"/>
          <w:szCs w:val="21"/>
          <w:lang w:val="zh-CN"/>
        </w:rPr>
        <w:t>1、投标报价以人民币为结算货币。</w:t>
      </w:r>
    </w:p>
    <w:p w14:paraId="7D5BECA2">
      <w:pPr>
        <w:spacing w:line="380" w:lineRule="exact"/>
        <w:ind w:firstLine="420" w:firstLineChars="200"/>
        <w:jc w:val="lef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）开标时，供应商应按招标文件要求认真填写报价内容，投标文件报价前后不一致的，按以下规定修正：</w:t>
      </w:r>
    </w:p>
    <w:p w14:paraId="532F4EC0">
      <w:pPr>
        <w:spacing w:line="380" w:lineRule="exact"/>
        <w:ind w:firstLine="420" w:firstLineChars="200"/>
        <w:jc w:val="left"/>
        <w:rPr>
          <w:rFonts w:ascii="宋体" w:hAnsi="宋体" w:cs="宋体"/>
          <w:szCs w:val="21"/>
          <w:lang w:val="zh-CN"/>
        </w:rPr>
      </w:pPr>
      <w:r>
        <w:rPr>
          <w:rFonts w:hint="eastAsia" w:ascii="宋体" w:hAnsi="宋体" w:cs="宋体"/>
          <w:szCs w:val="21"/>
          <w:lang w:val="zh-CN"/>
        </w:rPr>
        <w:t>①投标文件中开标一览表（报价表）内容与投标文件中相应内容不一致的，以开标一览表（报价表）为准；</w:t>
      </w:r>
    </w:p>
    <w:p w14:paraId="0466C922">
      <w:pPr>
        <w:spacing w:line="380" w:lineRule="exact"/>
        <w:ind w:firstLine="420" w:firstLineChars="200"/>
        <w:jc w:val="left"/>
        <w:rPr>
          <w:rFonts w:ascii="宋体" w:hAnsi="宋体" w:cs="宋体"/>
          <w:szCs w:val="21"/>
          <w:lang w:val="zh-CN"/>
        </w:rPr>
      </w:pPr>
      <w:r>
        <w:rPr>
          <w:rFonts w:hint="eastAsia" w:ascii="宋体" w:hAnsi="宋体" w:cs="宋体"/>
          <w:szCs w:val="21"/>
          <w:lang w:val="zh-CN"/>
        </w:rPr>
        <w:t>②投标文件的大写金额和小写金额不一致的，以大写金额为准；</w:t>
      </w:r>
    </w:p>
    <w:p w14:paraId="4162FDCA">
      <w:pPr>
        <w:spacing w:line="380" w:lineRule="exact"/>
        <w:ind w:firstLine="420" w:firstLineChars="200"/>
        <w:jc w:val="left"/>
        <w:rPr>
          <w:rFonts w:ascii="宋体" w:hAnsi="宋体" w:cs="宋体"/>
          <w:szCs w:val="21"/>
          <w:lang w:val="zh-CN"/>
        </w:rPr>
      </w:pPr>
      <w:r>
        <w:rPr>
          <w:rFonts w:hint="eastAsia" w:ascii="宋体" w:hAnsi="宋体" w:cs="宋体"/>
          <w:szCs w:val="21"/>
          <w:lang w:val="zh-CN"/>
        </w:rPr>
        <w:t>③单价金额小数点或者百分比有明显错位的，以开标一览表的总价为准，并修改单价；</w:t>
      </w:r>
    </w:p>
    <w:p w14:paraId="6211E0C8">
      <w:pPr>
        <w:spacing w:line="380" w:lineRule="exact"/>
        <w:ind w:firstLine="420" w:firstLineChars="200"/>
        <w:jc w:val="left"/>
        <w:rPr>
          <w:rFonts w:ascii="宋体" w:hAnsi="宋体" w:cs="宋体"/>
          <w:szCs w:val="21"/>
          <w:lang w:val="zh-CN"/>
        </w:rPr>
      </w:pPr>
      <w:r>
        <w:rPr>
          <w:rFonts w:hint="eastAsia" w:ascii="宋体" w:hAnsi="宋体" w:cs="宋体"/>
          <w:szCs w:val="21"/>
          <w:lang w:val="zh-CN"/>
        </w:rPr>
        <w:t>④总价金额与按单价汇总金额不一致的，以单价金额计算结果为准。</w:t>
      </w:r>
    </w:p>
    <w:p w14:paraId="288F35AD">
      <w:pPr>
        <w:spacing w:line="380" w:lineRule="exact"/>
        <w:ind w:firstLine="420" w:firstLineChars="200"/>
        <w:jc w:val="left"/>
        <w:rPr>
          <w:rFonts w:ascii="宋体" w:hAnsi="宋体" w:cs="宋体"/>
          <w:szCs w:val="21"/>
          <w:lang w:val="zh-CN"/>
        </w:rPr>
      </w:pPr>
      <w:r>
        <w:rPr>
          <w:rFonts w:hint="eastAsia" w:ascii="宋体" w:hAnsi="宋体" w:cs="宋体"/>
          <w:szCs w:val="21"/>
          <w:lang w:val="zh-CN"/>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14:paraId="34D49C8A">
      <w:pPr>
        <w:spacing w:line="380" w:lineRule="exact"/>
        <w:ind w:firstLine="420" w:firstLineChars="200"/>
        <w:jc w:val="left"/>
        <w:rPr>
          <w:rFonts w:ascii="宋体" w:hAnsi="宋体" w:cs="宋体"/>
          <w:szCs w:val="21"/>
          <w:lang w:val="zh-CN"/>
        </w:rPr>
      </w:pPr>
      <w:r>
        <w:rPr>
          <w:rFonts w:hint="eastAsia" w:ascii="宋体" w:hAnsi="宋体" w:cs="宋体"/>
          <w:szCs w:val="21"/>
          <w:lang w:val="zh-CN"/>
        </w:rPr>
        <w:t>2、投标报价是履行合同的最终价格，包含需交纳的所有税费及其他一切相关费用。供应商少报或漏报的工作量，采购单位将视为已包含在投标总价中，并不予调整。</w:t>
      </w:r>
    </w:p>
    <w:p w14:paraId="23891884">
      <w:pPr>
        <w:spacing w:line="380" w:lineRule="exact"/>
        <w:ind w:firstLine="420" w:firstLineChars="200"/>
        <w:jc w:val="left"/>
        <w:rPr>
          <w:rFonts w:ascii="宋体" w:hAnsi="宋体" w:cs="宋体"/>
          <w:szCs w:val="21"/>
          <w:lang w:val="zh-CN"/>
        </w:rPr>
      </w:pPr>
      <w:r>
        <w:rPr>
          <w:rFonts w:hint="eastAsia" w:ascii="宋体" w:hAnsi="宋体" w:cs="宋体"/>
          <w:szCs w:val="21"/>
          <w:lang w:val="zh-CN"/>
        </w:rPr>
        <w:t>3、投标文件只允许有一个报价，有选择的或有条件的报价将不予接受。</w:t>
      </w:r>
    </w:p>
    <w:p w14:paraId="573AB841">
      <w:pPr>
        <w:spacing w:line="380" w:lineRule="exact"/>
        <w:ind w:firstLine="422" w:firstLineChars="200"/>
        <w:jc w:val="left"/>
        <w:rPr>
          <w:rFonts w:ascii="宋体" w:hAnsi="宋体" w:cs="宋体"/>
          <w:b/>
          <w:szCs w:val="21"/>
        </w:rPr>
      </w:pPr>
      <w:r>
        <w:rPr>
          <w:rFonts w:hint="eastAsia" w:ascii="宋体" w:hAnsi="宋体" w:cs="宋体"/>
          <w:b/>
          <w:szCs w:val="21"/>
        </w:rPr>
        <w:t>六、投标保证金</w:t>
      </w:r>
    </w:p>
    <w:p w14:paraId="08AE60D1">
      <w:pPr>
        <w:adjustRightInd w:val="0"/>
        <w:spacing w:line="360" w:lineRule="auto"/>
        <w:ind w:firstLine="422" w:firstLineChars="200"/>
        <w:jc w:val="left"/>
        <w:rPr>
          <w:rFonts w:ascii="宋体" w:hAnsi="宋体" w:cs="宋体"/>
          <w:szCs w:val="21"/>
        </w:rPr>
      </w:pPr>
      <w:r>
        <w:rPr>
          <w:rFonts w:hint="eastAsia" w:ascii="宋体" w:hAnsi="宋体" w:cs="宋体"/>
          <w:b/>
          <w:szCs w:val="21"/>
        </w:rPr>
        <w:t>(一)交纳方式：</w:t>
      </w:r>
      <w:r>
        <w:rPr>
          <w:rFonts w:hint="eastAsia" w:ascii="宋体" w:hAnsi="宋体" w:cs="宋体"/>
          <w:szCs w:val="21"/>
        </w:rPr>
        <w:t>1、金额为</w:t>
      </w:r>
      <w:r>
        <w:rPr>
          <w:rFonts w:ascii="宋体" w:hAnsi="宋体" w:cs="宋体"/>
          <w:szCs w:val="21"/>
        </w:rPr>
        <w:t>6</w:t>
      </w:r>
      <w:r>
        <w:rPr>
          <w:rFonts w:hint="eastAsia" w:ascii="宋体" w:hAnsi="宋体" w:cs="宋体"/>
          <w:szCs w:val="21"/>
        </w:rPr>
        <w:t>000元，于202</w:t>
      </w:r>
      <w:r>
        <w:rPr>
          <w:rFonts w:ascii="宋体" w:hAnsi="宋体" w:cs="宋体"/>
          <w:szCs w:val="21"/>
        </w:rPr>
        <w:t>5</w:t>
      </w:r>
      <w:r>
        <w:rPr>
          <w:rFonts w:hint="eastAsia" w:ascii="宋体" w:hAnsi="宋体" w:cs="宋体"/>
          <w:szCs w:val="21"/>
        </w:rPr>
        <w:t>年</w:t>
      </w:r>
      <w:r>
        <w:rPr>
          <w:rFonts w:ascii="宋体" w:hAnsi="宋体" w:cs="宋体"/>
          <w:szCs w:val="21"/>
        </w:rPr>
        <w:t xml:space="preserve"> </w:t>
      </w:r>
      <w:r>
        <w:rPr>
          <w:rFonts w:hint="eastAsia" w:ascii="宋体" w:hAnsi="宋体" w:cs="宋体"/>
          <w:szCs w:val="21"/>
          <w:lang w:val="en-US" w:eastAsia="zh-CN"/>
        </w:rPr>
        <w:t>7</w:t>
      </w:r>
      <w:r>
        <w:rPr>
          <w:rFonts w:hint="eastAsia" w:ascii="宋体" w:hAnsi="宋体" w:cs="宋体"/>
          <w:szCs w:val="21"/>
        </w:rPr>
        <w:t xml:space="preserve"> 月</w:t>
      </w:r>
      <w:r>
        <w:rPr>
          <w:rFonts w:hint="eastAsia" w:ascii="宋体" w:hAnsi="宋体" w:cs="宋体"/>
          <w:szCs w:val="21"/>
          <w:lang w:val="en-US" w:eastAsia="zh-CN"/>
        </w:rPr>
        <w:t>25</w:t>
      </w:r>
      <w:r>
        <w:rPr>
          <w:rFonts w:hint="eastAsia" w:ascii="宋体" w:hAnsi="宋体" w:cs="宋体"/>
          <w:szCs w:val="21"/>
        </w:rPr>
        <w:t>日下午16:30之前交纳并到账（否则以无效标处理）。</w:t>
      </w:r>
    </w:p>
    <w:p w14:paraId="684FC6A5">
      <w:pPr>
        <w:adjustRightInd w:val="0"/>
        <w:spacing w:line="360" w:lineRule="auto"/>
        <w:ind w:firstLine="420" w:firstLineChars="200"/>
        <w:jc w:val="left"/>
        <w:rPr>
          <w:rFonts w:ascii="宋体" w:hAnsi="宋体" w:cs="宋体"/>
          <w:szCs w:val="21"/>
        </w:rPr>
      </w:pPr>
      <w:r>
        <w:rPr>
          <w:rFonts w:hint="eastAsia" w:ascii="宋体" w:hAnsi="宋体" w:cs="宋体"/>
          <w:szCs w:val="21"/>
        </w:rPr>
        <w:t>2、交付方式：电汇/银行转账；</w:t>
      </w:r>
    </w:p>
    <w:p w14:paraId="19571ADB">
      <w:pPr>
        <w:adjustRightInd w:val="0"/>
        <w:spacing w:line="360" w:lineRule="auto"/>
        <w:ind w:firstLine="420" w:firstLineChars="200"/>
        <w:jc w:val="left"/>
        <w:rPr>
          <w:rFonts w:ascii="宋体" w:hAnsi="宋体" w:cs="宋体"/>
          <w:szCs w:val="21"/>
        </w:rPr>
      </w:pPr>
      <w:r>
        <w:rPr>
          <w:rFonts w:hint="eastAsia" w:ascii="宋体" w:hAnsi="宋体" w:cs="宋体"/>
          <w:szCs w:val="21"/>
        </w:rPr>
        <w:t>3、收款单位：宁波能诚工程管理有限公司</w:t>
      </w:r>
    </w:p>
    <w:p w14:paraId="1472AB19">
      <w:pPr>
        <w:adjustRightInd w:val="0"/>
        <w:spacing w:line="360" w:lineRule="auto"/>
        <w:ind w:firstLine="420" w:firstLineChars="200"/>
        <w:jc w:val="left"/>
        <w:rPr>
          <w:rFonts w:ascii="宋体" w:hAnsi="宋体" w:cs="宋体"/>
          <w:szCs w:val="21"/>
        </w:rPr>
      </w:pPr>
      <w:r>
        <w:rPr>
          <w:rFonts w:hint="eastAsia" w:ascii="宋体" w:hAnsi="宋体" w:cs="宋体"/>
          <w:szCs w:val="21"/>
        </w:rPr>
        <w:t>4、开户银行:宁波银行股份有限公司坎墩支行</w:t>
      </w:r>
      <w:r>
        <w:rPr>
          <w:rFonts w:ascii="宋体" w:hAnsi="宋体" w:cs="宋体"/>
          <w:szCs w:val="21"/>
        </w:rPr>
        <w:t xml:space="preserve"> </w:t>
      </w:r>
      <w:r>
        <w:rPr>
          <w:rFonts w:hint="eastAsia" w:ascii="宋体" w:hAnsi="宋体" w:cs="宋体"/>
          <w:szCs w:val="21"/>
        </w:rPr>
        <w:t xml:space="preserve">   </w:t>
      </w:r>
    </w:p>
    <w:p w14:paraId="4D564D49">
      <w:pPr>
        <w:adjustRightInd w:val="0"/>
        <w:spacing w:line="360" w:lineRule="auto"/>
        <w:ind w:firstLine="420" w:firstLineChars="200"/>
        <w:jc w:val="left"/>
        <w:rPr>
          <w:rFonts w:ascii="宋体" w:hAnsi="宋体" w:cs="宋体"/>
          <w:b/>
          <w:szCs w:val="21"/>
        </w:rPr>
      </w:pPr>
      <w:r>
        <w:rPr>
          <w:rFonts w:hint="eastAsia" w:ascii="宋体" w:hAnsi="宋体" w:cs="宋体"/>
          <w:szCs w:val="21"/>
        </w:rPr>
        <w:t>5、银行账号:86021110000227208</w:t>
      </w:r>
      <w:r>
        <w:rPr>
          <w:rFonts w:ascii="宋体" w:hAnsi="宋体" w:cs="宋体"/>
          <w:szCs w:val="21"/>
        </w:rPr>
        <w:t xml:space="preserve"> </w:t>
      </w:r>
    </w:p>
    <w:p w14:paraId="210DC688">
      <w:pPr>
        <w:spacing w:line="380" w:lineRule="exact"/>
        <w:ind w:firstLine="422" w:firstLineChars="200"/>
        <w:jc w:val="left"/>
        <w:rPr>
          <w:rFonts w:ascii="宋体" w:hAnsi="宋体" w:cs="宋体"/>
          <w:b/>
          <w:szCs w:val="21"/>
        </w:rPr>
      </w:pPr>
      <w:r>
        <w:rPr>
          <w:rFonts w:hint="eastAsia" w:ascii="宋体" w:hAnsi="宋体" w:cs="宋体"/>
          <w:b/>
          <w:szCs w:val="21"/>
        </w:rPr>
        <w:t>(二)未按规定提交投标保证金的投标，应视为无效。</w:t>
      </w:r>
    </w:p>
    <w:p w14:paraId="25440833">
      <w:pPr>
        <w:spacing w:line="380" w:lineRule="exact"/>
        <w:ind w:firstLine="422" w:firstLineChars="200"/>
        <w:jc w:val="left"/>
        <w:rPr>
          <w:rFonts w:ascii="宋体" w:hAnsi="宋体" w:cs="宋体"/>
          <w:b/>
          <w:szCs w:val="21"/>
        </w:rPr>
      </w:pPr>
      <w:r>
        <w:rPr>
          <w:rFonts w:hint="eastAsia" w:ascii="宋体" w:hAnsi="宋体" w:cs="宋体"/>
          <w:b/>
          <w:szCs w:val="21"/>
        </w:rPr>
        <w:t>(三) 有下列情况之一的，投标保证金将不予退还：</w:t>
      </w:r>
    </w:p>
    <w:p w14:paraId="3C68F6D2">
      <w:pPr>
        <w:adjustRightInd w:val="0"/>
        <w:spacing w:line="360" w:lineRule="auto"/>
        <w:ind w:firstLine="420" w:firstLineChars="200"/>
        <w:rPr>
          <w:rFonts w:ascii="宋体" w:hAnsi="宋体" w:cs="宋体"/>
          <w:szCs w:val="21"/>
        </w:rPr>
      </w:pPr>
      <w:r>
        <w:rPr>
          <w:rFonts w:hint="eastAsia" w:ascii="宋体" w:hAnsi="宋体" w:cs="宋体"/>
          <w:szCs w:val="21"/>
        </w:rPr>
        <w:t>1.投标供应商在投标有效期内撤回投标文件的；</w:t>
      </w:r>
    </w:p>
    <w:p w14:paraId="70093ECF">
      <w:pPr>
        <w:adjustRightInd w:val="0"/>
        <w:spacing w:line="360" w:lineRule="auto"/>
        <w:ind w:firstLine="420" w:firstLineChars="200"/>
        <w:rPr>
          <w:rFonts w:ascii="宋体" w:hAnsi="宋体" w:cs="宋体"/>
          <w:szCs w:val="21"/>
        </w:rPr>
      </w:pPr>
      <w:r>
        <w:rPr>
          <w:rFonts w:hint="eastAsia" w:ascii="宋体" w:hAnsi="宋体" w:cs="宋体"/>
          <w:szCs w:val="21"/>
        </w:rPr>
        <w:t>2.履约保证金未按规定交纳或不足的；</w:t>
      </w:r>
    </w:p>
    <w:p w14:paraId="4036D932">
      <w:pPr>
        <w:adjustRightInd w:val="0"/>
        <w:spacing w:line="360" w:lineRule="auto"/>
        <w:ind w:firstLine="420" w:firstLineChars="200"/>
        <w:rPr>
          <w:rFonts w:ascii="宋体" w:hAnsi="宋体" w:cs="宋体"/>
          <w:szCs w:val="21"/>
        </w:rPr>
      </w:pPr>
      <w:r>
        <w:rPr>
          <w:rFonts w:hint="eastAsia" w:ascii="宋体" w:hAnsi="宋体" w:cs="宋体"/>
          <w:szCs w:val="21"/>
        </w:rPr>
        <w:t>3.投标供应商相互串通投标，或者投标供应商以他人名义投标或者以其他方式弄虚作假，或者在开评标过程中无理取闹恶意扰乱开评标秩序，或者违反国家或地方有关招投标法律、法规及规定的；</w:t>
      </w:r>
    </w:p>
    <w:p w14:paraId="07E6468D">
      <w:pPr>
        <w:adjustRightInd w:val="0"/>
        <w:spacing w:line="360" w:lineRule="auto"/>
        <w:ind w:firstLine="420" w:firstLineChars="200"/>
        <w:rPr>
          <w:rFonts w:ascii="宋体" w:hAnsi="宋体" w:cs="宋体"/>
          <w:szCs w:val="21"/>
        </w:rPr>
      </w:pPr>
      <w:r>
        <w:rPr>
          <w:rFonts w:hint="eastAsia" w:ascii="宋体" w:hAnsi="宋体" w:cs="宋体"/>
          <w:szCs w:val="21"/>
        </w:rPr>
        <w:t>4.中标供应商未按规定的时间、地点与招标人签订合同的。</w:t>
      </w:r>
    </w:p>
    <w:p w14:paraId="17D68DBE">
      <w:pPr>
        <w:adjustRightInd w:val="0"/>
        <w:spacing w:line="360" w:lineRule="auto"/>
        <w:ind w:firstLine="422" w:firstLineChars="200"/>
        <w:rPr>
          <w:rFonts w:ascii="宋体" w:hAnsi="宋体" w:cs="宋体"/>
          <w:b/>
          <w:szCs w:val="21"/>
        </w:rPr>
      </w:pPr>
      <w:r>
        <w:rPr>
          <w:rFonts w:hint="eastAsia" w:ascii="宋体" w:hAnsi="宋体" w:cs="宋体"/>
          <w:b/>
          <w:szCs w:val="21"/>
        </w:rPr>
        <w:t>（四）未中标的投标供应商的投标保证金的处理：中标通知书发出后2个工作日内按规定无息退还。</w:t>
      </w:r>
    </w:p>
    <w:p w14:paraId="465A8DDE">
      <w:pPr>
        <w:adjustRightInd w:val="0"/>
        <w:spacing w:line="360" w:lineRule="auto"/>
        <w:ind w:firstLine="422" w:firstLineChars="200"/>
        <w:rPr>
          <w:rFonts w:ascii="宋体" w:hAnsi="宋体" w:cs="宋体"/>
          <w:b/>
          <w:szCs w:val="21"/>
        </w:rPr>
      </w:pPr>
      <w:r>
        <w:rPr>
          <w:rFonts w:hint="eastAsia" w:ascii="宋体" w:hAnsi="宋体" w:cs="宋体"/>
          <w:b/>
          <w:szCs w:val="21"/>
        </w:rPr>
        <w:t>（五）中标供应商的投标保证金的处理：合同签订后按规定无息退还。</w:t>
      </w:r>
    </w:p>
    <w:p w14:paraId="452AE1AB">
      <w:pPr>
        <w:spacing w:line="380" w:lineRule="exact"/>
        <w:ind w:firstLine="422" w:firstLineChars="200"/>
        <w:jc w:val="left"/>
        <w:rPr>
          <w:rFonts w:ascii="宋体" w:hAnsi="宋体" w:cs="宋体"/>
          <w:b/>
          <w:szCs w:val="21"/>
        </w:rPr>
      </w:pPr>
      <w:r>
        <w:rPr>
          <w:rFonts w:hint="eastAsia" w:ascii="宋体" w:hAnsi="宋体" w:cs="宋体"/>
          <w:b/>
          <w:szCs w:val="21"/>
        </w:rPr>
        <w:t xml:space="preserve"> 七、投标有效期</w:t>
      </w:r>
    </w:p>
    <w:p w14:paraId="32475606">
      <w:pPr>
        <w:spacing w:line="380" w:lineRule="exact"/>
        <w:ind w:firstLine="420" w:firstLineChars="200"/>
        <w:jc w:val="left"/>
        <w:rPr>
          <w:rFonts w:ascii="宋体" w:hAnsi="宋体" w:cs="宋体"/>
          <w:szCs w:val="21"/>
          <w:lang w:bidi="ar"/>
        </w:rPr>
      </w:pPr>
      <w:r>
        <w:rPr>
          <w:rFonts w:hint="eastAsia" w:ascii="宋体" w:hAnsi="宋体" w:cs="宋体"/>
          <w:szCs w:val="21"/>
          <w:lang w:bidi="ar"/>
        </w:rPr>
        <w:t>▲1、投标文件从开标之日起，投标有效期为90个日历天。有效期自开标日起计算，不能小于招标文件的要求。</w:t>
      </w:r>
    </w:p>
    <w:p w14:paraId="0D67EAB1">
      <w:pPr>
        <w:spacing w:line="380" w:lineRule="exact"/>
        <w:ind w:firstLine="420" w:firstLineChars="200"/>
        <w:jc w:val="left"/>
        <w:rPr>
          <w:rFonts w:ascii="宋体" w:hAnsi="宋体" w:cs="宋体"/>
          <w:szCs w:val="21"/>
          <w:lang w:bidi="ar"/>
        </w:rPr>
      </w:pPr>
      <w:r>
        <w:rPr>
          <w:rFonts w:hint="eastAsia" w:ascii="宋体" w:hAnsi="宋体" w:cs="宋体"/>
          <w:szCs w:val="21"/>
          <w:lang w:bidi="ar"/>
        </w:rPr>
        <w:t>2、特殊情况下，招标人可与供应商协商延缓投标文件的有效期，这种要求和答复均以书面形式进行。</w:t>
      </w:r>
    </w:p>
    <w:p w14:paraId="1D1D760B">
      <w:pPr>
        <w:spacing w:line="380" w:lineRule="exact"/>
        <w:ind w:firstLine="420" w:firstLineChars="200"/>
        <w:jc w:val="left"/>
        <w:rPr>
          <w:rFonts w:ascii="宋体" w:hAnsi="宋体" w:cs="宋体"/>
          <w:szCs w:val="21"/>
          <w:lang w:bidi="ar"/>
        </w:rPr>
      </w:pPr>
      <w:r>
        <w:rPr>
          <w:rFonts w:hint="eastAsia" w:ascii="宋体" w:hAnsi="宋体" w:cs="宋体"/>
          <w:szCs w:val="21"/>
          <w:lang w:bidi="ar"/>
        </w:rPr>
        <w:t>3、供应商可拒绝接受延期要求，同意延长有效期的供应商不能修改投标文件。</w:t>
      </w:r>
    </w:p>
    <w:p w14:paraId="14635DD7">
      <w:pPr>
        <w:spacing w:line="380" w:lineRule="exact"/>
        <w:ind w:firstLine="422" w:firstLineChars="200"/>
        <w:jc w:val="left"/>
        <w:rPr>
          <w:rFonts w:ascii="宋体" w:hAnsi="宋体" w:cs="宋体"/>
          <w:b/>
          <w:szCs w:val="21"/>
        </w:rPr>
      </w:pPr>
      <w:r>
        <w:rPr>
          <w:rFonts w:hint="eastAsia" w:ascii="宋体" w:hAnsi="宋体" w:cs="宋体"/>
          <w:b/>
          <w:szCs w:val="21"/>
        </w:rPr>
        <w:t>八、投标文件的组成</w:t>
      </w:r>
    </w:p>
    <w:p w14:paraId="4A462F3C">
      <w:pPr>
        <w:spacing w:line="480" w:lineRule="exact"/>
        <w:ind w:firstLine="422" w:firstLineChars="200"/>
        <w:jc w:val="left"/>
        <w:rPr>
          <w:rFonts w:ascii="宋体" w:hAnsi="宋体"/>
          <w:b/>
          <w:szCs w:val="21"/>
        </w:rPr>
      </w:pPr>
      <w:r>
        <w:rPr>
          <w:rFonts w:hint="eastAsia" w:ascii="宋体" w:hAnsi="宋体"/>
          <w:b/>
          <w:szCs w:val="21"/>
        </w:rPr>
        <w:t>（</w:t>
      </w:r>
      <w:r>
        <w:rPr>
          <w:rFonts w:hint="eastAsia" w:ascii="宋体" w:hAnsi="宋体" w:cs="宋体"/>
          <w:b/>
          <w:szCs w:val="21"/>
        </w:rPr>
        <w:t>投标文件中电子公章均采用CA签章</w:t>
      </w:r>
      <w:r>
        <w:rPr>
          <w:rFonts w:hint="eastAsia" w:ascii="宋体" w:hAnsi="宋体"/>
          <w:b/>
          <w:szCs w:val="21"/>
        </w:rPr>
        <w:t>）</w:t>
      </w:r>
    </w:p>
    <w:p w14:paraId="343792FC">
      <w:pPr>
        <w:spacing w:line="380" w:lineRule="exact"/>
        <w:ind w:firstLine="420" w:firstLineChars="200"/>
        <w:jc w:val="left"/>
        <w:rPr>
          <w:rFonts w:ascii="宋体" w:hAnsi="宋体" w:cs="宋体"/>
          <w:szCs w:val="21"/>
          <w:lang w:bidi="ar"/>
        </w:rPr>
      </w:pPr>
      <w:r>
        <w:rPr>
          <w:rFonts w:hint="eastAsia" w:ascii="宋体" w:hAnsi="宋体" w:cs="宋体"/>
          <w:szCs w:val="21"/>
          <w:lang w:bidi="ar"/>
        </w:rPr>
        <w:t>〈一〉资格审查文件</w:t>
      </w:r>
    </w:p>
    <w:p w14:paraId="2E14DA58">
      <w:pPr>
        <w:spacing w:line="380" w:lineRule="exact"/>
        <w:ind w:firstLine="420" w:firstLineChars="200"/>
        <w:jc w:val="left"/>
        <w:rPr>
          <w:rFonts w:ascii="宋体" w:hAnsi="宋体"/>
        </w:rPr>
      </w:pPr>
      <w:r>
        <w:rPr>
          <w:rFonts w:hint="eastAsia" w:ascii="宋体" w:hAnsi="宋体"/>
          <w:lang w:bidi="ar"/>
        </w:rPr>
        <w:t>1、关于资格的声明函（格式见附件）；</w:t>
      </w:r>
    </w:p>
    <w:p w14:paraId="3F681DEC">
      <w:pPr>
        <w:adjustRightInd w:val="0"/>
        <w:spacing w:line="360" w:lineRule="auto"/>
        <w:ind w:firstLine="420" w:firstLineChars="200"/>
        <w:jc w:val="left"/>
        <w:rPr>
          <w:rStyle w:val="116"/>
          <w:rFonts w:ascii="宋体" w:hAnsi="宋体" w:cs="仿宋_GB2312"/>
          <w:b w:val="0"/>
          <w:sz w:val="21"/>
          <w:szCs w:val="21"/>
        </w:rPr>
      </w:pPr>
      <w:r>
        <w:rPr>
          <w:rFonts w:hint="eastAsia" w:ascii="宋体" w:hAnsi="宋体"/>
          <w:lang w:bidi="ar"/>
        </w:rPr>
        <w:t>2、</w:t>
      </w:r>
      <w:r>
        <w:rPr>
          <w:rStyle w:val="116"/>
          <w:rFonts w:hint="eastAsia" w:ascii="宋体" w:hAnsi="宋体" w:cs="仿宋_GB2312"/>
          <w:b w:val="0"/>
          <w:sz w:val="21"/>
          <w:szCs w:val="21"/>
        </w:rPr>
        <w:t>“营业执照副本（或事业法人登记证副本或其他登记证明材料）扫描件或电子营业执照加盖供应商公章（供应商如果有名称变更的，应提供由行政主管部门出具的变更证明文件扫描件加盖供应商公章）。</w:t>
      </w:r>
    </w:p>
    <w:p w14:paraId="656E4E02">
      <w:pPr>
        <w:spacing w:line="400" w:lineRule="exact"/>
        <w:ind w:firstLine="420" w:firstLineChars="200"/>
        <w:jc w:val="left"/>
        <w:rPr>
          <w:rFonts w:ascii="宋体" w:hAnsi="宋体"/>
          <w:szCs w:val="21"/>
        </w:rPr>
      </w:pPr>
      <w:r>
        <w:rPr>
          <w:rFonts w:hint="eastAsia" w:ascii="宋体" w:hAnsi="宋体"/>
          <w:szCs w:val="21"/>
        </w:rPr>
        <w:t>3、</w:t>
      </w:r>
      <w:r>
        <w:t>投标保证金回执</w:t>
      </w:r>
      <w:r>
        <w:rPr>
          <w:rFonts w:hint="eastAsia"/>
        </w:rPr>
        <w:t>复印件</w:t>
      </w:r>
      <w:r>
        <w:t>。</w:t>
      </w:r>
      <w:r>
        <w:rPr>
          <w:rFonts w:hint="eastAsia" w:ascii="宋体" w:hAnsi="宋体"/>
          <w:szCs w:val="21"/>
        </w:rPr>
        <w:t xml:space="preserve"> </w:t>
      </w:r>
    </w:p>
    <w:p w14:paraId="5C50E4CA">
      <w:pPr>
        <w:spacing w:line="380" w:lineRule="exact"/>
        <w:ind w:firstLine="420" w:firstLineChars="200"/>
        <w:jc w:val="left"/>
      </w:pPr>
      <w:r>
        <w:rPr>
          <w:rFonts w:hint="eastAsia" w:ascii="宋体" w:hAnsi="宋体" w:cs="宋体"/>
          <w:szCs w:val="21"/>
          <w:lang w:bidi="ar"/>
        </w:rPr>
        <w:t>〈二〉商务技术文件</w:t>
      </w:r>
    </w:p>
    <w:p w14:paraId="2BBC347D">
      <w:pPr>
        <w:spacing w:line="380" w:lineRule="exact"/>
        <w:ind w:firstLine="420" w:firstLineChars="200"/>
        <w:jc w:val="left"/>
        <w:rPr>
          <w:rFonts w:ascii="宋体" w:hAnsi="宋体" w:cs="宋体"/>
          <w:szCs w:val="21"/>
          <w:lang w:bidi="ar"/>
        </w:rPr>
      </w:pPr>
      <w:r>
        <w:rPr>
          <w:rFonts w:hint="eastAsia" w:ascii="宋体" w:hAnsi="宋体" w:cs="宋体"/>
          <w:szCs w:val="21"/>
          <w:lang w:bidi="ar"/>
        </w:rPr>
        <w:t>1、投标函（格式见附件）；</w:t>
      </w:r>
    </w:p>
    <w:p w14:paraId="6D443851">
      <w:pPr>
        <w:spacing w:line="380" w:lineRule="exact"/>
        <w:ind w:firstLine="420" w:firstLineChars="200"/>
        <w:jc w:val="left"/>
        <w:rPr>
          <w:rFonts w:ascii="宋体" w:hAnsi="宋体" w:cs="宋体"/>
          <w:szCs w:val="21"/>
          <w:lang w:bidi="ar"/>
        </w:rPr>
      </w:pPr>
      <w:r>
        <w:rPr>
          <w:rFonts w:hint="eastAsia" w:ascii="宋体" w:hAnsi="宋体" w:cs="宋体"/>
          <w:szCs w:val="21"/>
          <w:lang w:bidi="ar"/>
        </w:rPr>
        <w:t>2、法定代表人身份证明（格式见附件）；</w:t>
      </w:r>
    </w:p>
    <w:p w14:paraId="05DA52D5">
      <w:pPr>
        <w:spacing w:line="380" w:lineRule="exact"/>
        <w:ind w:firstLine="420" w:firstLineChars="200"/>
        <w:jc w:val="left"/>
        <w:rPr>
          <w:rFonts w:ascii="宋体" w:hAnsi="宋体" w:cs="宋体"/>
          <w:szCs w:val="21"/>
          <w:lang w:bidi="ar"/>
        </w:rPr>
      </w:pPr>
      <w:r>
        <w:rPr>
          <w:rFonts w:hint="eastAsia" w:ascii="宋体" w:hAnsi="宋体" w:cs="宋体"/>
          <w:szCs w:val="21"/>
          <w:lang w:bidi="ar"/>
        </w:rPr>
        <w:t>3、商务条款响应表（格式见附件）；</w:t>
      </w:r>
    </w:p>
    <w:p w14:paraId="4326329B">
      <w:pPr>
        <w:spacing w:line="380" w:lineRule="exact"/>
        <w:ind w:firstLine="420" w:firstLineChars="200"/>
        <w:jc w:val="left"/>
        <w:rPr>
          <w:rFonts w:ascii="宋体" w:hAnsi="宋体" w:cs="宋体"/>
          <w:szCs w:val="21"/>
          <w:lang w:bidi="ar"/>
        </w:rPr>
      </w:pPr>
      <w:r>
        <w:rPr>
          <w:rFonts w:hint="eastAsia" w:ascii="宋体" w:hAnsi="宋体" w:cs="宋体"/>
          <w:szCs w:val="21"/>
          <w:lang w:bidi="ar"/>
        </w:rPr>
        <w:t>4、技术条款响应表（格式见附件）；</w:t>
      </w:r>
    </w:p>
    <w:p w14:paraId="5D8E3865">
      <w:pPr>
        <w:spacing w:line="380" w:lineRule="exact"/>
        <w:ind w:firstLine="420" w:firstLineChars="200"/>
        <w:jc w:val="left"/>
        <w:rPr>
          <w:rFonts w:ascii="宋体" w:hAnsi="宋体" w:cs="宋体"/>
          <w:szCs w:val="21"/>
          <w:lang w:bidi="ar"/>
        </w:rPr>
      </w:pPr>
      <w:r>
        <w:rPr>
          <w:rFonts w:hint="eastAsia" w:ascii="宋体" w:hAnsi="宋体" w:cs="宋体"/>
          <w:szCs w:val="21"/>
          <w:lang w:bidi="ar"/>
        </w:rPr>
        <w:t>6、供应商一般情况（格式见附件）；</w:t>
      </w:r>
    </w:p>
    <w:p w14:paraId="6F79B332">
      <w:pPr>
        <w:spacing w:line="380" w:lineRule="exact"/>
        <w:ind w:firstLine="420" w:firstLineChars="200"/>
        <w:jc w:val="left"/>
        <w:rPr>
          <w:rFonts w:ascii="宋体" w:hAnsi="宋体" w:cs="宋体"/>
          <w:szCs w:val="21"/>
          <w:lang w:bidi="ar"/>
        </w:rPr>
      </w:pPr>
      <w:r>
        <w:rPr>
          <w:rFonts w:hint="eastAsia" w:ascii="宋体" w:hAnsi="宋体" w:cs="宋体"/>
          <w:szCs w:val="21"/>
          <w:lang w:bidi="ar"/>
        </w:rPr>
        <w:t>7、第三章“评标办法及标准”中“商务分”要求提供的资料（如有需提供）；</w:t>
      </w:r>
    </w:p>
    <w:p w14:paraId="07DAE369">
      <w:pPr>
        <w:spacing w:line="380" w:lineRule="exact"/>
        <w:ind w:firstLine="420" w:firstLineChars="200"/>
        <w:jc w:val="left"/>
        <w:rPr>
          <w:rFonts w:ascii="宋体" w:hAnsi="宋体" w:cs="宋体"/>
          <w:szCs w:val="21"/>
          <w:lang w:bidi="ar"/>
        </w:rPr>
      </w:pPr>
      <w:r>
        <w:rPr>
          <w:rFonts w:ascii="宋体" w:hAnsi="宋体" w:cs="宋体"/>
          <w:szCs w:val="21"/>
          <w:lang w:bidi="ar"/>
        </w:rPr>
        <w:t>8</w:t>
      </w:r>
      <w:r>
        <w:rPr>
          <w:rFonts w:hint="eastAsia" w:ascii="宋体" w:hAnsi="宋体" w:cs="宋体"/>
          <w:szCs w:val="21"/>
          <w:lang w:bidi="ar"/>
        </w:rPr>
        <w:t>、供应商认为需要提供的其他资料。</w:t>
      </w:r>
    </w:p>
    <w:p w14:paraId="39522501">
      <w:pPr>
        <w:spacing w:line="380" w:lineRule="exact"/>
        <w:ind w:firstLine="420" w:firstLineChars="200"/>
        <w:jc w:val="left"/>
        <w:rPr>
          <w:rFonts w:ascii="宋体" w:hAnsi="宋体" w:cs="宋体"/>
          <w:szCs w:val="21"/>
        </w:rPr>
      </w:pPr>
      <w:r>
        <w:rPr>
          <w:rFonts w:hint="eastAsia" w:ascii="宋体" w:hAnsi="宋体" w:cs="宋体"/>
          <w:szCs w:val="21"/>
          <w:lang w:bidi="ar"/>
        </w:rPr>
        <w:t>〈三〉报价文件</w:t>
      </w:r>
    </w:p>
    <w:p w14:paraId="682C1B4E">
      <w:pPr>
        <w:spacing w:line="380" w:lineRule="exact"/>
        <w:ind w:firstLine="420" w:firstLineChars="200"/>
        <w:jc w:val="left"/>
        <w:rPr>
          <w:rFonts w:ascii="宋体" w:hAnsi="宋体" w:cs="宋体"/>
          <w:szCs w:val="21"/>
          <w:lang w:bidi="ar"/>
        </w:rPr>
      </w:pPr>
      <w:r>
        <w:rPr>
          <w:rFonts w:hint="eastAsia" w:ascii="宋体" w:hAnsi="宋体" w:cs="宋体"/>
          <w:szCs w:val="21"/>
          <w:lang w:bidi="ar"/>
        </w:rPr>
        <w:t>1、开标一览表（格式见附件）；</w:t>
      </w:r>
    </w:p>
    <w:p w14:paraId="28DE53DD">
      <w:pPr>
        <w:spacing w:line="380" w:lineRule="exact"/>
        <w:ind w:firstLine="420" w:firstLineChars="200"/>
        <w:jc w:val="left"/>
        <w:rPr>
          <w:rFonts w:ascii="宋体" w:hAnsi="宋体" w:cs="宋体"/>
          <w:szCs w:val="21"/>
          <w:lang w:bidi="ar"/>
        </w:rPr>
      </w:pPr>
      <w:r>
        <w:rPr>
          <w:rFonts w:hint="eastAsia" w:ascii="宋体" w:hAnsi="宋体" w:cs="宋体"/>
          <w:szCs w:val="21"/>
          <w:lang w:bidi="ar"/>
        </w:rPr>
        <w:t>2、</w:t>
      </w:r>
      <w:r>
        <w:rPr>
          <w:rFonts w:hint="eastAsia" w:ascii="宋体" w:hAnsi="宋体" w:cs="宋体"/>
          <w:szCs w:val="21"/>
          <w:lang w:val="zh-Hans" w:eastAsia="zh-Hans" w:bidi="ar"/>
        </w:rPr>
        <w:t>分项报价表</w:t>
      </w:r>
      <w:r>
        <w:rPr>
          <w:rFonts w:hint="eastAsia" w:ascii="宋体" w:hAnsi="宋体" w:cs="宋体"/>
          <w:szCs w:val="21"/>
          <w:lang w:bidi="ar"/>
        </w:rPr>
        <w:t>（格式见附件）；</w:t>
      </w:r>
    </w:p>
    <w:p w14:paraId="0666C59C">
      <w:pPr>
        <w:spacing w:line="380" w:lineRule="exact"/>
        <w:ind w:firstLine="420" w:firstLineChars="200"/>
        <w:jc w:val="left"/>
        <w:rPr>
          <w:rFonts w:ascii="宋体" w:hAnsi="宋体" w:cs="宋体"/>
          <w:szCs w:val="21"/>
          <w:lang w:bidi="ar"/>
        </w:rPr>
      </w:pPr>
      <w:r>
        <w:rPr>
          <w:rFonts w:hint="eastAsia" w:ascii="宋体" w:hAnsi="宋体" w:cs="宋体"/>
          <w:szCs w:val="21"/>
          <w:lang w:bidi="ar"/>
        </w:rPr>
        <w:t>3、供应商认为需要的其他资料。</w:t>
      </w:r>
    </w:p>
    <w:p w14:paraId="156531F2">
      <w:pPr>
        <w:snapToGrid w:val="0"/>
        <w:spacing w:line="480" w:lineRule="exact"/>
        <w:ind w:firstLine="420" w:firstLineChars="200"/>
        <w:jc w:val="left"/>
        <w:rPr>
          <w:rFonts w:ascii="宋体" w:hAnsi="宋体" w:cs="宋体"/>
          <w:szCs w:val="21"/>
        </w:rPr>
      </w:pPr>
      <w:r>
        <w:rPr>
          <w:rFonts w:hint="eastAsia" w:ascii="宋体" w:hAnsi="宋体" w:cs="宋体"/>
          <w:szCs w:val="21"/>
        </w:rPr>
        <w:t>九、投标文件的份数、密封、签署</w:t>
      </w:r>
    </w:p>
    <w:p w14:paraId="6057355A">
      <w:pPr>
        <w:spacing w:line="480" w:lineRule="exact"/>
        <w:ind w:firstLine="420" w:firstLineChars="200"/>
        <w:jc w:val="left"/>
        <w:rPr>
          <w:rFonts w:ascii="宋体" w:hAnsi="宋体"/>
          <w:szCs w:val="21"/>
        </w:rPr>
      </w:pPr>
      <w:r>
        <w:rPr>
          <w:rFonts w:hint="eastAsia" w:ascii="宋体" w:hAnsi="宋体"/>
          <w:szCs w:val="21"/>
        </w:rPr>
        <w:t>1.供应商应按本招标文件规定的格式和顺序编制投标文件并标注页码，投标文件内容不完整、编排混乱导致投标文件被误读、漏读或者查找不到相关内容的，由供应商自行承担相关责任。</w:t>
      </w:r>
    </w:p>
    <w:p w14:paraId="27FD2DB4">
      <w:pPr>
        <w:spacing w:line="480" w:lineRule="exact"/>
        <w:ind w:firstLine="420" w:firstLineChars="200"/>
        <w:jc w:val="left"/>
        <w:rPr>
          <w:rFonts w:ascii="宋体" w:hAnsi="宋体"/>
          <w:szCs w:val="21"/>
        </w:rPr>
      </w:pPr>
      <w:r>
        <w:rPr>
          <w:rFonts w:hint="eastAsia" w:ascii="宋体" w:hAnsi="宋体"/>
          <w:szCs w:val="21"/>
        </w:rPr>
        <w:t>2.供应商于“乐采云”上提供电子投标文件（电子投标文件中所须加盖公章部分均采用CA签章），并根据“乐采云供应商项目采购-电子招投标操作指南”及本招标文件规定的格式和顺序编制电子投标文件并进行关联定位。未传输递交电子投标文件的，投标无效。</w:t>
      </w:r>
    </w:p>
    <w:p w14:paraId="29702436">
      <w:pPr>
        <w:spacing w:line="480" w:lineRule="exact"/>
        <w:ind w:firstLine="420" w:firstLineChars="200"/>
        <w:jc w:val="left"/>
        <w:rPr>
          <w:rFonts w:ascii="宋体" w:hAnsi="宋体"/>
          <w:szCs w:val="21"/>
        </w:rPr>
      </w:pPr>
      <w:r>
        <w:rPr>
          <w:rFonts w:hint="eastAsia" w:ascii="宋体" w:hAnsi="宋体"/>
          <w:szCs w:val="21"/>
        </w:rPr>
        <w:t>3.备份电子投标文件：可以U盘或光盘形式提供的备份电子投标文件数量1份，并单独密封递交，外包装封面上应注明供应商名称、供应商地址、投标文件名称（电子备份文件）、项目名称、项目编号及“在202</w:t>
      </w:r>
      <w:r>
        <w:rPr>
          <w:rFonts w:ascii="宋体" w:hAnsi="宋体"/>
          <w:szCs w:val="21"/>
        </w:rPr>
        <w:t>5</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hint="eastAsia" w:ascii="宋体" w:hAnsi="宋体"/>
          <w:szCs w:val="21"/>
          <w:lang w:val="en-US" w:eastAsia="zh-CN"/>
        </w:rPr>
        <w:t>14</w:t>
      </w:r>
      <w:r>
        <w:rPr>
          <w:rFonts w:hint="eastAsia" w:ascii="宋体" w:hAnsi="宋体"/>
          <w:szCs w:val="21"/>
        </w:rPr>
        <w:t>时30分之前不得启封”字样，并加盖供应商公章，如果供应商未加写标记，招标人对投标文件的误投和提前启封不负责任。（备份文件由投标人自行决定是否提交）</w:t>
      </w:r>
    </w:p>
    <w:p w14:paraId="6D257741">
      <w:pPr>
        <w:spacing w:line="380" w:lineRule="exact"/>
        <w:ind w:firstLine="420" w:firstLineChars="200"/>
        <w:jc w:val="left"/>
        <w:rPr>
          <w:rFonts w:ascii="宋体" w:hAnsi="宋体"/>
          <w:szCs w:val="24"/>
        </w:rPr>
      </w:pPr>
      <w:r>
        <w:rPr>
          <w:rFonts w:hint="eastAsia" w:ascii="宋体" w:hAnsi="宋体"/>
          <w:szCs w:val="24"/>
        </w:rPr>
        <w:t>4.投标文件字迹必须清楚、工整，对不同文字文本投标文件的解释发生异议的，以中文文本为准。</w:t>
      </w:r>
    </w:p>
    <w:p w14:paraId="18A145F1">
      <w:pPr>
        <w:snapToGrid w:val="0"/>
        <w:spacing w:line="480" w:lineRule="exact"/>
        <w:ind w:firstLine="420" w:firstLineChars="200"/>
        <w:jc w:val="left"/>
        <w:rPr>
          <w:rFonts w:ascii="宋体" w:hAnsi="宋体" w:cs="宋体"/>
          <w:szCs w:val="21"/>
        </w:rPr>
      </w:pPr>
      <w:r>
        <w:rPr>
          <w:rFonts w:hint="eastAsia" w:ascii="宋体" w:hAnsi="宋体" w:cs="宋体"/>
          <w:szCs w:val="21"/>
        </w:rPr>
        <w:t>十、投标文件的形式、效力和递交</w:t>
      </w:r>
    </w:p>
    <w:p w14:paraId="23D14B74">
      <w:pPr>
        <w:spacing w:line="380" w:lineRule="exact"/>
        <w:ind w:firstLine="420" w:firstLineChars="200"/>
        <w:jc w:val="left"/>
        <w:rPr>
          <w:rFonts w:ascii="宋体" w:hAnsi="宋体" w:cs="宋体"/>
          <w:szCs w:val="21"/>
        </w:rPr>
      </w:pPr>
      <w:r>
        <w:rPr>
          <w:rFonts w:hint="eastAsia" w:ascii="宋体" w:hAnsi="宋体" w:cs="宋体"/>
          <w:szCs w:val="21"/>
        </w:rPr>
        <w:t>1.投标文件分为电子投标文件和电子备份投标文件（若提交的）。</w:t>
      </w:r>
    </w:p>
    <w:p w14:paraId="76037FC6">
      <w:pPr>
        <w:spacing w:line="380" w:lineRule="exact"/>
        <w:ind w:firstLine="420" w:firstLineChars="200"/>
        <w:jc w:val="left"/>
        <w:rPr>
          <w:rFonts w:ascii="宋体" w:hAnsi="宋体" w:cs="宋体"/>
          <w:szCs w:val="21"/>
        </w:rPr>
      </w:pPr>
      <w:r>
        <w:rPr>
          <w:rFonts w:hint="eastAsia" w:ascii="宋体" w:hAnsi="宋体" w:cs="宋体"/>
          <w:szCs w:val="21"/>
        </w:rPr>
        <w:t>2.电子投标文件，按“乐采云供应商项目采购-电子招投标操作指南”及本招标文件要求制作、加密并递交。</w:t>
      </w:r>
    </w:p>
    <w:p w14:paraId="5D6630C3">
      <w:pPr>
        <w:spacing w:line="380" w:lineRule="exact"/>
        <w:ind w:firstLine="420" w:firstLineChars="200"/>
        <w:jc w:val="left"/>
        <w:rPr>
          <w:rFonts w:ascii="宋体" w:hAnsi="宋体" w:cs="宋体"/>
          <w:szCs w:val="21"/>
        </w:rPr>
      </w:pPr>
      <w:r>
        <w:rPr>
          <w:rFonts w:hint="eastAsia" w:ascii="宋体" w:hAnsi="宋体" w:cs="宋体"/>
          <w:szCs w:val="21"/>
        </w:rPr>
        <w:t>3.电子备份投标文件，即电子投标文件按“乐采云供应商项目采购-电子招投标操作指南”制作的备份文件。</w:t>
      </w:r>
    </w:p>
    <w:p w14:paraId="2A545538">
      <w:pPr>
        <w:spacing w:line="380" w:lineRule="exact"/>
        <w:ind w:firstLine="420" w:firstLineChars="200"/>
        <w:jc w:val="left"/>
        <w:rPr>
          <w:rFonts w:ascii="宋体" w:hAnsi="宋体" w:cs="宋体"/>
          <w:szCs w:val="21"/>
        </w:rPr>
      </w:pPr>
      <w:r>
        <w:rPr>
          <w:rFonts w:hint="eastAsia" w:ascii="宋体" w:hAnsi="宋体" w:cs="宋体"/>
          <w:szCs w:val="21"/>
        </w:rPr>
        <w:t>4.投标文件的效力</w:t>
      </w:r>
    </w:p>
    <w:p w14:paraId="70E899F8">
      <w:pPr>
        <w:spacing w:line="380" w:lineRule="exact"/>
        <w:ind w:firstLine="420" w:firstLineChars="200"/>
        <w:jc w:val="left"/>
        <w:rPr>
          <w:rFonts w:ascii="宋体" w:hAnsi="宋体" w:cs="宋体"/>
          <w:szCs w:val="21"/>
        </w:rPr>
      </w:pPr>
      <w:r>
        <w:rPr>
          <w:rFonts w:hint="eastAsia" w:ascii="宋体" w:hAnsi="宋体" w:cs="宋体"/>
          <w:szCs w:val="21"/>
        </w:rPr>
        <w:t>4.1投标文件的启用，按先后顺位分别为电子投标文件、电子备份投标文件。在下一顺位的投标文件启用时，前一顺位的投标文件自动失效。</w:t>
      </w:r>
    </w:p>
    <w:p w14:paraId="47255526">
      <w:pPr>
        <w:spacing w:line="380" w:lineRule="exact"/>
        <w:ind w:firstLine="420" w:firstLineChars="200"/>
        <w:jc w:val="left"/>
        <w:rPr>
          <w:rFonts w:ascii="宋体" w:hAnsi="宋体" w:cs="宋体"/>
          <w:szCs w:val="21"/>
        </w:rPr>
      </w:pPr>
      <w:r>
        <w:rPr>
          <w:rFonts w:hint="eastAsia" w:ascii="宋体" w:hAnsi="宋体" w:cs="宋体"/>
          <w:szCs w:val="21"/>
        </w:rPr>
        <w:t>4.2投标、响应文件未按时解密，供应商提供了备份投标、响应文件的，以备份投标、响应文件作为依据，否则视为投标、响应文件撤回。投标、响应文件已按时解密的，备份投标、响应文件自动失效。</w:t>
      </w:r>
    </w:p>
    <w:p w14:paraId="4E4DB10A">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5.投标文件的递交</w:t>
      </w:r>
    </w:p>
    <w:p w14:paraId="5BCD3C9A">
      <w:pPr>
        <w:spacing w:line="380" w:lineRule="exact"/>
        <w:ind w:firstLine="420" w:firstLineChars="200"/>
        <w:jc w:val="left"/>
        <w:rPr>
          <w:rFonts w:ascii="宋体" w:hAnsi="宋体" w:cs="宋体"/>
          <w:szCs w:val="21"/>
        </w:rPr>
      </w:pPr>
      <w:r>
        <w:rPr>
          <w:rFonts w:hint="eastAsia" w:ascii="宋体" w:hAnsi="宋体" w:cs="宋体"/>
          <w:szCs w:val="21"/>
        </w:rPr>
        <w:t>供应商于投标截止时间（开标时间）之前将电子投标文件上传到“乐采云”平台。</w:t>
      </w:r>
    </w:p>
    <w:p w14:paraId="37C4FAE3">
      <w:pPr>
        <w:spacing w:line="380" w:lineRule="exact"/>
        <w:ind w:firstLine="420" w:firstLineChars="200"/>
        <w:jc w:val="left"/>
        <w:rPr>
          <w:rFonts w:ascii="宋体" w:hAnsi="宋体" w:cs="宋体"/>
          <w:szCs w:val="21"/>
        </w:rPr>
      </w:pPr>
      <w:r>
        <w:rPr>
          <w:rFonts w:hint="eastAsia" w:ascii="宋体" w:hAnsi="宋体" w:cs="宋体"/>
          <w:szCs w:val="21"/>
        </w:rPr>
        <w:t>投标供应商可将U盘或DVD光盘等介质存储的电子备份投标文件密封并盖单位公章后邮寄至指定地址，邮寄地址：宁波能诚工程管理有限公司（慈溪市古塘街道大发路145号附楼三楼302室），联系人：岑工，联系电话：0574-5897633</w:t>
      </w:r>
      <w:r>
        <w:rPr>
          <w:rFonts w:ascii="宋体" w:hAnsi="宋体" w:cs="宋体"/>
          <w:szCs w:val="21"/>
        </w:rPr>
        <w:t>5</w:t>
      </w:r>
      <w:r>
        <w:rPr>
          <w:rFonts w:hint="eastAsia" w:ascii="宋体" w:hAnsi="宋体" w:cs="宋体"/>
          <w:szCs w:val="21"/>
        </w:rPr>
        <w:t>，13777033530。供应商邮寄后须将邮件单号发送至代理机构电子邮箱（电子邮箱：</w:t>
      </w:r>
      <w:r>
        <w:rPr>
          <w:rFonts w:ascii="宋体" w:hAnsi="宋体" w:cs="宋体"/>
          <w:szCs w:val="21"/>
        </w:rPr>
        <w:t>1661776591</w:t>
      </w:r>
      <w:r>
        <w:rPr>
          <w:rFonts w:hint="eastAsia" w:ascii="宋体" w:hAnsi="宋体" w:cs="宋体"/>
          <w:szCs w:val="21"/>
        </w:rPr>
        <w:t>@qq.com），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14:paraId="078693A9">
      <w:pPr>
        <w:spacing w:line="380" w:lineRule="exact"/>
        <w:ind w:firstLine="422" w:firstLineChars="200"/>
        <w:jc w:val="left"/>
        <w:rPr>
          <w:rFonts w:ascii="宋体" w:hAnsi="宋体" w:cs="宋体"/>
          <w:b/>
          <w:szCs w:val="21"/>
        </w:rPr>
      </w:pPr>
      <w:r>
        <w:rPr>
          <w:rFonts w:hint="eastAsia" w:ascii="宋体" w:hAnsi="宋体" w:cs="宋体"/>
          <w:b/>
          <w:szCs w:val="21"/>
          <w:lang w:bidi="ar"/>
        </w:rPr>
        <w:t>十一、开评标程序</w:t>
      </w:r>
    </w:p>
    <w:p w14:paraId="3BE42404">
      <w:pPr>
        <w:spacing w:line="400" w:lineRule="exact"/>
        <w:ind w:firstLine="422" w:firstLineChars="200"/>
        <w:jc w:val="left"/>
        <w:rPr>
          <w:rFonts w:ascii="宋体" w:hAnsi="宋体" w:cs="宋体"/>
          <w:b/>
          <w:bCs/>
          <w:szCs w:val="21"/>
        </w:rPr>
      </w:pPr>
      <w:r>
        <w:rPr>
          <w:rFonts w:hint="eastAsia" w:ascii="宋体" w:hAnsi="宋体" w:cs="宋体"/>
          <w:b/>
          <w:bCs/>
          <w:szCs w:val="21"/>
        </w:rPr>
        <w:t>1.1采购人在招标文件规定的时间和地点公开开标，本项目为不见面开评标项目，供应商可通过浙江省“电子交易/不见面开评标”学习专题提前进行专题学习，熟悉操作，避免影响采购活动（https://edu.zcygov.cn/luban/e-biding）。</w:t>
      </w:r>
    </w:p>
    <w:p w14:paraId="031FBEB0">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1.2开标会由代理机构主持。开标时，招标（代理）人介绍参加开标会议的相关人员，如投标人认为相关人员中有需要回避的情形可以在此时要求其回避。</w:t>
      </w:r>
    </w:p>
    <w:p w14:paraId="7DBC994F">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需要回避的情形：</w:t>
      </w:r>
    </w:p>
    <w:p w14:paraId="603CB960">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1、参加招标活动前3年内与投标人存在劳动关系；</w:t>
      </w:r>
    </w:p>
    <w:p w14:paraId="47846C13">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2、参加招标活动前3年内担任投标人的董事、监事；</w:t>
      </w:r>
    </w:p>
    <w:p w14:paraId="06FF6386">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3、参加招标活动前3年内是投标人的控股股东或者实际控制人；</w:t>
      </w:r>
    </w:p>
    <w:p w14:paraId="4549A4B1">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4、与投标人的法定代表人或者负责人有夫妻、直系血亲、三代以内旁系血亲或者近姻亲关系；</w:t>
      </w:r>
    </w:p>
    <w:p w14:paraId="5B3806AF">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5、与投标人有其他可能影响招标活动公平、公正进行的关系。</w:t>
      </w:r>
    </w:p>
    <w:p w14:paraId="234F386A">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出现上述情形的，投标人法定代表人或其授权代表可以申请相关人员回避。</w:t>
      </w:r>
    </w:p>
    <w:p w14:paraId="033A5C67">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供应商应书面提出对参加开标会对主持人、唱读人、记录人和监督人是否有回避的请求。</w:t>
      </w:r>
    </w:p>
    <w:p w14:paraId="4B69A0E7">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1.3电子招投标开标及评审程序</w:t>
      </w:r>
    </w:p>
    <w:p w14:paraId="08FF4341">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1.3.1投标截止时间后，供应商登录乐采云平台，用“项目采购-开标评标”功能对电子投标文件进行在线解密。在线解密电子投标文件时间为开标时间起30分钟内。</w:t>
      </w:r>
    </w:p>
    <w:p w14:paraId="6E4FBCFF">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1.3.2招标人或代理机构对供应商的资格进行审查；</w:t>
      </w:r>
    </w:p>
    <w:p w14:paraId="27657393">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1.3.3评标委员会对商务技术响应文件进行评审；</w:t>
      </w:r>
    </w:p>
    <w:p w14:paraId="63F6FA5A">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1.3.4在系统上公开商务技术评审结果；</w:t>
      </w:r>
    </w:p>
    <w:p w14:paraId="08122F00">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1.3.5在系统上公开报价开标情况；</w:t>
      </w:r>
    </w:p>
    <w:p w14:paraId="1C98B2C1">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1.3.6评标委员会对报价情况进行评审；</w:t>
      </w:r>
    </w:p>
    <w:p w14:paraId="5A586353">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1.3.7在系统上公布评审结果。</w:t>
      </w:r>
    </w:p>
    <w:p w14:paraId="5485BA32">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 xml:space="preserve">特别说明：乐采云公司如对电子化开标及评审程序有调整的，按调整后的程序操作。 </w:t>
      </w:r>
    </w:p>
    <w:p w14:paraId="11ECDE7F">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1.4本项目原则上采用乐采云电子招投标开标及评审程序，但有下情形之一的，按以下情况处理：</w:t>
      </w:r>
    </w:p>
    <w:p w14:paraId="27BFA084">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1.4.1若供应商在规定时间内无法解密或解密失败，将开启该供应商递交的电子备份投标文件，上传至乐采云平台项目采购模块，以完成开标，其电子投标文件自动失效。</w:t>
      </w:r>
    </w:p>
    <w:p w14:paraId="5F61E574">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1.4.2若因乐采云平台原因无法读取或电子开评标无法正常进行，招标人将中止电子交易活动。</w:t>
      </w:r>
    </w:p>
    <w:p w14:paraId="217EC58A">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1.4.3招标过程中出现以下情形，导致电子交易平台无法正常运行，或者无法保证电子交易的公平、公正和安全时，招标组织机构可中止电子交易活动：</w:t>
      </w:r>
    </w:p>
    <w:p w14:paraId="28E510C3">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 xml:space="preserve">1.4.3.1电子交易平台发生故障而无法登录访问的； </w:t>
      </w:r>
    </w:p>
    <w:p w14:paraId="470A922E">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1.4.3.2电子交易平台应用或数据库出现错误，不能进行正常操作的；</w:t>
      </w:r>
    </w:p>
    <w:p w14:paraId="50711FC8">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1.4.3.3电子交易平台发现严重安全漏洞，有潜在泄密危险的；</w:t>
      </w:r>
    </w:p>
    <w:p w14:paraId="003F3CD7">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 xml:space="preserve">1.4.3.4电脑病毒导致不能进行正常操作的； </w:t>
      </w:r>
    </w:p>
    <w:p w14:paraId="3D306741">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1.4.3.5其他无法保证电子交易的公平、公正和安全的情况。</w:t>
      </w:r>
    </w:p>
    <w:p w14:paraId="49D0BE49">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出现前款规定情形，不影响招标公平、公正性的，招标组织机构可以待上述情形消除后继续组织电子交易活动。</w:t>
      </w:r>
    </w:p>
    <w:p w14:paraId="6780992A">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2、评标委员会</w:t>
      </w:r>
    </w:p>
    <w:p w14:paraId="3F8F85BB">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2.1评标委员会依法由5人及以上奇数的人员组成，评标委员会对投标文件进行审查、质疑、评估和比较。</w:t>
      </w:r>
    </w:p>
    <w:p w14:paraId="7C3C9EFA">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3、评标原则与方法</w:t>
      </w:r>
    </w:p>
    <w:p w14:paraId="411E5AC9">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3.1评标委员会将遵循公开、公平、公正的原则，对供应商提供服务价格、提供的服务方案等进行综合分析考评，由评委按照招标文件规定的评分标准记名并独立打分，根据综合得分排名推荐中标候选人。</w:t>
      </w:r>
    </w:p>
    <w:p w14:paraId="425FAF27">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3.2客观、公正的对待所有投标供应商，对所有投标评价，均采用相同的程序和标准。</w:t>
      </w:r>
    </w:p>
    <w:p w14:paraId="057CF858">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3.3在开标、投标期间，投标供应商不得向评标委员会成员询问评标情况，不得进行旨在影响评标结果的活动，否则将废除其投标资格。</w:t>
      </w:r>
    </w:p>
    <w:p w14:paraId="57D63BE4">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3.4在评标过程中，评标成员不得与投标供应商私下交换意见，在招标工作结束后，凡与评标情况有接触的人不得将评标情况扩散出评标成员之外。</w:t>
      </w:r>
    </w:p>
    <w:p w14:paraId="542EE2EA">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3.5招标人不向落标方解释落标原因，不退还投标文件。</w:t>
      </w:r>
    </w:p>
    <w:p w14:paraId="5011E80C">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3.6资格性审查：招标人或招标代理机构依据法律法规和招标文件的规定，对供应商的基本资格条件、特定资格条件进行审查，供应商未按照招标文件要求提供与基本资格条件、特定资格条件相应的有效资格证明材料的，视为供应商不具备招标文件中规定的资格要求，其投标无效。对未通过资格性审查的供应商，招标人或招标代理机构告知其未通过的原因。合格供应商不足3家的，不再评标。</w:t>
      </w:r>
    </w:p>
    <w:p w14:paraId="187C6232">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3.7符合性审查：评标时，评标委员会将首先评定每份投标文件是否在实质上响应了招标文件要求。所谓实质上的响应，是指投标文件与招标文件的所有实质性条款、条件和要求相符，无显著差异或保留，或者对合同中约定的招标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如果投标文件实质不响应招标文件的各项要求，评标委员会将予以拒绝，并且不允许供应商通过修改或撤销其不符合要求的差异或保留，使之成为具有实质性响应的投标。</w:t>
      </w:r>
    </w:p>
    <w:p w14:paraId="22517B90">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 xml:space="preserve">3.8商务评议：按照第六章商务条款的各项要求，对照投标文件的响应进行比较，判定其偏差性质和程度。 </w:t>
      </w:r>
    </w:p>
    <w:p w14:paraId="5F71B6D7">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3.9技术评议：按照第五章招标内容与</w:t>
      </w:r>
      <w:r>
        <w:rPr>
          <w:rFonts w:ascii="宋体" w:hAnsi="宋体" w:cs="宋体"/>
          <w:bCs/>
          <w:szCs w:val="21"/>
          <w:lang w:bidi="ar"/>
        </w:rPr>
        <w:t>技术要求</w:t>
      </w:r>
      <w:r>
        <w:rPr>
          <w:rFonts w:hint="eastAsia" w:ascii="宋体" w:hAnsi="宋体" w:cs="宋体"/>
          <w:bCs/>
          <w:szCs w:val="21"/>
          <w:lang w:bidi="ar"/>
        </w:rPr>
        <w:t>的各项要求，对照投标文件的响应进行比较，判定其偏差性质和程度。</w:t>
      </w:r>
    </w:p>
    <w:p w14:paraId="179FBE37">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3.10综合评估：通过资格性审查、符合性审查、商务评议和技术评议的投标，评标委员会成员分别对其商务、技术和价格按第三章评标办法及标准的规定进行打分。</w:t>
      </w:r>
    </w:p>
    <w:p w14:paraId="6944DC18">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3.11评标委员会经过评审，认为所有投标都不符合招标文件要求的，可以否决所有投标。</w:t>
      </w:r>
    </w:p>
    <w:p w14:paraId="7152F760">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3.12推荐预中标候选人</w:t>
      </w:r>
    </w:p>
    <w:p w14:paraId="6176FAAA">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3.12.1按评分结果由高到低排序并按排序推荐1名中标候选人。</w:t>
      </w:r>
      <w:r>
        <w:rPr>
          <w:rFonts w:hint="eastAsia" w:ascii="宋体" w:hAnsi="宋体" w:cs="宋体"/>
          <w:szCs w:val="21"/>
          <w:lang w:bidi="ar"/>
        </w:rPr>
        <w:t>若供应商的综合得分相等，则投标报价低者列前。若投标报价也相同时，则技术得分高者列前。若技术得分也相同时，采取随机抽签的方式确定排序。</w:t>
      </w:r>
    </w:p>
    <w:p w14:paraId="78048EA3">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3.13定标</w:t>
      </w:r>
      <w:r>
        <w:rPr>
          <w:rFonts w:hint="eastAsia" w:ascii="宋体" w:hAnsi="宋体" w:cs="宋体"/>
          <w:bCs/>
          <w:szCs w:val="21"/>
          <w:lang w:bidi="ar"/>
        </w:rPr>
        <w:tab/>
      </w:r>
    </w:p>
    <w:p w14:paraId="7D1556E9">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本项目由招标人确定中标人。</w:t>
      </w:r>
    </w:p>
    <w:p w14:paraId="0E54A3C9">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招标代理机构在评标结束后2个工作日内将评标报告交招标人确认，招标人自收到评标报告之日起3个工作日内在评标报告推荐的中标候选人中按顺序确定中标人，并在发布招标公告的网站上对中标结果进行公示，公告期限为3日。</w:t>
      </w:r>
    </w:p>
    <w:p w14:paraId="19F496C8">
      <w:pPr>
        <w:spacing w:line="380" w:lineRule="exact"/>
        <w:ind w:firstLine="420" w:firstLineChars="200"/>
        <w:jc w:val="left"/>
        <w:rPr>
          <w:rFonts w:ascii="宋体" w:hAnsi="宋体" w:cs="宋体"/>
          <w:bCs/>
          <w:szCs w:val="21"/>
          <w:lang w:bidi="ar"/>
        </w:rPr>
      </w:pPr>
      <w:r>
        <w:rPr>
          <w:rFonts w:hint="eastAsia" w:ascii="宋体" w:hAnsi="宋体" w:cs="宋体"/>
          <w:bCs/>
          <w:szCs w:val="21"/>
          <w:lang w:bidi="ar"/>
        </w:rPr>
        <w:t>若中标人放弃中标、或事后查询为失信被执行人的、或因不可抗力提出不能履行合同被依法撤销中标资格，则招标人可确定排名其次的中标候选人为中标人，或重新组织招标。</w:t>
      </w:r>
    </w:p>
    <w:p w14:paraId="6D0E9556">
      <w:pPr>
        <w:spacing w:line="380" w:lineRule="exact"/>
        <w:ind w:firstLine="422" w:firstLineChars="200"/>
        <w:jc w:val="left"/>
        <w:rPr>
          <w:rFonts w:ascii="宋体" w:hAnsi="宋体" w:cs="宋体"/>
          <w:b/>
          <w:szCs w:val="21"/>
          <w:lang w:bidi="ar"/>
        </w:rPr>
      </w:pPr>
      <w:r>
        <w:rPr>
          <w:rFonts w:hint="eastAsia" w:ascii="宋体" w:hAnsi="宋体" w:cs="宋体"/>
          <w:b/>
          <w:szCs w:val="21"/>
          <w:lang w:bidi="ar"/>
        </w:rPr>
        <w:t>4.评标过程的监控</w:t>
      </w:r>
    </w:p>
    <w:p w14:paraId="460309F9">
      <w:pPr>
        <w:adjustRightInd w:val="0"/>
        <w:spacing w:line="380" w:lineRule="exact"/>
        <w:ind w:firstLine="422" w:firstLineChars="200"/>
        <w:jc w:val="left"/>
        <w:rPr>
          <w:rFonts w:ascii="宋体" w:hAnsi="宋体"/>
          <w:b/>
          <w:szCs w:val="21"/>
        </w:rPr>
      </w:pPr>
      <w:r>
        <w:rPr>
          <w:rFonts w:hint="eastAsia" w:ascii="宋体" w:hAnsi="宋体"/>
          <w:b/>
          <w:szCs w:val="21"/>
        </w:rPr>
        <w:t>本项目评标过程实行全程录音、录像监控，供应商在评标过程中所进行的试图影响评标结果的不公正活动，可能导致其投标被拒绝。</w:t>
      </w:r>
    </w:p>
    <w:p w14:paraId="2F14541F">
      <w:pPr>
        <w:spacing w:line="380" w:lineRule="exact"/>
        <w:ind w:firstLine="422" w:firstLineChars="200"/>
        <w:jc w:val="left"/>
        <w:rPr>
          <w:rFonts w:ascii="宋体" w:hAnsi="宋体"/>
          <w:b/>
          <w:szCs w:val="21"/>
        </w:rPr>
      </w:pPr>
      <w:r>
        <w:rPr>
          <w:rFonts w:hint="eastAsia" w:ascii="宋体" w:hAnsi="宋体"/>
          <w:b/>
          <w:szCs w:val="21"/>
        </w:rPr>
        <w:t>▲十二、无效的投标文件</w:t>
      </w:r>
    </w:p>
    <w:p w14:paraId="7EDA3C51">
      <w:pPr>
        <w:adjustRightInd w:val="0"/>
        <w:spacing w:line="380" w:lineRule="exact"/>
        <w:ind w:firstLine="422" w:firstLineChars="200"/>
        <w:jc w:val="left"/>
        <w:rPr>
          <w:rFonts w:ascii="宋体" w:hAnsi="宋体"/>
          <w:b/>
          <w:szCs w:val="21"/>
        </w:rPr>
      </w:pPr>
      <w:r>
        <w:rPr>
          <w:rFonts w:hint="eastAsia" w:ascii="宋体" w:hAnsi="宋体"/>
          <w:b/>
          <w:szCs w:val="21"/>
        </w:rPr>
        <w:t>发生下列情况之一的投标文件被视为无效：</w:t>
      </w:r>
    </w:p>
    <w:p w14:paraId="7646E9F2">
      <w:pPr>
        <w:adjustRightInd w:val="0"/>
        <w:spacing w:line="380" w:lineRule="exact"/>
        <w:ind w:firstLine="422" w:firstLineChars="200"/>
        <w:jc w:val="left"/>
        <w:rPr>
          <w:rFonts w:ascii="宋体" w:hAnsi="宋体"/>
          <w:b/>
          <w:szCs w:val="21"/>
        </w:rPr>
      </w:pPr>
      <w:r>
        <w:rPr>
          <w:rFonts w:hint="eastAsia" w:ascii="宋体" w:hAnsi="宋体"/>
          <w:b/>
          <w:szCs w:val="21"/>
        </w:rPr>
        <w:t>1、投标文件未按招标文件要求签署或盖章的；</w:t>
      </w:r>
    </w:p>
    <w:p w14:paraId="17916505">
      <w:pPr>
        <w:adjustRightInd w:val="0"/>
        <w:spacing w:line="380" w:lineRule="exact"/>
        <w:ind w:firstLine="422" w:firstLineChars="200"/>
        <w:jc w:val="left"/>
        <w:rPr>
          <w:rFonts w:ascii="宋体" w:hAnsi="宋体"/>
          <w:b/>
          <w:szCs w:val="21"/>
        </w:rPr>
      </w:pPr>
      <w:r>
        <w:rPr>
          <w:rFonts w:hint="eastAsia" w:ascii="宋体" w:hAnsi="宋体"/>
          <w:b/>
          <w:szCs w:val="21"/>
        </w:rPr>
        <w:t>2、不具备招标文件中规定的资格要求的；</w:t>
      </w:r>
    </w:p>
    <w:p w14:paraId="7E9D4CB2">
      <w:pPr>
        <w:adjustRightInd w:val="0"/>
        <w:spacing w:line="380" w:lineRule="exact"/>
        <w:ind w:firstLine="422" w:firstLineChars="200"/>
        <w:jc w:val="left"/>
        <w:rPr>
          <w:rFonts w:ascii="宋体" w:hAnsi="宋体"/>
          <w:b/>
          <w:szCs w:val="21"/>
        </w:rPr>
      </w:pPr>
      <w:r>
        <w:rPr>
          <w:rFonts w:hint="eastAsia" w:ascii="宋体" w:hAnsi="宋体"/>
          <w:b/>
          <w:szCs w:val="21"/>
        </w:rPr>
        <w:t>3、报价超过招标文件中规定的预算金额或者最高限价的；</w:t>
      </w:r>
    </w:p>
    <w:p w14:paraId="370BF6DA">
      <w:pPr>
        <w:adjustRightInd w:val="0"/>
        <w:spacing w:line="380" w:lineRule="exact"/>
        <w:ind w:firstLine="422" w:firstLineChars="200"/>
        <w:jc w:val="left"/>
        <w:rPr>
          <w:rFonts w:ascii="宋体" w:hAnsi="宋体"/>
          <w:b/>
          <w:szCs w:val="21"/>
        </w:rPr>
      </w:pPr>
      <w:r>
        <w:rPr>
          <w:rFonts w:hint="eastAsia" w:ascii="宋体" w:hAnsi="宋体"/>
          <w:b/>
          <w:szCs w:val="21"/>
        </w:rPr>
        <w:t>4、投标文件含有招标人不能接受的附加条件的；</w:t>
      </w:r>
    </w:p>
    <w:p w14:paraId="75C08454">
      <w:pPr>
        <w:adjustRightInd w:val="0"/>
        <w:spacing w:line="380" w:lineRule="exact"/>
        <w:ind w:firstLine="422" w:firstLineChars="200"/>
        <w:jc w:val="left"/>
        <w:rPr>
          <w:rFonts w:ascii="宋体" w:hAnsi="宋体"/>
          <w:b/>
          <w:szCs w:val="21"/>
        </w:rPr>
      </w:pPr>
      <w:r>
        <w:rPr>
          <w:rFonts w:hint="eastAsia" w:ascii="宋体" w:hAnsi="宋体"/>
          <w:b/>
          <w:szCs w:val="21"/>
        </w:rPr>
        <w:t>5、标项以赠送方式投标的，对一个标项提供两个投标方案的；</w:t>
      </w:r>
    </w:p>
    <w:p w14:paraId="5A2AA585">
      <w:pPr>
        <w:adjustRightInd w:val="0"/>
        <w:spacing w:line="380" w:lineRule="exact"/>
        <w:ind w:firstLine="422" w:firstLineChars="200"/>
        <w:jc w:val="left"/>
        <w:rPr>
          <w:rFonts w:ascii="宋体" w:hAnsi="宋体"/>
          <w:b/>
          <w:szCs w:val="21"/>
        </w:rPr>
      </w:pPr>
      <w:r>
        <w:rPr>
          <w:rFonts w:hint="eastAsia" w:ascii="宋体" w:hAnsi="宋体"/>
          <w:b/>
          <w:szCs w:val="21"/>
        </w:rPr>
        <w:t>6、带“▲”的条款不能满足采购文件要求；</w:t>
      </w:r>
    </w:p>
    <w:p w14:paraId="5FE1EADF">
      <w:pPr>
        <w:adjustRightInd w:val="0"/>
        <w:spacing w:line="380" w:lineRule="exact"/>
        <w:ind w:firstLine="422" w:firstLineChars="200"/>
        <w:jc w:val="left"/>
        <w:rPr>
          <w:rFonts w:ascii="宋体" w:hAnsi="宋体"/>
          <w:b/>
          <w:szCs w:val="21"/>
        </w:rPr>
      </w:pPr>
      <w:r>
        <w:rPr>
          <w:rFonts w:hint="eastAsia" w:ascii="宋体" w:hAnsi="宋体"/>
          <w:b/>
          <w:szCs w:val="21"/>
        </w:rPr>
        <w:t>7、投标人在投标活动中提供任何虚假材料或从事其他违法活动的；</w:t>
      </w:r>
    </w:p>
    <w:p w14:paraId="1EB6C405">
      <w:pPr>
        <w:adjustRightInd w:val="0"/>
        <w:spacing w:line="380" w:lineRule="exact"/>
        <w:ind w:firstLine="422" w:firstLineChars="200"/>
        <w:jc w:val="left"/>
        <w:rPr>
          <w:rFonts w:ascii="宋体" w:hAnsi="宋体"/>
          <w:b/>
          <w:szCs w:val="21"/>
        </w:rPr>
      </w:pPr>
      <w:r>
        <w:rPr>
          <w:rFonts w:hint="eastAsia" w:ascii="宋体" w:hAnsi="宋体"/>
          <w:b/>
          <w:szCs w:val="21"/>
        </w:rPr>
        <w:t>8、评标委员会认为投标人的报价明显低于其他通过符合性审查投标人的报价，有可能影响产品质量或者不能诚信履约的，要求其在合理的时间内提供说明，必要时提供相关证明材料；且投标人不能证明其报价合理性的；</w:t>
      </w:r>
    </w:p>
    <w:p w14:paraId="348A1863">
      <w:pPr>
        <w:adjustRightInd w:val="0"/>
        <w:spacing w:line="380" w:lineRule="exact"/>
        <w:ind w:firstLine="422" w:firstLineChars="200"/>
        <w:jc w:val="left"/>
        <w:rPr>
          <w:rFonts w:ascii="宋体" w:hAnsi="宋体"/>
          <w:b/>
          <w:szCs w:val="21"/>
        </w:rPr>
      </w:pPr>
      <w:r>
        <w:rPr>
          <w:rFonts w:hint="eastAsia" w:ascii="宋体" w:hAnsi="宋体"/>
          <w:b/>
          <w:szCs w:val="21"/>
        </w:rPr>
        <w:t>9、违返公平竞争的原则或恶意串通或妨碍其他投标人的竞争行为或损害招标人或者其他投标人的合法权益的；</w:t>
      </w:r>
    </w:p>
    <w:p w14:paraId="3B4C6752">
      <w:pPr>
        <w:adjustRightInd w:val="0"/>
        <w:spacing w:line="380" w:lineRule="exact"/>
        <w:ind w:firstLine="422" w:firstLineChars="200"/>
        <w:jc w:val="left"/>
        <w:rPr>
          <w:rFonts w:ascii="宋体" w:hAnsi="宋体"/>
          <w:b/>
          <w:szCs w:val="21"/>
        </w:rPr>
      </w:pPr>
      <w:r>
        <w:rPr>
          <w:rFonts w:hint="eastAsia" w:ascii="宋体" w:hAnsi="宋体"/>
          <w:b/>
          <w:szCs w:val="21"/>
        </w:rPr>
        <w:t>10、投标文件报价出现前后不一致，经按招标文件规定修正后，投标人对修正后的报价不确认的；</w:t>
      </w:r>
    </w:p>
    <w:p w14:paraId="400CC24E">
      <w:pPr>
        <w:adjustRightInd w:val="0"/>
        <w:spacing w:line="380" w:lineRule="exact"/>
        <w:ind w:firstLine="422" w:firstLineChars="200"/>
        <w:jc w:val="left"/>
        <w:rPr>
          <w:rFonts w:ascii="宋体" w:hAnsi="宋体"/>
          <w:b/>
          <w:szCs w:val="21"/>
        </w:rPr>
      </w:pPr>
      <w:r>
        <w:rPr>
          <w:rFonts w:hint="eastAsia" w:ascii="宋体" w:hAnsi="宋体"/>
          <w:b/>
          <w:szCs w:val="21"/>
        </w:rPr>
        <w:t>11、投标人有下列情形之一的视为投标人串通投标，其投标无效：</w:t>
      </w:r>
    </w:p>
    <w:p w14:paraId="44BF2363">
      <w:pPr>
        <w:adjustRightInd w:val="0"/>
        <w:spacing w:line="380" w:lineRule="exact"/>
        <w:ind w:firstLine="422" w:firstLineChars="200"/>
        <w:jc w:val="left"/>
        <w:rPr>
          <w:rFonts w:ascii="宋体" w:hAnsi="宋体"/>
          <w:b/>
          <w:szCs w:val="21"/>
        </w:rPr>
      </w:pPr>
      <w:r>
        <w:rPr>
          <w:rFonts w:hint="eastAsia" w:ascii="宋体" w:hAnsi="宋体"/>
          <w:b/>
          <w:szCs w:val="21"/>
        </w:rPr>
        <w:t>11.1、不同投标人的投标文件由同一单位或者个人编制；</w:t>
      </w:r>
    </w:p>
    <w:p w14:paraId="295F2082">
      <w:pPr>
        <w:adjustRightInd w:val="0"/>
        <w:spacing w:line="380" w:lineRule="exact"/>
        <w:ind w:firstLine="422" w:firstLineChars="200"/>
        <w:jc w:val="left"/>
        <w:rPr>
          <w:rFonts w:ascii="宋体" w:hAnsi="宋体"/>
          <w:b/>
          <w:szCs w:val="21"/>
        </w:rPr>
      </w:pPr>
      <w:r>
        <w:rPr>
          <w:rFonts w:hint="eastAsia" w:ascii="宋体" w:hAnsi="宋体"/>
          <w:b/>
          <w:szCs w:val="21"/>
        </w:rPr>
        <w:t>11.2、不同投标人委托同一单位或者个人办理投标事宜；</w:t>
      </w:r>
    </w:p>
    <w:p w14:paraId="76BB4925">
      <w:pPr>
        <w:adjustRightInd w:val="0"/>
        <w:spacing w:line="380" w:lineRule="exact"/>
        <w:ind w:firstLine="422" w:firstLineChars="200"/>
        <w:jc w:val="left"/>
        <w:rPr>
          <w:rFonts w:ascii="宋体" w:hAnsi="宋体"/>
          <w:b/>
          <w:szCs w:val="21"/>
        </w:rPr>
      </w:pPr>
      <w:r>
        <w:rPr>
          <w:rFonts w:hint="eastAsia" w:ascii="宋体" w:hAnsi="宋体"/>
          <w:b/>
          <w:szCs w:val="21"/>
        </w:rPr>
        <w:t>11.3、不同投标人的投标文件载明的项目管理成员或者联系人员为同一人；</w:t>
      </w:r>
    </w:p>
    <w:p w14:paraId="638FCEFC">
      <w:pPr>
        <w:adjustRightInd w:val="0"/>
        <w:spacing w:line="380" w:lineRule="exact"/>
        <w:ind w:firstLine="422" w:firstLineChars="200"/>
        <w:jc w:val="left"/>
        <w:rPr>
          <w:rFonts w:ascii="宋体" w:hAnsi="宋体"/>
          <w:b/>
          <w:szCs w:val="21"/>
        </w:rPr>
      </w:pPr>
      <w:r>
        <w:rPr>
          <w:rFonts w:hint="eastAsia" w:ascii="宋体" w:hAnsi="宋体"/>
          <w:b/>
          <w:szCs w:val="21"/>
        </w:rPr>
        <w:t>11.4、不同投标人的投标文件异常一致或者投标报价呈规律性差异；</w:t>
      </w:r>
    </w:p>
    <w:p w14:paraId="7E106D8D">
      <w:pPr>
        <w:adjustRightInd w:val="0"/>
        <w:spacing w:line="380" w:lineRule="exact"/>
        <w:ind w:firstLine="422" w:firstLineChars="200"/>
        <w:jc w:val="left"/>
        <w:rPr>
          <w:rFonts w:ascii="宋体" w:hAnsi="宋体"/>
          <w:b/>
          <w:szCs w:val="21"/>
        </w:rPr>
      </w:pPr>
      <w:r>
        <w:rPr>
          <w:rFonts w:hint="eastAsia" w:ascii="宋体" w:hAnsi="宋体"/>
          <w:b/>
          <w:szCs w:val="21"/>
        </w:rPr>
        <w:t>11.5、不同投标人的投标文件相互混装。</w:t>
      </w:r>
    </w:p>
    <w:p w14:paraId="33A56809">
      <w:pPr>
        <w:adjustRightInd w:val="0"/>
        <w:spacing w:line="380" w:lineRule="exact"/>
        <w:ind w:firstLine="422" w:firstLineChars="200"/>
        <w:jc w:val="left"/>
        <w:rPr>
          <w:rFonts w:ascii="宋体" w:hAnsi="宋体"/>
          <w:b/>
          <w:szCs w:val="21"/>
        </w:rPr>
      </w:pPr>
      <w:r>
        <w:rPr>
          <w:rFonts w:hint="eastAsia" w:ascii="宋体" w:hAnsi="宋体"/>
          <w:b/>
          <w:szCs w:val="21"/>
        </w:rPr>
        <w:t>12、法律、法规和招标文件规定的其他无效情形；</w:t>
      </w:r>
    </w:p>
    <w:p w14:paraId="40BF293E">
      <w:pPr>
        <w:spacing w:line="380" w:lineRule="exact"/>
        <w:ind w:firstLine="422" w:firstLineChars="200"/>
        <w:jc w:val="left"/>
        <w:rPr>
          <w:rFonts w:ascii="宋体" w:hAnsi="宋体"/>
          <w:b/>
          <w:szCs w:val="21"/>
        </w:rPr>
      </w:pPr>
      <w:r>
        <w:rPr>
          <w:rFonts w:hint="eastAsia" w:ascii="宋体" w:hAnsi="宋体"/>
          <w:b/>
          <w:szCs w:val="21"/>
        </w:rPr>
        <w:t>十三、</w:t>
      </w:r>
      <w:r>
        <w:rPr>
          <w:rFonts w:ascii="宋体" w:hAnsi="宋体"/>
          <w:b/>
          <w:szCs w:val="21"/>
        </w:rPr>
        <w:t>招标文件的澄清与修改</w:t>
      </w:r>
    </w:p>
    <w:p w14:paraId="35D79BA3">
      <w:pPr>
        <w:spacing w:line="380" w:lineRule="exact"/>
        <w:ind w:firstLine="420" w:firstLineChars="200"/>
        <w:jc w:val="left"/>
        <w:rPr>
          <w:rFonts w:ascii="宋体" w:hAnsi="宋体" w:cs="宋体"/>
        </w:rPr>
      </w:pPr>
      <w:r>
        <w:rPr>
          <w:rFonts w:hint="eastAsia" w:ascii="宋体" w:hAnsi="宋体" w:cs="宋体"/>
          <w:szCs w:val="21"/>
          <w:lang w:bidi="ar"/>
        </w:rPr>
        <w:t>1、</w:t>
      </w:r>
      <w:r>
        <w:rPr>
          <w:rFonts w:hint="eastAsia" w:ascii="宋体" w:hAnsi="宋体" w:cs="宋体"/>
        </w:rPr>
        <w:t>投标人应认真阅读本招标文件，发现其中有误或有要求不合理的，投标人应在招标公告发出之日起10日内以书面形式向代理机构提出询问，代理机构在收到投标人依法提出的询问后3个工作日内作出答复。</w:t>
      </w:r>
    </w:p>
    <w:p w14:paraId="723B1E9D">
      <w:pPr>
        <w:spacing w:line="380" w:lineRule="exact"/>
        <w:ind w:firstLine="420" w:firstLineChars="200"/>
        <w:jc w:val="left"/>
        <w:rPr>
          <w:rFonts w:ascii="宋体" w:hAnsi="宋体" w:cs="Arial"/>
          <w:szCs w:val="21"/>
        </w:rPr>
      </w:pPr>
      <w:r>
        <w:rPr>
          <w:rFonts w:hint="eastAsia" w:ascii="宋体" w:hAnsi="宋体" w:cs="宋体"/>
          <w:szCs w:val="21"/>
          <w:lang w:bidi="ar"/>
        </w:rPr>
        <w:t>2、</w:t>
      </w:r>
      <w:r>
        <w:rPr>
          <w:rFonts w:hint="eastAsia" w:ascii="宋体" w:hAnsi="宋体" w:cs="宋体"/>
        </w:rPr>
        <w:t>招标代理机构在原招标公告发布媒体上以公告形式发布关于招标文件修改的“更正公告”。这些修改、补充文件或通知是招标文件的组成部分，相同内容修改以最后发出的为准，对所有投标人具有约束力。另请潜在投标人注意招标项目发布媒体的相关公告并自行下载。</w:t>
      </w:r>
    </w:p>
    <w:p w14:paraId="6F3BCACA">
      <w:pPr>
        <w:spacing w:line="380" w:lineRule="exact"/>
        <w:ind w:firstLine="422" w:firstLineChars="200"/>
        <w:jc w:val="left"/>
        <w:rPr>
          <w:rFonts w:ascii="宋体" w:hAnsi="宋体"/>
          <w:b/>
          <w:szCs w:val="21"/>
        </w:rPr>
      </w:pPr>
      <w:r>
        <w:rPr>
          <w:rFonts w:hint="eastAsia" w:ascii="宋体" w:hAnsi="宋体"/>
          <w:b/>
          <w:szCs w:val="21"/>
        </w:rPr>
        <w:t>十四、异议和投诉</w:t>
      </w:r>
    </w:p>
    <w:p w14:paraId="1C8246A1">
      <w:pPr>
        <w:spacing w:line="400" w:lineRule="exact"/>
        <w:ind w:firstLine="420" w:firstLineChars="200"/>
        <w:jc w:val="left"/>
        <w:rPr>
          <w:rFonts w:ascii="宋体"/>
          <w:szCs w:val="21"/>
        </w:rPr>
      </w:pPr>
      <w:r>
        <w:rPr>
          <w:rFonts w:ascii="宋体" w:hAnsi="宋体"/>
          <w:szCs w:val="21"/>
        </w:rPr>
        <w:t>1</w:t>
      </w:r>
      <w:r>
        <w:rPr>
          <w:rFonts w:hint="eastAsia" w:ascii="宋体" w:hAnsi="宋体"/>
          <w:szCs w:val="21"/>
        </w:rPr>
        <w:t>、在招标投标过程中，投标人有权提出异议。对招标文件有异议的，应当在投标截止时间</w:t>
      </w:r>
      <w:r>
        <w:rPr>
          <w:rFonts w:ascii="宋体" w:hAnsi="宋体"/>
          <w:szCs w:val="21"/>
        </w:rPr>
        <w:t>10</w:t>
      </w:r>
      <w:r>
        <w:rPr>
          <w:rFonts w:hint="eastAsia" w:ascii="宋体" w:hAnsi="宋体"/>
          <w:szCs w:val="21"/>
        </w:rPr>
        <w:t>日前提出；对开标有异议的，应当在开标现场提出；对评标结果有异议的，应当在中标候选人公示期间提出。超过以上期限提出的异议，招标人不予受理。</w:t>
      </w:r>
    </w:p>
    <w:p w14:paraId="6FADDDF4">
      <w:pPr>
        <w:spacing w:line="400" w:lineRule="exact"/>
        <w:ind w:firstLine="420" w:firstLineChars="200"/>
        <w:jc w:val="left"/>
        <w:rPr>
          <w:rFonts w:ascii="宋体"/>
          <w:szCs w:val="21"/>
        </w:rPr>
      </w:pPr>
      <w:r>
        <w:rPr>
          <w:rFonts w:ascii="宋体" w:hAnsi="宋体"/>
          <w:szCs w:val="21"/>
        </w:rPr>
        <w:t>2</w:t>
      </w:r>
      <w:r>
        <w:rPr>
          <w:rFonts w:hint="eastAsia" w:ascii="宋体" w:hAnsi="宋体"/>
          <w:szCs w:val="21"/>
        </w:rPr>
        <w:t>、招标工作将公开接受社会监督。投标人或者其他利害关系人认为本次招标活动违反法律、法规和规章规定的，有权投诉，投诉处理程序依据《</w:t>
      </w:r>
      <w:r>
        <w:rPr>
          <w:rFonts w:hint="eastAsia" w:ascii="宋体" w:hAnsi="宋体" w:cs="宋体"/>
          <w:szCs w:val="21"/>
        </w:rPr>
        <w:t>关于规范国有企业货物和服务招标采购的指导意见（试行）》（慈国资[2014]149号）</w:t>
      </w:r>
      <w:r>
        <w:rPr>
          <w:rFonts w:hint="eastAsia" w:ascii="宋体" w:hAnsi="宋体"/>
          <w:szCs w:val="21"/>
        </w:rPr>
        <w:t>的有关规定执行。</w:t>
      </w:r>
    </w:p>
    <w:p w14:paraId="5C975ADC">
      <w:pPr>
        <w:spacing w:line="400" w:lineRule="exact"/>
        <w:ind w:firstLine="420" w:firstLineChars="200"/>
        <w:jc w:val="left"/>
        <w:rPr>
          <w:rFonts w:ascii="宋体"/>
          <w:szCs w:val="21"/>
        </w:rPr>
      </w:pPr>
      <w:r>
        <w:rPr>
          <w:rFonts w:ascii="宋体" w:hAnsi="宋体"/>
          <w:szCs w:val="21"/>
        </w:rPr>
        <w:t>3</w:t>
      </w:r>
      <w:r>
        <w:rPr>
          <w:rFonts w:hint="eastAsia" w:ascii="宋体" w:hAnsi="宋体"/>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39CE27BE">
      <w:pPr>
        <w:adjustRightInd w:val="0"/>
        <w:spacing w:line="380" w:lineRule="exact"/>
        <w:ind w:firstLine="420" w:firstLineChars="200"/>
        <w:jc w:val="left"/>
        <w:rPr>
          <w:rFonts w:ascii="宋体" w:hAnsi="宋体"/>
          <w:szCs w:val="21"/>
        </w:rPr>
      </w:pPr>
      <w:r>
        <w:rPr>
          <w:rFonts w:ascii="宋体" w:hAnsi="宋体"/>
          <w:szCs w:val="21"/>
        </w:rPr>
        <w:t>4</w:t>
      </w:r>
      <w:r>
        <w:rPr>
          <w:rFonts w:hint="eastAsia" w:ascii="宋体" w:hAnsi="宋体"/>
          <w:szCs w:val="21"/>
        </w:rPr>
        <w:t>、经核实，异议、投诉内容和相应证明材料与事实不符的，将被视为不良异议、投诉行为，且将有可能被限制参加后续项目的投标。</w:t>
      </w:r>
    </w:p>
    <w:p w14:paraId="707D6F4E">
      <w:pPr>
        <w:spacing w:line="380" w:lineRule="exact"/>
        <w:ind w:firstLine="422" w:firstLineChars="200"/>
        <w:jc w:val="left"/>
        <w:rPr>
          <w:rFonts w:ascii="宋体" w:hAnsi="宋体" w:cs="宋体"/>
          <w:b/>
          <w:szCs w:val="21"/>
        </w:rPr>
      </w:pPr>
      <w:bookmarkStart w:id="2" w:name="_Toc496099271"/>
      <w:r>
        <w:rPr>
          <w:rFonts w:hint="eastAsia" w:ascii="宋体" w:hAnsi="宋体" w:cs="宋体"/>
          <w:b/>
          <w:szCs w:val="21"/>
          <w:lang w:bidi="ar"/>
        </w:rPr>
        <w:t>十五、预算价</w:t>
      </w:r>
    </w:p>
    <w:p w14:paraId="6139D66B">
      <w:pPr>
        <w:adjustRightInd w:val="0"/>
        <w:spacing w:line="380" w:lineRule="exact"/>
        <w:ind w:firstLine="422" w:firstLineChars="200"/>
        <w:jc w:val="left"/>
        <w:rPr>
          <w:rFonts w:hint="eastAsia" w:ascii="宋体" w:hAnsi="宋体"/>
          <w:b/>
          <w:bCs/>
          <w:szCs w:val="21"/>
        </w:rPr>
      </w:pPr>
      <w:r>
        <w:rPr>
          <w:rFonts w:hint="eastAsia" w:ascii="宋体" w:hAnsi="宋体"/>
          <w:b/>
          <w:bCs/>
          <w:szCs w:val="21"/>
          <w:lang w:val="en-US" w:eastAsia="zh-CN"/>
        </w:rPr>
        <w:t>1、</w:t>
      </w:r>
      <w:r>
        <w:rPr>
          <w:rFonts w:hint="eastAsia" w:ascii="宋体" w:hAnsi="宋体"/>
          <w:b/>
          <w:bCs/>
          <w:szCs w:val="21"/>
        </w:rPr>
        <w:t>本次公开招标设有预算价 341960元（最高限价： 341960元），总投标报价超出预算价的或最高限价的投标为无效投标。</w:t>
      </w:r>
    </w:p>
    <w:p w14:paraId="3D987CAC">
      <w:pPr>
        <w:adjustRightInd w:val="0"/>
        <w:spacing w:line="380" w:lineRule="exact"/>
        <w:ind w:firstLine="422" w:firstLineChars="200"/>
        <w:jc w:val="left"/>
        <w:rPr>
          <w:rFonts w:hint="eastAsia" w:ascii="宋体" w:hAnsi="宋体"/>
          <w:b/>
          <w:bCs/>
          <w:szCs w:val="21"/>
        </w:rPr>
      </w:pPr>
      <w:r>
        <w:rPr>
          <w:rFonts w:hint="eastAsia" w:ascii="宋体" w:hAnsi="宋体"/>
          <w:b/>
          <w:bCs/>
          <w:szCs w:val="21"/>
          <w:lang w:val="en-US" w:eastAsia="zh-CN"/>
        </w:rPr>
        <w:t>2、</w:t>
      </w:r>
      <w:r>
        <w:rPr>
          <w:rFonts w:hint="eastAsia" w:ascii="宋体" w:hAnsi="宋体"/>
          <w:b/>
          <w:bCs/>
          <w:szCs w:val="21"/>
        </w:rPr>
        <w:t>本次</w:t>
      </w:r>
      <w:r>
        <w:rPr>
          <w:rFonts w:hint="eastAsia" w:ascii="宋体" w:hAnsi="宋体"/>
          <w:b/>
          <w:bCs/>
          <w:szCs w:val="21"/>
          <w:lang w:eastAsia="zh-CN"/>
        </w:rPr>
        <w:t>投标报价</w:t>
      </w:r>
      <w:r>
        <w:rPr>
          <w:rFonts w:hint="eastAsia" w:ascii="宋体" w:hAnsi="宋体"/>
          <w:b/>
          <w:bCs/>
          <w:szCs w:val="21"/>
        </w:rPr>
        <w:t>超出</w:t>
      </w:r>
      <w:r>
        <w:rPr>
          <w:rFonts w:hint="eastAsia" w:ascii="宋体" w:hAnsi="宋体"/>
          <w:b/>
          <w:bCs/>
          <w:szCs w:val="21"/>
          <w:lang w:eastAsia="zh-CN"/>
        </w:rPr>
        <w:t>最高单价限价</w:t>
      </w:r>
      <w:r>
        <w:rPr>
          <w:rFonts w:hint="eastAsia" w:ascii="宋体" w:hAnsi="宋体"/>
          <w:b/>
          <w:bCs/>
          <w:szCs w:val="21"/>
        </w:rPr>
        <w:t>的投标无效。</w:t>
      </w:r>
    </w:p>
    <w:p w14:paraId="64AC922D">
      <w:pPr>
        <w:spacing w:line="380" w:lineRule="exact"/>
        <w:ind w:firstLine="422" w:firstLineChars="200"/>
        <w:jc w:val="left"/>
        <w:rPr>
          <w:rFonts w:ascii="宋体" w:hAnsi="宋体" w:cs="宋体"/>
          <w:b/>
          <w:szCs w:val="21"/>
          <w:lang w:bidi="ar"/>
        </w:rPr>
      </w:pPr>
      <w:r>
        <w:rPr>
          <w:rFonts w:hint="eastAsia" w:ascii="宋体" w:hAnsi="宋体" w:cs="宋体"/>
          <w:b/>
          <w:szCs w:val="21"/>
          <w:lang w:bidi="ar"/>
        </w:rPr>
        <w:t>十六、合同相关</w:t>
      </w:r>
    </w:p>
    <w:p w14:paraId="19D3D555">
      <w:pPr>
        <w:topLinePunct/>
        <w:spacing w:line="380" w:lineRule="exact"/>
        <w:ind w:firstLine="420" w:firstLineChars="200"/>
        <w:rPr>
          <w:rFonts w:ascii="宋体" w:hAnsi="宋体" w:cs="宋体"/>
          <w:szCs w:val="21"/>
          <w:lang w:bidi="ar"/>
        </w:rPr>
      </w:pPr>
      <w:r>
        <w:rPr>
          <w:rFonts w:hint="eastAsia" w:ascii="宋体" w:hAnsi="宋体" w:cs="宋体"/>
          <w:szCs w:val="21"/>
          <w:lang w:bidi="ar"/>
        </w:rPr>
        <w:t>1、招标人与中标人应当在《中标通知书》发出之日起30日内签订合同。同时，招标代理机构对合同内容进行鉴证，如发现与采购结果和投标承诺内容不一致的，应予以纠正。</w:t>
      </w:r>
    </w:p>
    <w:p w14:paraId="4BF16B3A">
      <w:pPr>
        <w:pStyle w:val="43"/>
        <w:rPr>
          <w:rFonts w:hint="default"/>
        </w:rPr>
      </w:pPr>
      <w:r>
        <w:rPr>
          <w:rFonts w:ascii="宋体" w:hAnsi="宋体" w:cs="宋体"/>
          <w:sz w:val="21"/>
          <w:szCs w:val="21"/>
        </w:rPr>
        <w:t>2、中标方拖延、拒签合同的,将被扣罚投标保证金并取消中标资格。</w:t>
      </w:r>
    </w:p>
    <w:p w14:paraId="708AD637">
      <w:pPr>
        <w:pStyle w:val="43"/>
        <w:rPr>
          <w:rFonts w:hint="default"/>
        </w:rPr>
      </w:pPr>
      <w:r>
        <w:rPr>
          <w:rFonts w:ascii="宋体" w:hAnsi="宋体" w:eastAsia="宋体" w:cs="宋体"/>
          <w:sz w:val="21"/>
          <w:szCs w:val="21"/>
        </w:rPr>
        <w:t>3、中标人如不遵守招标文件或投标文件各项条款的邀约与要约，或在接到中标通知书后借故拖延，拒签合同的，招标人将按《浙江省政府采购供应商注册及诚信管理暂行办法》的规定上报诚信状况。给招标人造成的损失的还应当予以赔偿。</w:t>
      </w:r>
    </w:p>
    <w:p w14:paraId="35A932B0">
      <w:pPr>
        <w:topLinePunct/>
        <w:spacing w:line="380" w:lineRule="exact"/>
        <w:ind w:firstLine="422" w:firstLineChars="200"/>
        <w:rPr>
          <w:rFonts w:ascii="宋体" w:hAnsi="宋体" w:cs="宋体"/>
          <w:b/>
          <w:szCs w:val="21"/>
        </w:rPr>
      </w:pPr>
      <w:r>
        <w:rPr>
          <w:rFonts w:hint="eastAsia" w:ascii="宋体" w:hAnsi="宋体" w:cs="宋体"/>
          <w:b/>
          <w:szCs w:val="21"/>
          <w:lang w:bidi="ar"/>
        </w:rPr>
        <w:t>十七、特别说明</w:t>
      </w:r>
    </w:p>
    <w:p w14:paraId="0CDE3E85">
      <w:pPr>
        <w:spacing w:line="380" w:lineRule="exact"/>
        <w:ind w:firstLine="420" w:firstLineChars="200"/>
        <w:outlineLvl w:val="0"/>
        <w:rPr>
          <w:rFonts w:ascii="宋体" w:hAnsi="宋体" w:cs="宋体"/>
          <w:szCs w:val="21"/>
        </w:rPr>
      </w:pPr>
      <w:bookmarkStart w:id="3" w:name="_Toc441316554"/>
      <w:bookmarkStart w:id="4" w:name="_Toc436408708"/>
      <w:bookmarkStart w:id="5" w:name="_Toc419729158"/>
      <w:r>
        <w:rPr>
          <w:rFonts w:hint="eastAsia" w:ascii="宋体" w:hAnsi="宋体"/>
          <w:szCs w:val="21"/>
        </w:rPr>
        <w:t>1</w:t>
      </w:r>
      <w:r>
        <w:rPr>
          <w:rFonts w:hint="eastAsia" w:ascii="宋体" w:hAnsi="宋体" w:cs="宋体"/>
          <w:szCs w:val="21"/>
          <w:lang w:bidi="ar"/>
        </w:rPr>
        <w:t>、本项目不组织潜在供应商现场考察或者召开开标前答疑。</w:t>
      </w:r>
    </w:p>
    <w:p w14:paraId="64A58B32">
      <w:pPr>
        <w:spacing w:line="380" w:lineRule="exact"/>
        <w:ind w:firstLine="420" w:firstLineChars="200"/>
        <w:outlineLvl w:val="0"/>
        <w:rPr>
          <w:rFonts w:ascii="宋体" w:hAnsi="宋体" w:cs="宋体"/>
          <w:szCs w:val="21"/>
        </w:rPr>
      </w:pPr>
      <w:r>
        <w:rPr>
          <w:rFonts w:hint="eastAsia" w:ascii="宋体" w:hAnsi="宋体" w:cs="宋体"/>
          <w:szCs w:val="21"/>
          <w:lang w:bidi="ar"/>
        </w:rPr>
        <w:t>2、本文件未及事项，在签订合同时双方友好商定。</w:t>
      </w:r>
    </w:p>
    <w:p w14:paraId="4FFD6C54">
      <w:pPr>
        <w:spacing w:line="380" w:lineRule="exact"/>
        <w:ind w:firstLine="420" w:firstLineChars="200"/>
        <w:rPr>
          <w:rFonts w:ascii="宋体" w:hAnsi="宋体" w:cs="宋体"/>
          <w:szCs w:val="21"/>
          <w:lang w:bidi="ar"/>
        </w:rPr>
      </w:pPr>
      <w:r>
        <w:rPr>
          <w:rFonts w:hint="eastAsia" w:ascii="宋体" w:hAnsi="宋体" w:cs="宋体"/>
          <w:szCs w:val="21"/>
          <w:lang w:bidi="ar"/>
        </w:rPr>
        <w:t>3、本招标文件解释权归招标人。</w:t>
      </w:r>
    </w:p>
    <w:bookmarkEnd w:id="3"/>
    <w:bookmarkEnd w:id="4"/>
    <w:bookmarkEnd w:id="5"/>
    <w:p w14:paraId="4CA5E58B">
      <w:pPr>
        <w:pStyle w:val="43"/>
        <w:ind w:firstLine="480"/>
        <w:rPr>
          <w:rFonts w:hint="default" w:ascii="宋体" w:hAnsi="宋体" w:eastAsia="宋体" w:cs="宋体"/>
          <w:szCs w:val="21"/>
          <w:lang w:bidi="ar"/>
        </w:rPr>
      </w:pPr>
    </w:p>
    <w:p w14:paraId="120D281C">
      <w:pPr>
        <w:pStyle w:val="43"/>
        <w:ind w:firstLine="480"/>
        <w:jc w:val="center"/>
        <w:rPr>
          <w:rFonts w:hint="default" w:ascii="宋体" w:hAnsi="宋体" w:cs="宋体"/>
          <w:sz w:val="36"/>
          <w:szCs w:val="36"/>
        </w:rPr>
      </w:pPr>
      <w:r>
        <w:rPr>
          <w:rFonts w:ascii="宋体" w:hAnsi="宋体" w:eastAsia="宋体" w:cs="宋体"/>
          <w:szCs w:val="21"/>
          <w:lang w:bidi="ar"/>
        </w:rPr>
        <w:br w:type="page"/>
      </w:r>
      <w:bookmarkStart w:id="6" w:name="_Toc15581"/>
      <w:r>
        <w:rPr>
          <w:rFonts w:ascii="宋体" w:hAnsi="宋体" w:cs="宋体"/>
          <w:sz w:val="36"/>
          <w:szCs w:val="36"/>
        </w:rPr>
        <w:t xml:space="preserve">第三章  </w:t>
      </w:r>
      <w:bookmarkEnd w:id="2"/>
      <w:r>
        <w:rPr>
          <w:rFonts w:ascii="宋体" w:hAnsi="宋体" w:cs="宋体"/>
          <w:sz w:val="36"/>
          <w:szCs w:val="36"/>
        </w:rPr>
        <w:t>评标办法及标准</w:t>
      </w:r>
      <w:bookmarkEnd w:id="6"/>
    </w:p>
    <w:p w14:paraId="663A2DE3">
      <w:pPr>
        <w:spacing w:line="400" w:lineRule="exact"/>
        <w:rPr>
          <w:rFonts w:ascii="宋体" w:hAnsi="宋体" w:cs="宋体"/>
          <w:b/>
          <w:szCs w:val="21"/>
        </w:rPr>
      </w:pPr>
      <w:r>
        <w:rPr>
          <w:rFonts w:hint="eastAsia" w:ascii="宋体" w:hAnsi="宋体" w:cs="宋体"/>
          <w:b/>
          <w:szCs w:val="21"/>
          <w:lang w:bidi="ar"/>
        </w:rPr>
        <w:t>一、评标办法</w:t>
      </w:r>
    </w:p>
    <w:p w14:paraId="4779FE75">
      <w:pPr>
        <w:spacing w:line="400" w:lineRule="exact"/>
        <w:ind w:left="-2" w:leftChars="-1" w:firstLine="420" w:firstLineChars="200"/>
        <w:rPr>
          <w:rFonts w:ascii="宋体" w:hAnsi="宋体" w:cs="宋体"/>
          <w:szCs w:val="21"/>
        </w:rPr>
      </w:pPr>
      <w:r>
        <w:rPr>
          <w:rFonts w:hint="eastAsia" w:ascii="宋体" w:hAnsi="宋体" w:cs="宋体"/>
          <w:szCs w:val="21"/>
          <w:lang w:bidi="ar"/>
        </w:rPr>
        <w:t>1.1本项目评标采用综合评分法。</w:t>
      </w:r>
    </w:p>
    <w:p w14:paraId="0E5B73D3">
      <w:pPr>
        <w:spacing w:line="400" w:lineRule="exact"/>
        <w:ind w:left="-2" w:leftChars="-1" w:firstLine="420" w:firstLineChars="200"/>
        <w:rPr>
          <w:rFonts w:ascii="宋体" w:hAnsi="宋体" w:cs="宋体"/>
          <w:szCs w:val="21"/>
        </w:rPr>
      </w:pPr>
      <w:r>
        <w:rPr>
          <w:rFonts w:hint="eastAsia" w:ascii="宋体" w:hAnsi="宋体" w:cs="宋体"/>
          <w:szCs w:val="21"/>
          <w:lang w:bidi="ar"/>
        </w:rPr>
        <w:t>1.2综合评分法：采用百分制，总分100分。评标委员会成员按照评分标准（兼评委打分表）规定的内容和分值设置以记名方式独立评定打分，汇总各评委对各供应商的评分，取算术平均值（小数点后保留二位数）即为各供应商的综合得分，按照综合得分由高到低进行排序并推荐中标候选人。若供应商的综合得分相等，则投标报价低者列前。若投标报价也相同时，则技术得分高者列前。若技术得分也相同时，采取随机抽签的方式确定排序。</w:t>
      </w:r>
    </w:p>
    <w:p w14:paraId="6B0B2587">
      <w:pPr>
        <w:spacing w:line="400" w:lineRule="exact"/>
        <w:ind w:left="-2" w:leftChars="-1" w:firstLine="420" w:firstLineChars="200"/>
        <w:rPr>
          <w:rFonts w:ascii="宋体" w:hAnsi="宋体" w:cs="宋体"/>
          <w:szCs w:val="21"/>
        </w:rPr>
      </w:pPr>
      <w:r>
        <w:rPr>
          <w:rFonts w:hint="eastAsia" w:ascii="宋体" w:hAnsi="宋体" w:cs="宋体"/>
          <w:szCs w:val="21"/>
          <w:lang w:bidi="ar"/>
        </w:rPr>
        <w:t>1.3评标委员会成员对需要共同认定的事项存在争议的，应当按照少数服从多数的原则作出结论。</w:t>
      </w:r>
    </w:p>
    <w:p w14:paraId="6D475268">
      <w:pPr>
        <w:spacing w:line="400" w:lineRule="exact"/>
        <w:rPr>
          <w:rFonts w:ascii="宋体" w:hAnsi="宋体" w:cs="宋体"/>
          <w:b/>
          <w:szCs w:val="21"/>
        </w:rPr>
      </w:pPr>
      <w:r>
        <w:rPr>
          <w:rFonts w:hint="eastAsia" w:ascii="宋体" w:hAnsi="宋体" w:cs="宋体"/>
          <w:b/>
          <w:szCs w:val="21"/>
          <w:lang w:bidi="ar"/>
        </w:rPr>
        <w:t>二、评标委员会</w:t>
      </w:r>
    </w:p>
    <w:p w14:paraId="0107AC6B">
      <w:pPr>
        <w:spacing w:line="400" w:lineRule="exact"/>
        <w:ind w:firstLine="420" w:firstLineChars="200"/>
        <w:rPr>
          <w:rFonts w:ascii="宋体" w:hAnsi="宋体" w:cs="宋体"/>
          <w:szCs w:val="21"/>
        </w:rPr>
      </w:pPr>
      <w:r>
        <w:rPr>
          <w:rFonts w:hint="eastAsia" w:ascii="宋体" w:hAnsi="宋体" w:cs="宋体"/>
          <w:szCs w:val="21"/>
          <w:lang w:bidi="ar"/>
        </w:rPr>
        <w:t>2.1招标人依据相关规定组建评标委员会，负责本项目的评标工作。评标委员会成员名单在招标结果确定之前依法保密。</w:t>
      </w:r>
    </w:p>
    <w:p w14:paraId="2EA080A2">
      <w:pPr>
        <w:spacing w:line="400" w:lineRule="exact"/>
        <w:ind w:firstLine="420" w:firstLineChars="200"/>
        <w:rPr>
          <w:rFonts w:ascii="宋体" w:hAnsi="宋体" w:cs="宋体"/>
          <w:szCs w:val="21"/>
        </w:rPr>
      </w:pPr>
      <w:r>
        <w:rPr>
          <w:rFonts w:hint="eastAsia" w:ascii="宋体" w:hAnsi="宋体" w:cs="宋体"/>
          <w:szCs w:val="21"/>
          <w:lang w:bidi="ar"/>
        </w:rPr>
        <w:t>2.2评标委员会将按照招标文件要求，只对初步确定为实质上响应本招标文件要求的投标进行评标和比较。并且只依据投标文件内容本身的响应情况进行评审，不考虑开标后的任何补充声明、修正的方案。</w:t>
      </w:r>
    </w:p>
    <w:p w14:paraId="2E7C10BE">
      <w:pPr>
        <w:spacing w:line="400" w:lineRule="exact"/>
        <w:rPr>
          <w:rFonts w:ascii="宋体" w:hAnsi="宋体" w:cs="宋体"/>
          <w:b/>
          <w:szCs w:val="21"/>
        </w:rPr>
      </w:pPr>
      <w:r>
        <w:rPr>
          <w:rFonts w:hint="eastAsia" w:ascii="宋体" w:hAnsi="宋体" w:cs="宋体"/>
          <w:b/>
          <w:szCs w:val="21"/>
          <w:lang w:bidi="ar"/>
        </w:rPr>
        <w:t>三、评标程序</w:t>
      </w:r>
    </w:p>
    <w:p w14:paraId="3740551F">
      <w:pPr>
        <w:spacing w:line="400" w:lineRule="exact"/>
        <w:ind w:firstLine="422" w:firstLineChars="200"/>
        <w:rPr>
          <w:rFonts w:ascii="宋体" w:hAnsi="宋体" w:cs="宋体"/>
          <w:b/>
          <w:bCs/>
          <w:szCs w:val="21"/>
          <w:lang w:bidi="ar"/>
        </w:rPr>
      </w:pPr>
      <w:r>
        <w:rPr>
          <w:rFonts w:hint="eastAsia" w:ascii="宋体" w:hAnsi="宋体" w:cs="宋体"/>
          <w:b/>
          <w:bCs/>
          <w:szCs w:val="21"/>
          <w:lang w:bidi="ar"/>
        </w:rPr>
        <w:t>3.1商务技术文件评审：</w:t>
      </w:r>
    </w:p>
    <w:p w14:paraId="553C4088">
      <w:pPr>
        <w:spacing w:line="400" w:lineRule="exact"/>
        <w:ind w:firstLine="420" w:firstLineChars="200"/>
        <w:rPr>
          <w:rFonts w:ascii="宋体" w:hAnsi="宋体" w:cs="宋体"/>
          <w:szCs w:val="21"/>
        </w:rPr>
      </w:pPr>
      <w:r>
        <w:rPr>
          <w:rFonts w:hint="eastAsia" w:ascii="宋体" w:hAnsi="宋体" w:cs="宋体"/>
          <w:szCs w:val="21"/>
          <w:lang w:bidi="ar"/>
        </w:rPr>
        <w:t>3.1.1初步审查：包含资格性审查和商务技术文件符合性审查。资格性审查是指招标人或代理机构根据“附表1资格审查表”的要求对投标文件逐一进行评审。商务技术文件符合性审查是指评标委员会根据“附表2商务技术文件符合性审查表”的要求对投标文件逐一进行评审。</w:t>
      </w:r>
      <w:r>
        <w:rPr>
          <w:rFonts w:hint="eastAsia" w:ascii="宋体" w:hAnsi="宋体" w:cs="宋体"/>
          <w:b/>
          <w:szCs w:val="21"/>
          <w:lang w:bidi="ar"/>
        </w:rPr>
        <w:t>资格性审查和商务技术文件符合性审查中，有任意一项审查结论不合格的，作无效标处理。</w:t>
      </w:r>
    </w:p>
    <w:p w14:paraId="42728D23">
      <w:pPr>
        <w:spacing w:line="400" w:lineRule="exact"/>
        <w:ind w:firstLine="420" w:firstLineChars="200"/>
        <w:jc w:val="left"/>
        <w:rPr>
          <w:rFonts w:ascii="宋体" w:hAnsi="宋体" w:cs="宋体"/>
          <w:szCs w:val="21"/>
          <w:lang w:val="zh-CN"/>
        </w:rPr>
      </w:pPr>
      <w:r>
        <w:rPr>
          <w:rFonts w:hint="eastAsia" w:ascii="宋体" w:hAnsi="宋体" w:cs="宋体"/>
          <w:szCs w:val="21"/>
          <w:lang w:bidi="ar"/>
        </w:rPr>
        <w:t>3.1.2</w:t>
      </w:r>
      <w:r>
        <w:rPr>
          <w:rFonts w:hint="eastAsia" w:ascii="宋体" w:hAnsi="宋体" w:cs="宋体"/>
          <w:szCs w:val="21"/>
          <w:lang w:val="zh-CN" w:bidi="ar"/>
        </w:rPr>
        <w:t>比较与评价：</w:t>
      </w:r>
      <w:r>
        <w:rPr>
          <w:rFonts w:hint="eastAsia" w:ascii="宋体" w:hAnsi="宋体" w:cs="宋体"/>
          <w:szCs w:val="21"/>
          <w:lang w:bidi="ar"/>
        </w:rPr>
        <w:t>评标委员会根据“附表3评分标准（兼评委打分表）”的要求，</w:t>
      </w:r>
      <w:r>
        <w:rPr>
          <w:rFonts w:hint="eastAsia" w:ascii="宋体" w:hAnsi="宋体" w:cs="宋体"/>
          <w:szCs w:val="21"/>
          <w:lang w:val="zh-CN" w:bidi="ar"/>
        </w:rPr>
        <w:t>对照投标文件的应答进行比较，判定其偏差性质和程度，</w:t>
      </w:r>
      <w:r>
        <w:rPr>
          <w:rFonts w:hint="eastAsia" w:ascii="宋体" w:hAnsi="宋体" w:cs="宋体"/>
          <w:szCs w:val="21"/>
          <w:lang w:bidi="ar"/>
        </w:rPr>
        <w:t>由评标委员会成员在分值范围内自行评分</w:t>
      </w:r>
      <w:r>
        <w:rPr>
          <w:rFonts w:hint="eastAsia" w:ascii="宋体" w:hAnsi="宋体" w:cs="宋体"/>
          <w:szCs w:val="21"/>
          <w:lang w:val="zh-CN" w:bidi="ar"/>
        </w:rPr>
        <w:t>。</w:t>
      </w:r>
    </w:p>
    <w:p w14:paraId="5F3C887C">
      <w:pPr>
        <w:spacing w:line="400" w:lineRule="exact"/>
        <w:ind w:firstLine="420" w:firstLineChars="200"/>
        <w:jc w:val="left"/>
        <w:rPr>
          <w:rFonts w:ascii="宋体" w:hAnsi="宋体" w:cs="宋体"/>
          <w:szCs w:val="21"/>
          <w:lang w:val="zh-CN" w:bidi="ar"/>
        </w:rPr>
      </w:pPr>
      <w:r>
        <w:rPr>
          <w:rFonts w:hint="eastAsia" w:ascii="宋体" w:hAnsi="宋体" w:cs="宋体"/>
          <w:szCs w:val="21"/>
          <w:lang w:bidi="ar"/>
        </w:rPr>
        <w:t>3.1.3</w:t>
      </w:r>
      <w:r>
        <w:rPr>
          <w:rFonts w:hint="eastAsia" w:ascii="宋体" w:hAnsi="宋体" w:cs="宋体"/>
          <w:szCs w:val="21"/>
          <w:lang w:val="zh-CN" w:bidi="ar"/>
        </w:rPr>
        <w:t>招标代理机构可协助评标委员会组长对打分结果进行校对、核对并汇总统计；</w:t>
      </w:r>
      <w:r>
        <w:rPr>
          <w:rFonts w:hint="eastAsia" w:ascii="宋体" w:hAnsi="宋体" w:cs="宋体"/>
          <w:b/>
          <w:szCs w:val="21"/>
          <w:lang w:val="zh-CN" w:bidi="ar"/>
        </w:rPr>
        <w:t>对明显畸高、畸低的评分（其总评分偏离平均分30%以上的），评标委员会组长应提醒相关评标委员会成员进行复核或书面说明理由</w:t>
      </w:r>
      <w:r>
        <w:rPr>
          <w:rFonts w:hint="eastAsia" w:ascii="宋体" w:hAnsi="宋体" w:cs="宋体"/>
          <w:szCs w:val="21"/>
          <w:lang w:val="zh-CN" w:bidi="ar"/>
        </w:rPr>
        <w:t>；评标委员会成员的评审、修改记录应保留原件，随项目其他资料一并存档。</w:t>
      </w:r>
    </w:p>
    <w:p w14:paraId="386D28A4">
      <w:pPr>
        <w:spacing w:line="400" w:lineRule="exact"/>
        <w:ind w:firstLine="422" w:firstLineChars="200"/>
        <w:jc w:val="left"/>
        <w:rPr>
          <w:rFonts w:ascii="宋体" w:hAnsi="宋体" w:cs="宋体"/>
          <w:lang w:val="zh-CN"/>
        </w:rPr>
      </w:pPr>
      <w:r>
        <w:rPr>
          <w:rFonts w:hint="eastAsia" w:ascii="宋体" w:hAnsi="宋体" w:cs="宋体"/>
          <w:b/>
          <w:szCs w:val="21"/>
          <w:lang w:bidi="ar"/>
        </w:rPr>
        <w:t>3.2报价文件评审</w:t>
      </w:r>
    </w:p>
    <w:p w14:paraId="3F8E6F88">
      <w:pPr>
        <w:spacing w:line="400" w:lineRule="exact"/>
        <w:ind w:firstLine="420" w:firstLineChars="200"/>
        <w:jc w:val="left"/>
        <w:rPr>
          <w:rFonts w:ascii="宋体" w:hAnsi="宋体" w:cs="宋体"/>
          <w:szCs w:val="21"/>
        </w:rPr>
      </w:pPr>
      <w:r>
        <w:rPr>
          <w:rFonts w:hint="eastAsia" w:ascii="宋体" w:hAnsi="宋体" w:cs="宋体"/>
          <w:szCs w:val="21"/>
          <w:lang w:bidi="ar"/>
        </w:rPr>
        <w:t>3.2.1报价文件符合性审查：报价文件符合性审查是指评标委员会根据“附表4报价文件符合性审查表”的要求对供应商报价文件逐一进行评审。</w:t>
      </w:r>
      <w:r>
        <w:rPr>
          <w:rFonts w:hint="eastAsia" w:ascii="宋体" w:hAnsi="宋体" w:cs="宋体"/>
          <w:b/>
          <w:bCs/>
          <w:szCs w:val="21"/>
          <w:lang w:bidi="ar"/>
        </w:rPr>
        <w:t>报价文件符合性审查中，审查结论不合格的，作无效标处理。</w:t>
      </w:r>
    </w:p>
    <w:p w14:paraId="7424FB93">
      <w:pPr>
        <w:spacing w:line="400" w:lineRule="exact"/>
        <w:ind w:firstLine="420" w:firstLineChars="200"/>
        <w:rPr>
          <w:rFonts w:ascii="宋体" w:hAnsi="宋体" w:cs="宋体"/>
          <w:szCs w:val="21"/>
        </w:rPr>
      </w:pPr>
      <w:r>
        <w:rPr>
          <w:rFonts w:hint="eastAsia" w:ascii="宋体" w:hAnsi="宋体" w:cs="宋体"/>
          <w:szCs w:val="21"/>
          <w:lang w:bidi="ar"/>
        </w:rPr>
        <w:t>3.2.2在评标过程中，发现的价格计算错误按下述原则修正：</w:t>
      </w:r>
    </w:p>
    <w:p w14:paraId="40B0AE19">
      <w:pPr>
        <w:spacing w:line="400" w:lineRule="exact"/>
        <w:ind w:firstLine="420" w:firstLineChars="200"/>
        <w:jc w:val="left"/>
        <w:rPr>
          <w:rFonts w:ascii="宋体" w:hAnsi="宋体" w:cs="宋体"/>
          <w:szCs w:val="21"/>
        </w:rPr>
      </w:pPr>
      <w:r>
        <w:rPr>
          <w:rFonts w:hint="eastAsia" w:ascii="宋体" w:hAnsi="宋体" w:cs="宋体"/>
          <w:szCs w:val="21"/>
          <w:lang w:bidi="ar"/>
        </w:rPr>
        <w:t>（1）投标文件中开标一览表内容与投标文件中分项报价表内容不一致的，以开标一览表为准；</w:t>
      </w:r>
    </w:p>
    <w:p w14:paraId="529A3C52">
      <w:pPr>
        <w:spacing w:line="400" w:lineRule="exact"/>
        <w:ind w:firstLine="420" w:firstLineChars="200"/>
        <w:jc w:val="left"/>
        <w:rPr>
          <w:rFonts w:ascii="宋体" w:hAnsi="宋体" w:cs="宋体"/>
          <w:szCs w:val="21"/>
        </w:rPr>
      </w:pPr>
      <w:r>
        <w:rPr>
          <w:rFonts w:hint="eastAsia" w:ascii="宋体" w:hAnsi="宋体" w:cs="宋体"/>
          <w:szCs w:val="21"/>
          <w:lang w:bidi="ar"/>
        </w:rPr>
        <w:t>（2）投标文件的大写金额和小写金额不一致的，以大写金额为准；</w:t>
      </w:r>
    </w:p>
    <w:p w14:paraId="688DA902">
      <w:pPr>
        <w:spacing w:line="400" w:lineRule="exact"/>
        <w:ind w:firstLine="420" w:firstLineChars="200"/>
        <w:jc w:val="left"/>
        <w:rPr>
          <w:rFonts w:ascii="宋体" w:hAnsi="宋体" w:cs="宋体"/>
          <w:szCs w:val="21"/>
        </w:rPr>
      </w:pPr>
      <w:r>
        <w:rPr>
          <w:rFonts w:hint="eastAsia" w:ascii="宋体" w:hAnsi="宋体" w:cs="宋体"/>
          <w:szCs w:val="21"/>
          <w:lang w:bidi="ar"/>
        </w:rPr>
        <w:t>（3）单价金额小数点有明显错位的，应以总价为准，并修改单价；</w:t>
      </w:r>
    </w:p>
    <w:p w14:paraId="793B0EA7">
      <w:pPr>
        <w:spacing w:line="400" w:lineRule="exact"/>
        <w:ind w:firstLine="420" w:firstLineChars="200"/>
        <w:jc w:val="left"/>
        <w:rPr>
          <w:rFonts w:ascii="宋体" w:hAnsi="宋体" w:cs="宋体"/>
          <w:szCs w:val="21"/>
        </w:rPr>
      </w:pPr>
      <w:r>
        <w:rPr>
          <w:rFonts w:hint="eastAsia" w:ascii="宋体" w:hAnsi="宋体" w:cs="宋体"/>
          <w:szCs w:val="21"/>
          <w:lang w:bidi="ar"/>
        </w:rPr>
        <w:t>（4）总价金额与按单价汇总金额不一致的，以单价金额计算结果为准。</w:t>
      </w:r>
    </w:p>
    <w:p w14:paraId="5C4B0FB1">
      <w:pPr>
        <w:spacing w:line="400" w:lineRule="exact"/>
        <w:ind w:firstLine="420" w:firstLineChars="200"/>
        <w:rPr>
          <w:rFonts w:ascii="宋体" w:hAnsi="宋体" w:cs="宋体"/>
          <w:lang w:bidi="ar"/>
        </w:rPr>
      </w:pPr>
      <w:r>
        <w:rPr>
          <w:rFonts w:hint="eastAsia" w:ascii="宋体" w:hAnsi="宋体" w:cs="宋体"/>
          <w:lang w:bidi="ar"/>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14:paraId="589B9AAA">
      <w:pPr>
        <w:spacing w:line="400" w:lineRule="exact"/>
        <w:ind w:firstLine="420" w:firstLineChars="200"/>
        <w:jc w:val="left"/>
        <w:rPr>
          <w:rFonts w:ascii="宋体" w:hAnsi="宋体" w:cs="宋体"/>
        </w:rPr>
      </w:pPr>
      <w:r>
        <w:rPr>
          <w:rFonts w:hint="eastAsia" w:ascii="宋体" w:hAnsi="宋体" w:cs="宋体"/>
          <w:szCs w:val="21"/>
          <w:lang w:bidi="ar"/>
        </w:rPr>
        <w:t>3.2.3评标委员会根据“附表5价格评分表”的规定，计算供应商报价得分（小数点后保留二位数）。</w:t>
      </w:r>
    </w:p>
    <w:p w14:paraId="46B147B0">
      <w:pPr>
        <w:spacing w:line="400" w:lineRule="exact"/>
        <w:ind w:firstLine="420" w:firstLineChars="200"/>
        <w:jc w:val="left"/>
        <w:rPr>
          <w:rFonts w:ascii="宋体" w:hAnsi="宋体" w:cs="宋体"/>
        </w:rPr>
      </w:pPr>
      <w:r>
        <w:rPr>
          <w:rFonts w:hint="eastAsia" w:ascii="宋体" w:hAnsi="宋体" w:cs="宋体"/>
          <w:szCs w:val="21"/>
          <w:lang w:bidi="ar"/>
        </w:rPr>
        <w:t>3.3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3BC1E7A7">
      <w:pPr>
        <w:spacing w:line="400" w:lineRule="exact"/>
        <w:ind w:firstLine="420" w:firstLineChars="200"/>
        <w:jc w:val="left"/>
        <w:rPr>
          <w:rFonts w:ascii="宋体" w:hAnsi="宋体" w:cs="宋体"/>
          <w:szCs w:val="21"/>
        </w:rPr>
      </w:pPr>
      <w:r>
        <w:rPr>
          <w:rFonts w:hint="eastAsia" w:ascii="宋体" w:hAnsi="宋体" w:cs="宋体"/>
          <w:szCs w:val="21"/>
          <w:lang w:bidi="ar"/>
        </w:rPr>
        <w:t>3.4推荐中标候选人</w:t>
      </w:r>
    </w:p>
    <w:p w14:paraId="0BA2B611">
      <w:pPr>
        <w:spacing w:line="400" w:lineRule="exact"/>
        <w:ind w:firstLine="420" w:firstLineChars="200"/>
        <w:jc w:val="left"/>
        <w:rPr>
          <w:rFonts w:ascii="宋体" w:hAnsi="宋体" w:cs="宋体"/>
          <w:szCs w:val="21"/>
        </w:rPr>
      </w:pPr>
      <w:r>
        <w:rPr>
          <w:rFonts w:hint="eastAsia" w:ascii="宋体" w:hAnsi="宋体" w:cs="宋体"/>
          <w:szCs w:val="21"/>
          <w:lang w:bidi="ar"/>
        </w:rPr>
        <w:t>根据供应商综合得分由高到低进行排序并</w:t>
      </w:r>
      <w:r>
        <w:rPr>
          <w:rFonts w:hint="eastAsia" w:ascii="宋体" w:hAnsi="宋体" w:cs="宋体"/>
          <w:bCs/>
          <w:szCs w:val="21"/>
          <w:lang w:bidi="ar"/>
        </w:rPr>
        <w:t>推荐中标候选人。</w:t>
      </w:r>
      <w:r>
        <w:rPr>
          <w:rFonts w:hint="eastAsia" w:ascii="宋体" w:hAnsi="宋体" w:cs="宋体"/>
          <w:szCs w:val="21"/>
          <w:lang w:bidi="ar"/>
        </w:rPr>
        <w:t>若供应商的综合得分相等，则投标报价低者列前。若投标报价也相同时，则技术得分高者列前。若技术得分也相同时，采取随机抽签的方式确定排序。</w:t>
      </w:r>
    </w:p>
    <w:p w14:paraId="694BEC3B">
      <w:pPr>
        <w:spacing w:line="400" w:lineRule="exact"/>
        <w:ind w:firstLine="420" w:firstLineChars="200"/>
        <w:jc w:val="left"/>
        <w:rPr>
          <w:rFonts w:ascii="宋体" w:hAnsi="宋体" w:cs="宋体"/>
          <w:szCs w:val="21"/>
        </w:rPr>
      </w:pPr>
      <w:r>
        <w:rPr>
          <w:rFonts w:hint="eastAsia" w:ascii="宋体" w:hAnsi="宋体" w:cs="宋体"/>
          <w:szCs w:val="21"/>
          <w:lang w:bidi="ar"/>
        </w:rPr>
        <w:t>3.5确定中标人</w:t>
      </w:r>
    </w:p>
    <w:p w14:paraId="3EEC8FF7">
      <w:pPr>
        <w:spacing w:line="400" w:lineRule="exact"/>
        <w:ind w:firstLine="420" w:firstLineChars="200"/>
        <w:rPr>
          <w:rFonts w:ascii="宋体" w:hAnsi="宋体" w:cs="宋体"/>
          <w:szCs w:val="21"/>
          <w:lang w:bidi="ar"/>
        </w:rPr>
      </w:pPr>
      <w:r>
        <w:rPr>
          <w:rFonts w:hint="eastAsia" w:ascii="宋体" w:hAnsi="宋体" w:cs="宋体"/>
          <w:szCs w:val="21"/>
          <w:lang w:bidi="ar"/>
        </w:rPr>
        <w:t>评标委员会按综合得分由高到低排序，根据排序向招标人推荐中标候选人。代理机构应当自评审结束之日起2个工作日内将评审报告送交招标人。招标人应当自收到评审报告之日起5个工作日内在评审报告推荐的中标候选人中按顺序确定中标人。中标人因不可抗力或者自身原因不能履行采购合同的，招标人将重新招标。</w:t>
      </w:r>
    </w:p>
    <w:p w14:paraId="34AB2902">
      <w:pPr>
        <w:spacing w:line="400" w:lineRule="exact"/>
        <w:rPr>
          <w:rFonts w:ascii="宋体" w:hAnsi="宋体" w:cs="宋体"/>
          <w:b/>
          <w:szCs w:val="21"/>
        </w:rPr>
      </w:pPr>
      <w:r>
        <w:rPr>
          <w:rFonts w:hint="eastAsia" w:ascii="宋体" w:hAnsi="宋体" w:cs="宋体"/>
          <w:b/>
          <w:szCs w:val="21"/>
          <w:lang w:bidi="ar"/>
        </w:rPr>
        <w:t>四、投标的澄清</w:t>
      </w:r>
    </w:p>
    <w:p w14:paraId="66D99A87">
      <w:pPr>
        <w:spacing w:line="400" w:lineRule="exact"/>
        <w:ind w:firstLine="420" w:firstLineChars="200"/>
        <w:rPr>
          <w:sz w:val="20"/>
          <w:szCs w:val="18"/>
        </w:rPr>
      </w:pPr>
      <w:r>
        <w:rPr>
          <w:rFonts w:hint="eastAsia" w:ascii="宋体" w:hAnsi="宋体" w:cs="宋体"/>
          <w:szCs w:val="21"/>
          <w:lang w:bidi="ar"/>
        </w:rPr>
        <w:t>4.1对投标文件审查中发现的投标文件表达含义不明确、同类问题表述不一致或者有明显文字和计算错误的内容，评标委员会应当书面形式要求供应商作出必要的澄清、说明或者补正；</w:t>
      </w:r>
      <w:r>
        <w:rPr>
          <w:rFonts w:hint="eastAsia" w:ascii="宋体" w:hAnsi="宋体" w:cs="宋体"/>
          <w:b/>
          <w:bCs/>
          <w:szCs w:val="21"/>
          <w:lang w:bidi="ar"/>
        </w:rPr>
        <w:t>供应商代表未在开标现场的可以按规定以网上远程电子形式进行答复。</w:t>
      </w:r>
    </w:p>
    <w:p w14:paraId="7D9CFF3A">
      <w:pPr>
        <w:spacing w:line="400" w:lineRule="exact"/>
        <w:ind w:firstLine="420" w:firstLineChars="200"/>
        <w:rPr>
          <w:rFonts w:ascii="宋体" w:hAnsi="宋体" w:cs="宋体"/>
          <w:szCs w:val="21"/>
        </w:rPr>
      </w:pPr>
      <w:r>
        <w:rPr>
          <w:rFonts w:hint="eastAsia" w:ascii="宋体" w:hAnsi="宋体" w:cs="宋体"/>
          <w:szCs w:val="21"/>
          <w:lang w:bidi="ar"/>
        </w:rPr>
        <w:t>4.2供应商的现场澄清、说明或者补正应当采用书面形式，并加盖公章，或者由法定代表人或其委托代理人的签字。供应商的澄清、说明或者补正不得超出投标文件的范围或者改变投标文件的实质性内容。</w:t>
      </w:r>
    </w:p>
    <w:p w14:paraId="1A08F3CE">
      <w:pPr>
        <w:spacing w:line="400" w:lineRule="exact"/>
        <w:ind w:firstLine="420" w:firstLineChars="200"/>
        <w:rPr>
          <w:rFonts w:ascii="宋体" w:hAnsi="宋体" w:cs="宋体"/>
          <w:szCs w:val="21"/>
          <w:lang w:bidi="ar"/>
        </w:rPr>
      </w:pPr>
      <w:r>
        <w:rPr>
          <w:rFonts w:hint="eastAsia" w:ascii="宋体" w:hAnsi="宋体" w:cs="宋体"/>
          <w:szCs w:val="21"/>
          <w:lang w:bidi="ar"/>
        </w:rPr>
        <w:t>4.3若供应商未响应澄清安排的通知到场或网上电子形式进行答疑和澄清，将被视作自动放弃。</w:t>
      </w:r>
    </w:p>
    <w:p w14:paraId="4A06A73F">
      <w:pPr>
        <w:spacing w:line="400" w:lineRule="exact"/>
        <w:ind w:firstLine="420" w:firstLineChars="200"/>
        <w:rPr>
          <w:rFonts w:ascii="宋体" w:hAnsi="宋体" w:cs="宋体"/>
          <w:szCs w:val="21"/>
          <w:lang w:bidi="ar"/>
        </w:rPr>
      </w:pPr>
      <w:r>
        <w:rPr>
          <w:rFonts w:hint="eastAsia" w:ascii="宋体" w:hAnsi="宋体" w:cs="宋体"/>
          <w:szCs w:val="21"/>
          <w:lang w:bidi="ar"/>
        </w:rPr>
        <w:t>4.4、网上电子澄清方式</w:t>
      </w:r>
    </w:p>
    <w:p w14:paraId="3A9664F6">
      <w:pPr>
        <w:spacing w:line="400" w:lineRule="exact"/>
        <w:ind w:firstLine="420" w:firstLineChars="200"/>
        <w:rPr>
          <w:rFonts w:ascii="宋体" w:hAnsi="宋体" w:cs="宋体"/>
          <w:szCs w:val="21"/>
          <w:lang w:bidi="ar"/>
        </w:rPr>
      </w:pPr>
      <w:r>
        <w:rPr>
          <w:rFonts w:hint="eastAsia" w:ascii="宋体" w:hAnsi="宋体" w:cs="宋体"/>
          <w:szCs w:val="21"/>
          <w:lang w:bidi="ar"/>
        </w:rPr>
        <w:t>1、评标委员会对投标文件存在疑问的地方，可以进行询标，供应商代表未在开标现场的可以进行远程询标，要求投标人在合理时间内（至多30分钟，以开始网上接收时间为准）发送有关证明资料电子版，以便核验。</w:t>
      </w:r>
    </w:p>
    <w:p w14:paraId="18412AAB">
      <w:pPr>
        <w:spacing w:line="400" w:lineRule="exact"/>
        <w:ind w:firstLine="420" w:firstLineChars="200"/>
        <w:rPr>
          <w:rFonts w:ascii="宋体" w:hAnsi="宋体" w:cs="宋体"/>
          <w:szCs w:val="21"/>
          <w:lang w:bidi="ar"/>
        </w:rPr>
      </w:pPr>
      <w:r>
        <w:rPr>
          <w:rFonts w:hint="eastAsia" w:ascii="宋体" w:hAnsi="宋体" w:cs="宋体"/>
          <w:szCs w:val="21"/>
          <w:lang w:bidi="ar"/>
        </w:rPr>
        <w:t>2、供应商在截止时间前，根据标项回复询标函。路径：用户中心—项目采购—询标澄清。</w:t>
      </w:r>
    </w:p>
    <w:p w14:paraId="7E975716">
      <w:pPr>
        <w:spacing w:line="400" w:lineRule="exact"/>
        <w:ind w:firstLine="420" w:firstLineChars="200"/>
        <w:rPr>
          <w:rFonts w:ascii="宋体" w:hAnsi="宋体" w:cs="宋体"/>
          <w:szCs w:val="21"/>
          <w:lang w:bidi="ar"/>
        </w:rPr>
      </w:pPr>
      <w:r>
        <w:rPr>
          <w:rFonts w:hint="eastAsia" w:ascii="宋体" w:hAnsi="宋体" w:cs="宋体"/>
          <w:szCs w:val="21"/>
          <w:lang w:bidi="ar"/>
        </w:rPr>
        <w:t>（1）乐采云平台通过待办事项和短信提醒供应商在截止时间前完成澄清。</w:t>
      </w:r>
    </w:p>
    <w:p w14:paraId="44E15324">
      <w:pPr>
        <w:spacing w:line="400" w:lineRule="exact"/>
        <w:ind w:firstLine="420" w:firstLineChars="200"/>
        <w:rPr>
          <w:rFonts w:ascii="宋体" w:hAnsi="宋体" w:cs="宋体"/>
          <w:szCs w:val="21"/>
          <w:lang w:bidi="ar"/>
        </w:rPr>
      </w:pPr>
      <w:r>
        <w:rPr>
          <w:rFonts w:hint="eastAsia" w:ascii="宋体" w:hAnsi="宋体" w:cs="宋体"/>
          <w:szCs w:val="21"/>
          <w:lang w:bidi="ar"/>
        </w:rPr>
        <w:t>（2）供应商在“询标澄清-待办理”标签页下选择状态为“待澄清”的项目，点击操作栏【澄清】。</w:t>
      </w:r>
    </w:p>
    <w:p w14:paraId="5E2DE610">
      <w:pPr>
        <w:spacing w:line="400" w:lineRule="exact"/>
        <w:ind w:firstLine="420" w:firstLineChars="200"/>
        <w:rPr>
          <w:rFonts w:ascii="宋体" w:hAnsi="宋体" w:cs="宋体"/>
          <w:szCs w:val="21"/>
          <w:lang w:bidi="ar"/>
        </w:rPr>
      </w:pPr>
      <w:r>
        <w:rPr>
          <w:rFonts w:hint="eastAsia" w:ascii="宋体" w:hAnsi="宋体" w:cs="宋体"/>
          <w:szCs w:val="21"/>
          <w:lang w:bidi="ar"/>
        </w:rPr>
        <w:t>（3）查看询标函内容，在澄清截止时间前上传澄清文件并对澄清文件进行签章。（注：澄清文件必须以 PDF 格式上传，文件大小：50M。）</w:t>
      </w:r>
    </w:p>
    <w:p w14:paraId="65280F37">
      <w:pPr>
        <w:spacing w:line="400" w:lineRule="exact"/>
        <w:ind w:firstLine="420" w:firstLineChars="200"/>
        <w:rPr>
          <w:rFonts w:ascii="宋体" w:hAnsi="宋体" w:cs="宋体"/>
          <w:szCs w:val="21"/>
          <w:lang w:bidi="ar"/>
        </w:rPr>
      </w:pPr>
      <w:r>
        <w:rPr>
          <w:rFonts w:hint="eastAsia" w:ascii="宋体" w:hAnsi="宋体" w:cs="宋体"/>
          <w:szCs w:val="21"/>
          <w:lang w:bidi="ar"/>
        </w:rPr>
        <w:t>（4）签章完成，文件名称处显示“已签章”，供应商可“撤回签章”修改澄清函和“查看文件”。</w:t>
      </w:r>
    </w:p>
    <w:p w14:paraId="6F3FE2A9">
      <w:pPr>
        <w:spacing w:line="400" w:lineRule="exact"/>
        <w:ind w:firstLine="420" w:firstLineChars="200"/>
        <w:rPr>
          <w:rFonts w:ascii="宋体" w:hAnsi="宋体" w:cs="宋体"/>
          <w:szCs w:val="21"/>
          <w:lang w:bidi="ar"/>
        </w:rPr>
      </w:pPr>
      <w:r>
        <w:rPr>
          <w:rFonts w:hint="eastAsia" w:ascii="宋体" w:hAnsi="宋体" w:cs="宋体"/>
          <w:szCs w:val="21"/>
          <w:lang w:bidi="ar"/>
        </w:rPr>
        <w:t>（5）确认澄清文件内容后，点击右上角【提交】；（注：供应商未对澄清文件签章，提交时，弹框提醒“澄清文件未签章，请进行签章操作”，如遇 CA 突发情况无法签章，供应商可点击【放弃签章并提交】提交澄清文件；反之则签章后再提交。）</w:t>
      </w:r>
    </w:p>
    <w:p w14:paraId="04BB6827">
      <w:pPr>
        <w:spacing w:line="400" w:lineRule="exact"/>
        <w:ind w:firstLine="420" w:firstLineChars="200"/>
        <w:rPr>
          <w:rFonts w:ascii="宋体" w:hAnsi="宋体" w:cs="宋体"/>
          <w:szCs w:val="21"/>
          <w:lang w:bidi="ar"/>
        </w:rPr>
      </w:pPr>
      <w:r>
        <w:rPr>
          <w:rFonts w:hint="eastAsia" w:ascii="宋体" w:hAnsi="宋体" w:cs="宋体"/>
          <w:szCs w:val="21"/>
          <w:lang w:bidi="ar"/>
        </w:rPr>
        <w:t>完成状态：供应商澄清文件提交成功后，在“询标澄清-全部”标签页下显示状态为“已澄清”。</w:t>
      </w:r>
    </w:p>
    <w:p w14:paraId="0DFF190C">
      <w:pPr>
        <w:widowControl/>
        <w:spacing w:line="400" w:lineRule="exact"/>
        <w:jc w:val="left"/>
        <w:rPr>
          <w:rFonts w:ascii="宋体" w:hAnsi="宋体" w:cs="宋体"/>
          <w:b/>
          <w:szCs w:val="21"/>
        </w:rPr>
      </w:pPr>
      <w:r>
        <w:rPr>
          <w:rFonts w:hint="eastAsia" w:ascii="宋体" w:hAnsi="宋体" w:cs="宋体"/>
          <w:b/>
          <w:szCs w:val="21"/>
          <w:lang w:bidi="ar"/>
        </w:rPr>
        <w:t>五、特别声明：价格是评标的重要因素之一，但最低价不是中标的唯一依据。</w:t>
      </w:r>
    </w:p>
    <w:p w14:paraId="4ACC8308">
      <w:pPr>
        <w:spacing w:line="400" w:lineRule="exact"/>
        <w:jc w:val="left"/>
        <w:rPr>
          <w:rFonts w:ascii="宋体" w:hAnsi="宋体" w:cs="宋体"/>
          <w:b/>
          <w:szCs w:val="21"/>
        </w:rPr>
      </w:pPr>
      <w:r>
        <w:rPr>
          <w:rFonts w:hint="eastAsia" w:ascii="宋体" w:hAnsi="宋体" w:cs="宋体"/>
          <w:b/>
          <w:szCs w:val="21"/>
          <w:lang w:bidi="ar"/>
        </w:rPr>
        <w:t>六、重新招标</w:t>
      </w:r>
    </w:p>
    <w:p w14:paraId="52DE3358">
      <w:pPr>
        <w:spacing w:line="400" w:lineRule="exact"/>
        <w:ind w:firstLine="420" w:firstLineChars="200"/>
        <w:rPr>
          <w:rFonts w:ascii="宋体" w:hAnsi="宋体" w:cs="宋体"/>
          <w:szCs w:val="21"/>
        </w:rPr>
      </w:pPr>
      <w:r>
        <w:rPr>
          <w:rFonts w:hint="eastAsia" w:ascii="宋体" w:hAnsi="宋体" w:cs="宋体"/>
          <w:szCs w:val="21"/>
          <w:lang w:bidi="ar"/>
        </w:rPr>
        <w:t>有下列情形之一的，招标人将重新招标：</w:t>
      </w:r>
    </w:p>
    <w:p w14:paraId="5A129A61">
      <w:pPr>
        <w:spacing w:line="400" w:lineRule="exact"/>
        <w:ind w:firstLine="420" w:firstLineChars="200"/>
        <w:rPr>
          <w:rFonts w:ascii="宋体" w:hAnsi="宋体" w:cs="宋体"/>
          <w:szCs w:val="21"/>
        </w:rPr>
      </w:pPr>
      <w:r>
        <w:rPr>
          <w:rFonts w:hint="eastAsia" w:ascii="宋体" w:hAnsi="宋体" w:cs="宋体"/>
          <w:szCs w:val="21"/>
          <w:lang w:bidi="ar"/>
        </w:rPr>
        <w:t>6.1投标截止时间止，供应商少于3个的；</w:t>
      </w:r>
    </w:p>
    <w:p w14:paraId="4F24950C">
      <w:pPr>
        <w:spacing w:line="400" w:lineRule="exact"/>
        <w:ind w:firstLine="420" w:firstLineChars="200"/>
        <w:rPr>
          <w:rFonts w:ascii="宋体" w:hAnsi="宋体" w:cs="宋体"/>
          <w:szCs w:val="21"/>
        </w:rPr>
      </w:pPr>
      <w:r>
        <w:rPr>
          <w:rFonts w:hint="eastAsia" w:ascii="宋体" w:hAnsi="宋体" w:cs="宋体"/>
          <w:szCs w:val="21"/>
          <w:lang w:bidi="ar"/>
        </w:rPr>
        <w:t>6.2评标委员会评标过程中，有效供应商少于3个的；</w:t>
      </w:r>
    </w:p>
    <w:p w14:paraId="3DC5FAB5">
      <w:pPr>
        <w:spacing w:line="400" w:lineRule="exact"/>
        <w:ind w:firstLine="420" w:firstLineChars="200"/>
        <w:rPr>
          <w:rFonts w:ascii="宋体" w:hAnsi="宋体" w:cs="宋体"/>
          <w:szCs w:val="21"/>
          <w:lang w:bidi="ar"/>
        </w:rPr>
      </w:pPr>
      <w:r>
        <w:rPr>
          <w:rFonts w:hint="eastAsia" w:ascii="宋体" w:hAnsi="宋体" w:cs="宋体"/>
          <w:szCs w:val="21"/>
          <w:lang w:bidi="ar"/>
        </w:rPr>
        <w:t>6.3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14:paraId="752FCB46">
      <w:pPr>
        <w:pStyle w:val="43"/>
        <w:ind w:firstLine="480"/>
        <w:rPr>
          <w:rFonts w:hint="default" w:ascii="宋体" w:hAnsi="宋体" w:eastAsia="宋体" w:cs="宋体"/>
          <w:szCs w:val="21"/>
          <w:lang w:bidi="ar"/>
        </w:rPr>
      </w:pPr>
    </w:p>
    <w:p w14:paraId="374E8E40">
      <w:pPr>
        <w:pStyle w:val="43"/>
        <w:ind w:firstLine="0" w:firstLineChars="0"/>
        <w:rPr>
          <w:rFonts w:hint="default" w:ascii="宋体" w:hAnsi="宋体" w:eastAsia="宋体" w:cs="宋体"/>
          <w:b/>
          <w:bCs/>
          <w:sz w:val="21"/>
          <w:szCs w:val="21"/>
          <w:lang w:bidi="ar"/>
        </w:rPr>
      </w:pPr>
      <w:r>
        <w:rPr>
          <w:rFonts w:ascii="宋体" w:hAnsi="宋体" w:eastAsia="宋体" w:cs="宋体"/>
          <w:b/>
          <w:bCs/>
          <w:sz w:val="21"/>
          <w:szCs w:val="21"/>
          <w:lang w:bidi="ar"/>
        </w:rPr>
        <w:t xml:space="preserve">附表1：  </w:t>
      </w:r>
      <w:r>
        <w:rPr>
          <w:rFonts w:ascii="宋体" w:hAnsi="宋体" w:eastAsia="宋体" w:cs="宋体"/>
          <w:sz w:val="21"/>
          <w:szCs w:val="21"/>
          <w:lang w:bidi="ar"/>
        </w:rPr>
        <w:t xml:space="preserve">                            </w:t>
      </w:r>
      <w:r>
        <w:rPr>
          <w:rFonts w:ascii="宋体" w:hAnsi="宋体" w:eastAsia="宋体" w:cs="宋体"/>
          <w:b/>
          <w:bCs/>
          <w:sz w:val="21"/>
          <w:szCs w:val="21"/>
          <w:lang w:bidi="ar"/>
        </w:rPr>
        <w:t xml:space="preserve">  </w:t>
      </w:r>
    </w:p>
    <w:tbl>
      <w:tblPr>
        <w:tblStyle w:val="4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760"/>
        <w:gridCol w:w="5083"/>
      </w:tblGrid>
      <w:tr w14:paraId="6F0D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8" w:type="dxa"/>
          </w:tcPr>
          <w:p w14:paraId="34461849">
            <w:pPr>
              <w:spacing w:line="400" w:lineRule="exact"/>
              <w:jc w:val="center"/>
              <w:rPr>
                <w:rFonts w:ascii="宋体" w:hAnsi="宋体"/>
                <w:b/>
                <w:szCs w:val="21"/>
              </w:rPr>
            </w:pPr>
            <w:r>
              <w:rPr>
                <w:rFonts w:hint="eastAsia" w:ascii="宋体" w:hAnsi="宋体"/>
                <w:b/>
                <w:szCs w:val="21"/>
              </w:rPr>
              <w:t>序号</w:t>
            </w:r>
          </w:p>
        </w:tc>
        <w:tc>
          <w:tcPr>
            <w:tcW w:w="3760" w:type="dxa"/>
          </w:tcPr>
          <w:p w14:paraId="03C60C28">
            <w:pPr>
              <w:spacing w:line="400" w:lineRule="exact"/>
              <w:jc w:val="center"/>
              <w:rPr>
                <w:rFonts w:ascii="宋体" w:hAnsi="宋体"/>
                <w:b/>
                <w:szCs w:val="21"/>
              </w:rPr>
            </w:pPr>
            <w:r>
              <w:rPr>
                <w:rFonts w:hint="eastAsia" w:ascii="宋体" w:hAnsi="宋体"/>
                <w:b/>
                <w:szCs w:val="21"/>
              </w:rPr>
              <w:t>要求</w:t>
            </w:r>
          </w:p>
        </w:tc>
        <w:tc>
          <w:tcPr>
            <w:tcW w:w="5083" w:type="dxa"/>
          </w:tcPr>
          <w:p w14:paraId="0B764848">
            <w:pPr>
              <w:spacing w:line="400" w:lineRule="exact"/>
              <w:jc w:val="center"/>
              <w:rPr>
                <w:rFonts w:ascii="宋体" w:hAnsi="宋体"/>
                <w:b/>
                <w:szCs w:val="21"/>
              </w:rPr>
            </w:pPr>
            <w:r>
              <w:rPr>
                <w:rFonts w:hint="eastAsia" w:ascii="宋体" w:hAnsi="宋体"/>
                <w:b/>
                <w:szCs w:val="21"/>
              </w:rPr>
              <w:t>审查项目</w:t>
            </w:r>
          </w:p>
        </w:tc>
      </w:tr>
      <w:tr w14:paraId="54F8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8" w:type="dxa"/>
            <w:vAlign w:val="center"/>
          </w:tcPr>
          <w:p w14:paraId="42C5FBC6">
            <w:pPr>
              <w:spacing w:line="400" w:lineRule="exact"/>
              <w:jc w:val="center"/>
              <w:rPr>
                <w:rFonts w:ascii="宋体" w:hAnsi="宋体"/>
                <w:szCs w:val="21"/>
              </w:rPr>
            </w:pPr>
            <w:r>
              <w:rPr>
                <w:rFonts w:hint="eastAsia" w:ascii="宋体" w:hAnsi="宋体"/>
                <w:szCs w:val="21"/>
              </w:rPr>
              <w:t>一</w:t>
            </w:r>
          </w:p>
        </w:tc>
        <w:tc>
          <w:tcPr>
            <w:tcW w:w="3760" w:type="dxa"/>
            <w:vAlign w:val="center"/>
          </w:tcPr>
          <w:p w14:paraId="63FC257B">
            <w:pPr>
              <w:snapToGrid w:val="0"/>
              <w:spacing w:line="380" w:lineRule="exact"/>
              <w:rPr>
                <w:rFonts w:ascii="宋体" w:hAnsi="宋体"/>
                <w:szCs w:val="21"/>
              </w:rPr>
            </w:pPr>
            <w:r>
              <w:rPr>
                <w:rFonts w:ascii="宋体" w:hAnsi="宋体"/>
                <w:szCs w:val="21"/>
              </w:rPr>
              <w:t>符合《中华人民共和国招标投标法》投标人资质要求的相关规定。</w:t>
            </w:r>
            <w:r>
              <w:rPr>
                <w:rFonts w:hint="eastAsia" w:ascii="宋体" w:hAnsi="宋体"/>
                <w:szCs w:val="21"/>
              </w:rPr>
              <w:t xml:space="preserve">单位负责人为同一人或者存在直接控股、管理关系的不同供应商，不得参加同一合同项下的招标活动。 </w:t>
            </w:r>
          </w:p>
        </w:tc>
        <w:tc>
          <w:tcPr>
            <w:tcW w:w="5083" w:type="dxa"/>
            <w:vAlign w:val="center"/>
          </w:tcPr>
          <w:p w14:paraId="4248A7E0">
            <w:pPr>
              <w:spacing w:line="400" w:lineRule="exact"/>
              <w:rPr>
                <w:rFonts w:ascii="宋体" w:hAnsi="宋体"/>
                <w:szCs w:val="21"/>
              </w:rPr>
            </w:pPr>
            <w:r>
              <w:rPr>
                <w:rFonts w:hint="eastAsia" w:ascii="宋体" w:hAnsi="宋体"/>
                <w:szCs w:val="21"/>
              </w:rPr>
              <w:t xml:space="preserve"> 关于资格的声明函 </w:t>
            </w:r>
          </w:p>
        </w:tc>
      </w:tr>
      <w:tr w14:paraId="6B06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08" w:type="dxa"/>
            <w:vAlign w:val="center"/>
          </w:tcPr>
          <w:p w14:paraId="206B6146">
            <w:pPr>
              <w:spacing w:line="400" w:lineRule="exact"/>
              <w:jc w:val="center"/>
              <w:rPr>
                <w:rFonts w:ascii="宋体" w:hAnsi="宋体"/>
                <w:szCs w:val="21"/>
              </w:rPr>
            </w:pPr>
            <w:r>
              <w:rPr>
                <w:rFonts w:hint="eastAsia" w:ascii="宋体" w:hAnsi="宋体"/>
                <w:szCs w:val="21"/>
              </w:rPr>
              <w:t>二</w:t>
            </w:r>
          </w:p>
        </w:tc>
        <w:tc>
          <w:tcPr>
            <w:tcW w:w="3760" w:type="dxa"/>
            <w:vAlign w:val="center"/>
          </w:tcPr>
          <w:p w14:paraId="023594D9">
            <w:pPr>
              <w:spacing w:line="400" w:lineRule="exact"/>
              <w:rPr>
                <w:rFonts w:ascii="宋体" w:hAnsi="宋体"/>
                <w:szCs w:val="21"/>
              </w:rPr>
            </w:pPr>
            <w:r>
              <w:rPr>
                <w:rFonts w:hint="eastAsia" w:ascii="宋体" w:hAnsi="宋体"/>
                <w:szCs w:val="21"/>
              </w:rPr>
              <w:t>投标人具有有效的</w:t>
            </w:r>
            <w:r>
              <w:rPr>
                <w:rFonts w:ascii="宋体" w:hAnsi="宋体"/>
                <w:szCs w:val="21"/>
              </w:rPr>
              <w:t>营业执照</w:t>
            </w:r>
          </w:p>
        </w:tc>
        <w:tc>
          <w:tcPr>
            <w:tcW w:w="5083" w:type="dxa"/>
            <w:vAlign w:val="center"/>
          </w:tcPr>
          <w:p w14:paraId="7BFFBB2C">
            <w:pPr>
              <w:spacing w:line="400" w:lineRule="exact"/>
              <w:rPr>
                <w:rFonts w:ascii="宋体" w:hAnsi="宋体"/>
                <w:szCs w:val="21"/>
              </w:rPr>
            </w:pPr>
            <w:r>
              <w:rPr>
                <w:rFonts w:hint="eastAsia" w:ascii="宋体" w:hAnsi="宋体"/>
                <w:szCs w:val="21"/>
              </w:rPr>
              <w:t>提供营业执照副本（或事业法人登记证副本或其他登记证明材料）扫描件或电子营业执照加盖供应商公章（供应商如果有名称变更的，应提供由行政主管部门出具的变更证明文件扫描件加盖供应商公章）。</w:t>
            </w:r>
          </w:p>
        </w:tc>
      </w:tr>
      <w:tr w14:paraId="3BC6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08" w:type="dxa"/>
            <w:vAlign w:val="center"/>
          </w:tcPr>
          <w:p w14:paraId="62AE05ED">
            <w:pPr>
              <w:spacing w:line="400" w:lineRule="exact"/>
              <w:jc w:val="center"/>
              <w:rPr>
                <w:rFonts w:ascii="宋体" w:hAnsi="宋体"/>
                <w:szCs w:val="21"/>
              </w:rPr>
            </w:pPr>
            <w:r>
              <w:rPr>
                <w:rFonts w:hint="eastAsia" w:ascii="宋体" w:hAnsi="宋体"/>
                <w:szCs w:val="21"/>
              </w:rPr>
              <w:t>三</w:t>
            </w:r>
          </w:p>
        </w:tc>
        <w:tc>
          <w:tcPr>
            <w:tcW w:w="3760" w:type="dxa"/>
            <w:vAlign w:val="center"/>
          </w:tcPr>
          <w:p w14:paraId="1FF8C67B">
            <w:pPr>
              <w:spacing w:line="400" w:lineRule="exact"/>
              <w:rPr>
                <w:rFonts w:ascii="宋体" w:hAnsi="宋体"/>
                <w:szCs w:val="21"/>
              </w:rPr>
            </w:pPr>
            <w:r>
              <w:rPr>
                <w:rFonts w:hint="eastAsia" w:ascii="宋体" w:hAnsi="宋体"/>
                <w:szCs w:val="21"/>
              </w:rPr>
              <w:t>保证金</w:t>
            </w:r>
          </w:p>
        </w:tc>
        <w:tc>
          <w:tcPr>
            <w:tcW w:w="5083" w:type="dxa"/>
            <w:vAlign w:val="center"/>
          </w:tcPr>
          <w:p w14:paraId="06D36F44">
            <w:pPr>
              <w:spacing w:line="400" w:lineRule="exact"/>
              <w:rPr>
                <w:rFonts w:ascii="宋体" w:hAnsi="宋体"/>
                <w:szCs w:val="21"/>
              </w:rPr>
            </w:pPr>
            <w:r>
              <w:rPr>
                <w:rFonts w:hint="eastAsia"/>
              </w:rPr>
              <w:t xml:space="preserve">投标保证金缴纳证明回执 </w:t>
            </w:r>
          </w:p>
        </w:tc>
      </w:tr>
      <w:tr w14:paraId="1F70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8" w:type="dxa"/>
            <w:vAlign w:val="center"/>
          </w:tcPr>
          <w:p w14:paraId="4B5EACF7">
            <w:pPr>
              <w:spacing w:line="400" w:lineRule="exact"/>
              <w:jc w:val="center"/>
              <w:rPr>
                <w:rFonts w:ascii="宋体" w:hAnsi="宋体"/>
                <w:szCs w:val="21"/>
              </w:rPr>
            </w:pPr>
            <w:r>
              <w:rPr>
                <w:rFonts w:hint="eastAsia" w:ascii="宋体" w:hAnsi="宋体"/>
                <w:szCs w:val="21"/>
              </w:rPr>
              <w:t>四</w:t>
            </w:r>
          </w:p>
        </w:tc>
        <w:tc>
          <w:tcPr>
            <w:tcW w:w="8843" w:type="dxa"/>
            <w:gridSpan w:val="2"/>
            <w:vAlign w:val="center"/>
          </w:tcPr>
          <w:p w14:paraId="375BC9AC">
            <w:pPr>
              <w:adjustRightInd w:val="0"/>
              <w:snapToGrid w:val="0"/>
              <w:rPr>
                <w:rFonts w:ascii="宋体" w:hAnsi="宋体" w:cs="仿宋_GB2312"/>
                <w:b/>
                <w:bCs/>
                <w:szCs w:val="21"/>
              </w:rPr>
            </w:pPr>
            <w:r>
              <w:rPr>
                <w:rFonts w:hint="eastAsia" w:ascii="宋体" w:hAnsi="宋体" w:cs="仿宋_GB2312"/>
                <w:b/>
                <w:bCs/>
                <w:szCs w:val="21"/>
              </w:rPr>
              <w:t>采购代理机构在资格审查过程中，从“信用中国”网站(www.creditchina.gov.cn)关于供应商“失信被执行人、重大税收违法案件当事人和政府采购严重违法失信行为记录”的信息。此项由采购代理机构在资格审查时提供，投标文件中无须提供。</w:t>
            </w:r>
          </w:p>
        </w:tc>
      </w:tr>
      <w:tr w14:paraId="0107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8" w:type="dxa"/>
            <w:vAlign w:val="center"/>
          </w:tcPr>
          <w:p w14:paraId="0DDB7639">
            <w:pPr>
              <w:spacing w:line="400" w:lineRule="exact"/>
              <w:jc w:val="center"/>
              <w:rPr>
                <w:rFonts w:ascii="宋体" w:hAnsi="宋体"/>
                <w:szCs w:val="21"/>
              </w:rPr>
            </w:pPr>
            <w:r>
              <w:rPr>
                <w:rFonts w:hint="eastAsia" w:ascii="宋体" w:hAnsi="宋体"/>
                <w:szCs w:val="21"/>
              </w:rPr>
              <w:t>五</w:t>
            </w:r>
          </w:p>
        </w:tc>
        <w:tc>
          <w:tcPr>
            <w:tcW w:w="3760" w:type="dxa"/>
            <w:vAlign w:val="center"/>
          </w:tcPr>
          <w:p w14:paraId="088DF830">
            <w:pPr>
              <w:spacing w:line="400" w:lineRule="exact"/>
              <w:rPr>
                <w:rFonts w:ascii="宋体" w:hAnsi="宋体"/>
                <w:szCs w:val="21"/>
              </w:rPr>
            </w:pPr>
            <w:r>
              <w:rPr>
                <w:rFonts w:hint="eastAsia" w:ascii="宋体" w:hAnsi="宋体"/>
                <w:szCs w:val="21"/>
              </w:rPr>
              <w:t>本项目不接受联合体投标。</w:t>
            </w:r>
          </w:p>
        </w:tc>
        <w:tc>
          <w:tcPr>
            <w:tcW w:w="5083" w:type="dxa"/>
            <w:vAlign w:val="center"/>
          </w:tcPr>
          <w:p w14:paraId="314CF050">
            <w:pPr>
              <w:spacing w:line="400" w:lineRule="exact"/>
              <w:rPr>
                <w:rFonts w:ascii="宋体" w:hAnsi="宋体"/>
                <w:szCs w:val="21"/>
              </w:rPr>
            </w:pPr>
            <w:r>
              <w:rPr>
                <w:rFonts w:hint="eastAsia" w:ascii="宋体" w:hAnsi="宋体"/>
                <w:szCs w:val="21"/>
              </w:rPr>
              <w:t>供应商是否为联合体</w:t>
            </w:r>
          </w:p>
        </w:tc>
      </w:tr>
      <w:tr w14:paraId="20F5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468" w:type="dxa"/>
            <w:gridSpan w:val="2"/>
            <w:vAlign w:val="center"/>
          </w:tcPr>
          <w:p w14:paraId="2554347C">
            <w:pPr>
              <w:spacing w:line="400" w:lineRule="exact"/>
              <w:jc w:val="center"/>
              <w:rPr>
                <w:rFonts w:ascii="宋体" w:hAnsi="宋体"/>
                <w:szCs w:val="21"/>
              </w:rPr>
            </w:pPr>
            <w:r>
              <w:rPr>
                <w:rFonts w:hint="eastAsia" w:ascii="宋体" w:hAnsi="宋体"/>
                <w:b/>
                <w:szCs w:val="21"/>
              </w:rPr>
              <w:t>资格性审查结论</w:t>
            </w:r>
          </w:p>
        </w:tc>
        <w:tc>
          <w:tcPr>
            <w:tcW w:w="5083" w:type="dxa"/>
          </w:tcPr>
          <w:p w14:paraId="15362D2A">
            <w:pPr>
              <w:spacing w:line="400" w:lineRule="exact"/>
              <w:rPr>
                <w:rFonts w:ascii="宋体" w:hAnsi="宋体"/>
                <w:szCs w:val="21"/>
              </w:rPr>
            </w:pPr>
          </w:p>
        </w:tc>
      </w:tr>
    </w:tbl>
    <w:p w14:paraId="775BB743">
      <w:pPr>
        <w:pStyle w:val="43"/>
        <w:spacing w:line="360" w:lineRule="auto"/>
        <w:ind w:firstLine="0" w:firstLineChars="0"/>
        <w:jc w:val="center"/>
        <w:rPr>
          <w:rFonts w:hint="default" w:ascii="宋体" w:hAnsi="宋体" w:eastAsia="宋体" w:cs="宋体"/>
          <w:b/>
          <w:bCs/>
          <w:sz w:val="28"/>
          <w:szCs w:val="28"/>
          <w:lang w:bidi="ar"/>
        </w:rPr>
      </w:pPr>
      <w:r>
        <w:rPr>
          <w:rFonts w:ascii="宋体" w:hAnsi="宋体" w:eastAsia="宋体" w:cs="宋体"/>
          <w:b/>
          <w:bCs/>
          <w:sz w:val="28"/>
          <w:szCs w:val="28"/>
          <w:lang w:bidi="ar"/>
        </w:rPr>
        <w:t>资格性审查表</w:t>
      </w:r>
    </w:p>
    <w:p w14:paraId="7715F4FD">
      <w:pPr>
        <w:spacing w:line="240" w:lineRule="exact"/>
        <w:rPr>
          <w:rFonts w:ascii="宋体" w:hAnsi="宋体" w:cs="宋体"/>
          <w:bCs/>
          <w:lang w:bidi="ar"/>
        </w:rPr>
      </w:pPr>
    </w:p>
    <w:p w14:paraId="5DC9468D">
      <w:pPr>
        <w:spacing w:line="300" w:lineRule="exact"/>
        <w:ind w:firstLine="211" w:firstLineChars="100"/>
        <w:rPr>
          <w:rFonts w:ascii="宋体" w:hAnsi="宋体" w:cs="宋体"/>
          <w:b/>
          <w:szCs w:val="22"/>
          <w:lang w:bidi="ar"/>
        </w:rPr>
      </w:pPr>
      <w:r>
        <w:rPr>
          <w:rFonts w:hint="eastAsia" w:ascii="宋体" w:hAnsi="宋体" w:cs="宋体"/>
          <w:b/>
          <w:szCs w:val="22"/>
          <w:lang w:bidi="ar"/>
        </w:rPr>
        <w:t>注：1、上述资格证明文件未按招标文件要求附入投标文件中的，资格性审查不合格。</w:t>
      </w:r>
    </w:p>
    <w:p w14:paraId="67EF94B4">
      <w:pPr>
        <w:spacing w:line="300" w:lineRule="exact"/>
        <w:ind w:firstLine="632" w:firstLineChars="300"/>
        <w:rPr>
          <w:rFonts w:ascii="宋体" w:hAnsi="宋体" w:cs="宋体"/>
          <w:b/>
          <w:szCs w:val="22"/>
          <w:lang w:bidi="ar"/>
        </w:rPr>
      </w:pPr>
      <w:r>
        <w:rPr>
          <w:rFonts w:hint="eastAsia" w:ascii="宋体" w:hAnsi="宋体" w:cs="宋体"/>
          <w:b/>
          <w:szCs w:val="22"/>
          <w:lang w:bidi="ar"/>
        </w:rPr>
        <w:t>2、上述审查项目中，任意一项不符合的，资格性审查不合格。</w:t>
      </w:r>
    </w:p>
    <w:p w14:paraId="730C84BE">
      <w:pPr>
        <w:spacing w:line="300" w:lineRule="exact"/>
        <w:ind w:firstLine="632" w:firstLineChars="300"/>
        <w:rPr>
          <w:rFonts w:ascii="宋体" w:hAnsi="宋体" w:cs="宋体"/>
          <w:b/>
          <w:szCs w:val="22"/>
          <w:lang w:bidi="ar"/>
        </w:rPr>
      </w:pPr>
      <w:r>
        <w:rPr>
          <w:rFonts w:hint="eastAsia" w:ascii="宋体" w:hAnsi="宋体" w:cs="宋体"/>
          <w:b/>
          <w:szCs w:val="22"/>
          <w:lang w:bidi="ar"/>
        </w:rPr>
        <w:t>3、未办理多证合一的供应商须提供税务登记证副本、组织机构代码证副本、社会保险登记证副本扫描件。</w:t>
      </w:r>
    </w:p>
    <w:p w14:paraId="56DFB6F6">
      <w:pPr>
        <w:spacing w:line="300" w:lineRule="exact"/>
        <w:ind w:firstLine="632" w:firstLineChars="300"/>
        <w:rPr>
          <w:rFonts w:ascii="宋体" w:hAnsi="宋体" w:cs="宋体"/>
          <w:b/>
          <w:szCs w:val="22"/>
          <w:lang w:bidi="ar"/>
        </w:rPr>
      </w:pPr>
      <w:r>
        <w:rPr>
          <w:rFonts w:hint="eastAsia" w:ascii="宋体" w:hAnsi="宋体" w:cs="宋体"/>
          <w:b/>
          <w:szCs w:val="22"/>
          <w:lang w:bidi="ar"/>
        </w:rPr>
        <w:t>4、为采购项目提供整体设计、规范编制或者项目管理、监理、检测等服务的供应商投标无效。</w:t>
      </w:r>
    </w:p>
    <w:p w14:paraId="3825A72E">
      <w:pPr>
        <w:spacing w:line="300" w:lineRule="exact"/>
        <w:ind w:firstLine="632" w:firstLineChars="300"/>
        <w:rPr>
          <w:rFonts w:ascii="宋体" w:hAnsi="宋体" w:cs="宋体"/>
          <w:b/>
          <w:szCs w:val="22"/>
          <w:lang w:bidi="ar"/>
        </w:rPr>
      </w:pPr>
      <w:r>
        <w:rPr>
          <w:rFonts w:hint="eastAsia" w:ascii="宋体" w:hAnsi="宋体" w:cs="宋体"/>
          <w:b/>
          <w:szCs w:val="22"/>
          <w:lang w:bidi="ar"/>
        </w:rPr>
        <w:t>5、本项目实行网上投标，供应商在制作投标文件时须根据上表要求说明要求的资料，将资料逐一对应上传。</w:t>
      </w:r>
    </w:p>
    <w:p w14:paraId="0EA9D235">
      <w:pPr>
        <w:pStyle w:val="43"/>
        <w:ind w:firstLine="480"/>
        <w:rPr>
          <w:rFonts w:hint="default"/>
        </w:rPr>
      </w:pPr>
    </w:p>
    <w:p w14:paraId="7CEBD30F">
      <w:pPr>
        <w:spacing w:line="340" w:lineRule="exact"/>
        <w:rPr>
          <w:rFonts w:ascii="宋体" w:hAnsi="宋体" w:cs="宋体"/>
          <w:b/>
          <w:bCs/>
          <w:szCs w:val="21"/>
        </w:rPr>
      </w:pPr>
      <w:r>
        <w:rPr>
          <w:rFonts w:hint="eastAsia" w:ascii="宋体" w:hAnsi="宋体" w:cs="宋体"/>
          <w:b/>
          <w:bCs/>
          <w:szCs w:val="21"/>
          <w:lang w:bidi="ar"/>
        </w:rPr>
        <w:t>附表2：</w:t>
      </w:r>
    </w:p>
    <w:p w14:paraId="02CBC738">
      <w:pPr>
        <w:pStyle w:val="43"/>
        <w:spacing w:line="360" w:lineRule="auto"/>
        <w:ind w:firstLine="0" w:firstLineChars="0"/>
        <w:jc w:val="center"/>
        <w:rPr>
          <w:rFonts w:hint="default" w:ascii="宋体" w:hAnsi="宋体" w:eastAsia="宋体" w:cs="宋体"/>
          <w:b/>
          <w:bCs/>
          <w:sz w:val="28"/>
          <w:szCs w:val="28"/>
          <w:lang w:bidi="ar"/>
        </w:rPr>
      </w:pPr>
      <w:r>
        <w:rPr>
          <w:rFonts w:ascii="宋体" w:hAnsi="宋体" w:eastAsia="宋体" w:cs="宋体"/>
          <w:b/>
          <w:bCs/>
          <w:sz w:val="28"/>
          <w:szCs w:val="28"/>
          <w:lang w:bidi="ar"/>
        </w:rPr>
        <w:t>商务技术文件符合性审查表</w:t>
      </w:r>
    </w:p>
    <w:tbl>
      <w:tblPr>
        <w:tblStyle w:val="44"/>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50"/>
        <w:gridCol w:w="5132"/>
      </w:tblGrid>
      <w:tr w14:paraId="00BA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441D3B43">
            <w:pPr>
              <w:spacing w:line="400" w:lineRule="exact"/>
              <w:jc w:val="center"/>
              <w:rPr>
                <w:rFonts w:ascii="宋体" w:hAnsi="宋体" w:cs="宋体"/>
                <w:b/>
                <w:szCs w:val="21"/>
              </w:rPr>
            </w:pPr>
            <w:r>
              <w:rPr>
                <w:rFonts w:hint="eastAsia" w:ascii="宋体" w:hAnsi="宋体" w:cs="宋体"/>
                <w:b/>
                <w:szCs w:val="21"/>
                <w:lang w:bidi="ar"/>
              </w:rPr>
              <w:t>序号</w:t>
            </w:r>
          </w:p>
        </w:tc>
        <w:tc>
          <w:tcPr>
            <w:tcW w:w="3650" w:type="dxa"/>
            <w:tcBorders>
              <w:top w:val="single" w:color="auto" w:sz="4" w:space="0"/>
              <w:left w:val="single" w:color="auto" w:sz="4" w:space="0"/>
              <w:bottom w:val="single" w:color="auto" w:sz="4" w:space="0"/>
              <w:right w:val="single" w:color="auto" w:sz="4" w:space="0"/>
            </w:tcBorders>
          </w:tcPr>
          <w:p w14:paraId="7AAAD1B9">
            <w:pPr>
              <w:spacing w:line="400" w:lineRule="exact"/>
              <w:jc w:val="center"/>
              <w:rPr>
                <w:rFonts w:ascii="宋体" w:hAnsi="宋体" w:cs="宋体"/>
                <w:b/>
                <w:szCs w:val="21"/>
              </w:rPr>
            </w:pPr>
            <w:r>
              <w:rPr>
                <w:rFonts w:hint="eastAsia" w:ascii="宋体" w:hAnsi="宋体" w:cs="宋体"/>
                <w:b/>
                <w:szCs w:val="21"/>
                <w:lang w:bidi="ar"/>
              </w:rPr>
              <w:t>要求</w:t>
            </w:r>
          </w:p>
        </w:tc>
        <w:tc>
          <w:tcPr>
            <w:tcW w:w="5132" w:type="dxa"/>
            <w:tcBorders>
              <w:top w:val="single" w:color="auto" w:sz="4" w:space="0"/>
              <w:left w:val="single" w:color="auto" w:sz="4" w:space="0"/>
              <w:bottom w:val="single" w:color="auto" w:sz="4" w:space="0"/>
              <w:right w:val="single" w:color="auto" w:sz="4" w:space="0"/>
            </w:tcBorders>
          </w:tcPr>
          <w:p w14:paraId="74D25F64">
            <w:pPr>
              <w:spacing w:line="400" w:lineRule="exact"/>
              <w:jc w:val="center"/>
              <w:rPr>
                <w:rFonts w:ascii="宋体" w:hAnsi="宋体" w:cs="宋体"/>
                <w:b/>
                <w:szCs w:val="21"/>
              </w:rPr>
            </w:pPr>
            <w:r>
              <w:rPr>
                <w:rFonts w:hint="eastAsia" w:ascii="宋体" w:hAnsi="宋体" w:cs="宋体"/>
                <w:b/>
                <w:szCs w:val="21"/>
                <w:lang w:bidi="ar"/>
              </w:rPr>
              <w:t>要求说明</w:t>
            </w:r>
          </w:p>
        </w:tc>
      </w:tr>
      <w:tr w14:paraId="15A6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DF6567D">
            <w:pPr>
              <w:spacing w:line="320" w:lineRule="exact"/>
              <w:jc w:val="center"/>
              <w:rPr>
                <w:rFonts w:ascii="宋体" w:hAnsi="宋体" w:cs="宋体"/>
                <w:szCs w:val="21"/>
              </w:rPr>
            </w:pPr>
            <w:r>
              <w:rPr>
                <w:rFonts w:hint="eastAsia" w:ascii="宋体" w:hAnsi="宋体" w:cs="宋体"/>
                <w:szCs w:val="21"/>
                <w:lang w:bidi="ar"/>
              </w:rPr>
              <w:t>1</w:t>
            </w:r>
          </w:p>
        </w:tc>
        <w:tc>
          <w:tcPr>
            <w:tcW w:w="3650" w:type="dxa"/>
            <w:tcBorders>
              <w:top w:val="single" w:color="auto" w:sz="4" w:space="0"/>
              <w:left w:val="single" w:color="auto" w:sz="4" w:space="0"/>
              <w:bottom w:val="single" w:color="auto" w:sz="4" w:space="0"/>
              <w:right w:val="single" w:color="auto" w:sz="4" w:space="0"/>
            </w:tcBorders>
            <w:vAlign w:val="center"/>
          </w:tcPr>
          <w:p w14:paraId="0540C7EA">
            <w:pPr>
              <w:spacing w:line="320" w:lineRule="exact"/>
              <w:rPr>
                <w:rFonts w:ascii="宋体" w:hAnsi="宋体" w:cs="宋体"/>
                <w:szCs w:val="21"/>
              </w:rPr>
            </w:pPr>
            <w:r>
              <w:rPr>
                <w:rFonts w:hint="eastAsia" w:ascii="宋体" w:hAnsi="宋体" w:cs="宋体"/>
                <w:szCs w:val="21"/>
                <w:lang w:bidi="ar"/>
              </w:rPr>
              <w:t>供应商名称与</w:t>
            </w:r>
            <w:r>
              <w:rPr>
                <w:rFonts w:hint="eastAsia" w:ascii="宋体" w:hAnsi="宋体" w:cs="宋体"/>
                <w:szCs w:val="21"/>
              </w:rPr>
              <w:t>企业法人营业执照名称</w:t>
            </w:r>
            <w:r>
              <w:rPr>
                <w:rFonts w:hint="eastAsia" w:ascii="宋体" w:hAnsi="宋体" w:cs="宋体"/>
                <w:szCs w:val="21"/>
                <w:lang w:bidi="ar"/>
              </w:rPr>
              <w:t>一致。</w:t>
            </w:r>
          </w:p>
        </w:tc>
        <w:tc>
          <w:tcPr>
            <w:tcW w:w="5132" w:type="dxa"/>
            <w:tcBorders>
              <w:top w:val="single" w:color="auto" w:sz="4" w:space="0"/>
              <w:left w:val="single" w:color="auto" w:sz="4" w:space="0"/>
              <w:bottom w:val="single" w:color="auto" w:sz="4" w:space="0"/>
              <w:right w:val="single" w:color="auto" w:sz="4" w:space="0"/>
            </w:tcBorders>
            <w:vAlign w:val="center"/>
          </w:tcPr>
          <w:p w14:paraId="53569B0F">
            <w:pPr>
              <w:spacing w:line="340" w:lineRule="exact"/>
              <w:rPr>
                <w:rFonts w:ascii="宋体" w:hAnsi="宋体" w:cs="宋体"/>
                <w:szCs w:val="21"/>
              </w:rPr>
            </w:pPr>
            <w:r>
              <w:rPr>
                <w:rFonts w:hint="eastAsia" w:ascii="宋体" w:hAnsi="宋体" w:cs="宋体"/>
                <w:szCs w:val="21"/>
                <w:lang w:bidi="ar"/>
              </w:rPr>
              <w:t>供应商名称与</w:t>
            </w:r>
            <w:r>
              <w:rPr>
                <w:rFonts w:hint="eastAsia" w:ascii="宋体" w:hAnsi="宋体"/>
                <w:szCs w:val="21"/>
              </w:rPr>
              <w:t>企业法人营业执照（或者电子营业执照）名称</w:t>
            </w:r>
            <w:r>
              <w:rPr>
                <w:rFonts w:hint="eastAsia" w:ascii="宋体" w:hAnsi="宋体" w:cs="宋体"/>
                <w:szCs w:val="21"/>
                <w:lang w:bidi="ar"/>
              </w:rPr>
              <w:t>一致。</w:t>
            </w:r>
          </w:p>
        </w:tc>
      </w:tr>
      <w:tr w14:paraId="3157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F73922A">
            <w:pPr>
              <w:spacing w:line="320" w:lineRule="exact"/>
              <w:jc w:val="center"/>
              <w:rPr>
                <w:rFonts w:ascii="宋体" w:hAnsi="宋体" w:cs="宋体"/>
                <w:szCs w:val="21"/>
                <w:lang w:bidi="ar"/>
              </w:rPr>
            </w:pPr>
            <w:r>
              <w:rPr>
                <w:rFonts w:hint="eastAsia" w:ascii="宋体" w:hAnsi="宋体" w:cs="宋体"/>
                <w:szCs w:val="21"/>
                <w:lang w:bidi="ar"/>
              </w:rPr>
              <w:t>2</w:t>
            </w:r>
          </w:p>
        </w:tc>
        <w:tc>
          <w:tcPr>
            <w:tcW w:w="3650" w:type="dxa"/>
            <w:tcBorders>
              <w:top w:val="single" w:color="auto" w:sz="4" w:space="0"/>
              <w:left w:val="single" w:color="auto" w:sz="4" w:space="0"/>
              <w:bottom w:val="single" w:color="auto" w:sz="4" w:space="0"/>
              <w:right w:val="single" w:color="auto" w:sz="4" w:space="0"/>
            </w:tcBorders>
            <w:vAlign w:val="center"/>
          </w:tcPr>
          <w:p w14:paraId="22CE3116">
            <w:pPr>
              <w:spacing w:line="360" w:lineRule="exact"/>
              <w:rPr>
                <w:rFonts w:ascii="宋体" w:hAnsi="宋体" w:cs="宋体"/>
                <w:szCs w:val="21"/>
                <w:lang w:bidi="ar"/>
              </w:rPr>
            </w:pPr>
            <w:r>
              <w:rPr>
                <w:rFonts w:hint="eastAsia" w:ascii="宋体" w:hAnsi="宋体" w:cs="宋体"/>
                <w:szCs w:val="21"/>
                <w:lang w:bidi="ar"/>
              </w:rPr>
              <w:t>投标保证金</w:t>
            </w:r>
          </w:p>
        </w:tc>
        <w:tc>
          <w:tcPr>
            <w:tcW w:w="5132" w:type="dxa"/>
            <w:tcBorders>
              <w:top w:val="single" w:color="auto" w:sz="4" w:space="0"/>
              <w:left w:val="single" w:color="auto" w:sz="4" w:space="0"/>
              <w:bottom w:val="single" w:color="auto" w:sz="4" w:space="0"/>
              <w:right w:val="single" w:color="auto" w:sz="4" w:space="0"/>
            </w:tcBorders>
            <w:vAlign w:val="center"/>
          </w:tcPr>
          <w:p w14:paraId="0B276D9F">
            <w:pPr>
              <w:spacing w:line="360" w:lineRule="exact"/>
              <w:rPr>
                <w:rFonts w:ascii="宋体" w:hAnsi="宋体" w:cs="宋体"/>
                <w:szCs w:val="21"/>
                <w:lang w:bidi="ar"/>
              </w:rPr>
            </w:pPr>
            <w:r>
              <w:rPr>
                <w:rFonts w:hint="eastAsia" w:ascii="宋体" w:hAnsi="宋体" w:cs="宋体"/>
                <w:szCs w:val="21"/>
                <w:lang w:bidi="ar"/>
              </w:rPr>
              <w:t>符合“第二章投标须知”第六条的要求</w:t>
            </w:r>
          </w:p>
        </w:tc>
      </w:tr>
      <w:tr w14:paraId="64EF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7DE3D12">
            <w:pPr>
              <w:spacing w:line="320" w:lineRule="exact"/>
              <w:jc w:val="center"/>
              <w:rPr>
                <w:rFonts w:ascii="宋体" w:hAnsi="宋体" w:cs="宋体"/>
                <w:szCs w:val="21"/>
              </w:rPr>
            </w:pPr>
            <w:r>
              <w:rPr>
                <w:rFonts w:hint="eastAsia" w:ascii="宋体" w:hAnsi="宋体" w:cs="宋体"/>
                <w:szCs w:val="21"/>
                <w:lang w:bidi="ar"/>
              </w:rPr>
              <w:t>3</w:t>
            </w:r>
          </w:p>
        </w:tc>
        <w:tc>
          <w:tcPr>
            <w:tcW w:w="3650" w:type="dxa"/>
            <w:tcBorders>
              <w:top w:val="single" w:color="auto" w:sz="4" w:space="0"/>
              <w:left w:val="single" w:color="auto" w:sz="4" w:space="0"/>
              <w:bottom w:val="single" w:color="auto" w:sz="4" w:space="0"/>
              <w:right w:val="single" w:color="auto" w:sz="4" w:space="0"/>
            </w:tcBorders>
            <w:vAlign w:val="center"/>
          </w:tcPr>
          <w:p w14:paraId="5A97CA53">
            <w:pPr>
              <w:spacing w:line="320" w:lineRule="exact"/>
              <w:rPr>
                <w:rFonts w:ascii="宋体" w:hAnsi="宋体" w:cs="宋体"/>
                <w:szCs w:val="21"/>
                <w:lang w:bidi="ar"/>
              </w:rPr>
            </w:pPr>
            <w:r>
              <w:rPr>
                <w:rFonts w:hint="eastAsia" w:ascii="宋体" w:hAnsi="宋体" w:cs="宋体"/>
                <w:szCs w:val="21"/>
                <w:lang w:bidi="ar"/>
              </w:rPr>
              <w:t>投标有效期符合第二章“投标须知”第七、1条的要求。</w:t>
            </w:r>
          </w:p>
        </w:tc>
        <w:tc>
          <w:tcPr>
            <w:tcW w:w="5132" w:type="dxa"/>
            <w:tcBorders>
              <w:top w:val="single" w:color="auto" w:sz="4" w:space="0"/>
              <w:left w:val="single" w:color="auto" w:sz="4" w:space="0"/>
              <w:bottom w:val="single" w:color="auto" w:sz="4" w:space="0"/>
              <w:right w:val="single" w:color="auto" w:sz="4" w:space="0"/>
            </w:tcBorders>
            <w:vAlign w:val="center"/>
          </w:tcPr>
          <w:p w14:paraId="5B233BD6">
            <w:pPr>
              <w:spacing w:line="360" w:lineRule="exact"/>
              <w:rPr>
                <w:rFonts w:ascii="宋体" w:hAnsi="宋体" w:cs="宋体"/>
                <w:szCs w:val="21"/>
                <w:lang w:bidi="ar"/>
              </w:rPr>
            </w:pPr>
            <w:r>
              <w:rPr>
                <w:rFonts w:hint="eastAsia" w:ascii="宋体" w:hAnsi="宋体" w:cs="宋体"/>
                <w:szCs w:val="21"/>
                <w:lang w:bidi="ar"/>
              </w:rPr>
              <w:t>投标有效期符合第二章“投标须知”第七、1条的要求。</w:t>
            </w:r>
          </w:p>
        </w:tc>
      </w:tr>
      <w:tr w14:paraId="4872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36D5144">
            <w:pPr>
              <w:spacing w:line="320" w:lineRule="exact"/>
              <w:jc w:val="center"/>
              <w:rPr>
                <w:rFonts w:ascii="宋体" w:hAnsi="宋体" w:cs="宋体"/>
                <w:szCs w:val="21"/>
              </w:rPr>
            </w:pPr>
            <w:r>
              <w:rPr>
                <w:rFonts w:hint="eastAsia" w:ascii="宋体" w:hAnsi="宋体" w:cs="宋体"/>
                <w:szCs w:val="21"/>
                <w:lang w:bidi="ar"/>
              </w:rPr>
              <w:t>4</w:t>
            </w:r>
          </w:p>
        </w:tc>
        <w:tc>
          <w:tcPr>
            <w:tcW w:w="3650" w:type="dxa"/>
            <w:tcBorders>
              <w:top w:val="single" w:color="auto" w:sz="4" w:space="0"/>
              <w:left w:val="single" w:color="auto" w:sz="4" w:space="0"/>
              <w:bottom w:val="single" w:color="auto" w:sz="4" w:space="0"/>
              <w:right w:val="single" w:color="auto" w:sz="4" w:space="0"/>
            </w:tcBorders>
            <w:vAlign w:val="center"/>
          </w:tcPr>
          <w:p w14:paraId="01C8955A">
            <w:pPr>
              <w:spacing w:line="320" w:lineRule="exact"/>
              <w:rPr>
                <w:rFonts w:ascii="宋体" w:hAnsi="宋体" w:cs="宋体"/>
                <w:szCs w:val="21"/>
                <w:lang w:bidi="ar"/>
              </w:rPr>
            </w:pPr>
            <w:r>
              <w:rPr>
                <w:rFonts w:hint="eastAsia" w:ascii="宋体" w:hAnsi="宋体" w:cs="宋体"/>
                <w:szCs w:val="21"/>
                <w:lang w:bidi="ar"/>
              </w:rPr>
              <w:t>投标文件的签署盖章符合第二章“投标须知”第九、2条的要求。</w:t>
            </w:r>
          </w:p>
        </w:tc>
        <w:tc>
          <w:tcPr>
            <w:tcW w:w="5132" w:type="dxa"/>
            <w:tcBorders>
              <w:top w:val="single" w:color="auto" w:sz="4" w:space="0"/>
              <w:left w:val="single" w:color="auto" w:sz="4" w:space="0"/>
              <w:bottom w:val="single" w:color="auto" w:sz="4" w:space="0"/>
              <w:right w:val="single" w:color="auto" w:sz="4" w:space="0"/>
            </w:tcBorders>
            <w:vAlign w:val="center"/>
          </w:tcPr>
          <w:p w14:paraId="263E154B">
            <w:pPr>
              <w:spacing w:line="360" w:lineRule="exact"/>
              <w:rPr>
                <w:rFonts w:ascii="宋体" w:hAnsi="宋体" w:cs="宋体"/>
                <w:szCs w:val="21"/>
                <w:lang w:bidi="ar"/>
              </w:rPr>
            </w:pPr>
            <w:r>
              <w:rPr>
                <w:rFonts w:hint="eastAsia" w:ascii="宋体" w:hAnsi="宋体" w:cs="宋体"/>
                <w:szCs w:val="21"/>
                <w:lang w:bidi="ar"/>
              </w:rPr>
              <w:t>投标文件的签署盖章符合第二章“投标须知”第九、2条的要求。</w:t>
            </w:r>
          </w:p>
        </w:tc>
      </w:tr>
      <w:tr w14:paraId="4739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1439E77">
            <w:pPr>
              <w:spacing w:line="320" w:lineRule="exact"/>
              <w:jc w:val="center"/>
              <w:rPr>
                <w:rFonts w:ascii="宋体" w:hAnsi="宋体" w:cs="宋体"/>
                <w:szCs w:val="21"/>
              </w:rPr>
            </w:pPr>
            <w:r>
              <w:rPr>
                <w:rFonts w:hint="eastAsia" w:ascii="宋体" w:hAnsi="宋体" w:cs="宋体"/>
                <w:szCs w:val="21"/>
                <w:lang w:bidi="ar"/>
              </w:rPr>
              <w:t>5</w:t>
            </w:r>
          </w:p>
        </w:tc>
        <w:tc>
          <w:tcPr>
            <w:tcW w:w="3650" w:type="dxa"/>
            <w:tcBorders>
              <w:top w:val="single" w:color="auto" w:sz="4" w:space="0"/>
              <w:left w:val="single" w:color="auto" w:sz="4" w:space="0"/>
              <w:right w:val="single" w:color="auto" w:sz="4" w:space="0"/>
            </w:tcBorders>
            <w:vAlign w:val="center"/>
          </w:tcPr>
          <w:p w14:paraId="6ADF6FFD">
            <w:pPr>
              <w:spacing w:line="320" w:lineRule="exact"/>
              <w:jc w:val="center"/>
              <w:rPr>
                <w:rFonts w:ascii="宋体" w:hAnsi="宋体" w:cs="宋体"/>
                <w:szCs w:val="21"/>
              </w:rPr>
            </w:pPr>
            <w:r>
              <w:rPr>
                <w:rFonts w:hint="eastAsia" w:ascii="宋体" w:hAnsi="宋体" w:cs="宋体"/>
                <w:szCs w:val="21"/>
                <w:lang w:bidi="ar"/>
              </w:rPr>
              <w:t>供应商不得在投标活动中提供任何虚假材料或从事其他违法活动的（本项无需上传或关联资料）</w:t>
            </w:r>
          </w:p>
        </w:tc>
        <w:tc>
          <w:tcPr>
            <w:tcW w:w="5132" w:type="dxa"/>
            <w:tcBorders>
              <w:top w:val="single" w:color="auto" w:sz="4" w:space="0"/>
              <w:left w:val="single" w:color="auto" w:sz="4" w:space="0"/>
              <w:bottom w:val="single" w:color="auto" w:sz="4" w:space="0"/>
              <w:right w:val="single" w:color="auto" w:sz="4" w:space="0"/>
            </w:tcBorders>
            <w:vAlign w:val="center"/>
          </w:tcPr>
          <w:p w14:paraId="3AC048F9">
            <w:pPr>
              <w:spacing w:line="360" w:lineRule="exact"/>
              <w:rPr>
                <w:rFonts w:ascii="宋体" w:hAnsi="宋体" w:cs="宋体"/>
                <w:szCs w:val="21"/>
              </w:rPr>
            </w:pPr>
            <w:r>
              <w:rPr>
                <w:rFonts w:hint="eastAsia" w:ascii="宋体" w:hAnsi="宋体" w:cs="宋体"/>
                <w:szCs w:val="21"/>
                <w:lang w:bidi="ar"/>
              </w:rPr>
              <w:t>供应商不得在投标活动中提供任何虚假材料或从事其他违法活动的。</w:t>
            </w:r>
          </w:p>
        </w:tc>
      </w:tr>
      <w:tr w14:paraId="5C0E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37EC863">
            <w:pPr>
              <w:spacing w:line="320" w:lineRule="exact"/>
              <w:jc w:val="center"/>
              <w:rPr>
                <w:rFonts w:ascii="宋体" w:hAnsi="宋体" w:cs="宋体"/>
                <w:szCs w:val="21"/>
              </w:rPr>
            </w:pPr>
            <w:r>
              <w:rPr>
                <w:rFonts w:hint="eastAsia" w:ascii="宋体" w:hAnsi="宋体" w:cs="宋体"/>
                <w:szCs w:val="21"/>
                <w:lang w:bidi="ar"/>
              </w:rPr>
              <w:t>6</w:t>
            </w:r>
          </w:p>
        </w:tc>
        <w:tc>
          <w:tcPr>
            <w:tcW w:w="3650" w:type="dxa"/>
            <w:tcBorders>
              <w:top w:val="single" w:color="auto" w:sz="4" w:space="0"/>
              <w:left w:val="single" w:color="auto" w:sz="4" w:space="0"/>
              <w:bottom w:val="single" w:color="auto" w:sz="4" w:space="0"/>
              <w:right w:val="single" w:color="auto" w:sz="4" w:space="0"/>
            </w:tcBorders>
            <w:vAlign w:val="center"/>
          </w:tcPr>
          <w:p w14:paraId="1FB065C0">
            <w:pPr>
              <w:spacing w:line="320" w:lineRule="exact"/>
              <w:jc w:val="center"/>
              <w:rPr>
                <w:rFonts w:ascii="宋体" w:hAnsi="宋体" w:cs="宋体"/>
                <w:szCs w:val="21"/>
                <w:lang w:bidi="ar"/>
              </w:rPr>
            </w:pPr>
            <w:r>
              <w:rPr>
                <w:rFonts w:hint="eastAsia" w:ascii="宋体" w:hAnsi="宋体" w:cs="宋体"/>
                <w:szCs w:val="21"/>
                <w:lang w:bidi="ar"/>
              </w:rPr>
              <w:t>法定代表人身份证明符合招标文件要求</w:t>
            </w:r>
          </w:p>
        </w:tc>
        <w:tc>
          <w:tcPr>
            <w:tcW w:w="5132" w:type="dxa"/>
            <w:tcBorders>
              <w:top w:val="single" w:color="auto" w:sz="4" w:space="0"/>
              <w:left w:val="single" w:color="auto" w:sz="4" w:space="0"/>
              <w:bottom w:val="single" w:color="auto" w:sz="4" w:space="0"/>
              <w:right w:val="single" w:color="auto" w:sz="4" w:space="0"/>
            </w:tcBorders>
            <w:vAlign w:val="center"/>
          </w:tcPr>
          <w:p w14:paraId="1F2841CD">
            <w:pPr>
              <w:spacing w:line="360" w:lineRule="exact"/>
              <w:jc w:val="center"/>
              <w:rPr>
                <w:rFonts w:ascii="宋体" w:hAnsi="宋体" w:cs="宋体"/>
                <w:szCs w:val="21"/>
                <w:lang w:bidi="ar"/>
              </w:rPr>
            </w:pPr>
            <w:r>
              <w:rPr>
                <w:rFonts w:hint="eastAsia" w:ascii="宋体" w:hAnsi="宋体" w:cs="宋体"/>
                <w:szCs w:val="21"/>
                <w:lang w:bidi="ar"/>
              </w:rPr>
              <w:t>法定代表人身份证明书。</w:t>
            </w:r>
          </w:p>
        </w:tc>
      </w:tr>
      <w:tr w14:paraId="11B9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A2005D3">
            <w:pPr>
              <w:spacing w:line="320" w:lineRule="exact"/>
              <w:jc w:val="center"/>
              <w:rPr>
                <w:rFonts w:ascii="宋体" w:hAnsi="宋体" w:cs="宋体"/>
                <w:szCs w:val="21"/>
              </w:rPr>
            </w:pPr>
            <w:r>
              <w:rPr>
                <w:rFonts w:hint="eastAsia" w:ascii="宋体" w:hAnsi="宋体" w:cs="宋体"/>
                <w:szCs w:val="21"/>
                <w:lang w:bidi="ar"/>
              </w:rPr>
              <w:t>7</w:t>
            </w:r>
          </w:p>
        </w:tc>
        <w:tc>
          <w:tcPr>
            <w:tcW w:w="3650" w:type="dxa"/>
            <w:tcBorders>
              <w:top w:val="single" w:color="auto" w:sz="4" w:space="0"/>
              <w:left w:val="single" w:color="auto" w:sz="4" w:space="0"/>
              <w:bottom w:val="single" w:color="auto" w:sz="4" w:space="0"/>
              <w:right w:val="single" w:color="auto" w:sz="4" w:space="0"/>
            </w:tcBorders>
            <w:vAlign w:val="center"/>
          </w:tcPr>
          <w:p w14:paraId="6090D75C">
            <w:pPr>
              <w:spacing w:line="320" w:lineRule="exact"/>
              <w:jc w:val="center"/>
              <w:rPr>
                <w:rFonts w:ascii="宋体" w:hAnsi="宋体" w:cs="宋体"/>
                <w:szCs w:val="21"/>
                <w:lang w:bidi="ar"/>
              </w:rPr>
            </w:pPr>
            <w:r>
              <w:rPr>
                <w:rFonts w:hint="eastAsia" w:ascii="宋体" w:hAnsi="宋体" w:cs="宋体"/>
                <w:szCs w:val="21"/>
                <w:lang w:bidi="ar"/>
              </w:rPr>
              <w:t>供应商编制的投标文件符合法律、法规和招标文件中规定并对实质性要求完全响应</w:t>
            </w:r>
          </w:p>
        </w:tc>
        <w:tc>
          <w:tcPr>
            <w:tcW w:w="5132" w:type="dxa"/>
            <w:tcBorders>
              <w:top w:val="single" w:color="auto" w:sz="4" w:space="0"/>
              <w:left w:val="single" w:color="auto" w:sz="4" w:space="0"/>
              <w:bottom w:val="single" w:color="auto" w:sz="4" w:space="0"/>
              <w:right w:val="single" w:color="auto" w:sz="4" w:space="0"/>
            </w:tcBorders>
            <w:vAlign w:val="center"/>
          </w:tcPr>
          <w:p w14:paraId="4F3F8759">
            <w:pPr>
              <w:spacing w:line="360" w:lineRule="exact"/>
              <w:rPr>
                <w:rFonts w:ascii="宋体" w:hAnsi="宋体" w:cs="宋体"/>
                <w:szCs w:val="21"/>
                <w:lang w:bidi="ar"/>
              </w:rPr>
            </w:pPr>
            <w:r>
              <w:rPr>
                <w:rFonts w:hint="eastAsia" w:ascii="宋体" w:hAnsi="宋体" w:cs="宋体"/>
                <w:szCs w:val="21"/>
                <w:lang w:bidi="ar"/>
              </w:rPr>
              <w:t>供应商编制的投标文件符合法律、法规和招标文件中规定的并对其他实质性要求完全响应（实质性要求招标文件中“▲”标记）。</w:t>
            </w:r>
          </w:p>
        </w:tc>
      </w:tr>
      <w:tr w14:paraId="36C4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0" w:type="dxa"/>
            <w:gridSpan w:val="2"/>
            <w:tcBorders>
              <w:top w:val="single" w:color="auto" w:sz="4" w:space="0"/>
              <w:left w:val="single" w:color="auto" w:sz="4" w:space="0"/>
              <w:bottom w:val="single" w:color="auto" w:sz="4" w:space="0"/>
              <w:right w:val="single" w:color="auto" w:sz="4" w:space="0"/>
            </w:tcBorders>
            <w:vAlign w:val="center"/>
          </w:tcPr>
          <w:p w14:paraId="66C979B8">
            <w:pPr>
              <w:widowControl/>
              <w:spacing w:line="320" w:lineRule="exact"/>
              <w:jc w:val="center"/>
              <w:rPr>
                <w:rFonts w:ascii="宋体" w:hAnsi="宋体" w:cs="宋体"/>
                <w:szCs w:val="21"/>
                <w:lang w:bidi="ar"/>
              </w:rPr>
            </w:pPr>
            <w:r>
              <w:rPr>
                <w:rFonts w:hint="eastAsia" w:ascii="宋体" w:hAnsi="宋体" w:cs="宋体"/>
                <w:szCs w:val="21"/>
                <w:lang w:bidi="ar"/>
              </w:rPr>
              <w:t>商务技术文件符合性审查结论</w:t>
            </w:r>
          </w:p>
        </w:tc>
        <w:tc>
          <w:tcPr>
            <w:tcW w:w="5132" w:type="dxa"/>
            <w:tcBorders>
              <w:top w:val="single" w:color="auto" w:sz="4" w:space="0"/>
              <w:left w:val="single" w:color="auto" w:sz="4" w:space="0"/>
              <w:bottom w:val="single" w:color="auto" w:sz="4" w:space="0"/>
              <w:right w:val="single" w:color="auto" w:sz="4" w:space="0"/>
            </w:tcBorders>
            <w:vAlign w:val="center"/>
          </w:tcPr>
          <w:p w14:paraId="636B2020">
            <w:pPr>
              <w:widowControl/>
              <w:spacing w:line="360" w:lineRule="exact"/>
              <w:jc w:val="left"/>
              <w:rPr>
                <w:rFonts w:ascii="宋体" w:hAnsi="宋体" w:cs="宋体"/>
                <w:szCs w:val="21"/>
                <w:lang w:bidi="ar"/>
              </w:rPr>
            </w:pPr>
          </w:p>
        </w:tc>
      </w:tr>
    </w:tbl>
    <w:p w14:paraId="5F4B3776">
      <w:pPr>
        <w:spacing w:line="400" w:lineRule="exact"/>
        <w:ind w:firstLine="211" w:firstLineChars="100"/>
        <w:rPr>
          <w:rFonts w:ascii="宋体" w:hAnsi="宋体" w:cs="宋体"/>
          <w:b/>
          <w:szCs w:val="22"/>
          <w:lang w:bidi="ar"/>
        </w:rPr>
      </w:pPr>
      <w:r>
        <w:rPr>
          <w:rFonts w:hint="eastAsia" w:ascii="宋体" w:hAnsi="宋体" w:cs="宋体"/>
          <w:b/>
          <w:szCs w:val="22"/>
          <w:lang w:bidi="ar"/>
        </w:rPr>
        <w:t>注：1、上述审查项目中，任意一项不符合的，商务技术文件符合性审查不合格。</w:t>
      </w:r>
    </w:p>
    <w:p w14:paraId="33AF7011">
      <w:pPr>
        <w:numPr>
          <w:ilvl w:val="0"/>
          <w:numId w:val="5"/>
        </w:numPr>
        <w:spacing w:line="400" w:lineRule="exact"/>
        <w:ind w:firstLine="632" w:firstLineChars="300"/>
        <w:rPr>
          <w:rFonts w:ascii="宋体" w:hAnsi="宋体" w:cs="宋体"/>
          <w:b/>
          <w:szCs w:val="22"/>
          <w:lang w:bidi="ar"/>
        </w:rPr>
      </w:pPr>
      <w:r>
        <w:rPr>
          <w:rFonts w:hint="eastAsia" w:ascii="宋体" w:hAnsi="宋体" w:cs="宋体"/>
          <w:b/>
          <w:szCs w:val="22"/>
          <w:lang w:bidi="ar"/>
        </w:rPr>
        <w:t>本项目实行网上投标，供应商在制作投标文件时须根据上表要求说明要求的资料，将资料逐一对应上传或关联（有特殊备注的除外）（若关联页码有多页而只能关联一页的，则关联相应页码的第一页）。</w:t>
      </w:r>
    </w:p>
    <w:p w14:paraId="78F56A16">
      <w:pPr>
        <w:pStyle w:val="43"/>
        <w:ind w:firstLine="0" w:firstLineChars="0"/>
        <w:rPr>
          <w:rFonts w:hint="default" w:ascii="宋体" w:hAnsi="宋体" w:eastAsia="宋体" w:cs="宋体"/>
          <w:b/>
          <w:szCs w:val="22"/>
          <w:lang w:bidi="ar"/>
        </w:rPr>
      </w:pPr>
    </w:p>
    <w:p w14:paraId="7D2847D6">
      <w:pPr>
        <w:pStyle w:val="43"/>
        <w:ind w:firstLine="0" w:firstLineChars="0"/>
        <w:rPr>
          <w:rFonts w:hint="default" w:ascii="宋体" w:hAnsi="宋体" w:eastAsia="宋体" w:cs="宋体"/>
          <w:b/>
          <w:szCs w:val="22"/>
          <w:lang w:bidi="ar"/>
        </w:rPr>
      </w:pPr>
    </w:p>
    <w:p w14:paraId="6FF9E137">
      <w:pPr>
        <w:pStyle w:val="43"/>
        <w:ind w:firstLine="0" w:firstLineChars="0"/>
        <w:rPr>
          <w:rFonts w:hint="default" w:ascii="宋体" w:hAnsi="宋体" w:eastAsia="宋体" w:cs="宋体"/>
          <w:b/>
          <w:szCs w:val="22"/>
          <w:lang w:bidi="ar"/>
        </w:rPr>
      </w:pPr>
    </w:p>
    <w:p w14:paraId="25203B4D">
      <w:pPr>
        <w:pStyle w:val="43"/>
        <w:ind w:firstLine="0" w:firstLineChars="0"/>
        <w:rPr>
          <w:rFonts w:hint="default" w:ascii="宋体" w:hAnsi="宋体" w:eastAsia="宋体" w:cs="宋体"/>
          <w:b/>
          <w:szCs w:val="22"/>
          <w:lang w:bidi="ar"/>
        </w:rPr>
      </w:pPr>
    </w:p>
    <w:p w14:paraId="08E9666F">
      <w:pPr>
        <w:pStyle w:val="43"/>
        <w:ind w:firstLine="0" w:firstLineChars="0"/>
        <w:rPr>
          <w:rFonts w:hint="default" w:ascii="宋体" w:hAnsi="宋体" w:eastAsia="宋体" w:cs="宋体"/>
          <w:b/>
          <w:szCs w:val="22"/>
          <w:lang w:bidi="ar"/>
        </w:rPr>
      </w:pPr>
    </w:p>
    <w:p w14:paraId="5D4D9C6A">
      <w:pPr>
        <w:pStyle w:val="43"/>
        <w:ind w:firstLine="0" w:firstLineChars="0"/>
        <w:rPr>
          <w:rFonts w:hint="default" w:ascii="宋体" w:hAnsi="宋体" w:eastAsia="宋体" w:cs="宋体"/>
          <w:b/>
          <w:szCs w:val="22"/>
          <w:lang w:bidi="ar"/>
        </w:rPr>
      </w:pPr>
    </w:p>
    <w:p w14:paraId="1B2EA782">
      <w:pPr>
        <w:pStyle w:val="43"/>
        <w:ind w:firstLine="0" w:firstLineChars="0"/>
        <w:rPr>
          <w:rFonts w:hint="default" w:ascii="宋体" w:hAnsi="宋体" w:eastAsia="宋体" w:cs="宋体"/>
          <w:b/>
          <w:szCs w:val="22"/>
          <w:lang w:bidi="ar"/>
        </w:rPr>
      </w:pPr>
    </w:p>
    <w:p w14:paraId="02A7D56C">
      <w:pPr>
        <w:pStyle w:val="43"/>
        <w:ind w:firstLine="0" w:firstLineChars="0"/>
        <w:rPr>
          <w:rFonts w:hint="default" w:ascii="宋体" w:hAnsi="宋体" w:eastAsia="宋体" w:cs="宋体"/>
          <w:b/>
          <w:szCs w:val="22"/>
          <w:lang w:bidi="ar"/>
        </w:rPr>
      </w:pPr>
    </w:p>
    <w:p w14:paraId="2E588777">
      <w:pPr>
        <w:pStyle w:val="43"/>
        <w:ind w:firstLine="0" w:firstLineChars="0"/>
        <w:rPr>
          <w:rFonts w:hint="default" w:ascii="宋体" w:hAnsi="宋体" w:eastAsia="宋体" w:cs="宋体"/>
          <w:b/>
          <w:szCs w:val="22"/>
          <w:lang w:bidi="ar"/>
        </w:rPr>
      </w:pPr>
    </w:p>
    <w:p w14:paraId="13F97166">
      <w:pPr>
        <w:pStyle w:val="43"/>
        <w:ind w:firstLine="0" w:firstLineChars="0"/>
        <w:rPr>
          <w:rFonts w:hint="default" w:ascii="宋体" w:hAnsi="宋体" w:eastAsia="宋体" w:cs="宋体"/>
          <w:b/>
          <w:szCs w:val="22"/>
          <w:lang w:bidi="ar"/>
        </w:rPr>
      </w:pPr>
    </w:p>
    <w:p w14:paraId="26AF662F">
      <w:pPr>
        <w:pStyle w:val="43"/>
        <w:ind w:firstLine="0" w:firstLineChars="0"/>
        <w:rPr>
          <w:rFonts w:hint="default" w:ascii="宋体" w:hAnsi="宋体" w:eastAsia="宋体" w:cs="宋体"/>
          <w:b/>
          <w:szCs w:val="22"/>
          <w:lang w:bidi="ar"/>
        </w:rPr>
      </w:pPr>
    </w:p>
    <w:p w14:paraId="29D009C5">
      <w:pPr>
        <w:pStyle w:val="43"/>
        <w:ind w:firstLine="0" w:firstLineChars="0"/>
        <w:rPr>
          <w:rFonts w:hint="default" w:ascii="宋体" w:hAnsi="宋体" w:eastAsia="宋体" w:cs="宋体"/>
          <w:b/>
          <w:szCs w:val="22"/>
          <w:lang w:bidi="ar"/>
        </w:rPr>
      </w:pPr>
    </w:p>
    <w:p w14:paraId="5CA3712B">
      <w:pPr>
        <w:pStyle w:val="43"/>
        <w:ind w:firstLine="0" w:firstLineChars="0"/>
        <w:rPr>
          <w:rFonts w:hint="default" w:ascii="宋体" w:hAnsi="宋体" w:eastAsia="宋体" w:cs="宋体"/>
          <w:b/>
          <w:szCs w:val="22"/>
          <w:lang w:bidi="ar"/>
        </w:rPr>
      </w:pPr>
      <w:r>
        <w:rPr>
          <w:rFonts w:ascii="宋体" w:hAnsi="宋体" w:eastAsia="宋体" w:cs="宋体"/>
          <w:b/>
          <w:szCs w:val="22"/>
          <w:lang w:bidi="ar"/>
        </w:rPr>
        <w:t>附表</w:t>
      </w:r>
      <w:r>
        <w:rPr>
          <w:rFonts w:hint="default" w:ascii="宋体" w:hAnsi="宋体" w:eastAsia="宋体" w:cs="宋体"/>
          <w:b/>
          <w:szCs w:val="22"/>
          <w:lang w:bidi="ar"/>
        </w:rPr>
        <w:t>3</w:t>
      </w:r>
      <w:r>
        <w:rPr>
          <w:rFonts w:ascii="宋体" w:hAnsi="宋体" w:eastAsia="宋体" w:cs="宋体"/>
          <w:b/>
          <w:szCs w:val="22"/>
          <w:lang w:bidi="ar"/>
        </w:rPr>
        <w:t>：                    评分标准（兼评委打分表）</w:t>
      </w:r>
    </w:p>
    <w:tbl>
      <w:tblPr>
        <w:tblStyle w:val="44"/>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63"/>
        <w:gridCol w:w="7373"/>
        <w:gridCol w:w="804"/>
        <w:gridCol w:w="1150"/>
      </w:tblGrid>
      <w:tr w14:paraId="22CD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20" w:type="dxa"/>
            <w:shd w:val="clear" w:color="auto" w:fill="DDDDDD"/>
            <w:vAlign w:val="center"/>
          </w:tcPr>
          <w:p w14:paraId="0F498C90">
            <w:pPr>
              <w:widowControl/>
              <w:adjustRightInd w:val="0"/>
              <w:snapToGrid w:val="0"/>
              <w:spacing w:line="440" w:lineRule="exact"/>
              <w:jc w:val="center"/>
              <w:rPr>
                <w:rFonts w:asciiTheme="minorEastAsia" w:hAnsiTheme="minorEastAsia" w:eastAsiaTheme="minorEastAsia"/>
                <w:b/>
                <w:szCs w:val="21"/>
              </w:rPr>
            </w:pPr>
            <w:bookmarkStart w:id="7" w:name="_Toc16187"/>
            <w:bookmarkStart w:id="8" w:name="_Toc5853"/>
            <w:bookmarkStart w:id="9" w:name="_Toc536024503"/>
            <w:r>
              <w:rPr>
                <w:rFonts w:hint="eastAsia" w:cs="仿宋" w:asciiTheme="minorEastAsia" w:hAnsiTheme="minorEastAsia" w:eastAsiaTheme="minorEastAsia"/>
                <w:b/>
                <w:szCs w:val="21"/>
              </w:rPr>
              <w:t>序号</w:t>
            </w:r>
          </w:p>
        </w:tc>
        <w:tc>
          <w:tcPr>
            <w:tcW w:w="863" w:type="dxa"/>
            <w:shd w:val="clear" w:color="auto" w:fill="DDDDDD"/>
            <w:vAlign w:val="center"/>
          </w:tcPr>
          <w:p w14:paraId="241EFF01">
            <w:pPr>
              <w:widowControl/>
              <w:adjustRightInd w:val="0"/>
              <w:snapToGrid w:val="0"/>
              <w:spacing w:line="440" w:lineRule="exact"/>
              <w:jc w:val="center"/>
              <w:rPr>
                <w:rFonts w:asciiTheme="minorEastAsia" w:hAnsiTheme="minorEastAsia" w:eastAsiaTheme="minorEastAsia"/>
                <w:b/>
                <w:szCs w:val="21"/>
              </w:rPr>
            </w:pPr>
            <w:r>
              <w:rPr>
                <w:rFonts w:hint="eastAsia" w:cs="仿宋" w:asciiTheme="minorEastAsia" w:hAnsiTheme="minorEastAsia" w:eastAsiaTheme="minorEastAsia"/>
                <w:b/>
                <w:szCs w:val="21"/>
              </w:rPr>
              <w:t>评分项目</w:t>
            </w:r>
          </w:p>
        </w:tc>
        <w:tc>
          <w:tcPr>
            <w:tcW w:w="7373" w:type="dxa"/>
            <w:shd w:val="clear" w:color="auto" w:fill="DDDDDD"/>
            <w:vAlign w:val="center"/>
          </w:tcPr>
          <w:p w14:paraId="1FDA3D63">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b/>
                <w:bCs/>
                <w:szCs w:val="21"/>
              </w:rPr>
              <w:t>评分细则</w:t>
            </w:r>
          </w:p>
        </w:tc>
        <w:tc>
          <w:tcPr>
            <w:tcW w:w="804" w:type="dxa"/>
            <w:shd w:val="clear" w:color="auto" w:fill="DDDDDD"/>
            <w:vAlign w:val="center"/>
          </w:tcPr>
          <w:p w14:paraId="24704730">
            <w:pPr>
              <w:widowControl/>
              <w:adjustRightInd w:val="0"/>
              <w:snapToGrid w:val="0"/>
              <w:spacing w:line="440" w:lineRule="exact"/>
              <w:jc w:val="center"/>
              <w:rPr>
                <w:rFonts w:asciiTheme="minorEastAsia" w:hAnsiTheme="minorEastAsia" w:eastAsiaTheme="minorEastAsia"/>
                <w:b/>
                <w:szCs w:val="21"/>
              </w:rPr>
            </w:pPr>
            <w:r>
              <w:rPr>
                <w:rFonts w:hint="eastAsia" w:cs="仿宋" w:asciiTheme="minorEastAsia" w:hAnsiTheme="minorEastAsia" w:eastAsiaTheme="minorEastAsia"/>
                <w:b/>
                <w:szCs w:val="21"/>
              </w:rPr>
              <w:t>分值</w:t>
            </w:r>
          </w:p>
        </w:tc>
        <w:tc>
          <w:tcPr>
            <w:tcW w:w="1150" w:type="dxa"/>
            <w:shd w:val="clear" w:color="auto" w:fill="DDDDDD"/>
            <w:vAlign w:val="center"/>
          </w:tcPr>
          <w:p w14:paraId="24267F26">
            <w:pPr>
              <w:widowControl/>
              <w:adjustRightInd w:val="0"/>
              <w:snapToGrid w:val="0"/>
              <w:spacing w:line="440" w:lineRule="exact"/>
              <w:jc w:val="center"/>
              <w:rPr>
                <w:rFonts w:asciiTheme="minorEastAsia" w:hAnsiTheme="minorEastAsia" w:eastAsiaTheme="minorEastAsia"/>
                <w:b/>
                <w:szCs w:val="21"/>
              </w:rPr>
            </w:pPr>
            <w:r>
              <w:rPr>
                <w:rFonts w:hint="eastAsia" w:cs="仿宋" w:asciiTheme="minorEastAsia" w:hAnsiTheme="minorEastAsia" w:eastAsiaTheme="minorEastAsia"/>
                <w:b/>
                <w:szCs w:val="21"/>
              </w:rPr>
              <w:t>打分方式</w:t>
            </w:r>
          </w:p>
        </w:tc>
      </w:tr>
      <w:tr w14:paraId="4EE9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20" w:type="dxa"/>
            <w:vAlign w:val="center"/>
          </w:tcPr>
          <w:p w14:paraId="79B3ABDC">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1</w:t>
            </w:r>
          </w:p>
        </w:tc>
        <w:tc>
          <w:tcPr>
            <w:tcW w:w="863" w:type="dxa"/>
            <w:vAlign w:val="center"/>
          </w:tcPr>
          <w:p w14:paraId="08483CED">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体系认证</w:t>
            </w:r>
          </w:p>
        </w:tc>
        <w:tc>
          <w:tcPr>
            <w:tcW w:w="7373" w:type="dxa"/>
            <w:vAlign w:val="center"/>
          </w:tcPr>
          <w:p w14:paraId="1ED47042">
            <w:r>
              <w:rPr>
                <w:rFonts w:hint="eastAsia"/>
              </w:rPr>
              <w:t xml:space="preserve">投标人具有①质量体系认证证书、②环境管理体系认证证书、③职业健康安全管理体系认证证书，每提供一个得1分，最高得3分。 </w:t>
            </w:r>
          </w:p>
          <w:p w14:paraId="15B92D17">
            <w:pPr>
              <w:snapToGrid w:val="0"/>
              <w:rPr>
                <w:b/>
              </w:rPr>
            </w:pPr>
            <w:r>
              <w:rPr>
                <w:rFonts w:hint="eastAsia"/>
                <w:b/>
              </w:rPr>
              <w:t>（投标文件中须提供相关体系认证证书原件扫描件，扫描件加盖投标人公章。相关证书可在“全国认证认可信息公共服务平台 http://cx.cnca.cn/”查询为有效，否则不予计分。）</w:t>
            </w:r>
          </w:p>
        </w:tc>
        <w:tc>
          <w:tcPr>
            <w:tcW w:w="804" w:type="dxa"/>
            <w:vAlign w:val="center"/>
          </w:tcPr>
          <w:p w14:paraId="7D04CBE0">
            <w:pPr>
              <w:snapToGrid w:val="0"/>
            </w:pPr>
            <w:r>
              <w:rPr>
                <w:rFonts w:hint="eastAsia"/>
              </w:rPr>
              <w:t>3分</w:t>
            </w:r>
          </w:p>
        </w:tc>
        <w:tc>
          <w:tcPr>
            <w:tcW w:w="1150" w:type="dxa"/>
            <w:vAlign w:val="center"/>
          </w:tcPr>
          <w:p w14:paraId="5B87647D">
            <w:pPr>
              <w:snapToGrid w:val="0"/>
            </w:pPr>
            <w:r>
              <w:rPr>
                <w:rFonts w:hint="eastAsia"/>
              </w:rPr>
              <w:t>客观分</w:t>
            </w:r>
          </w:p>
        </w:tc>
      </w:tr>
      <w:tr w14:paraId="11D0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0" w:type="dxa"/>
            <w:vMerge w:val="restart"/>
            <w:vAlign w:val="center"/>
          </w:tcPr>
          <w:p w14:paraId="3C97D86E">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2</w:t>
            </w:r>
          </w:p>
        </w:tc>
        <w:tc>
          <w:tcPr>
            <w:tcW w:w="863" w:type="dxa"/>
            <w:vMerge w:val="restart"/>
            <w:vAlign w:val="center"/>
          </w:tcPr>
          <w:p w14:paraId="5E800679">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劳动力投入</w:t>
            </w:r>
          </w:p>
        </w:tc>
        <w:tc>
          <w:tcPr>
            <w:tcW w:w="8177" w:type="dxa"/>
            <w:gridSpan w:val="2"/>
            <w:vAlign w:val="center"/>
          </w:tcPr>
          <w:p w14:paraId="14DD5D55">
            <w:pPr>
              <w:snapToGrid w:val="0"/>
            </w:pPr>
            <w:r>
              <w:rPr>
                <w:rFonts w:hint="eastAsia"/>
              </w:rPr>
              <w:t>证明材料：以下人员须提相关证书及其在本单位最近3个月（202</w:t>
            </w:r>
            <w:r>
              <w:t>5</w:t>
            </w:r>
            <w:r>
              <w:rPr>
                <w:rFonts w:hint="eastAsia"/>
              </w:rPr>
              <w:t>年</w:t>
            </w:r>
            <w:r>
              <w:t>2</w:t>
            </w:r>
            <w:r>
              <w:rPr>
                <w:rFonts w:hint="eastAsia"/>
              </w:rPr>
              <w:t>月至2025年</w:t>
            </w:r>
            <w:r>
              <w:t>4</w:t>
            </w:r>
            <w:r>
              <w:rPr>
                <w:rFonts w:hint="eastAsia"/>
              </w:rPr>
              <w:t>月）中任意一个月的社保缴纳证明材料复印件或扫描件。</w:t>
            </w:r>
          </w:p>
        </w:tc>
        <w:tc>
          <w:tcPr>
            <w:tcW w:w="1150" w:type="dxa"/>
            <w:vAlign w:val="center"/>
          </w:tcPr>
          <w:p w14:paraId="40CD66D6">
            <w:pPr>
              <w:snapToGrid w:val="0"/>
              <w:jc w:val="center"/>
            </w:pPr>
            <w:r>
              <w:rPr>
                <w:rFonts w:hint="eastAsia"/>
              </w:rPr>
              <w:t>/</w:t>
            </w:r>
          </w:p>
        </w:tc>
      </w:tr>
      <w:tr w14:paraId="2332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0" w:type="dxa"/>
            <w:vMerge w:val="continue"/>
            <w:vAlign w:val="center"/>
          </w:tcPr>
          <w:p w14:paraId="0326F041">
            <w:pPr>
              <w:widowControl/>
              <w:spacing w:line="440" w:lineRule="exact"/>
              <w:jc w:val="center"/>
              <w:rPr>
                <w:rFonts w:asciiTheme="minorEastAsia" w:hAnsiTheme="minorEastAsia" w:eastAsiaTheme="minorEastAsia"/>
                <w:szCs w:val="21"/>
              </w:rPr>
            </w:pPr>
          </w:p>
        </w:tc>
        <w:tc>
          <w:tcPr>
            <w:tcW w:w="863" w:type="dxa"/>
            <w:vMerge w:val="continue"/>
            <w:vAlign w:val="center"/>
          </w:tcPr>
          <w:p w14:paraId="225E5B32">
            <w:pPr>
              <w:widowControl/>
              <w:spacing w:line="440" w:lineRule="exact"/>
              <w:jc w:val="center"/>
              <w:rPr>
                <w:rFonts w:asciiTheme="minorEastAsia" w:hAnsiTheme="minorEastAsia" w:eastAsiaTheme="minorEastAsia"/>
                <w:szCs w:val="21"/>
              </w:rPr>
            </w:pPr>
          </w:p>
        </w:tc>
        <w:tc>
          <w:tcPr>
            <w:tcW w:w="7373" w:type="dxa"/>
            <w:vAlign w:val="center"/>
          </w:tcPr>
          <w:p w14:paraId="6C5302B3">
            <w:r>
              <w:rPr>
                <w:rFonts w:hint="eastAsia"/>
              </w:rPr>
              <w:t>拟派投入本项目团队人员人数：1</w:t>
            </w:r>
            <w:r>
              <w:t>0</w:t>
            </w:r>
            <w:r>
              <w:rPr>
                <w:rFonts w:hint="eastAsia"/>
              </w:rPr>
              <w:t>人及以上得5分；5人及以上得3分，其他不得分。</w:t>
            </w:r>
          </w:p>
        </w:tc>
        <w:tc>
          <w:tcPr>
            <w:tcW w:w="804" w:type="dxa"/>
            <w:vAlign w:val="center"/>
          </w:tcPr>
          <w:p w14:paraId="5C4813C8">
            <w:r>
              <w:rPr>
                <w:rFonts w:hint="eastAsia"/>
              </w:rPr>
              <w:t>5分</w:t>
            </w:r>
          </w:p>
        </w:tc>
        <w:tc>
          <w:tcPr>
            <w:tcW w:w="1150" w:type="dxa"/>
            <w:vAlign w:val="center"/>
          </w:tcPr>
          <w:p w14:paraId="390FE465">
            <w:r>
              <w:rPr>
                <w:rFonts w:hint="eastAsia"/>
              </w:rPr>
              <w:t>客观分</w:t>
            </w:r>
          </w:p>
        </w:tc>
      </w:tr>
      <w:tr w14:paraId="11A2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20" w:type="dxa"/>
            <w:vMerge w:val="continue"/>
            <w:vAlign w:val="center"/>
          </w:tcPr>
          <w:p w14:paraId="3788B579">
            <w:pPr>
              <w:widowControl/>
              <w:spacing w:line="440" w:lineRule="exact"/>
              <w:jc w:val="center"/>
              <w:rPr>
                <w:rFonts w:asciiTheme="minorEastAsia" w:hAnsiTheme="minorEastAsia" w:eastAsiaTheme="minorEastAsia"/>
                <w:szCs w:val="21"/>
              </w:rPr>
            </w:pPr>
          </w:p>
        </w:tc>
        <w:tc>
          <w:tcPr>
            <w:tcW w:w="863" w:type="dxa"/>
            <w:vMerge w:val="continue"/>
            <w:vAlign w:val="center"/>
          </w:tcPr>
          <w:p w14:paraId="05A78C3C">
            <w:pPr>
              <w:widowControl/>
              <w:spacing w:line="440" w:lineRule="exact"/>
              <w:jc w:val="center"/>
              <w:rPr>
                <w:rFonts w:asciiTheme="minorEastAsia" w:hAnsiTheme="minorEastAsia" w:eastAsiaTheme="minorEastAsia"/>
                <w:szCs w:val="21"/>
              </w:rPr>
            </w:pPr>
          </w:p>
        </w:tc>
        <w:tc>
          <w:tcPr>
            <w:tcW w:w="7373" w:type="dxa"/>
            <w:vAlign w:val="center"/>
          </w:tcPr>
          <w:p w14:paraId="4AB91BAF">
            <w:r>
              <w:rPr>
                <w:rFonts w:hint="eastAsia"/>
              </w:rPr>
              <w:t xml:space="preserve">拟派投入本项目团队人员中具有吊车、叉车、铲车操作证的，每人得1分，同一人具备多证书只计取一次，最高得5分； </w:t>
            </w:r>
          </w:p>
        </w:tc>
        <w:tc>
          <w:tcPr>
            <w:tcW w:w="804" w:type="dxa"/>
            <w:vAlign w:val="center"/>
          </w:tcPr>
          <w:p w14:paraId="46CEC5CC">
            <w:r>
              <w:rPr>
                <w:rFonts w:hint="eastAsia"/>
              </w:rPr>
              <w:t>5分</w:t>
            </w:r>
          </w:p>
        </w:tc>
        <w:tc>
          <w:tcPr>
            <w:tcW w:w="1150" w:type="dxa"/>
            <w:vAlign w:val="center"/>
          </w:tcPr>
          <w:p w14:paraId="35FAABCF">
            <w:r>
              <w:rPr>
                <w:rFonts w:hint="eastAsia"/>
              </w:rPr>
              <w:t>客观分</w:t>
            </w:r>
          </w:p>
        </w:tc>
      </w:tr>
      <w:tr w14:paraId="3F2F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20" w:type="dxa"/>
            <w:vAlign w:val="center"/>
          </w:tcPr>
          <w:p w14:paraId="70CF56F0">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3</w:t>
            </w:r>
          </w:p>
        </w:tc>
        <w:tc>
          <w:tcPr>
            <w:tcW w:w="863" w:type="dxa"/>
            <w:vAlign w:val="center"/>
          </w:tcPr>
          <w:p w14:paraId="57724E69">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机械设备</w:t>
            </w:r>
          </w:p>
        </w:tc>
        <w:tc>
          <w:tcPr>
            <w:tcW w:w="7373" w:type="dxa"/>
            <w:vAlign w:val="center"/>
          </w:tcPr>
          <w:p w14:paraId="38BA044F">
            <w:r>
              <w:rPr>
                <w:rFonts w:hint="eastAsia"/>
              </w:rPr>
              <w:t>根据投标人提供的拟投入本项目的机械设备配置方案打分，满足以下设备：</w:t>
            </w:r>
          </w:p>
          <w:p w14:paraId="76693FD1">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载重能力10吨及以上的叉车1辆；</w:t>
            </w:r>
          </w:p>
          <w:p w14:paraId="31BA4525">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载重能力50吨以下的吊车1辆；</w:t>
            </w:r>
          </w:p>
          <w:p w14:paraId="02CAEBE0">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载重能力</w:t>
            </w:r>
            <w:r>
              <w:t>5</w:t>
            </w:r>
            <w:r>
              <w:rPr>
                <w:rFonts w:hint="eastAsia"/>
              </w:rPr>
              <w:t>0吨及以上的吊车1辆；</w:t>
            </w:r>
          </w:p>
          <w:p w14:paraId="4C5BCE3B">
            <w:r>
              <w:rPr>
                <w:rFonts w:hint="eastAsia"/>
              </w:rPr>
              <w:t>每满足1条得3分，最高得9分。</w:t>
            </w:r>
          </w:p>
          <w:p w14:paraId="602E6737">
            <w:pPr>
              <w:rPr>
                <w:b/>
              </w:rPr>
            </w:pPr>
            <w:r>
              <w:rPr>
                <w:b/>
              </w:rPr>
              <w:t>1</w:t>
            </w:r>
            <w:r>
              <w:rPr>
                <w:rFonts w:hint="eastAsia"/>
                <w:b/>
              </w:rPr>
              <w:t>、自有车辆：自有车辆须为投标人名下车辆（全资子公司或分公司名下车辆不予认可），须提供车辆行驶证、有效的强制保险原件扫描件，以及车辆正面、侧面、背面照片，车辆行驶证或有效的强制保险或车辆照片缺一项不得分。</w:t>
            </w:r>
          </w:p>
          <w:p w14:paraId="3084512B">
            <w:r>
              <w:rPr>
                <w:b/>
              </w:rPr>
              <w:t>2</w:t>
            </w:r>
            <w:r>
              <w:rPr>
                <w:rFonts w:hint="eastAsia"/>
                <w:b/>
              </w:rPr>
              <w:t>、租赁车辆：须提供租赁合同、租赁车辆的行驶证和有效的强制保险原件扫描件，以及车辆正面、侧面、背面照片，租赁合同、租赁车辆的行驶证或有效的强制保险或车辆照片缺一项不得分。</w:t>
            </w:r>
          </w:p>
        </w:tc>
        <w:tc>
          <w:tcPr>
            <w:tcW w:w="804" w:type="dxa"/>
            <w:vAlign w:val="center"/>
          </w:tcPr>
          <w:p w14:paraId="32211656">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9分</w:t>
            </w:r>
          </w:p>
        </w:tc>
        <w:tc>
          <w:tcPr>
            <w:tcW w:w="1150" w:type="dxa"/>
            <w:vAlign w:val="center"/>
          </w:tcPr>
          <w:p w14:paraId="7C3D331D">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客观分</w:t>
            </w:r>
          </w:p>
        </w:tc>
      </w:tr>
      <w:tr w14:paraId="2C6D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0" w:type="dxa"/>
            <w:vAlign w:val="center"/>
          </w:tcPr>
          <w:p w14:paraId="1D2A90BB">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4</w:t>
            </w:r>
          </w:p>
        </w:tc>
        <w:tc>
          <w:tcPr>
            <w:tcW w:w="863" w:type="dxa"/>
            <w:vAlign w:val="center"/>
          </w:tcPr>
          <w:p w14:paraId="0C28A5D3">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项目进度</w:t>
            </w:r>
          </w:p>
        </w:tc>
        <w:tc>
          <w:tcPr>
            <w:tcW w:w="7373" w:type="dxa"/>
            <w:vAlign w:val="center"/>
          </w:tcPr>
          <w:p w14:paraId="59867269">
            <w:r>
              <w:rPr>
                <w:rFonts w:hint="eastAsia"/>
              </w:rPr>
              <w:t xml:space="preserve">承诺装卸、搬运进度符合采购人项目进度要求，不会无故拖延，如由于承包人原因延误项目工期由承包人承担相关责任，承诺得5分，不承诺不得分，需提供承诺函，格式自拟。 </w:t>
            </w:r>
          </w:p>
        </w:tc>
        <w:tc>
          <w:tcPr>
            <w:tcW w:w="804" w:type="dxa"/>
            <w:vAlign w:val="center"/>
          </w:tcPr>
          <w:p w14:paraId="64041161">
            <w:pPr>
              <w:widowControl/>
              <w:snapToGrid w:val="0"/>
              <w:spacing w:line="440" w:lineRule="exact"/>
              <w:rPr>
                <w:rFonts w:asciiTheme="minorEastAsia" w:hAnsiTheme="minorEastAsia" w:eastAsiaTheme="minorEastAsia"/>
                <w:szCs w:val="21"/>
              </w:rPr>
            </w:pPr>
            <w:r>
              <w:rPr>
                <w:rFonts w:hint="eastAsia" w:cs="仿宋" w:asciiTheme="minorEastAsia" w:hAnsiTheme="minorEastAsia" w:eastAsiaTheme="minorEastAsia"/>
                <w:szCs w:val="21"/>
              </w:rPr>
              <w:t>5分</w:t>
            </w:r>
          </w:p>
        </w:tc>
        <w:tc>
          <w:tcPr>
            <w:tcW w:w="1150" w:type="dxa"/>
            <w:vAlign w:val="center"/>
          </w:tcPr>
          <w:p w14:paraId="331D9ADB">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客观分</w:t>
            </w:r>
          </w:p>
        </w:tc>
      </w:tr>
      <w:tr w14:paraId="6F23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Align w:val="center"/>
          </w:tcPr>
          <w:p w14:paraId="4E7F2373">
            <w:pPr>
              <w:jc w:val="center"/>
            </w:pPr>
            <w:r>
              <w:rPr>
                <w:rFonts w:hint="eastAsia"/>
              </w:rPr>
              <w:t>5</w:t>
            </w:r>
          </w:p>
        </w:tc>
        <w:tc>
          <w:tcPr>
            <w:tcW w:w="863" w:type="dxa"/>
            <w:vAlign w:val="center"/>
          </w:tcPr>
          <w:p w14:paraId="47EF4542">
            <w:r>
              <w:rPr>
                <w:rFonts w:hint="eastAsia"/>
              </w:rPr>
              <w:t>质量</w:t>
            </w:r>
          </w:p>
          <w:p w14:paraId="6811CDC8">
            <w:r>
              <w:rPr>
                <w:rFonts w:hint="eastAsia"/>
              </w:rPr>
              <w:t>保证</w:t>
            </w:r>
          </w:p>
        </w:tc>
        <w:tc>
          <w:tcPr>
            <w:tcW w:w="7373" w:type="dxa"/>
            <w:vAlign w:val="center"/>
          </w:tcPr>
          <w:p w14:paraId="33402C17">
            <w:r>
              <w:rPr>
                <w:rFonts w:hint="eastAsia"/>
              </w:rPr>
              <w:t xml:space="preserve">投标人承诺装卸工作必须符合行业标准，符合甲方要求，承诺得5分，不承诺不得分，需提供承诺函，格式自拟。 </w:t>
            </w:r>
          </w:p>
        </w:tc>
        <w:tc>
          <w:tcPr>
            <w:tcW w:w="804" w:type="dxa"/>
            <w:vAlign w:val="center"/>
          </w:tcPr>
          <w:p w14:paraId="36E3FDD6">
            <w:pPr>
              <w:snapToGrid w:val="0"/>
            </w:pPr>
            <w:r>
              <w:rPr>
                <w:rFonts w:hint="eastAsia"/>
              </w:rPr>
              <w:t>5分</w:t>
            </w:r>
          </w:p>
        </w:tc>
        <w:tc>
          <w:tcPr>
            <w:tcW w:w="1150" w:type="dxa"/>
            <w:vAlign w:val="center"/>
          </w:tcPr>
          <w:p w14:paraId="3A8681FD">
            <w:pPr>
              <w:snapToGrid w:val="0"/>
            </w:pPr>
            <w:r>
              <w:rPr>
                <w:rFonts w:hint="eastAsia"/>
              </w:rPr>
              <w:t>客观分</w:t>
            </w:r>
          </w:p>
        </w:tc>
      </w:tr>
      <w:tr w14:paraId="1A5E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20" w:type="dxa"/>
            <w:vAlign w:val="center"/>
          </w:tcPr>
          <w:p w14:paraId="6E4C6020">
            <w:pPr>
              <w:widowControl/>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63" w:type="dxa"/>
            <w:vAlign w:val="center"/>
          </w:tcPr>
          <w:p w14:paraId="5A918A9F">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实施方案</w:t>
            </w:r>
          </w:p>
        </w:tc>
        <w:tc>
          <w:tcPr>
            <w:tcW w:w="7373" w:type="dxa"/>
            <w:vAlign w:val="center"/>
          </w:tcPr>
          <w:p w14:paraId="00401EF2">
            <w:r>
              <w:rPr>
                <w:rFonts w:hint="eastAsia"/>
              </w:rPr>
              <w:t>根据投标人提供的设备卸货、设备搬迁方案综合打分。符合本项目实际情况，结合实际工作经验，能指出工作重点，措施有力，具备操作性。</w:t>
            </w:r>
          </w:p>
          <w:p w14:paraId="1939276B">
            <w:r>
              <w:rPr>
                <w:rFonts w:hint="eastAsia"/>
              </w:rPr>
              <w:t>1、方案内容齐全、完整、科学、合理，符合性强的得8分；</w:t>
            </w:r>
          </w:p>
          <w:p w14:paraId="04FDE9C9">
            <w:r>
              <w:rPr>
                <w:rFonts w:hint="eastAsia"/>
              </w:rPr>
              <w:t>2、方案内容基本完整，方案基本科学、合理，具有一定符合性的得5分；</w:t>
            </w:r>
          </w:p>
          <w:p w14:paraId="1D11EF2F">
            <w:r>
              <w:rPr>
                <w:rFonts w:hint="eastAsia"/>
              </w:rPr>
              <w:t>3、方案内容不齐全、混乱，方案欠科学、合理，符合性欠缺的得2分；</w:t>
            </w:r>
          </w:p>
          <w:p w14:paraId="1D573AC6">
            <w:r>
              <w:rPr>
                <w:rFonts w:hint="eastAsia"/>
              </w:rPr>
              <w:t>4、未提供方案的不得分。</w:t>
            </w:r>
          </w:p>
        </w:tc>
        <w:tc>
          <w:tcPr>
            <w:tcW w:w="804" w:type="dxa"/>
            <w:vAlign w:val="center"/>
          </w:tcPr>
          <w:p w14:paraId="28B71CC0">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8分</w:t>
            </w:r>
          </w:p>
        </w:tc>
        <w:tc>
          <w:tcPr>
            <w:tcW w:w="1150" w:type="dxa"/>
            <w:vAlign w:val="center"/>
          </w:tcPr>
          <w:p w14:paraId="5BAED591">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主观分</w:t>
            </w:r>
          </w:p>
        </w:tc>
      </w:tr>
      <w:tr w14:paraId="3051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20" w:type="dxa"/>
            <w:vAlign w:val="center"/>
          </w:tcPr>
          <w:p w14:paraId="28231011">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7</w:t>
            </w:r>
          </w:p>
        </w:tc>
        <w:tc>
          <w:tcPr>
            <w:tcW w:w="863" w:type="dxa"/>
            <w:vAlign w:val="center"/>
          </w:tcPr>
          <w:p w14:paraId="0DBEA588">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安全文明</w:t>
            </w:r>
          </w:p>
          <w:p w14:paraId="20086983">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施工保证</w:t>
            </w:r>
          </w:p>
        </w:tc>
        <w:tc>
          <w:tcPr>
            <w:tcW w:w="7373" w:type="dxa"/>
            <w:vAlign w:val="center"/>
          </w:tcPr>
          <w:p w14:paraId="7ABE1E62">
            <w:r>
              <w:rPr>
                <w:rFonts w:hint="eastAsia"/>
              </w:rPr>
              <w:t>1、安全文明施工：根据投标人项目实施中的安全技术措施和文明施工的科学性、合理性等情况综合打分，符合本项目实际情况，结合实际工作经验，具备操作性。</w:t>
            </w:r>
          </w:p>
          <w:p w14:paraId="29AEEF1B">
            <w:r>
              <w:rPr>
                <w:rFonts w:hint="eastAsia"/>
              </w:rPr>
              <w:t>1、方案内容齐全、完整、科学、合理，符合性强的得6分；</w:t>
            </w:r>
          </w:p>
          <w:p w14:paraId="38F5F65C">
            <w:r>
              <w:rPr>
                <w:rFonts w:hint="eastAsia"/>
              </w:rPr>
              <w:t>2、方案内容基本完整，方案基本科学、合理，具有一定符合性的得4分；</w:t>
            </w:r>
          </w:p>
          <w:p w14:paraId="1E665603">
            <w:r>
              <w:rPr>
                <w:rFonts w:hint="eastAsia"/>
              </w:rPr>
              <w:t>3、方案内容不齐全、混乱，方案欠科学、合理，符合性欠缺的得2分；</w:t>
            </w:r>
          </w:p>
          <w:p w14:paraId="16D64276">
            <w:r>
              <w:rPr>
                <w:rFonts w:hint="eastAsia"/>
              </w:rPr>
              <w:t>4、未提供方案的不得分。</w:t>
            </w:r>
          </w:p>
        </w:tc>
        <w:tc>
          <w:tcPr>
            <w:tcW w:w="804" w:type="dxa"/>
            <w:vAlign w:val="center"/>
          </w:tcPr>
          <w:p w14:paraId="122D44C3">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6分</w:t>
            </w:r>
          </w:p>
        </w:tc>
        <w:tc>
          <w:tcPr>
            <w:tcW w:w="1150" w:type="dxa"/>
            <w:vAlign w:val="center"/>
          </w:tcPr>
          <w:p w14:paraId="1B02C204">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主观分</w:t>
            </w:r>
          </w:p>
        </w:tc>
      </w:tr>
      <w:tr w14:paraId="1395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20" w:type="dxa"/>
            <w:vAlign w:val="center"/>
          </w:tcPr>
          <w:p w14:paraId="743681AA">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8</w:t>
            </w:r>
          </w:p>
        </w:tc>
        <w:tc>
          <w:tcPr>
            <w:tcW w:w="863" w:type="dxa"/>
            <w:vAlign w:val="center"/>
          </w:tcPr>
          <w:p w14:paraId="2B426193">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保险方案</w:t>
            </w:r>
          </w:p>
        </w:tc>
        <w:tc>
          <w:tcPr>
            <w:tcW w:w="7373" w:type="dxa"/>
            <w:vAlign w:val="center"/>
          </w:tcPr>
          <w:p w14:paraId="3D551B59">
            <w:r>
              <w:rPr>
                <w:rFonts w:hint="eastAsia"/>
              </w:rPr>
              <w:t>根据投标人提供的为相关人员搬运操作过程中的意外保险的方案综合打分。符合本项目实际情况，结合实际工作经验，能指出工作重点，措施有力，具备操作性。</w:t>
            </w:r>
          </w:p>
          <w:p w14:paraId="2497F09D">
            <w:r>
              <w:rPr>
                <w:rFonts w:hint="eastAsia"/>
              </w:rPr>
              <w:t>1、方案内容齐全、完整、科学、合理，符合性强的得</w:t>
            </w:r>
            <w:r>
              <w:t>5</w:t>
            </w:r>
            <w:r>
              <w:rPr>
                <w:rFonts w:hint="eastAsia"/>
              </w:rPr>
              <w:t>分；</w:t>
            </w:r>
          </w:p>
          <w:p w14:paraId="33D16B03">
            <w:r>
              <w:rPr>
                <w:rFonts w:hint="eastAsia"/>
              </w:rPr>
              <w:t>2、方案内容基本完整，方案基本科学、合理，具有一定符合性的得</w:t>
            </w:r>
            <w:r>
              <w:t>3</w:t>
            </w:r>
            <w:r>
              <w:rPr>
                <w:rFonts w:hint="eastAsia"/>
              </w:rPr>
              <w:t>分；</w:t>
            </w:r>
          </w:p>
          <w:p w14:paraId="0DA1D318">
            <w:r>
              <w:rPr>
                <w:rFonts w:hint="eastAsia"/>
              </w:rPr>
              <w:t>3、方案内容不齐全、混乱，方案欠科学、合理，符合性欠缺的得</w:t>
            </w:r>
            <w:r>
              <w:t>1</w:t>
            </w:r>
            <w:r>
              <w:rPr>
                <w:rFonts w:hint="eastAsia"/>
              </w:rPr>
              <w:t>分；</w:t>
            </w:r>
          </w:p>
          <w:p w14:paraId="533B2F0E">
            <w:r>
              <w:rPr>
                <w:rFonts w:hint="eastAsia"/>
              </w:rPr>
              <w:t>4、未提供方案的不得分。</w:t>
            </w:r>
          </w:p>
        </w:tc>
        <w:tc>
          <w:tcPr>
            <w:tcW w:w="804" w:type="dxa"/>
            <w:vAlign w:val="center"/>
          </w:tcPr>
          <w:p w14:paraId="309D6183">
            <w:pPr>
              <w:widowControl/>
              <w:snapToGrid w:val="0"/>
              <w:spacing w:line="440" w:lineRule="exact"/>
              <w:jc w:val="center"/>
              <w:rPr>
                <w:rFonts w:asciiTheme="minorEastAsia" w:hAnsiTheme="minorEastAsia" w:eastAsiaTheme="minorEastAsia"/>
                <w:szCs w:val="21"/>
              </w:rPr>
            </w:pPr>
            <w:r>
              <w:rPr>
                <w:rFonts w:cs="仿宋" w:asciiTheme="minorEastAsia" w:hAnsiTheme="minorEastAsia" w:eastAsiaTheme="minorEastAsia"/>
                <w:szCs w:val="21"/>
              </w:rPr>
              <w:t>5</w:t>
            </w:r>
            <w:r>
              <w:rPr>
                <w:rFonts w:hint="eastAsia" w:cs="仿宋" w:asciiTheme="minorEastAsia" w:hAnsiTheme="minorEastAsia" w:eastAsiaTheme="minorEastAsia"/>
                <w:szCs w:val="21"/>
              </w:rPr>
              <w:t>分</w:t>
            </w:r>
          </w:p>
        </w:tc>
        <w:tc>
          <w:tcPr>
            <w:tcW w:w="1150" w:type="dxa"/>
            <w:vAlign w:val="center"/>
          </w:tcPr>
          <w:p w14:paraId="7A6B811C">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主观分</w:t>
            </w:r>
          </w:p>
        </w:tc>
      </w:tr>
      <w:tr w14:paraId="17C0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20" w:type="dxa"/>
            <w:vAlign w:val="center"/>
          </w:tcPr>
          <w:p w14:paraId="3769FDB0">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9</w:t>
            </w:r>
          </w:p>
        </w:tc>
        <w:tc>
          <w:tcPr>
            <w:tcW w:w="863" w:type="dxa"/>
            <w:vAlign w:val="center"/>
          </w:tcPr>
          <w:p w14:paraId="425552B2">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应急措施</w:t>
            </w:r>
          </w:p>
        </w:tc>
        <w:tc>
          <w:tcPr>
            <w:tcW w:w="7373" w:type="dxa"/>
            <w:vAlign w:val="center"/>
          </w:tcPr>
          <w:p w14:paraId="51086DC9">
            <w:r>
              <w:rPr>
                <w:rFonts w:hint="eastAsia"/>
              </w:rPr>
              <w:t>投标人提供针对本项目的应急响应方案、应急响应时间及措施。符合本项目实际情况，结合实际工作经验，能指出工作重点，措施有力，具备操作性。</w:t>
            </w:r>
          </w:p>
          <w:p w14:paraId="4B93C5EE">
            <w:r>
              <w:rPr>
                <w:rFonts w:hint="eastAsia"/>
              </w:rPr>
              <w:t>1、方案内容齐全、完整、科学、合理，符合性强的得6分；</w:t>
            </w:r>
          </w:p>
          <w:p w14:paraId="25281780">
            <w:r>
              <w:rPr>
                <w:rFonts w:hint="eastAsia"/>
              </w:rPr>
              <w:t>2、方案内容基本完整，方案基本科学、合理，具有一定符合性的得4分；</w:t>
            </w:r>
          </w:p>
          <w:p w14:paraId="2EFA347F">
            <w:r>
              <w:rPr>
                <w:rFonts w:hint="eastAsia"/>
              </w:rPr>
              <w:t>3、方案内容不齐全、混乱，方案欠科学、合理，符合性欠缺的得2分；</w:t>
            </w:r>
          </w:p>
          <w:p w14:paraId="1943E9DE">
            <w:r>
              <w:rPr>
                <w:rFonts w:hint="eastAsia"/>
              </w:rPr>
              <w:t>4、未提供方案的不得分。</w:t>
            </w:r>
          </w:p>
        </w:tc>
        <w:tc>
          <w:tcPr>
            <w:tcW w:w="804" w:type="dxa"/>
            <w:vAlign w:val="center"/>
          </w:tcPr>
          <w:p w14:paraId="2EC1A226">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6分</w:t>
            </w:r>
          </w:p>
        </w:tc>
        <w:tc>
          <w:tcPr>
            <w:tcW w:w="1150" w:type="dxa"/>
            <w:vAlign w:val="center"/>
          </w:tcPr>
          <w:p w14:paraId="18B89001">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主观分</w:t>
            </w:r>
          </w:p>
        </w:tc>
      </w:tr>
      <w:tr w14:paraId="3395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20" w:type="dxa"/>
            <w:vAlign w:val="center"/>
          </w:tcPr>
          <w:p w14:paraId="6F590EBA">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10</w:t>
            </w:r>
          </w:p>
        </w:tc>
        <w:tc>
          <w:tcPr>
            <w:tcW w:w="863" w:type="dxa"/>
            <w:vAlign w:val="center"/>
          </w:tcPr>
          <w:p w14:paraId="77B6C701">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服务响应</w:t>
            </w:r>
          </w:p>
          <w:p w14:paraId="2595B5C3">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程度</w:t>
            </w:r>
          </w:p>
        </w:tc>
        <w:tc>
          <w:tcPr>
            <w:tcW w:w="7373" w:type="dxa"/>
            <w:vAlign w:val="center"/>
          </w:tcPr>
          <w:p w14:paraId="6CFB863E">
            <w:r>
              <w:rPr>
                <w:rFonts w:hint="eastAsia"/>
              </w:rPr>
              <w:t xml:space="preserve">对项目响应是否及时，接到采购人通知后响应时间。承诺接到采购人通知到达施工现场的时间小于等于1小时的得5分，小于等于2小时大于1小时的得3分，小于等于3小时大于2小时的得1分，大于3小时的不得分。 </w:t>
            </w:r>
          </w:p>
          <w:p w14:paraId="44F4BD16">
            <w:r>
              <w:rPr>
                <w:rFonts w:hint="eastAsia"/>
              </w:rPr>
              <w:t>注：需提供承诺函，格式自拟。</w:t>
            </w:r>
          </w:p>
        </w:tc>
        <w:tc>
          <w:tcPr>
            <w:tcW w:w="804" w:type="dxa"/>
            <w:vAlign w:val="center"/>
          </w:tcPr>
          <w:p w14:paraId="4F90744A">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5分</w:t>
            </w:r>
          </w:p>
        </w:tc>
        <w:tc>
          <w:tcPr>
            <w:tcW w:w="1150" w:type="dxa"/>
            <w:vAlign w:val="center"/>
          </w:tcPr>
          <w:p w14:paraId="12D0D27F">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客观分</w:t>
            </w:r>
          </w:p>
        </w:tc>
      </w:tr>
      <w:tr w14:paraId="57D5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20" w:type="dxa"/>
            <w:vAlign w:val="center"/>
          </w:tcPr>
          <w:p w14:paraId="05BFA32A">
            <w:pPr>
              <w:widowControl/>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63" w:type="dxa"/>
            <w:vAlign w:val="center"/>
          </w:tcPr>
          <w:p w14:paraId="64695E0C">
            <w:pPr>
              <w:widowControl/>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售后</w:t>
            </w:r>
            <w:r>
              <w:rPr>
                <w:rFonts w:asciiTheme="minorEastAsia" w:hAnsiTheme="minorEastAsia" w:eastAsiaTheme="minorEastAsia"/>
                <w:szCs w:val="21"/>
              </w:rPr>
              <w:t>方案</w:t>
            </w:r>
          </w:p>
        </w:tc>
        <w:tc>
          <w:tcPr>
            <w:tcW w:w="7373" w:type="dxa"/>
            <w:vAlign w:val="center"/>
          </w:tcPr>
          <w:p w14:paraId="6DA4FD51">
            <w:r>
              <w:rPr>
                <w:rFonts w:hint="eastAsia"/>
              </w:rPr>
              <w:t>投标人提供针对本项目的事故及损害赔偿方案、货物装卸登记台帐方案综合打分。符合本项目实际情况，结合实际工作经验，能指出工作重点，措施有力，具备操作性。</w:t>
            </w:r>
          </w:p>
          <w:p w14:paraId="42A838F6">
            <w:r>
              <w:rPr>
                <w:rFonts w:hint="eastAsia"/>
              </w:rPr>
              <w:t>1、方案内容齐全、完整、科学、合理，符合性强的得5分；</w:t>
            </w:r>
          </w:p>
          <w:p w14:paraId="602C5C74">
            <w:r>
              <w:rPr>
                <w:rFonts w:hint="eastAsia"/>
              </w:rPr>
              <w:t>2、方案内容基本完整，方案基本科学、合理，具有一定符合性的得3分；</w:t>
            </w:r>
          </w:p>
          <w:p w14:paraId="6DE45544">
            <w:r>
              <w:rPr>
                <w:rFonts w:hint="eastAsia"/>
              </w:rPr>
              <w:t>3、方案内容不齐全、混乱，方案欠科学、合理，符合性欠缺的得1分；</w:t>
            </w:r>
          </w:p>
          <w:p w14:paraId="20F41269">
            <w:r>
              <w:rPr>
                <w:rFonts w:hint="eastAsia"/>
              </w:rPr>
              <w:t>4、未提供方案的不得分。</w:t>
            </w:r>
          </w:p>
        </w:tc>
        <w:tc>
          <w:tcPr>
            <w:tcW w:w="804" w:type="dxa"/>
            <w:vAlign w:val="center"/>
          </w:tcPr>
          <w:p w14:paraId="4EA1C26B">
            <w:pPr>
              <w:widowControl/>
              <w:snapToGrid w:val="0"/>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5分</w:t>
            </w:r>
          </w:p>
        </w:tc>
        <w:tc>
          <w:tcPr>
            <w:tcW w:w="1150" w:type="dxa"/>
            <w:vAlign w:val="center"/>
          </w:tcPr>
          <w:p w14:paraId="44351505">
            <w:pPr>
              <w:widowControl/>
              <w:snapToGrid w:val="0"/>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主观分</w:t>
            </w:r>
          </w:p>
        </w:tc>
      </w:tr>
      <w:tr w14:paraId="093D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20" w:type="dxa"/>
            <w:vAlign w:val="center"/>
          </w:tcPr>
          <w:p w14:paraId="226E6331">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12</w:t>
            </w:r>
          </w:p>
        </w:tc>
        <w:tc>
          <w:tcPr>
            <w:tcW w:w="863" w:type="dxa"/>
            <w:vAlign w:val="center"/>
          </w:tcPr>
          <w:p w14:paraId="7F989BBD">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业绩证明</w:t>
            </w:r>
          </w:p>
        </w:tc>
        <w:tc>
          <w:tcPr>
            <w:tcW w:w="7373" w:type="dxa"/>
            <w:vAlign w:val="center"/>
          </w:tcPr>
          <w:p w14:paraId="1C7A4A83">
            <w:r>
              <w:rPr>
                <w:rFonts w:hint="eastAsia"/>
              </w:rPr>
              <w:t>2022年1月1日以来（以合同签订时间为准）承接过类似设备、物资搬运业绩，一个合同得</w:t>
            </w:r>
            <w:r>
              <w:t>1</w:t>
            </w:r>
            <w:r>
              <w:rPr>
                <w:rFonts w:hint="eastAsia"/>
              </w:rPr>
              <w:t>分，最高得</w:t>
            </w:r>
            <w:r>
              <w:t>3</w:t>
            </w:r>
            <w:r>
              <w:rPr>
                <w:rFonts w:hint="eastAsia"/>
              </w:rPr>
              <w:t>分。</w:t>
            </w:r>
          </w:p>
          <w:p w14:paraId="4EA0D7AF">
            <w:r>
              <w:rPr>
                <w:rFonts w:hint="eastAsia"/>
              </w:rPr>
              <w:t>注：须提供中标通知书或合同复印件并加盖投标单位公章，不提供不得分。</w:t>
            </w:r>
          </w:p>
        </w:tc>
        <w:tc>
          <w:tcPr>
            <w:tcW w:w="804" w:type="dxa"/>
            <w:vAlign w:val="center"/>
          </w:tcPr>
          <w:p w14:paraId="115ECC19">
            <w:pPr>
              <w:widowControl/>
              <w:spacing w:line="440" w:lineRule="exact"/>
              <w:jc w:val="center"/>
              <w:rPr>
                <w:rFonts w:asciiTheme="minorEastAsia" w:hAnsiTheme="minorEastAsia" w:eastAsiaTheme="minorEastAsia"/>
                <w:szCs w:val="21"/>
              </w:rPr>
            </w:pPr>
            <w:r>
              <w:rPr>
                <w:rFonts w:cs="仿宋" w:asciiTheme="minorEastAsia" w:hAnsiTheme="minorEastAsia" w:eastAsiaTheme="minorEastAsia"/>
                <w:szCs w:val="21"/>
              </w:rPr>
              <w:t>3</w:t>
            </w:r>
            <w:r>
              <w:rPr>
                <w:rFonts w:hint="eastAsia" w:cs="仿宋" w:asciiTheme="minorEastAsia" w:hAnsiTheme="minorEastAsia" w:eastAsiaTheme="minorEastAsia"/>
                <w:szCs w:val="21"/>
              </w:rPr>
              <w:t>分</w:t>
            </w:r>
          </w:p>
        </w:tc>
        <w:tc>
          <w:tcPr>
            <w:tcW w:w="1150" w:type="dxa"/>
            <w:vAlign w:val="center"/>
          </w:tcPr>
          <w:p w14:paraId="39F33630">
            <w:pPr>
              <w:widowControl/>
              <w:spacing w:line="440" w:lineRule="exact"/>
              <w:jc w:val="center"/>
              <w:rPr>
                <w:rFonts w:asciiTheme="minorEastAsia" w:hAnsiTheme="minorEastAsia" w:eastAsiaTheme="minorEastAsia"/>
                <w:szCs w:val="21"/>
              </w:rPr>
            </w:pPr>
            <w:r>
              <w:rPr>
                <w:rFonts w:hint="eastAsia" w:cs="仿宋" w:asciiTheme="minorEastAsia" w:hAnsiTheme="minorEastAsia" w:eastAsiaTheme="minorEastAsia"/>
                <w:szCs w:val="21"/>
              </w:rPr>
              <w:t>客观分</w:t>
            </w:r>
          </w:p>
        </w:tc>
      </w:tr>
    </w:tbl>
    <w:p w14:paraId="6C7F3FC2">
      <w:pPr>
        <w:widowControl/>
        <w:spacing w:line="340" w:lineRule="exact"/>
        <w:rPr>
          <w:rFonts w:ascii="宋体" w:hAnsi="宋体" w:cs="宋体"/>
          <w:b/>
          <w:bCs/>
          <w:szCs w:val="21"/>
        </w:rPr>
      </w:pPr>
      <w:r>
        <w:rPr>
          <w:rFonts w:ascii="宋体" w:hAnsi="宋体" w:cs="宋体"/>
          <w:sz w:val="32"/>
          <w:szCs w:val="32"/>
        </w:rPr>
        <w:tab/>
      </w:r>
      <w:r>
        <w:rPr>
          <w:rFonts w:hint="eastAsia" w:ascii="宋体" w:hAnsi="宋体" w:cs="宋体"/>
          <w:b/>
          <w:bCs/>
          <w:szCs w:val="21"/>
          <w:lang w:bidi="ar"/>
        </w:rPr>
        <w:t>附表4</w:t>
      </w:r>
    </w:p>
    <w:p w14:paraId="790713D6">
      <w:pPr>
        <w:pStyle w:val="43"/>
        <w:spacing w:line="360" w:lineRule="auto"/>
        <w:ind w:firstLine="0" w:firstLineChars="0"/>
        <w:jc w:val="center"/>
        <w:rPr>
          <w:rFonts w:hint="default" w:ascii="宋体" w:hAnsi="宋体" w:eastAsia="宋体" w:cs="宋体"/>
          <w:b/>
          <w:bCs/>
          <w:sz w:val="28"/>
          <w:szCs w:val="28"/>
          <w:lang w:bidi="ar"/>
        </w:rPr>
      </w:pPr>
      <w:r>
        <w:rPr>
          <w:rFonts w:ascii="宋体" w:hAnsi="宋体" w:eastAsia="宋体" w:cs="宋体"/>
          <w:b/>
          <w:bCs/>
          <w:sz w:val="28"/>
          <w:szCs w:val="28"/>
          <w:lang w:bidi="ar"/>
        </w:rPr>
        <w:t>报价文件符合性审查表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94"/>
        <w:gridCol w:w="5101"/>
      </w:tblGrid>
      <w:tr w14:paraId="0129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5D33C7BF">
            <w:pPr>
              <w:spacing w:line="400" w:lineRule="exact"/>
              <w:jc w:val="center"/>
              <w:rPr>
                <w:rFonts w:ascii="宋体" w:hAnsi="宋体" w:cs="宋体"/>
                <w:b/>
                <w:szCs w:val="21"/>
              </w:rPr>
            </w:pPr>
            <w:r>
              <w:rPr>
                <w:rFonts w:hint="eastAsia" w:ascii="宋体" w:hAnsi="宋体" w:cs="宋体"/>
                <w:b/>
                <w:szCs w:val="21"/>
                <w:lang w:bidi="ar"/>
              </w:rPr>
              <w:t>序号</w:t>
            </w:r>
          </w:p>
        </w:tc>
        <w:tc>
          <w:tcPr>
            <w:tcW w:w="3594" w:type="dxa"/>
            <w:tcBorders>
              <w:top w:val="single" w:color="auto" w:sz="4" w:space="0"/>
              <w:left w:val="single" w:color="auto" w:sz="4" w:space="0"/>
              <w:bottom w:val="single" w:color="auto" w:sz="4" w:space="0"/>
              <w:right w:val="single" w:color="auto" w:sz="4" w:space="0"/>
            </w:tcBorders>
          </w:tcPr>
          <w:p w14:paraId="3D3817B7">
            <w:pPr>
              <w:spacing w:line="400" w:lineRule="exact"/>
              <w:jc w:val="center"/>
              <w:rPr>
                <w:rFonts w:ascii="宋体" w:hAnsi="宋体" w:cs="宋体"/>
                <w:b/>
                <w:szCs w:val="21"/>
              </w:rPr>
            </w:pPr>
            <w:r>
              <w:rPr>
                <w:rFonts w:hint="eastAsia" w:ascii="宋体" w:hAnsi="宋体" w:cs="宋体"/>
                <w:b/>
                <w:szCs w:val="21"/>
                <w:lang w:bidi="ar"/>
              </w:rPr>
              <w:t>要求</w:t>
            </w:r>
          </w:p>
        </w:tc>
        <w:tc>
          <w:tcPr>
            <w:tcW w:w="5101" w:type="dxa"/>
            <w:tcBorders>
              <w:top w:val="single" w:color="auto" w:sz="4" w:space="0"/>
              <w:left w:val="single" w:color="auto" w:sz="4" w:space="0"/>
              <w:bottom w:val="single" w:color="auto" w:sz="4" w:space="0"/>
              <w:right w:val="single" w:color="auto" w:sz="4" w:space="0"/>
            </w:tcBorders>
          </w:tcPr>
          <w:p w14:paraId="2AE6EF2B">
            <w:pPr>
              <w:spacing w:line="400" w:lineRule="exact"/>
              <w:jc w:val="center"/>
              <w:rPr>
                <w:rFonts w:ascii="宋体" w:hAnsi="宋体" w:cs="宋体"/>
                <w:b/>
                <w:szCs w:val="21"/>
              </w:rPr>
            </w:pPr>
            <w:r>
              <w:rPr>
                <w:rFonts w:hint="eastAsia" w:ascii="宋体" w:hAnsi="宋体" w:cs="宋体"/>
                <w:b/>
                <w:szCs w:val="21"/>
                <w:lang w:bidi="ar"/>
              </w:rPr>
              <w:t>要求说明</w:t>
            </w:r>
          </w:p>
        </w:tc>
      </w:tr>
      <w:tr w14:paraId="5ED6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0B3B202">
            <w:pPr>
              <w:spacing w:line="400" w:lineRule="exact"/>
              <w:jc w:val="center"/>
              <w:rPr>
                <w:rFonts w:ascii="宋体" w:hAnsi="宋体" w:cs="宋体"/>
                <w:szCs w:val="21"/>
              </w:rPr>
            </w:pPr>
            <w:r>
              <w:rPr>
                <w:rFonts w:hint="eastAsia" w:ascii="宋体" w:hAnsi="宋体" w:cs="宋体"/>
                <w:szCs w:val="21"/>
                <w:lang w:bidi="ar"/>
              </w:rPr>
              <w:t>1</w:t>
            </w:r>
          </w:p>
        </w:tc>
        <w:tc>
          <w:tcPr>
            <w:tcW w:w="3594" w:type="dxa"/>
            <w:tcBorders>
              <w:top w:val="single" w:color="auto" w:sz="4" w:space="0"/>
              <w:left w:val="single" w:color="auto" w:sz="4" w:space="0"/>
              <w:bottom w:val="single" w:color="auto" w:sz="4" w:space="0"/>
              <w:right w:val="single" w:color="auto" w:sz="4" w:space="0"/>
            </w:tcBorders>
            <w:vAlign w:val="center"/>
          </w:tcPr>
          <w:p w14:paraId="3CA1BA84">
            <w:pPr>
              <w:spacing w:line="400" w:lineRule="exact"/>
              <w:rPr>
                <w:rFonts w:ascii="宋体" w:hAnsi="宋体" w:cs="宋体"/>
                <w:szCs w:val="21"/>
                <w:lang w:bidi="ar"/>
              </w:rPr>
            </w:pPr>
            <w:r>
              <w:rPr>
                <w:rFonts w:hint="eastAsia" w:ascii="宋体" w:hAnsi="宋体" w:cs="宋体"/>
                <w:szCs w:val="21"/>
                <w:lang w:bidi="ar"/>
              </w:rPr>
              <w:t>供应商名称与企业法人营业执照名称一致。</w:t>
            </w:r>
          </w:p>
        </w:tc>
        <w:tc>
          <w:tcPr>
            <w:tcW w:w="5101" w:type="dxa"/>
            <w:tcBorders>
              <w:top w:val="single" w:color="auto" w:sz="4" w:space="0"/>
              <w:left w:val="single" w:color="auto" w:sz="4" w:space="0"/>
              <w:bottom w:val="single" w:color="auto" w:sz="4" w:space="0"/>
              <w:right w:val="single" w:color="auto" w:sz="4" w:space="0"/>
            </w:tcBorders>
            <w:vAlign w:val="center"/>
          </w:tcPr>
          <w:p w14:paraId="4EA68215">
            <w:pPr>
              <w:spacing w:line="400" w:lineRule="exact"/>
              <w:rPr>
                <w:rFonts w:ascii="宋体" w:hAnsi="宋体" w:cs="宋体"/>
                <w:szCs w:val="21"/>
                <w:lang w:bidi="ar"/>
              </w:rPr>
            </w:pPr>
            <w:r>
              <w:rPr>
                <w:rFonts w:hint="eastAsia" w:ascii="宋体" w:hAnsi="宋体" w:cs="宋体"/>
                <w:szCs w:val="21"/>
                <w:lang w:bidi="ar"/>
              </w:rPr>
              <w:t>供应商名称与企业法人营业执照（或者电子营业执照）名称一致。</w:t>
            </w:r>
          </w:p>
        </w:tc>
      </w:tr>
      <w:tr w14:paraId="47E8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20" w:type="dxa"/>
            <w:tcBorders>
              <w:top w:val="single" w:color="auto" w:sz="4" w:space="0"/>
              <w:left w:val="single" w:color="auto" w:sz="4" w:space="0"/>
              <w:right w:val="single" w:color="auto" w:sz="4" w:space="0"/>
            </w:tcBorders>
            <w:vAlign w:val="center"/>
          </w:tcPr>
          <w:p w14:paraId="22B0FD50">
            <w:pPr>
              <w:spacing w:line="400" w:lineRule="exact"/>
              <w:jc w:val="center"/>
              <w:rPr>
                <w:rFonts w:ascii="宋体" w:hAnsi="宋体" w:cs="宋体"/>
                <w:szCs w:val="21"/>
              </w:rPr>
            </w:pPr>
            <w:r>
              <w:rPr>
                <w:rFonts w:hint="eastAsia" w:ascii="宋体" w:hAnsi="宋体" w:cs="宋体"/>
                <w:szCs w:val="21"/>
                <w:lang w:bidi="ar"/>
              </w:rPr>
              <w:t>2</w:t>
            </w:r>
          </w:p>
        </w:tc>
        <w:tc>
          <w:tcPr>
            <w:tcW w:w="3594" w:type="dxa"/>
            <w:tcBorders>
              <w:top w:val="single" w:color="auto" w:sz="4" w:space="0"/>
              <w:left w:val="single" w:color="auto" w:sz="4" w:space="0"/>
              <w:right w:val="single" w:color="auto" w:sz="4" w:space="0"/>
            </w:tcBorders>
            <w:vAlign w:val="center"/>
          </w:tcPr>
          <w:p w14:paraId="37056084">
            <w:pPr>
              <w:spacing w:line="400" w:lineRule="exact"/>
              <w:jc w:val="left"/>
              <w:rPr>
                <w:rFonts w:hint="eastAsia" w:ascii="宋体" w:hAnsi="宋体" w:cs="宋体"/>
                <w:bCs/>
                <w:szCs w:val="21"/>
                <w:lang w:bidi="ar"/>
              </w:rPr>
            </w:pPr>
            <w:r>
              <w:rPr>
                <w:rFonts w:hint="eastAsia" w:ascii="宋体" w:hAnsi="宋体" w:cs="宋体"/>
                <w:bCs/>
                <w:szCs w:val="21"/>
                <w:lang w:bidi="ar"/>
              </w:rPr>
              <w:t>总投标报价超出预算价的或最高限价的投标为无效投标。</w:t>
            </w:r>
          </w:p>
          <w:p w14:paraId="2C19C862">
            <w:pPr>
              <w:spacing w:line="400" w:lineRule="exact"/>
              <w:jc w:val="left"/>
              <w:rPr>
                <w:rFonts w:hint="eastAsia" w:ascii="宋体" w:hAnsi="宋体" w:cs="宋体"/>
                <w:bCs/>
                <w:szCs w:val="21"/>
                <w:lang w:bidi="ar"/>
              </w:rPr>
            </w:pPr>
            <w:r>
              <w:rPr>
                <w:rFonts w:hint="eastAsia" w:ascii="宋体" w:hAnsi="宋体" w:cs="宋体"/>
                <w:bCs/>
                <w:szCs w:val="21"/>
                <w:lang w:bidi="ar"/>
              </w:rPr>
              <w:t>本次</w:t>
            </w:r>
            <w:r>
              <w:rPr>
                <w:rFonts w:hint="eastAsia" w:ascii="宋体" w:hAnsi="宋体" w:cs="宋体"/>
                <w:bCs/>
                <w:szCs w:val="21"/>
                <w:lang w:eastAsia="zh-CN" w:bidi="ar"/>
              </w:rPr>
              <w:t>投标报价</w:t>
            </w:r>
            <w:r>
              <w:rPr>
                <w:rFonts w:hint="eastAsia" w:ascii="宋体" w:hAnsi="宋体" w:cs="宋体"/>
                <w:bCs/>
                <w:szCs w:val="21"/>
                <w:lang w:bidi="ar"/>
              </w:rPr>
              <w:t>超出</w:t>
            </w:r>
            <w:r>
              <w:rPr>
                <w:rFonts w:hint="eastAsia" w:ascii="宋体" w:hAnsi="宋体" w:cs="宋体"/>
                <w:bCs/>
                <w:szCs w:val="21"/>
                <w:lang w:eastAsia="zh-CN" w:bidi="ar"/>
              </w:rPr>
              <w:t>最高单价限价</w:t>
            </w:r>
            <w:r>
              <w:rPr>
                <w:rFonts w:hint="eastAsia" w:ascii="宋体" w:hAnsi="宋体" w:cs="宋体"/>
                <w:bCs/>
                <w:szCs w:val="21"/>
                <w:lang w:bidi="ar"/>
              </w:rPr>
              <w:t>的投标无效。</w:t>
            </w:r>
          </w:p>
        </w:tc>
        <w:tc>
          <w:tcPr>
            <w:tcW w:w="5101" w:type="dxa"/>
            <w:tcBorders>
              <w:top w:val="single" w:color="auto" w:sz="4" w:space="0"/>
              <w:left w:val="single" w:color="auto" w:sz="4" w:space="0"/>
              <w:bottom w:val="single" w:color="auto" w:sz="4" w:space="0"/>
              <w:right w:val="single" w:color="auto" w:sz="4" w:space="0"/>
            </w:tcBorders>
            <w:vAlign w:val="center"/>
          </w:tcPr>
          <w:p w14:paraId="2898414C">
            <w:pPr>
              <w:spacing w:line="400" w:lineRule="exact"/>
              <w:jc w:val="left"/>
              <w:rPr>
                <w:rFonts w:hint="eastAsia" w:ascii="宋体" w:hAnsi="宋体" w:cs="宋体"/>
                <w:bCs/>
                <w:szCs w:val="21"/>
                <w:lang w:bidi="ar"/>
              </w:rPr>
            </w:pPr>
            <w:r>
              <w:rPr>
                <w:rFonts w:hint="eastAsia" w:ascii="宋体" w:hAnsi="宋体" w:cs="宋体"/>
                <w:bCs/>
                <w:szCs w:val="21"/>
                <w:lang w:bidi="ar"/>
              </w:rPr>
              <w:t>预算价为 341960元（最高限价： 341960元），总投标报价超出预算价的最高限价的投标为无效投标；</w:t>
            </w:r>
          </w:p>
          <w:p w14:paraId="4DF8B73A">
            <w:pPr>
              <w:spacing w:line="400" w:lineRule="exact"/>
              <w:jc w:val="left"/>
              <w:rPr>
                <w:rFonts w:hint="eastAsia" w:ascii="宋体" w:hAnsi="宋体" w:cs="宋体"/>
                <w:bCs/>
                <w:szCs w:val="21"/>
                <w:lang w:bidi="ar"/>
              </w:rPr>
            </w:pPr>
            <w:r>
              <w:rPr>
                <w:rFonts w:hint="eastAsia" w:ascii="宋体" w:hAnsi="宋体" w:cs="宋体"/>
                <w:bCs/>
                <w:szCs w:val="21"/>
                <w:lang w:bidi="ar"/>
              </w:rPr>
              <w:t>本次</w:t>
            </w:r>
            <w:r>
              <w:rPr>
                <w:rFonts w:hint="eastAsia" w:ascii="宋体" w:hAnsi="宋体" w:cs="宋体"/>
                <w:bCs/>
                <w:szCs w:val="21"/>
                <w:lang w:eastAsia="zh-CN" w:bidi="ar"/>
              </w:rPr>
              <w:t>投标报价</w:t>
            </w:r>
            <w:r>
              <w:rPr>
                <w:rFonts w:hint="eastAsia" w:ascii="宋体" w:hAnsi="宋体" w:cs="宋体"/>
                <w:bCs/>
                <w:szCs w:val="21"/>
                <w:lang w:bidi="ar"/>
              </w:rPr>
              <w:t>超出</w:t>
            </w:r>
            <w:r>
              <w:rPr>
                <w:rFonts w:hint="eastAsia" w:ascii="宋体" w:hAnsi="宋体" w:cs="宋体"/>
                <w:bCs/>
                <w:szCs w:val="21"/>
                <w:lang w:eastAsia="zh-CN" w:bidi="ar"/>
              </w:rPr>
              <w:t>最高单价限价</w:t>
            </w:r>
            <w:r>
              <w:rPr>
                <w:rFonts w:hint="eastAsia" w:ascii="宋体" w:hAnsi="宋体" w:cs="宋体"/>
                <w:bCs/>
                <w:szCs w:val="21"/>
                <w:lang w:bidi="ar"/>
              </w:rPr>
              <w:t>的投标无效。</w:t>
            </w:r>
          </w:p>
        </w:tc>
      </w:tr>
      <w:tr w14:paraId="0E76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13DCB0C">
            <w:pPr>
              <w:spacing w:line="400" w:lineRule="exact"/>
              <w:jc w:val="center"/>
              <w:rPr>
                <w:rFonts w:ascii="宋体" w:hAnsi="宋体" w:cs="宋体"/>
                <w:szCs w:val="21"/>
              </w:rPr>
            </w:pPr>
            <w:r>
              <w:rPr>
                <w:rFonts w:hint="eastAsia" w:ascii="宋体" w:hAnsi="宋体" w:cs="宋体"/>
                <w:szCs w:val="21"/>
                <w:lang w:bidi="ar"/>
              </w:rPr>
              <w:t>3</w:t>
            </w:r>
          </w:p>
        </w:tc>
        <w:tc>
          <w:tcPr>
            <w:tcW w:w="3594" w:type="dxa"/>
            <w:tcBorders>
              <w:top w:val="single" w:color="auto" w:sz="4" w:space="0"/>
              <w:left w:val="single" w:color="auto" w:sz="4" w:space="0"/>
              <w:bottom w:val="single" w:color="auto" w:sz="4" w:space="0"/>
              <w:right w:val="single" w:color="auto" w:sz="4" w:space="0"/>
            </w:tcBorders>
            <w:vAlign w:val="center"/>
          </w:tcPr>
          <w:p w14:paraId="6327C568">
            <w:pPr>
              <w:spacing w:line="400" w:lineRule="exact"/>
              <w:jc w:val="left"/>
              <w:rPr>
                <w:rFonts w:ascii="宋体" w:hAnsi="宋体" w:cs="宋体"/>
                <w:szCs w:val="21"/>
              </w:rPr>
            </w:pPr>
            <w:r>
              <w:rPr>
                <w:rFonts w:hint="eastAsia" w:ascii="宋体" w:hAnsi="宋体" w:cs="宋体"/>
                <w:szCs w:val="21"/>
                <w:lang w:bidi="ar"/>
              </w:rPr>
              <w:t>投标文件的签署盖章符合第二章“投标须知”第九、2条的要求。</w:t>
            </w:r>
          </w:p>
        </w:tc>
        <w:tc>
          <w:tcPr>
            <w:tcW w:w="5101" w:type="dxa"/>
            <w:tcBorders>
              <w:top w:val="single" w:color="auto" w:sz="4" w:space="0"/>
              <w:left w:val="single" w:color="auto" w:sz="4" w:space="0"/>
              <w:bottom w:val="single" w:color="auto" w:sz="4" w:space="0"/>
              <w:right w:val="single" w:color="auto" w:sz="4" w:space="0"/>
            </w:tcBorders>
            <w:vAlign w:val="center"/>
          </w:tcPr>
          <w:p w14:paraId="1784B26B">
            <w:pPr>
              <w:spacing w:line="400" w:lineRule="exact"/>
              <w:rPr>
                <w:rFonts w:ascii="宋体" w:hAnsi="宋体" w:cs="宋体"/>
                <w:szCs w:val="21"/>
              </w:rPr>
            </w:pPr>
            <w:r>
              <w:rPr>
                <w:rFonts w:hint="eastAsia" w:ascii="宋体" w:hAnsi="宋体" w:cs="宋体"/>
                <w:szCs w:val="21"/>
                <w:lang w:bidi="ar"/>
              </w:rPr>
              <w:t>标文件的签署盖章符合第二章“投标须知”第九、2条的要求</w:t>
            </w:r>
          </w:p>
        </w:tc>
      </w:tr>
      <w:tr w14:paraId="4620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C98FBAE">
            <w:pPr>
              <w:jc w:val="center"/>
              <w:rPr>
                <w:rFonts w:ascii="宋体" w:hAnsi="宋体" w:cs="宋体"/>
                <w:sz w:val="20"/>
              </w:rPr>
            </w:pPr>
            <w:r>
              <w:rPr>
                <w:rFonts w:hint="eastAsia" w:ascii="宋体" w:hAnsi="宋体" w:cs="宋体"/>
                <w:sz w:val="20"/>
              </w:rPr>
              <w:t>4</w:t>
            </w:r>
          </w:p>
        </w:tc>
        <w:tc>
          <w:tcPr>
            <w:tcW w:w="3594" w:type="dxa"/>
            <w:tcBorders>
              <w:top w:val="single" w:color="auto" w:sz="4" w:space="0"/>
              <w:left w:val="single" w:color="auto" w:sz="4" w:space="0"/>
              <w:bottom w:val="single" w:color="auto" w:sz="4" w:space="0"/>
              <w:right w:val="single" w:color="auto" w:sz="4" w:space="0"/>
            </w:tcBorders>
            <w:vAlign w:val="center"/>
          </w:tcPr>
          <w:p w14:paraId="77236035">
            <w:pPr>
              <w:spacing w:line="360" w:lineRule="exact"/>
              <w:jc w:val="left"/>
              <w:rPr>
                <w:rFonts w:ascii="宋体" w:hAnsi="宋体" w:cs="宋体"/>
                <w:szCs w:val="21"/>
                <w:lang w:bidi="ar"/>
              </w:rPr>
            </w:pPr>
            <w:r>
              <w:rPr>
                <w:rFonts w:hint="eastAsia" w:ascii="宋体" w:hAnsi="宋体" w:cs="宋体"/>
                <w:szCs w:val="21"/>
                <w:lang w:bidi="ar"/>
              </w:rPr>
              <w:t>供应商编制的投标文件符合法律、法规和采购文件中规定并对实质性要求完全响应。</w:t>
            </w:r>
          </w:p>
        </w:tc>
        <w:tc>
          <w:tcPr>
            <w:tcW w:w="5101" w:type="dxa"/>
            <w:tcBorders>
              <w:top w:val="single" w:color="auto" w:sz="4" w:space="0"/>
              <w:left w:val="single" w:color="auto" w:sz="4" w:space="0"/>
              <w:bottom w:val="single" w:color="auto" w:sz="4" w:space="0"/>
              <w:right w:val="single" w:color="auto" w:sz="4" w:space="0"/>
            </w:tcBorders>
            <w:vAlign w:val="center"/>
          </w:tcPr>
          <w:p w14:paraId="73586C8F">
            <w:pPr>
              <w:spacing w:line="360" w:lineRule="exact"/>
              <w:rPr>
                <w:rFonts w:ascii="宋体" w:hAnsi="宋体" w:cs="宋体"/>
                <w:szCs w:val="21"/>
                <w:lang w:bidi="ar"/>
              </w:rPr>
            </w:pPr>
            <w:r>
              <w:rPr>
                <w:rFonts w:hint="eastAsia" w:ascii="宋体" w:hAnsi="宋体" w:cs="宋体"/>
                <w:szCs w:val="21"/>
                <w:lang w:bidi="ar"/>
              </w:rPr>
              <w:t>供应商编制的投标文件符合法律、法规和采购文件中规定的并对其他实质性要求完全响应（实质性要求招标文件中“▲”标记）。</w:t>
            </w:r>
          </w:p>
        </w:tc>
      </w:tr>
      <w:tr w14:paraId="3285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4" w:type="dxa"/>
            <w:gridSpan w:val="2"/>
            <w:tcBorders>
              <w:top w:val="single" w:color="auto" w:sz="4" w:space="0"/>
              <w:left w:val="single" w:color="auto" w:sz="4" w:space="0"/>
              <w:bottom w:val="single" w:color="auto" w:sz="4" w:space="0"/>
              <w:right w:val="single" w:color="auto" w:sz="4" w:space="0"/>
            </w:tcBorders>
            <w:vAlign w:val="center"/>
          </w:tcPr>
          <w:p w14:paraId="5342985C">
            <w:pPr>
              <w:spacing w:line="400" w:lineRule="exact"/>
              <w:jc w:val="center"/>
              <w:rPr>
                <w:rFonts w:ascii="宋体" w:hAnsi="宋体" w:cs="宋体"/>
                <w:szCs w:val="21"/>
              </w:rPr>
            </w:pPr>
            <w:r>
              <w:rPr>
                <w:rFonts w:hint="eastAsia" w:ascii="宋体" w:hAnsi="宋体" w:cs="宋体"/>
                <w:b/>
                <w:szCs w:val="21"/>
                <w:lang w:bidi="ar"/>
              </w:rPr>
              <w:t>初步审查结论</w:t>
            </w:r>
          </w:p>
        </w:tc>
        <w:tc>
          <w:tcPr>
            <w:tcW w:w="5101" w:type="dxa"/>
            <w:tcBorders>
              <w:top w:val="single" w:color="auto" w:sz="4" w:space="0"/>
              <w:left w:val="single" w:color="auto" w:sz="4" w:space="0"/>
              <w:bottom w:val="single" w:color="auto" w:sz="4" w:space="0"/>
              <w:right w:val="single" w:color="auto" w:sz="4" w:space="0"/>
            </w:tcBorders>
            <w:vAlign w:val="center"/>
          </w:tcPr>
          <w:p w14:paraId="363B279F">
            <w:pPr>
              <w:spacing w:line="400" w:lineRule="exact"/>
              <w:rPr>
                <w:rFonts w:ascii="宋体" w:hAnsi="宋体" w:cs="宋体"/>
                <w:szCs w:val="21"/>
              </w:rPr>
            </w:pPr>
          </w:p>
        </w:tc>
      </w:tr>
    </w:tbl>
    <w:p w14:paraId="66A61F57">
      <w:pPr>
        <w:spacing w:line="400" w:lineRule="exact"/>
        <w:rPr>
          <w:rFonts w:ascii="宋体" w:hAnsi="宋体" w:cs="宋体"/>
          <w:b/>
          <w:szCs w:val="22"/>
          <w:lang w:bidi="ar"/>
        </w:rPr>
      </w:pPr>
      <w:r>
        <w:rPr>
          <w:rFonts w:hint="eastAsia" w:ascii="宋体" w:hAnsi="宋体" w:cs="宋体"/>
          <w:b/>
          <w:szCs w:val="22"/>
          <w:lang w:bidi="ar"/>
        </w:rPr>
        <w:t>注：1、上述审查项目中，任意一项不符合的，报价文件符合性审查不合格。</w:t>
      </w:r>
    </w:p>
    <w:p w14:paraId="7A5D8A88">
      <w:pPr>
        <w:widowControl/>
        <w:spacing w:line="340" w:lineRule="exact"/>
        <w:rPr>
          <w:rFonts w:ascii="宋体" w:hAnsi="宋体" w:cs="宋体"/>
          <w:b/>
          <w:bCs/>
          <w:szCs w:val="21"/>
          <w:lang w:bidi="ar"/>
        </w:rPr>
      </w:pPr>
      <w:r>
        <w:rPr>
          <w:rFonts w:hint="eastAsia" w:ascii="宋体" w:hAnsi="宋体" w:cs="宋体"/>
          <w:b/>
          <w:bCs/>
          <w:szCs w:val="21"/>
          <w:lang w:bidi="ar"/>
        </w:rPr>
        <w:t>附表5</w:t>
      </w:r>
    </w:p>
    <w:p w14:paraId="5EBCF962">
      <w:pPr>
        <w:spacing w:line="360" w:lineRule="auto"/>
        <w:jc w:val="center"/>
        <w:rPr>
          <w:rFonts w:ascii="宋体" w:hAnsi="宋体" w:cs="宋体"/>
          <w:b/>
          <w:bCs/>
          <w:sz w:val="28"/>
          <w:szCs w:val="28"/>
          <w:lang w:bidi="ar"/>
        </w:rPr>
      </w:pPr>
      <w:r>
        <w:rPr>
          <w:rFonts w:hint="eastAsia" w:ascii="宋体" w:hAnsi="宋体" w:cs="宋体"/>
          <w:b/>
          <w:bCs/>
          <w:sz w:val="28"/>
          <w:szCs w:val="28"/>
          <w:lang w:bidi="ar"/>
        </w:rPr>
        <w:t>价格评分表</w:t>
      </w:r>
    </w:p>
    <w:p w14:paraId="4B9392EB">
      <w:pPr>
        <w:pStyle w:val="43"/>
        <w:ind w:firstLine="480"/>
        <w:rPr>
          <w:rFonts w:hint="default" w:ascii="宋体" w:hAnsi="宋体" w:eastAsia="宋体" w:cs="宋体"/>
        </w:rPr>
      </w:pPr>
    </w:p>
    <w:p w14:paraId="3F42D9A4">
      <w:pPr>
        <w:pStyle w:val="43"/>
        <w:spacing w:line="360" w:lineRule="auto"/>
        <w:ind w:firstLine="0" w:firstLineChars="0"/>
        <w:rPr>
          <w:rFonts w:hint="eastAsia" w:ascii="宋体" w:hAnsi="宋体" w:eastAsia="宋体" w:cs="宋体"/>
          <w:b/>
          <w:bCs/>
          <w:sz w:val="28"/>
          <w:szCs w:val="28"/>
          <w:lang w:eastAsia="zh-CN" w:bidi="ar"/>
        </w:rPr>
      </w:pPr>
      <w:r>
        <w:rPr>
          <w:rFonts w:hint="eastAsia" w:ascii="宋体" w:hAnsi="宋体" w:eastAsia="宋体" w:cs="宋体"/>
          <w:b/>
          <w:bCs/>
          <w:sz w:val="28"/>
          <w:szCs w:val="28"/>
          <w:lang w:eastAsia="zh-CN" w:bidi="ar"/>
        </w:rPr>
        <w:t>慈溪市排水有限公司污水处理厂、污水泵站废旧设备清运、集中堆放项目（重发）</w:t>
      </w:r>
    </w:p>
    <w:tbl>
      <w:tblPr>
        <w:tblStyle w:val="44"/>
        <w:tblpPr w:leftFromText="180" w:rightFromText="180" w:vertAnchor="text" w:horzAnchor="page" w:tblpX="1049" w:tblpY="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980"/>
        <w:gridCol w:w="856"/>
      </w:tblGrid>
      <w:tr w14:paraId="6872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000" w:type="dxa"/>
            <w:gridSpan w:val="2"/>
            <w:tcBorders>
              <w:top w:val="single" w:color="auto" w:sz="4" w:space="0"/>
              <w:left w:val="single" w:color="auto" w:sz="4" w:space="0"/>
              <w:bottom w:val="single" w:color="auto" w:sz="4" w:space="0"/>
              <w:right w:val="single" w:color="auto" w:sz="4" w:space="0"/>
              <w:tl2br w:val="single" w:color="000000" w:sz="4" w:space="0"/>
            </w:tcBorders>
          </w:tcPr>
          <w:p w14:paraId="0DCFB038">
            <w:pPr>
              <w:spacing w:line="320" w:lineRule="exact"/>
              <w:ind w:right="420" w:firstLine="4410" w:firstLineChars="2100"/>
              <w:rPr>
                <w:rFonts w:ascii="宋体" w:hAnsi="宋体" w:cs="宋体"/>
                <w:szCs w:val="21"/>
              </w:rPr>
            </w:pPr>
            <w:r>
              <w:rPr>
                <w:rFonts w:hint="eastAsia" w:ascii="宋体" w:hAnsi="宋体" w:cs="宋体"/>
                <w:szCs w:val="21"/>
                <w:lang w:bidi="ar"/>
              </w:rPr>
              <w:t xml:space="preserve">                        供应商</w:t>
            </w:r>
          </w:p>
          <w:p w14:paraId="170C3CFD">
            <w:pPr>
              <w:spacing w:line="320" w:lineRule="exact"/>
              <w:ind w:firstLine="945" w:firstLineChars="450"/>
              <w:rPr>
                <w:rFonts w:ascii="宋体" w:hAnsi="宋体" w:cs="宋体"/>
                <w:szCs w:val="21"/>
                <w:lang w:val="ru"/>
              </w:rPr>
            </w:pPr>
            <w:r>
              <w:rPr>
                <w:rFonts w:hint="eastAsia" w:ascii="宋体" w:hAnsi="宋体" w:cs="宋体"/>
                <w:szCs w:val="21"/>
                <w:lang w:bidi="ar"/>
              </w:rPr>
              <w:t>分值</w:t>
            </w:r>
          </w:p>
        </w:tc>
        <w:tc>
          <w:tcPr>
            <w:tcW w:w="856" w:type="dxa"/>
            <w:tcBorders>
              <w:top w:val="single" w:color="auto" w:sz="4" w:space="0"/>
              <w:left w:val="single" w:color="auto" w:sz="4" w:space="0"/>
              <w:bottom w:val="single" w:color="auto" w:sz="4" w:space="0"/>
              <w:right w:val="single" w:color="auto" w:sz="4" w:space="0"/>
            </w:tcBorders>
            <w:vAlign w:val="center"/>
          </w:tcPr>
          <w:p w14:paraId="32F4EA10">
            <w:pPr>
              <w:spacing w:line="320" w:lineRule="exact"/>
              <w:jc w:val="center"/>
              <w:rPr>
                <w:rFonts w:ascii="宋体" w:hAnsi="宋体" w:cs="宋体"/>
                <w:szCs w:val="21"/>
                <w:lang w:val="ru"/>
              </w:rPr>
            </w:pPr>
            <w:r>
              <w:rPr>
                <w:rFonts w:hint="eastAsia" w:ascii="宋体" w:hAnsi="宋体" w:cs="宋体"/>
                <w:szCs w:val="21"/>
                <w:lang w:val="ru"/>
              </w:rPr>
              <w:t>分值</w:t>
            </w:r>
          </w:p>
        </w:tc>
      </w:tr>
      <w:tr w14:paraId="1339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20" w:type="dxa"/>
            <w:tcBorders>
              <w:top w:val="single" w:color="auto" w:sz="4" w:space="0"/>
              <w:left w:val="single" w:color="auto" w:sz="4" w:space="0"/>
              <w:right w:val="single" w:color="auto" w:sz="4" w:space="0"/>
            </w:tcBorders>
            <w:vAlign w:val="center"/>
          </w:tcPr>
          <w:p w14:paraId="4E933116">
            <w:pPr>
              <w:snapToGrid w:val="0"/>
              <w:jc w:val="center"/>
              <w:rPr>
                <w:rFonts w:ascii="宋体" w:hAnsi="宋体" w:cs="宋体"/>
                <w:spacing w:val="-4"/>
                <w:szCs w:val="21"/>
              </w:rPr>
            </w:pPr>
            <w:r>
              <w:rPr>
                <w:rFonts w:hint="eastAsia" w:ascii="宋体" w:hAnsi="宋体" w:cs="宋体"/>
                <w:spacing w:val="-4"/>
                <w:szCs w:val="21"/>
              </w:rPr>
              <w:t>价格</w:t>
            </w:r>
          </w:p>
          <w:p w14:paraId="0DB74FB7">
            <w:pPr>
              <w:snapToGrid w:val="0"/>
              <w:jc w:val="center"/>
              <w:rPr>
                <w:rFonts w:ascii="宋体" w:hAnsi="宋体" w:cs="宋体"/>
                <w:szCs w:val="21"/>
              </w:rPr>
            </w:pPr>
            <w:r>
              <w:rPr>
                <w:rFonts w:hint="eastAsia" w:ascii="宋体" w:hAnsi="宋体" w:cs="宋体"/>
                <w:spacing w:val="-4"/>
                <w:szCs w:val="21"/>
              </w:rPr>
              <w:t>（</w:t>
            </w:r>
            <w:r>
              <w:rPr>
                <w:rFonts w:ascii="宋体" w:hAnsi="宋体" w:cs="宋体"/>
                <w:spacing w:val="-4"/>
                <w:szCs w:val="21"/>
              </w:rPr>
              <w:t>3</w:t>
            </w:r>
            <w:r>
              <w:rPr>
                <w:rFonts w:hint="eastAsia" w:ascii="宋体" w:hAnsi="宋体" w:cs="宋体"/>
                <w:spacing w:val="-4"/>
                <w:szCs w:val="21"/>
              </w:rPr>
              <w:t>0分）</w:t>
            </w:r>
          </w:p>
        </w:tc>
        <w:tc>
          <w:tcPr>
            <w:tcW w:w="7980" w:type="dxa"/>
            <w:tcBorders>
              <w:top w:val="single" w:color="auto" w:sz="4" w:space="0"/>
              <w:left w:val="single" w:color="auto" w:sz="4" w:space="0"/>
              <w:right w:val="single" w:color="auto" w:sz="4" w:space="0"/>
            </w:tcBorders>
            <w:vAlign w:val="center"/>
          </w:tcPr>
          <w:p w14:paraId="7C7DCCDB">
            <w:pPr>
              <w:spacing w:line="320" w:lineRule="exact"/>
              <w:rPr>
                <w:rFonts w:ascii="宋体" w:hAnsi="宋体" w:cs="宋体"/>
              </w:rPr>
            </w:pPr>
            <w:r>
              <w:rPr>
                <w:rFonts w:hint="eastAsia" w:ascii="宋体" w:hAnsi="宋体" w:cs="宋体"/>
              </w:rPr>
              <w:t xml:space="preserve"> 满足采购文件要求且投标报价最低的为评审基准价，等于基准价的得分为满分。其他投标人的报价分按照下式计算：</w:t>
            </w:r>
          </w:p>
          <w:p w14:paraId="6E8DA259">
            <w:pPr>
              <w:snapToGrid w:val="0"/>
              <w:jc w:val="left"/>
              <w:rPr>
                <w:rFonts w:ascii="宋体" w:hAnsi="宋体" w:cs="宋体"/>
                <w:szCs w:val="21"/>
              </w:rPr>
            </w:pPr>
            <w:r>
              <w:rPr>
                <w:rFonts w:hint="eastAsia" w:ascii="宋体" w:hAnsi="宋体" w:cs="宋体"/>
              </w:rPr>
              <w:t>报价得分＝（基准价÷参与评审报价）×</w:t>
            </w:r>
            <w:r>
              <w:rPr>
                <w:rFonts w:ascii="宋体" w:hAnsi="宋体" w:cs="宋体"/>
              </w:rPr>
              <w:t>3</w:t>
            </w:r>
            <w:r>
              <w:rPr>
                <w:rFonts w:hint="eastAsia" w:ascii="宋体" w:hAnsi="宋体" w:cs="宋体"/>
              </w:rPr>
              <w:t>0。</w:t>
            </w:r>
          </w:p>
        </w:tc>
        <w:tc>
          <w:tcPr>
            <w:tcW w:w="856" w:type="dxa"/>
            <w:tcBorders>
              <w:top w:val="single" w:color="auto" w:sz="4" w:space="0"/>
              <w:left w:val="single" w:color="auto" w:sz="4" w:space="0"/>
              <w:bottom w:val="single" w:color="auto" w:sz="4" w:space="0"/>
              <w:right w:val="single" w:color="auto" w:sz="4" w:space="0"/>
            </w:tcBorders>
            <w:vAlign w:val="center"/>
          </w:tcPr>
          <w:p w14:paraId="7008029A">
            <w:pPr>
              <w:snapToGrid w:val="0"/>
              <w:spacing w:line="360" w:lineRule="auto"/>
              <w:jc w:val="center"/>
              <w:rPr>
                <w:rFonts w:ascii="宋体" w:hAnsi="宋体" w:cs="宋体"/>
                <w:szCs w:val="21"/>
              </w:rPr>
            </w:pPr>
            <w:r>
              <w:rPr>
                <w:rFonts w:ascii="宋体" w:hAnsi="宋体" w:cs="宋体"/>
                <w:szCs w:val="21"/>
              </w:rPr>
              <w:t>3</w:t>
            </w:r>
            <w:r>
              <w:rPr>
                <w:rFonts w:hint="eastAsia" w:ascii="宋体" w:hAnsi="宋体" w:cs="宋体"/>
                <w:szCs w:val="21"/>
              </w:rPr>
              <w:t>0</w:t>
            </w:r>
          </w:p>
        </w:tc>
      </w:tr>
      <w:tr w14:paraId="4CBB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00" w:type="dxa"/>
            <w:gridSpan w:val="2"/>
            <w:tcBorders>
              <w:top w:val="single" w:color="auto" w:sz="4" w:space="0"/>
              <w:left w:val="single" w:color="auto" w:sz="4" w:space="0"/>
              <w:bottom w:val="single" w:color="auto" w:sz="4" w:space="0"/>
              <w:right w:val="single" w:color="auto" w:sz="4" w:space="0"/>
            </w:tcBorders>
            <w:vAlign w:val="center"/>
          </w:tcPr>
          <w:p w14:paraId="54EB25C1">
            <w:pPr>
              <w:spacing w:line="320" w:lineRule="exact"/>
              <w:jc w:val="center"/>
              <w:rPr>
                <w:rFonts w:ascii="宋体" w:hAnsi="宋体" w:cs="宋体"/>
                <w:szCs w:val="21"/>
              </w:rPr>
            </w:pPr>
            <w:r>
              <w:rPr>
                <w:rFonts w:hint="eastAsia" w:ascii="宋体" w:hAnsi="宋体" w:cs="宋体"/>
                <w:b/>
                <w:sz w:val="22"/>
                <w:szCs w:val="18"/>
                <w:lang w:bidi="ar"/>
              </w:rPr>
              <w:t>报价得分（</w:t>
            </w:r>
            <w:r>
              <w:rPr>
                <w:rFonts w:ascii="宋体" w:hAnsi="宋体" w:cs="宋体"/>
                <w:b/>
                <w:sz w:val="22"/>
                <w:szCs w:val="18"/>
                <w:lang w:bidi="ar"/>
              </w:rPr>
              <w:t>3</w:t>
            </w:r>
            <w:r>
              <w:rPr>
                <w:rFonts w:hint="eastAsia" w:ascii="宋体" w:hAnsi="宋体" w:cs="宋体"/>
                <w:b/>
                <w:sz w:val="22"/>
                <w:szCs w:val="18"/>
                <w:lang w:bidi="ar"/>
              </w:rPr>
              <w:t>0分）</w:t>
            </w:r>
          </w:p>
        </w:tc>
        <w:tc>
          <w:tcPr>
            <w:tcW w:w="856" w:type="dxa"/>
            <w:tcBorders>
              <w:top w:val="single" w:color="auto" w:sz="4" w:space="0"/>
              <w:left w:val="single" w:color="auto" w:sz="4" w:space="0"/>
              <w:bottom w:val="single" w:color="auto" w:sz="4" w:space="0"/>
              <w:right w:val="single" w:color="auto" w:sz="4" w:space="0"/>
            </w:tcBorders>
            <w:vAlign w:val="center"/>
          </w:tcPr>
          <w:p w14:paraId="3C34722F">
            <w:pPr>
              <w:spacing w:line="320" w:lineRule="exact"/>
              <w:jc w:val="center"/>
              <w:rPr>
                <w:rFonts w:ascii="宋体" w:hAnsi="宋体" w:cs="宋体"/>
                <w:szCs w:val="21"/>
              </w:rPr>
            </w:pPr>
          </w:p>
        </w:tc>
      </w:tr>
    </w:tbl>
    <w:p w14:paraId="2A59ED9D">
      <w:pPr>
        <w:spacing w:before="120" w:after="330" w:line="320" w:lineRule="exact"/>
        <w:ind w:firstLine="320" w:firstLineChars="100"/>
        <w:jc w:val="center"/>
        <w:rPr>
          <w:rFonts w:ascii="宋体" w:hAnsi="宋体" w:cs="宋体"/>
          <w:sz w:val="32"/>
          <w:szCs w:val="32"/>
        </w:rPr>
      </w:pPr>
    </w:p>
    <w:p w14:paraId="5F7EDB11">
      <w:pPr>
        <w:spacing w:before="120" w:after="330" w:line="320" w:lineRule="exact"/>
        <w:ind w:firstLine="320" w:firstLineChars="100"/>
        <w:jc w:val="center"/>
        <w:rPr>
          <w:rFonts w:ascii="宋体" w:hAnsi="宋体" w:cs="宋体"/>
          <w:sz w:val="32"/>
          <w:szCs w:val="32"/>
        </w:rPr>
      </w:pPr>
    </w:p>
    <w:p w14:paraId="2DE41314">
      <w:pPr>
        <w:spacing w:before="120" w:after="330" w:line="320" w:lineRule="exact"/>
        <w:ind w:firstLine="320" w:firstLineChars="100"/>
        <w:jc w:val="center"/>
        <w:rPr>
          <w:rFonts w:ascii="宋体" w:hAnsi="宋体" w:cs="宋体"/>
          <w:sz w:val="32"/>
          <w:szCs w:val="32"/>
        </w:rPr>
      </w:pPr>
    </w:p>
    <w:p w14:paraId="439AFA83">
      <w:pPr>
        <w:spacing w:before="120" w:after="330" w:line="320" w:lineRule="exact"/>
        <w:ind w:firstLine="320" w:firstLineChars="100"/>
        <w:jc w:val="center"/>
        <w:rPr>
          <w:rFonts w:ascii="宋体" w:hAnsi="宋体" w:cs="宋体"/>
          <w:sz w:val="32"/>
          <w:szCs w:val="32"/>
        </w:rPr>
      </w:pPr>
    </w:p>
    <w:p w14:paraId="575B2B63">
      <w:pPr>
        <w:spacing w:before="120" w:after="330" w:line="320" w:lineRule="exact"/>
        <w:ind w:firstLine="320" w:firstLineChars="100"/>
        <w:jc w:val="center"/>
        <w:rPr>
          <w:rFonts w:ascii="宋体" w:hAnsi="宋体" w:cs="宋体"/>
          <w:sz w:val="32"/>
          <w:szCs w:val="32"/>
        </w:rPr>
      </w:pPr>
    </w:p>
    <w:p w14:paraId="5BEBB788">
      <w:pPr>
        <w:spacing w:before="120" w:after="330" w:line="320" w:lineRule="exact"/>
        <w:ind w:firstLine="320" w:firstLineChars="100"/>
        <w:jc w:val="center"/>
        <w:rPr>
          <w:rFonts w:ascii="宋体" w:hAnsi="宋体" w:cs="宋体"/>
          <w:sz w:val="32"/>
          <w:szCs w:val="32"/>
        </w:rPr>
      </w:pPr>
    </w:p>
    <w:p w14:paraId="2FB40E7A">
      <w:pPr>
        <w:pStyle w:val="2"/>
        <w:spacing w:before="120" w:after="120"/>
      </w:pPr>
    </w:p>
    <w:p w14:paraId="780FF84F"/>
    <w:p w14:paraId="4D9E63A4">
      <w:pPr>
        <w:pStyle w:val="2"/>
        <w:spacing w:before="120" w:after="120"/>
      </w:pPr>
    </w:p>
    <w:p w14:paraId="626E16DE"/>
    <w:p w14:paraId="5E68280A">
      <w:pPr>
        <w:pStyle w:val="2"/>
        <w:spacing w:before="120" w:after="120"/>
      </w:pPr>
    </w:p>
    <w:p w14:paraId="6D58A021"/>
    <w:p w14:paraId="5D0BF00A">
      <w:pPr>
        <w:pStyle w:val="2"/>
        <w:spacing w:before="120" w:after="120"/>
      </w:pPr>
    </w:p>
    <w:p w14:paraId="1D5CD0D9"/>
    <w:p w14:paraId="6E9D427A">
      <w:pPr>
        <w:pStyle w:val="2"/>
        <w:spacing w:before="120" w:after="120"/>
      </w:pPr>
    </w:p>
    <w:p w14:paraId="52E76176"/>
    <w:p w14:paraId="2291DF11">
      <w:pPr>
        <w:pStyle w:val="2"/>
        <w:spacing w:before="120" w:after="120"/>
      </w:pPr>
    </w:p>
    <w:p w14:paraId="7216BF90"/>
    <w:p w14:paraId="29F818CE">
      <w:pPr>
        <w:pStyle w:val="2"/>
        <w:spacing w:before="120" w:after="120"/>
      </w:pPr>
    </w:p>
    <w:p w14:paraId="7196C04E"/>
    <w:p w14:paraId="61D88A0D"/>
    <w:p w14:paraId="70C3A550">
      <w:pPr>
        <w:spacing w:before="120" w:after="330" w:line="320" w:lineRule="exact"/>
        <w:ind w:firstLine="320" w:firstLineChars="100"/>
        <w:jc w:val="center"/>
        <w:rPr>
          <w:rFonts w:ascii="宋体" w:hAnsi="宋体" w:cs="宋体"/>
          <w:sz w:val="32"/>
          <w:szCs w:val="32"/>
        </w:rPr>
      </w:pPr>
    </w:p>
    <w:p w14:paraId="4CD0EF0A">
      <w:pPr>
        <w:spacing w:before="120" w:after="330" w:line="320" w:lineRule="exact"/>
        <w:ind w:firstLine="320" w:firstLineChars="100"/>
        <w:jc w:val="center"/>
        <w:rPr>
          <w:rFonts w:ascii="宋体" w:hAnsi="宋体" w:cs="宋体"/>
          <w:sz w:val="32"/>
          <w:szCs w:val="32"/>
        </w:rPr>
      </w:pPr>
      <w:r>
        <w:rPr>
          <w:rFonts w:hint="eastAsia" w:ascii="宋体" w:hAnsi="宋体" w:cs="宋体"/>
          <w:sz w:val="32"/>
          <w:szCs w:val="32"/>
        </w:rPr>
        <w:t>第四章  采购合同样本</w:t>
      </w:r>
      <w:bookmarkEnd w:id="7"/>
      <w:bookmarkEnd w:id="8"/>
    </w:p>
    <w:p w14:paraId="6AB68BE4">
      <w:pPr>
        <w:pStyle w:val="3"/>
        <w:keepLines/>
        <w:spacing w:before="340" w:after="330" w:line="240" w:lineRule="auto"/>
        <w:rPr>
          <w:rFonts w:ascii="宋体" w:hAnsi="宋体" w:cs="宋体"/>
          <w:sz w:val="30"/>
          <w:szCs w:val="30"/>
        </w:rPr>
      </w:pPr>
      <w:bookmarkStart w:id="10" w:name="_Toc18645"/>
      <w:bookmarkStart w:id="11" w:name="_Toc508626485"/>
      <w:bookmarkStart w:id="12" w:name="_Toc29021"/>
      <w:bookmarkStart w:id="13" w:name="_Toc32584"/>
      <w:bookmarkStart w:id="14" w:name="_Toc2199"/>
      <w:r>
        <w:rPr>
          <w:rFonts w:hint="eastAsia" w:ascii="宋体" w:hAnsi="宋体" w:cs="宋体"/>
          <w:sz w:val="30"/>
          <w:szCs w:val="30"/>
        </w:rPr>
        <w:t>（本合同为合同样稿，最终稿由甲乙双方协商后确定）</w:t>
      </w:r>
      <w:bookmarkEnd w:id="10"/>
      <w:bookmarkEnd w:id="11"/>
      <w:bookmarkEnd w:id="12"/>
      <w:bookmarkEnd w:id="13"/>
      <w:bookmarkEnd w:id="14"/>
    </w:p>
    <w:p w14:paraId="1CE5F127">
      <w:pPr>
        <w:keepNext/>
        <w:keepLines/>
        <w:tabs>
          <w:tab w:val="center" w:pos="4819"/>
        </w:tabs>
        <w:spacing w:before="200" w:after="200" w:line="280" w:lineRule="exact"/>
        <w:jc w:val="center"/>
        <w:rPr>
          <w:rFonts w:ascii="宋体" w:hAnsi="宋体"/>
          <w:szCs w:val="21"/>
        </w:rPr>
      </w:pPr>
      <w:bookmarkStart w:id="15" w:name="_Toc460356672"/>
      <w:bookmarkStart w:id="16" w:name="_Toc21364"/>
      <w:r>
        <w:rPr>
          <w:rFonts w:hint="eastAsia" w:ascii="宋体" w:hAnsi="宋体"/>
          <w:szCs w:val="21"/>
        </w:rPr>
        <w:t>（仅供参考，可以另行拟定）</w:t>
      </w:r>
      <w:bookmarkEnd w:id="15"/>
    </w:p>
    <w:p w14:paraId="0817DC36">
      <w:pPr>
        <w:spacing w:line="400" w:lineRule="exact"/>
        <w:rPr>
          <w:rFonts w:ascii="宋体" w:hAnsi="宋体" w:cs="宋体"/>
        </w:rPr>
      </w:pPr>
      <w:r>
        <w:rPr>
          <w:rFonts w:hint="eastAsia" w:ascii="宋体" w:hAnsi="宋体" w:cs="宋体"/>
        </w:rPr>
        <w:t>项目名称：                                     项目编号：</w:t>
      </w:r>
    </w:p>
    <w:p w14:paraId="3CCAD41F">
      <w:pPr>
        <w:spacing w:line="400" w:lineRule="exact"/>
        <w:rPr>
          <w:rFonts w:ascii="宋体" w:hAnsi="宋体" w:cs="宋体"/>
        </w:rPr>
      </w:pPr>
      <w:r>
        <w:rPr>
          <w:rFonts w:hint="eastAsia" w:ascii="宋体" w:hAnsi="宋体" w:cs="宋体"/>
        </w:rPr>
        <w:t>甲方：（买方）</w:t>
      </w:r>
    </w:p>
    <w:p w14:paraId="7B05647E">
      <w:pPr>
        <w:spacing w:line="400" w:lineRule="exact"/>
        <w:rPr>
          <w:rFonts w:ascii="宋体" w:hAnsi="宋体" w:cs="宋体"/>
        </w:rPr>
      </w:pPr>
      <w:r>
        <w:rPr>
          <w:rFonts w:hint="eastAsia" w:ascii="宋体" w:hAnsi="宋体" w:cs="宋体"/>
        </w:rPr>
        <w:t>乙方：（卖方）</w:t>
      </w:r>
    </w:p>
    <w:p w14:paraId="2D79E41D">
      <w:pPr>
        <w:spacing w:line="400" w:lineRule="exact"/>
        <w:ind w:firstLine="420" w:firstLineChars="200"/>
        <w:rPr>
          <w:rFonts w:ascii="宋体" w:hAnsi="宋体" w:cs="宋体"/>
        </w:rPr>
      </w:pPr>
      <w:r>
        <w:rPr>
          <w:rFonts w:hint="eastAsia" w:ascii="宋体" w:hAnsi="宋体" w:cs="宋体"/>
        </w:rPr>
        <w:t>按照《中华人民共和国民法典》的有关规定，在自愿、平等、公平、诚信的基础上，甲乙双方根据</w:t>
      </w:r>
      <w:r>
        <w:rPr>
          <w:rFonts w:hint="eastAsia" w:ascii="宋体" w:hAnsi="宋体" w:cs="宋体"/>
          <w:u w:val="single"/>
        </w:rPr>
        <w:t xml:space="preserve">                               </w:t>
      </w:r>
      <w:r>
        <w:rPr>
          <w:rFonts w:hint="eastAsia" w:ascii="宋体" w:hAnsi="宋体" w:cs="宋体"/>
        </w:rPr>
        <w:t xml:space="preserve"> 项目公开招标的结果，签署本合同。</w:t>
      </w:r>
    </w:p>
    <w:p w14:paraId="6850CFBA">
      <w:pPr>
        <w:spacing w:line="400" w:lineRule="exact"/>
        <w:rPr>
          <w:rFonts w:ascii="宋体" w:hAnsi="宋体" w:cs="宋体"/>
        </w:rPr>
      </w:pPr>
      <w:r>
        <w:rPr>
          <w:rFonts w:hint="eastAsia" w:ascii="宋体" w:hAnsi="宋体" w:cs="宋体"/>
        </w:rPr>
        <w:t>一、服务内容</w:t>
      </w:r>
    </w:p>
    <w:p w14:paraId="060A6C50">
      <w:pPr>
        <w:spacing w:line="400" w:lineRule="exact"/>
        <w:rPr>
          <w:rFonts w:ascii="宋体" w:hAnsi="宋体" w:cs="宋体"/>
        </w:rPr>
      </w:pPr>
      <w:r>
        <w:rPr>
          <w:rFonts w:hint="eastAsia" w:ascii="宋体" w:hAnsi="宋体" w:cs="宋体"/>
        </w:rPr>
        <w:t>二、合同金额</w:t>
      </w:r>
    </w:p>
    <w:p w14:paraId="622655CB">
      <w:pPr>
        <w:spacing w:line="400" w:lineRule="exact"/>
        <w:rPr>
          <w:rFonts w:ascii="宋体" w:hAnsi="宋体" w:cs="宋体"/>
        </w:rPr>
      </w:pPr>
      <w:r>
        <w:rPr>
          <w:rFonts w:hint="eastAsia" w:ascii="宋体" w:hAnsi="宋体" w:cs="宋体"/>
        </w:rPr>
        <w:t>本合同金额为（大写）：</w:t>
      </w:r>
      <w:r>
        <w:rPr>
          <w:rFonts w:hint="eastAsia" w:ascii="宋体" w:hAnsi="宋体" w:cs="宋体"/>
          <w:u w:val="single"/>
        </w:rPr>
        <w:t xml:space="preserve">                          </w:t>
      </w:r>
      <w:r>
        <w:rPr>
          <w:rFonts w:hint="eastAsia" w:ascii="宋体" w:hAnsi="宋体" w:cs="宋体"/>
        </w:rPr>
        <w:t>元（￥</w:t>
      </w:r>
      <w:r>
        <w:rPr>
          <w:rFonts w:hint="eastAsia" w:ascii="宋体" w:hAnsi="宋体" w:cs="宋体"/>
          <w:u w:val="single"/>
        </w:rPr>
        <w:t xml:space="preserve">             </w:t>
      </w:r>
      <w:r>
        <w:rPr>
          <w:rFonts w:hint="eastAsia" w:ascii="宋体" w:hAnsi="宋体" w:cs="宋体"/>
        </w:rPr>
        <w:t>元）人民币。</w:t>
      </w:r>
    </w:p>
    <w:p w14:paraId="5482B90A">
      <w:pPr>
        <w:spacing w:line="400" w:lineRule="exact"/>
        <w:rPr>
          <w:rFonts w:ascii="宋体" w:hAnsi="宋体" w:cs="宋体"/>
        </w:rPr>
      </w:pPr>
      <w:bookmarkStart w:id="17" w:name="OLE_LINK17"/>
      <w:bookmarkStart w:id="18" w:name="OLE_LINK18"/>
      <w:r>
        <w:rPr>
          <w:rFonts w:hint="eastAsia" w:ascii="宋体" w:hAnsi="宋体" w:cs="宋体"/>
        </w:rPr>
        <w:t>1、结算时单价固定，数量按实，但最结算价最多不得</w:t>
      </w:r>
      <w:r>
        <w:rPr>
          <w:rFonts w:ascii="宋体" w:hAnsi="宋体" w:cs="宋体"/>
        </w:rPr>
        <w:t>超过</w:t>
      </w:r>
      <w:r>
        <w:rPr>
          <w:rFonts w:hint="eastAsia" w:ascii="宋体" w:hAnsi="宋体" w:cs="宋体"/>
        </w:rPr>
        <w:t>合同价的10%。</w:t>
      </w:r>
    </w:p>
    <w:p w14:paraId="6765EA46">
      <w:pPr>
        <w:spacing w:line="400" w:lineRule="exact"/>
        <w:rPr>
          <w:rFonts w:ascii="宋体" w:hAnsi="宋体" w:cs="宋体"/>
        </w:rPr>
      </w:pPr>
      <w:r>
        <w:rPr>
          <w:rFonts w:ascii="宋体" w:hAnsi="宋体" w:cs="宋体"/>
        </w:rPr>
        <w:t>2</w:t>
      </w:r>
      <w:r>
        <w:rPr>
          <w:rFonts w:hint="eastAsia" w:ascii="宋体" w:hAnsi="宋体" w:cs="宋体"/>
        </w:rPr>
        <w:t>、合同价</w:t>
      </w:r>
      <w:r>
        <w:rPr>
          <w:rFonts w:ascii="宋体" w:hAnsi="宋体" w:cs="宋体"/>
        </w:rPr>
        <w:t>包含：</w:t>
      </w:r>
      <w:r>
        <w:rPr>
          <w:rFonts w:hint="eastAsia" w:ascii="宋体" w:hAnsi="宋体" w:cs="宋体"/>
        </w:rPr>
        <w:t>设备清运、集中堆放、小型拆卸机械费、措施费、保险、税金、原建筑保护、切割辅材以及其他等费用</w:t>
      </w:r>
      <w:r>
        <w:rPr>
          <w:rFonts w:ascii="宋体" w:hAnsi="宋体" w:cs="宋体"/>
        </w:rPr>
        <w:t>。</w:t>
      </w:r>
    </w:p>
    <w:bookmarkEnd w:id="17"/>
    <w:bookmarkEnd w:id="18"/>
    <w:p w14:paraId="05A459B8">
      <w:pPr>
        <w:spacing w:line="400" w:lineRule="exact"/>
        <w:rPr>
          <w:rFonts w:ascii="宋体" w:hAnsi="宋体" w:cs="宋体"/>
        </w:rPr>
      </w:pPr>
      <w:r>
        <w:rPr>
          <w:rFonts w:hint="eastAsia" w:ascii="宋体" w:hAnsi="宋体" w:cs="宋体"/>
        </w:rPr>
        <w:t>三、技术资料</w:t>
      </w:r>
    </w:p>
    <w:p w14:paraId="77EE3584">
      <w:pPr>
        <w:spacing w:line="400" w:lineRule="exact"/>
        <w:rPr>
          <w:rFonts w:ascii="宋体" w:hAnsi="宋体" w:cs="宋体"/>
        </w:rPr>
      </w:pPr>
      <w:r>
        <w:rPr>
          <w:rFonts w:hint="eastAsia" w:ascii="宋体" w:hAnsi="宋体" w:cs="宋体"/>
        </w:rPr>
        <w:t>1.乙方应按采购文件规定的时间向甲方提供有关技术资料。</w:t>
      </w:r>
    </w:p>
    <w:p w14:paraId="03831F52">
      <w:pPr>
        <w:spacing w:line="400" w:lineRule="exact"/>
        <w:rPr>
          <w:rFonts w:ascii="宋体" w:hAnsi="宋体" w:cs="宋体"/>
        </w:rPr>
      </w:pPr>
      <w:r>
        <w:rPr>
          <w:rFonts w:hint="eastAsia" w:ascii="宋体"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F2A81E">
      <w:pPr>
        <w:spacing w:line="400" w:lineRule="exact"/>
        <w:rPr>
          <w:rFonts w:ascii="宋体" w:hAnsi="宋体" w:cs="宋体"/>
        </w:rPr>
      </w:pPr>
      <w:r>
        <w:rPr>
          <w:rFonts w:hint="eastAsia" w:ascii="宋体" w:hAnsi="宋体" w:cs="宋体"/>
        </w:rPr>
        <w:t>四、知识产权</w:t>
      </w:r>
    </w:p>
    <w:p w14:paraId="43366AAF">
      <w:pPr>
        <w:spacing w:line="400" w:lineRule="exact"/>
        <w:rPr>
          <w:rFonts w:ascii="宋体" w:hAnsi="宋体" w:cs="宋体"/>
        </w:rPr>
      </w:pPr>
      <w:r>
        <w:rPr>
          <w:rFonts w:hint="eastAsia" w:ascii="宋体" w:hAnsi="宋体" w:cs="宋体"/>
        </w:rPr>
        <w:t>乙方应保证提供服务过程中不会侵犯任何第三方的知识产权。</w:t>
      </w:r>
    </w:p>
    <w:p w14:paraId="3813FB34">
      <w:pPr>
        <w:spacing w:line="400" w:lineRule="exact"/>
        <w:rPr>
          <w:rFonts w:ascii="宋体" w:hAnsi="宋体" w:cs="宋体"/>
        </w:rPr>
      </w:pPr>
      <w:r>
        <w:rPr>
          <w:rFonts w:hint="eastAsia" w:ascii="宋体" w:hAnsi="宋体" w:cs="宋体"/>
        </w:rPr>
        <w:t>五、履约保证金</w:t>
      </w:r>
    </w:p>
    <w:p w14:paraId="78E4F9C5">
      <w:pPr>
        <w:spacing w:line="400" w:lineRule="exact"/>
        <w:rPr>
          <w:rFonts w:ascii="宋体" w:hAnsi="宋体" w:cs="宋体"/>
          <w:szCs w:val="21"/>
        </w:rPr>
      </w:pPr>
      <w:r>
        <w:rPr>
          <w:rFonts w:hint="eastAsia" w:ascii="宋体" w:hAnsi="宋体" w:cs="宋体"/>
          <w:szCs w:val="21"/>
        </w:rPr>
        <w:t>本项目履约保证金为合同价的</w:t>
      </w:r>
      <w:r>
        <w:rPr>
          <w:rFonts w:ascii="宋体" w:hAnsi="宋体" w:cs="宋体"/>
          <w:szCs w:val="21"/>
        </w:rPr>
        <w:t>2</w:t>
      </w:r>
      <w:r>
        <w:rPr>
          <w:rFonts w:hint="eastAsia" w:ascii="宋体" w:hAnsi="宋体" w:cs="宋体"/>
          <w:szCs w:val="21"/>
        </w:rPr>
        <w:t>%，承包方于合同签订后5个工作日内递交，履约保证金递交形式不限。合同期满，扣除相应款项后按实无息退还。</w:t>
      </w:r>
    </w:p>
    <w:p w14:paraId="2C8FFE03">
      <w:pPr>
        <w:spacing w:line="400" w:lineRule="exact"/>
        <w:rPr>
          <w:rFonts w:ascii="宋体" w:hAnsi="宋体" w:cs="宋体"/>
        </w:rPr>
      </w:pPr>
      <w:r>
        <w:rPr>
          <w:rFonts w:hint="eastAsia" w:ascii="宋体" w:hAnsi="宋体" w:cs="宋体"/>
        </w:rPr>
        <w:t>六、转包或分包</w:t>
      </w:r>
    </w:p>
    <w:p w14:paraId="0FC97911">
      <w:pPr>
        <w:spacing w:line="400" w:lineRule="exact"/>
        <w:rPr>
          <w:rFonts w:ascii="宋体" w:hAnsi="宋体" w:cs="宋体"/>
        </w:rPr>
      </w:pPr>
      <w:r>
        <w:rPr>
          <w:rFonts w:hint="eastAsia" w:ascii="宋体" w:hAnsi="宋体" w:cs="宋体"/>
        </w:rPr>
        <w:t>1.本合同范围的服务，应由乙方直接供应，不得转让他人供应；</w:t>
      </w:r>
    </w:p>
    <w:p w14:paraId="70B43E64">
      <w:pPr>
        <w:spacing w:line="400" w:lineRule="exact"/>
        <w:rPr>
          <w:rFonts w:ascii="宋体" w:hAnsi="宋体" w:cs="宋体"/>
        </w:rPr>
      </w:pPr>
      <w:r>
        <w:rPr>
          <w:rFonts w:hint="eastAsia" w:ascii="宋体" w:hAnsi="宋体" w:cs="宋体"/>
        </w:rPr>
        <w:t>2. 除非得到甲方的书面同意，乙方不得将本合同范围的服务全部或部分分包给他人供应；</w:t>
      </w:r>
    </w:p>
    <w:p w14:paraId="0642A6FD">
      <w:pPr>
        <w:spacing w:line="400" w:lineRule="exact"/>
        <w:rPr>
          <w:rFonts w:ascii="宋体" w:hAnsi="宋体" w:cs="宋体"/>
        </w:rPr>
      </w:pPr>
      <w:r>
        <w:rPr>
          <w:rFonts w:hint="eastAsia" w:ascii="宋体" w:hAnsi="宋体" w:cs="宋体"/>
        </w:rPr>
        <w:t>3.如有转让和未经甲方同意的分包行为，甲方有权解除合同，没收履约保证金并追究乙方的违约责任。</w:t>
      </w:r>
    </w:p>
    <w:p w14:paraId="285C310D">
      <w:pPr>
        <w:spacing w:line="400" w:lineRule="exact"/>
        <w:rPr>
          <w:rFonts w:ascii="宋体" w:hAnsi="宋体" w:cs="宋体"/>
        </w:rPr>
      </w:pPr>
      <w:r>
        <w:rPr>
          <w:rFonts w:hint="eastAsia" w:ascii="宋体" w:hAnsi="宋体" w:cs="宋体"/>
        </w:rPr>
        <w:t>七、服务期限</w:t>
      </w:r>
    </w:p>
    <w:p w14:paraId="191AE6DD">
      <w:pPr>
        <w:spacing w:line="400" w:lineRule="exact"/>
        <w:rPr>
          <w:rFonts w:hint="eastAsia" w:ascii="宋体" w:hAnsi="宋体" w:eastAsia="宋体" w:cs="宋体"/>
          <w:lang w:eastAsia="zh-CN"/>
        </w:rPr>
      </w:pPr>
      <w:r>
        <w:rPr>
          <w:rFonts w:hint="eastAsia" w:ascii="宋体" w:hAnsi="宋体" w:cs="宋体"/>
        </w:rPr>
        <w:t>总工期：合同签订后</w:t>
      </w:r>
      <w:r>
        <w:rPr>
          <w:rFonts w:ascii="宋体" w:hAnsi="宋体" w:cs="宋体"/>
        </w:rPr>
        <w:t>6</w:t>
      </w:r>
      <w:r>
        <w:rPr>
          <w:rFonts w:hint="eastAsia" w:ascii="宋体" w:hAnsi="宋体" w:cs="宋体"/>
        </w:rPr>
        <w:t>0天内交货，清运、</w:t>
      </w:r>
      <w:r>
        <w:rPr>
          <w:rFonts w:ascii="宋体" w:hAnsi="宋体" w:cs="宋体"/>
        </w:rPr>
        <w:t>堆放</w:t>
      </w:r>
      <w:r>
        <w:rPr>
          <w:rFonts w:hint="eastAsia" w:ascii="宋体" w:hAnsi="宋体" w:cs="宋体"/>
        </w:rPr>
        <w:t>完毕，2025年   月   日</w:t>
      </w:r>
      <w:r>
        <w:rPr>
          <w:rFonts w:ascii="宋体" w:hAnsi="宋体" w:cs="宋体"/>
        </w:rPr>
        <w:t>至</w:t>
      </w:r>
      <w:r>
        <w:rPr>
          <w:rFonts w:hint="eastAsia" w:ascii="宋体" w:hAnsi="宋体" w:cs="宋体"/>
        </w:rPr>
        <w:t>2025年  月  日。</w:t>
      </w:r>
      <w:r>
        <w:rPr>
          <w:rFonts w:hint="eastAsia" w:ascii="宋体" w:hAnsi="宋体" w:cs="宋体"/>
          <w:lang w:eastAsia="zh-CN"/>
        </w:rPr>
        <w:t>（</w:t>
      </w:r>
      <w:r>
        <w:rPr>
          <w:rFonts w:hint="eastAsia" w:ascii="宋体" w:hAnsi="宋体" w:cs="宋体"/>
          <w:lang w:val="en-US" w:eastAsia="zh-CN"/>
        </w:rPr>
        <w:t>具体开工日期以开工报告为准</w:t>
      </w:r>
      <w:r>
        <w:rPr>
          <w:rFonts w:hint="eastAsia" w:ascii="宋体" w:hAnsi="宋体" w:cs="宋体"/>
          <w:lang w:eastAsia="zh-CN"/>
        </w:rPr>
        <w:t>）</w:t>
      </w:r>
    </w:p>
    <w:p w14:paraId="011169E8">
      <w:pPr>
        <w:spacing w:line="400" w:lineRule="exact"/>
        <w:rPr>
          <w:rFonts w:ascii="宋体" w:hAnsi="宋体" w:cs="宋体"/>
        </w:rPr>
      </w:pPr>
      <w:r>
        <w:rPr>
          <w:rFonts w:hint="eastAsia" w:ascii="宋体" w:hAnsi="宋体" w:cs="宋体"/>
        </w:rPr>
        <w:t>八、合同履行时间、履行方式及履行地点</w:t>
      </w:r>
    </w:p>
    <w:p w14:paraId="362C23D2">
      <w:pPr>
        <w:spacing w:line="400" w:lineRule="exact"/>
        <w:rPr>
          <w:rFonts w:ascii="宋体" w:hAnsi="宋体" w:cs="宋体"/>
        </w:rPr>
      </w:pPr>
      <w:r>
        <w:rPr>
          <w:rFonts w:hint="eastAsia" w:ascii="宋体" w:hAnsi="宋体" w:cs="宋体"/>
        </w:rPr>
        <w:t>1. 履行时间：合同生效后。</w:t>
      </w:r>
    </w:p>
    <w:p w14:paraId="674F9B7A">
      <w:pPr>
        <w:spacing w:line="400" w:lineRule="exact"/>
        <w:rPr>
          <w:rFonts w:ascii="宋体" w:hAnsi="宋体" w:cs="宋体"/>
        </w:rPr>
      </w:pPr>
      <w:r>
        <w:rPr>
          <w:rFonts w:hint="eastAsia" w:ascii="宋体" w:hAnsi="宋体" w:cs="宋体"/>
        </w:rPr>
        <w:t>2. 履行方式：按本合同、招标文件和投标文件约定。</w:t>
      </w:r>
    </w:p>
    <w:p w14:paraId="586BA5DE">
      <w:pPr>
        <w:spacing w:line="400" w:lineRule="exact"/>
        <w:rPr>
          <w:rFonts w:ascii="宋体" w:hAnsi="宋体" w:cs="宋体"/>
        </w:rPr>
      </w:pPr>
      <w:r>
        <w:rPr>
          <w:rFonts w:hint="eastAsia" w:ascii="宋体" w:hAnsi="宋体" w:cs="宋体"/>
        </w:rPr>
        <w:t>3. 履行地点：本次招标区域内。</w:t>
      </w:r>
    </w:p>
    <w:p w14:paraId="008762B8">
      <w:pPr>
        <w:spacing w:line="400" w:lineRule="exact"/>
        <w:rPr>
          <w:rFonts w:ascii="宋体" w:hAnsi="宋体" w:cs="宋体"/>
        </w:rPr>
      </w:pPr>
      <w:r>
        <w:rPr>
          <w:rFonts w:hint="eastAsia" w:ascii="宋体" w:hAnsi="宋体" w:cs="宋体"/>
        </w:rPr>
        <w:t>九、款项支付</w:t>
      </w:r>
    </w:p>
    <w:p w14:paraId="740FF6C5">
      <w:pPr>
        <w:widowControl/>
        <w:autoSpaceDE w:val="0"/>
        <w:autoSpaceDN w:val="0"/>
        <w:adjustRightInd w:val="0"/>
        <w:snapToGrid w:val="0"/>
        <w:spacing w:line="360" w:lineRule="auto"/>
        <w:ind w:firstLine="464" w:firstLineChars="221"/>
        <w:rPr>
          <w:rFonts w:ascii="宋体" w:hAnsi="宋体" w:cs="宋体"/>
        </w:rPr>
      </w:pPr>
      <w:r>
        <w:rPr>
          <w:rFonts w:ascii="宋体" w:hAnsi="宋体" w:cs="宋体"/>
        </w:rPr>
        <w:t>1</w:t>
      </w:r>
      <w:r>
        <w:rPr>
          <w:rFonts w:hint="eastAsia" w:ascii="宋体" w:hAnsi="宋体" w:cs="宋体"/>
        </w:rPr>
        <w:t>、合同生效以及具体实施条件后7个工作日内支付合同总价的</w:t>
      </w:r>
      <w:r>
        <w:rPr>
          <w:rFonts w:ascii="宋体" w:hAnsi="宋体" w:cs="宋体"/>
        </w:rPr>
        <w:t>4</w:t>
      </w:r>
      <w:r>
        <w:rPr>
          <w:rFonts w:hint="eastAsia" w:ascii="宋体" w:hAnsi="宋体" w:cs="宋体"/>
        </w:rPr>
        <w:t>0%作为预付款（供应商需提交银行、保险公司等金融机构出具的预付款保函或其他担保措施。供应商在签订合同时，表示无需预付款或主动要求降低预付款比例的，可不适用本条款），</w:t>
      </w:r>
      <w:r>
        <w:rPr>
          <w:szCs w:val="21"/>
        </w:rPr>
        <w:t>项目</w:t>
      </w:r>
      <w:r>
        <w:rPr>
          <w:rFonts w:hint="eastAsia"/>
          <w:szCs w:val="21"/>
        </w:rPr>
        <w:t>设备清运完成后，由乙方提交验收申请，</w:t>
      </w:r>
      <w:r>
        <w:rPr>
          <w:szCs w:val="21"/>
        </w:rPr>
        <w:t>甲方</w:t>
      </w:r>
      <w:r>
        <w:rPr>
          <w:rFonts w:hint="eastAsia"/>
          <w:szCs w:val="21"/>
        </w:rPr>
        <w:t>组织</w:t>
      </w:r>
      <w:r>
        <w:rPr>
          <w:szCs w:val="21"/>
        </w:rPr>
        <w:t>验收合格</w:t>
      </w:r>
      <w:r>
        <w:rPr>
          <w:rFonts w:hint="eastAsia"/>
          <w:szCs w:val="21"/>
        </w:rPr>
        <w:t>后送审</w:t>
      </w:r>
      <w:r>
        <w:rPr>
          <w:szCs w:val="21"/>
        </w:rPr>
        <w:t>，</w:t>
      </w:r>
      <w:r>
        <w:rPr>
          <w:rFonts w:hint="eastAsia"/>
          <w:szCs w:val="21"/>
        </w:rPr>
        <w:t>最终以审计价为准，</w:t>
      </w:r>
      <w:r>
        <w:rPr>
          <w:szCs w:val="21"/>
        </w:rPr>
        <w:t>甲方</w:t>
      </w:r>
      <w:r>
        <w:rPr>
          <w:rFonts w:hint="eastAsia"/>
          <w:szCs w:val="21"/>
        </w:rPr>
        <w:t>收到票据后</w:t>
      </w:r>
      <w:r>
        <w:rPr>
          <w:szCs w:val="21"/>
        </w:rPr>
        <w:t>支付</w:t>
      </w:r>
      <w:r>
        <w:rPr>
          <w:rFonts w:hint="eastAsia"/>
          <w:szCs w:val="21"/>
        </w:rPr>
        <w:t>到审定价</w:t>
      </w:r>
      <w:r>
        <w:rPr>
          <w:szCs w:val="21"/>
        </w:rPr>
        <w:t>的95％；余款</w:t>
      </w:r>
      <w:r>
        <w:rPr>
          <w:rFonts w:hint="eastAsia"/>
          <w:szCs w:val="21"/>
        </w:rPr>
        <w:t>审定价</w:t>
      </w:r>
      <w:r>
        <w:rPr>
          <w:szCs w:val="21"/>
        </w:rPr>
        <w:t>的5％作为</w:t>
      </w:r>
      <w:r>
        <w:rPr>
          <w:rFonts w:hint="eastAsia"/>
          <w:szCs w:val="21"/>
        </w:rPr>
        <w:t>质量保证金</w:t>
      </w:r>
      <w:r>
        <w:rPr>
          <w:szCs w:val="21"/>
        </w:rPr>
        <w:t>，</w:t>
      </w:r>
      <w:r>
        <w:rPr>
          <w:rFonts w:hint="eastAsia"/>
          <w:szCs w:val="21"/>
        </w:rPr>
        <w:t>为期一年，</w:t>
      </w:r>
      <w:r>
        <w:rPr>
          <w:szCs w:val="21"/>
        </w:rPr>
        <w:t>待期满后30天内结算付清（无息）；结算以正规增值税发票为结算单位。</w:t>
      </w:r>
    </w:p>
    <w:p w14:paraId="3C212E5A">
      <w:pPr>
        <w:spacing w:line="400" w:lineRule="exact"/>
        <w:ind w:firstLine="210" w:firstLineChars="100"/>
        <w:rPr>
          <w:rFonts w:ascii="宋体" w:hAnsi="宋体" w:cs="宋体"/>
        </w:rPr>
      </w:pPr>
      <w:r>
        <w:rPr>
          <w:rFonts w:ascii="宋体" w:hAnsi="宋体" w:cs="宋体"/>
        </w:rPr>
        <w:t>2</w:t>
      </w:r>
      <w:r>
        <w:rPr>
          <w:rFonts w:hint="eastAsia" w:ascii="宋体" w:hAnsi="宋体" w:cs="宋体"/>
        </w:rPr>
        <w:t>、采购人对于满足合同约定支付条件的，自收到发票后7个工作日内支付至供应商账户。供应商不提供发票的，采购人有权不予支付。</w:t>
      </w:r>
    </w:p>
    <w:p w14:paraId="1EB42A6D">
      <w:pPr>
        <w:spacing w:line="400" w:lineRule="exact"/>
        <w:rPr>
          <w:rFonts w:ascii="宋体" w:hAnsi="宋体" w:cs="宋体"/>
        </w:rPr>
      </w:pPr>
      <w:r>
        <w:rPr>
          <w:rFonts w:hint="eastAsia" w:ascii="宋体" w:hAnsi="宋体" w:cs="宋体"/>
        </w:rPr>
        <w:t>十、保险</w:t>
      </w:r>
    </w:p>
    <w:p w14:paraId="23627225">
      <w:pPr>
        <w:spacing w:line="400" w:lineRule="exact"/>
        <w:rPr>
          <w:rFonts w:ascii="宋体" w:hAnsi="宋体" w:cs="宋体"/>
        </w:rPr>
      </w:pPr>
      <w:r>
        <w:rPr>
          <w:rFonts w:hint="eastAsia" w:ascii="宋体" w:hAnsi="宋体" w:cs="宋体"/>
        </w:rPr>
        <w:t>货物装运开始前乙方办理保险，其费用及运输风险由乙方承担。</w:t>
      </w:r>
    </w:p>
    <w:p w14:paraId="6234C4E6">
      <w:pPr>
        <w:spacing w:line="400" w:lineRule="exact"/>
        <w:rPr>
          <w:rFonts w:ascii="宋体" w:hAnsi="宋体" w:cs="宋体"/>
        </w:rPr>
      </w:pPr>
      <w:r>
        <w:rPr>
          <w:rFonts w:hint="eastAsia" w:ascii="宋体" w:hAnsi="宋体" w:cs="宋体"/>
        </w:rPr>
        <w:t>十一、质量保证及后续服务</w:t>
      </w:r>
    </w:p>
    <w:p w14:paraId="67EF633F">
      <w:pPr>
        <w:spacing w:line="400" w:lineRule="exact"/>
        <w:rPr>
          <w:rFonts w:ascii="宋体" w:hAnsi="宋体" w:cs="宋体"/>
        </w:rPr>
      </w:pPr>
      <w:r>
        <w:rPr>
          <w:rFonts w:hint="eastAsia" w:ascii="宋体" w:hAnsi="宋体" w:cs="宋体"/>
        </w:rPr>
        <w:t>1、项目验收合格后，乙方必须提供≥</w:t>
      </w:r>
      <w:r>
        <w:rPr>
          <w:rFonts w:ascii="宋体" w:hAnsi="宋体" w:cs="宋体"/>
        </w:rPr>
        <w:t>1</w:t>
      </w:r>
      <w:r>
        <w:rPr>
          <w:rFonts w:hint="eastAsia" w:ascii="宋体" w:hAnsi="宋体" w:cs="宋体"/>
        </w:rPr>
        <w:t>年的应急清运保障期（质保期）。</w:t>
      </w:r>
    </w:p>
    <w:p w14:paraId="73843FA1">
      <w:pPr>
        <w:spacing w:line="400" w:lineRule="exact"/>
        <w:rPr>
          <w:rFonts w:ascii="宋体" w:hAnsi="宋体" w:cs="宋体"/>
        </w:rPr>
      </w:pPr>
      <w:r>
        <w:rPr>
          <w:rFonts w:ascii="宋体" w:hAnsi="宋体" w:cs="宋体"/>
        </w:rPr>
        <w:t>2</w:t>
      </w:r>
      <w:r>
        <w:rPr>
          <w:rFonts w:hint="eastAsia" w:ascii="宋体" w:hAnsi="宋体" w:cs="宋体"/>
        </w:rPr>
        <w:t>、乙方在接到甲方通知后在</w:t>
      </w:r>
      <w:r>
        <w:rPr>
          <w:rFonts w:ascii="宋体" w:hAnsi="宋体" w:cs="宋体"/>
        </w:rPr>
        <w:t>3</w:t>
      </w:r>
      <w:r>
        <w:rPr>
          <w:rFonts w:hint="eastAsia" w:ascii="宋体" w:hAnsi="宋体" w:cs="宋体"/>
        </w:rPr>
        <w:t>小时内到达甲方现场。</w:t>
      </w:r>
    </w:p>
    <w:p w14:paraId="46B0BC78">
      <w:pPr>
        <w:spacing w:line="400" w:lineRule="exact"/>
        <w:rPr>
          <w:rFonts w:ascii="宋体" w:hAnsi="宋体" w:cs="宋体"/>
        </w:rPr>
      </w:pPr>
      <w:r>
        <w:t>3</w:t>
      </w:r>
      <w:r>
        <w:rPr>
          <w:rFonts w:hint="eastAsia"/>
        </w:rPr>
        <w:t>、在</w:t>
      </w:r>
      <w:r>
        <w:rPr>
          <w:rFonts w:hint="eastAsia" w:ascii="宋体" w:hAnsi="宋体" w:cs="宋体"/>
        </w:rPr>
        <w:t>质保期</w:t>
      </w:r>
      <w:r>
        <w:rPr>
          <w:rFonts w:hint="eastAsia"/>
        </w:rPr>
        <w:t>内，乙方应对出现的质量及安全问题负责处理解决并承担一切费用。</w:t>
      </w:r>
    </w:p>
    <w:p w14:paraId="74E516E5">
      <w:pPr>
        <w:spacing w:line="400" w:lineRule="exact"/>
        <w:rPr>
          <w:rFonts w:ascii="宋体" w:hAnsi="宋体" w:cs="宋体"/>
        </w:rPr>
      </w:pPr>
      <w:r>
        <w:rPr>
          <w:rFonts w:hint="eastAsia" w:ascii="宋体" w:hAnsi="宋体" w:cs="宋体"/>
        </w:rPr>
        <w:t>十二、违约责任</w:t>
      </w:r>
    </w:p>
    <w:p w14:paraId="70FF18DD">
      <w:pPr>
        <w:spacing w:line="400" w:lineRule="exact"/>
        <w:rPr>
          <w:rFonts w:ascii="宋体" w:hAnsi="宋体" w:cs="宋体"/>
        </w:rPr>
      </w:pPr>
      <w:r>
        <w:rPr>
          <w:rFonts w:hint="eastAsia" w:ascii="宋体" w:hAnsi="宋体" w:cs="宋体"/>
        </w:rPr>
        <w:t>1、乙方未能如期提供服务的，每日向甲方支付合同款项的千分之一作为违约金。</w:t>
      </w:r>
    </w:p>
    <w:p w14:paraId="071A19E8">
      <w:pPr>
        <w:spacing w:line="400" w:lineRule="exact"/>
        <w:rPr>
          <w:rFonts w:ascii="宋体" w:hAnsi="宋体" w:cs="宋体"/>
        </w:rPr>
      </w:pPr>
      <w:r>
        <w:rPr>
          <w:rFonts w:hint="eastAsia" w:ascii="宋体" w:hAnsi="宋体" w:cs="宋体"/>
        </w:rPr>
        <w:t xml:space="preserve">2、乙方因未能如期提供服务或因其他违约行为导致甲方解除合同的，乙方应向甲方支付合同总值5%的违约金，如造成甲方损失超过违约金的，超出部分由乙方继续承担赔偿责任。 </w:t>
      </w:r>
    </w:p>
    <w:p w14:paraId="0DE24F4C">
      <w:pPr>
        <w:spacing w:line="400" w:lineRule="exact"/>
        <w:rPr>
          <w:rFonts w:ascii="宋体" w:hAnsi="宋体" w:cs="宋体"/>
        </w:rPr>
      </w:pPr>
      <w:r>
        <w:rPr>
          <w:rFonts w:hint="eastAsia" w:ascii="宋体" w:hAnsi="宋体" w:cs="宋体"/>
        </w:rPr>
        <w:t>十三、不可抗力事件处理</w:t>
      </w:r>
    </w:p>
    <w:p w14:paraId="20D6B13F">
      <w:pPr>
        <w:spacing w:line="400" w:lineRule="exact"/>
        <w:rPr>
          <w:rFonts w:ascii="宋体" w:hAnsi="宋体" w:cs="宋体"/>
        </w:rPr>
      </w:pPr>
      <w:r>
        <w:rPr>
          <w:rFonts w:hint="eastAsia" w:ascii="宋体" w:hAnsi="宋体" w:cs="宋体"/>
        </w:rPr>
        <w:t>1．在合同有效期内，任何一方因不可抗力事件导致不能履行合同，则合同履行期可延长，其延长期与不可抗力影响期相同。</w:t>
      </w:r>
    </w:p>
    <w:p w14:paraId="79E4C5E8">
      <w:pPr>
        <w:spacing w:line="400" w:lineRule="exact"/>
        <w:rPr>
          <w:rFonts w:ascii="宋体" w:hAnsi="宋体" w:cs="宋体"/>
        </w:rPr>
      </w:pPr>
      <w:r>
        <w:rPr>
          <w:rFonts w:hint="eastAsia" w:ascii="宋体" w:hAnsi="宋体" w:cs="宋体"/>
        </w:rPr>
        <w:t>2．不可抗力事件发生后，应立即通知对方，并寄送有关权威机构出具的证明。</w:t>
      </w:r>
    </w:p>
    <w:p w14:paraId="1D93280F">
      <w:pPr>
        <w:spacing w:line="400" w:lineRule="exact"/>
        <w:rPr>
          <w:rFonts w:ascii="宋体" w:hAnsi="宋体" w:cs="宋体"/>
        </w:rPr>
      </w:pPr>
      <w:r>
        <w:rPr>
          <w:rFonts w:hint="eastAsia" w:ascii="宋体" w:hAnsi="宋体" w:cs="宋体"/>
        </w:rPr>
        <w:t>3．不可抗力事件延续120天以上，双方应通过友好协商，确定是否继续履行合同。</w:t>
      </w:r>
    </w:p>
    <w:p w14:paraId="4616F4D1">
      <w:pPr>
        <w:spacing w:line="400" w:lineRule="exact"/>
        <w:rPr>
          <w:rFonts w:ascii="宋体" w:hAnsi="宋体" w:cs="宋体"/>
        </w:rPr>
      </w:pPr>
      <w:r>
        <w:rPr>
          <w:rFonts w:hint="eastAsia" w:ascii="宋体" w:hAnsi="宋体" w:cs="宋体"/>
        </w:rPr>
        <w:t>十四、特别约定</w:t>
      </w:r>
    </w:p>
    <w:p w14:paraId="01D2D666">
      <w:pPr>
        <w:spacing w:line="400" w:lineRule="exact"/>
        <w:ind w:firstLine="105" w:firstLineChars="50"/>
        <w:rPr>
          <w:rFonts w:ascii="宋体" w:hAnsi="宋体" w:cs="宋体"/>
        </w:rPr>
      </w:pPr>
      <w:r>
        <w:rPr>
          <w:rFonts w:hint="eastAsia" w:ascii="宋体" w:hAnsi="宋体" w:cs="宋体"/>
        </w:rPr>
        <w:t>合同项目下所产生的应收账款不得质押、转让。</w:t>
      </w:r>
    </w:p>
    <w:p w14:paraId="0E0BF79A">
      <w:pPr>
        <w:spacing w:line="400" w:lineRule="exact"/>
        <w:rPr>
          <w:rFonts w:ascii="宋体" w:hAnsi="宋体" w:cs="宋体"/>
        </w:rPr>
      </w:pPr>
      <w:r>
        <w:rPr>
          <w:rFonts w:hint="eastAsia" w:ascii="宋体" w:hAnsi="宋体" w:cs="宋体"/>
        </w:rPr>
        <w:t>十五、争议解决办法</w:t>
      </w:r>
    </w:p>
    <w:p w14:paraId="4FAE1250">
      <w:pPr>
        <w:spacing w:line="400" w:lineRule="exact"/>
        <w:rPr>
          <w:rFonts w:ascii="宋体" w:hAnsi="宋体" w:cs="宋体"/>
        </w:rPr>
      </w:pPr>
      <w:r>
        <w:rPr>
          <w:rFonts w:hint="eastAsia" w:ascii="宋体" w:hAnsi="宋体" w:cs="宋体"/>
        </w:rPr>
        <w:t xml:space="preserve"> 双方在执行合同中所发生的一切争议，应通过协商解决。如协商不成，可向甲方所在地法院起诉。</w:t>
      </w:r>
    </w:p>
    <w:p w14:paraId="083D0027">
      <w:pPr>
        <w:spacing w:line="400" w:lineRule="exact"/>
        <w:rPr>
          <w:rFonts w:ascii="宋体" w:hAnsi="宋体" w:cs="宋体"/>
        </w:rPr>
      </w:pPr>
      <w:r>
        <w:rPr>
          <w:rFonts w:hint="eastAsia" w:ascii="宋体" w:hAnsi="宋体" w:cs="宋体"/>
        </w:rPr>
        <w:t>十六、合同生效及其它</w:t>
      </w:r>
    </w:p>
    <w:p w14:paraId="79199B8B">
      <w:pPr>
        <w:spacing w:line="400" w:lineRule="exact"/>
        <w:rPr>
          <w:rFonts w:ascii="宋体" w:hAnsi="宋体" w:cs="宋体"/>
        </w:rPr>
      </w:pPr>
      <w:r>
        <w:rPr>
          <w:rFonts w:hint="eastAsia" w:ascii="宋体" w:hAnsi="宋体" w:cs="宋体"/>
        </w:rPr>
        <w:t>1．合同经双方法定代表人或授权代表签字并加盖单位公章后生效。</w:t>
      </w:r>
    </w:p>
    <w:p w14:paraId="464E5185">
      <w:pPr>
        <w:spacing w:line="400" w:lineRule="exact"/>
        <w:rPr>
          <w:rFonts w:ascii="宋体" w:hAnsi="宋体" w:cs="宋体"/>
        </w:rPr>
      </w:pPr>
      <w:r>
        <w:rPr>
          <w:rFonts w:hint="eastAsia" w:ascii="宋体" w:hAnsi="宋体" w:cs="宋体"/>
        </w:rPr>
        <w:t>2．合同执行中涉及采购资金和采购内容修改或补充的，按照有关法律法规及协商确定。</w:t>
      </w:r>
    </w:p>
    <w:p w14:paraId="656C9A08">
      <w:pPr>
        <w:spacing w:line="400" w:lineRule="exact"/>
        <w:rPr>
          <w:rFonts w:ascii="宋体" w:hAnsi="宋体" w:cs="宋体"/>
        </w:rPr>
      </w:pPr>
      <w:r>
        <w:rPr>
          <w:rFonts w:hint="eastAsia" w:ascii="宋体" w:hAnsi="宋体" w:cs="宋体"/>
        </w:rPr>
        <w:t>3．本合同未尽事宜，遵照《中华人民共和国民法典》有关条文执行。</w:t>
      </w:r>
    </w:p>
    <w:p w14:paraId="35D65AA0">
      <w:pPr>
        <w:spacing w:line="400" w:lineRule="exact"/>
        <w:rPr>
          <w:rFonts w:ascii="宋体" w:hAnsi="宋体" w:cs="宋体"/>
        </w:rPr>
      </w:pPr>
      <w:r>
        <w:rPr>
          <w:rFonts w:hint="eastAsia" w:ascii="宋体" w:hAnsi="宋体" w:cs="宋体"/>
        </w:rPr>
        <w:t>4．本合同正本一式两份，具有同等法律效力，甲乙双方各执一份；副本四份。</w:t>
      </w:r>
    </w:p>
    <w:p w14:paraId="37C48F70">
      <w:pPr>
        <w:spacing w:line="400" w:lineRule="exact"/>
        <w:rPr>
          <w:rFonts w:ascii="宋体" w:hAnsi="宋体" w:cs="宋体"/>
        </w:rPr>
      </w:pPr>
    </w:p>
    <w:p w14:paraId="5E80D7CA">
      <w:pPr>
        <w:spacing w:line="400" w:lineRule="exact"/>
        <w:rPr>
          <w:rFonts w:ascii="宋体" w:hAnsi="宋体" w:cs="宋体"/>
        </w:rPr>
      </w:pPr>
    </w:p>
    <w:p w14:paraId="3B8F725C">
      <w:pPr>
        <w:spacing w:line="400" w:lineRule="exact"/>
        <w:rPr>
          <w:rFonts w:ascii="宋体" w:hAnsi="宋体" w:cs="宋体"/>
        </w:rPr>
      </w:pPr>
      <w:r>
        <w:rPr>
          <w:rFonts w:hint="eastAsia" w:ascii="宋体" w:hAnsi="宋体" w:cs="宋体"/>
        </w:rPr>
        <w:t xml:space="preserve">  甲方：                                   乙方：</w:t>
      </w:r>
    </w:p>
    <w:p w14:paraId="7573AE3A">
      <w:pPr>
        <w:spacing w:line="400" w:lineRule="exact"/>
        <w:ind w:firstLine="105" w:firstLineChars="50"/>
        <w:rPr>
          <w:rFonts w:ascii="宋体" w:hAnsi="宋体" w:cs="宋体"/>
        </w:rPr>
      </w:pPr>
      <w:r>
        <w:rPr>
          <w:rFonts w:hint="eastAsia" w:ascii="宋体" w:hAnsi="宋体" w:cs="宋体"/>
        </w:rPr>
        <w:t>联系方式：                               联系方式：</w:t>
      </w:r>
    </w:p>
    <w:p w14:paraId="60DD6C4D">
      <w:pPr>
        <w:spacing w:line="400" w:lineRule="exact"/>
        <w:rPr>
          <w:rFonts w:ascii="宋体" w:hAnsi="宋体" w:cs="宋体"/>
        </w:rPr>
      </w:pPr>
      <w:r>
        <w:rPr>
          <w:rFonts w:hint="eastAsia" w:ascii="宋体" w:hAnsi="宋体" w:cs="宋体"/>
        </w:rPr>
        <w:t xml:space="preserve">  地址：                                   地址： </w:t>
      </w:r>
    </w:p>
    <w:p w14:paraId="4E1473AF">
      <w:pPr>
        <w:spacing w:line="400" w:lineRule="exact"/>
        <w:rPr>
          <w:rFonts w:ascii="宋体" w:hAnsi="宋体" w:cs="宋体"/>
        </w:rPr>
      </w:pPr>
      <w:r>
        <w:rPr>
          <w:rFonts w:hint="eastAsia" w:ascii="宋体" w:hAnsi="宋体" w:cs="宋体"/>
        </w:rPr>
        <w:t xml:space="preserve">  法定（授权）代表人：                     法定（授权）代表人：</w:t>
      </w:r>
    </w:p>
    <w:p w14:paraId="37DEC3E7">
      <w:pPr>
        <w:spacing w:line="400" w:lineRule="exact"/>
        <w:rPr>
          <w:rFonts w:ascii="宋体" w:hAnsi="宋体" w:cs="宋体"/>
        </w:rPr>
      </w:pPr>
      <w:r>
        <w:rPr>
          <w:rFonts w:hint="eastAsia" w:ascii="宋体" w:hAnsi="宋体" w:cs="宋体"/>
        </w:rPr>
        <w:t xml:space="preserve">  签字日期：      年  月  日               签字日期：      年  月  日</w:t>
      </w:r>
    </w:p>
    <w:p w14:paraId="7EF81E50">
      <w:pPr>
        <w:pStyle w:val="23"/>
        <w:snapToGrid w:val="0"/>
        <w:spacing w:before="120" w:after="120" w:line="360" w:lineRule="exact"/>
        <w:rPr>
          <w:color w:val="auto"/>
          <w:sz w:val="21"/>
          <w:szCs w:val="21"/>
        </w:rPr>
      </w:pPr>
    </w:p>
    <w:p w14:paraId="39EFBD80">
      <w:pPr>
        <w:pStyle w:val="23"/>
        <w:adjustRightInd w:val="0"/>
        <w:snapToGrid w:val="0"/>
        <w:spacing w:before="0" w:beforeAutospacing="0" w:after="0" w:afterAutospacing="0"/>
        <w:ind w:firstLine="420"/>
        <w:rPr>
          <w:color w:val="auto"/>
          <w:spacing w:val="-16"/>
          <w:sz w:val="21"/>
          <w:szCs w:val="21"/>
        </w:rPr>
      </w:pPr>
    </w:p>
    <w:p w14:paraId="05873950">
      <w:pPr>
        <w:pStyle w:val="23"/>
        <w:adjustRightInd w:val="0"/>
        <w:snapToGrid w:val="0"/>
        <w:spacing w:before="0" w:beforeAutospacing="0" w:after="0" w:afterAutospacing="0"/>
        <w:ind w:firstLine="420"/>
        <w:rPr>
          <w:color w:val="auto"/>
          <w:spacing w:val="-16"/>
          <w:sz w:val="21"/>
          <w:szCs w:val="21"/>
        </w:rPr>
      </w:pPr>
    </w:p>
    <w:p w14:paraId="154F41D5">
      <w:pPr>
        <w:pStyle w:val="23"/>
        <w:adjustRightInd w:val="0"/>
        <w:snapToGrid w:val="0"/>
        <w:spacing w:before="0" w:beforeAutospacing="0" w:after="0" w:afterAutospacing="0"/>
        <w:ind w:firstLine="420"/>
        <w:rPr>
          <w:color w:val="auto"/>
          <w:spacing w:val="-16"/>
          <w:sz w:val="21"/>
          <w:szCs w:val="21"/>
        </w:rPr>
      </w:pPr>
      <w:r>
        <w:rPr>
          <w:rFonts w:hint="eastAsia"/>
          <w:color w:val="auto"/>
          <w:spacing w:val="-16"/>
          <w:sz w:val="21"/>
          <w:szCs w:val="21"/>
        </w:rPr>
        <w:br w:type="page"/>
      </w:r>
    </w:p>
    <w:p w14:paraId="23278205">
      <w:pPr>
        <w:pStyle w:val="3"/>
        <w:keepLines/>
        <w:numPr>
          <w:ilvl w:val="0"/>
          <w:numId w:val="6"/>
        </w:numPr>
        <w:spacing w:before="120" w:after="330" w:line="360" w:lineRule="auto"/>
        <w:rPr>
          <w:rFonts w:ascii="宋体" w:hAnsi="宋体" w:cs="宋体"/>
          <w:sz w:val="36"/>
          <w:szCs w:val="36"/>
        </w:rPr>
      </w:pPr>
      <w:r>
        <w:rPr>
          <w:rFonts w:hint="eastAsia" w:ascii="宋体" w:hAnsi="宋体" w:cs="宋体"/>
          <w:sz w:val="36"/>
          <w:szCs w:val="36"/>
        </w:rPr>
        <w:t xml:space="preserve"> 采购项目需求</w:t>
      </w:r>
      <w:bookmarkEnd w:id="16"/>
    </w:p>
    <w:p w14:paraId="0D32E7E2">
      <w:pPr>
        <w:pStyle w:val="41"/>
        <w:spacing w:line="440" w:lineRule="exact"/>
        <w:ind w:firstLine="422" w:firstLineChars="200"/>
        <w:jc w:val="both"/>
        <w:rPr>
          <w:rFonts w:asciiTheme="minorEastAsia" w:hAnsiTheme="minorEastAsia" w:eastAsiaTheme="minorEastAsia"/>
          <w:b w:val="0"/>
          <w:sz w:val="21"/>
          <w:szCs w:val="21"/>
        </w:rPr>
      </w:pPr>
      <w:r>
        <w:rPr>
          <w:rFonts w:hint="eastAsia" w:asciiTheme="minorEastAsia" w:hAnsiTheme="minorEastAsia" w:eastAsiaTheme="minorEastAsia"/>
          <w:sz w:val="21"/>
          <w:szCs w:val="21"/>
        </w:rPr>
        <w:t>一</w:t>
      </w:r>
      <w:r>
        <w:rPr>
          <w:rFonts w:hint="eastAsia" w:asciiTheme="minorEastAsia" w:hAnsiTheme="minorEastAsia" w:eastAsiaTheme="minorEastAsia"/>
          <w:b w:val="0"/>
          <w:sz w:val="21"/>
          <w:szCs w:val="21"/>
        </w:rPr>
        <w:t>、项目概况</w:t>
      </w:r>
    </w:p>
    <w:p w14:paraId="31EFC6F3">
      <w:pPr>
        <w:pStyle w:val="41"/>
        <w:spacing w:line="440" w:lineRule="exact"/>
        <w:ind w:firstLine="420" w:firstLineChars="200"/>
        <w:jc w:val="both"/>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根据慈溪市排水有限公司要求,对其公司下属各泵站拆下来的废旧设备统一搬运至杭州湾兴慈五路与潮浦路交叉口，涉及泵站慈东5#泵站、慈东4#泵站、慈东3#泵站、龙山4#泵站、三北1#泵站、范市2#泵站、范市3#泵站 、范市4#泵站、东1#泵站、东2#泵站、东3#泵站、东4#泵站、东5#泵站、掌起3#泵站、掌起4#泵站、附海1#泵 站、附海2#泵站、观城5#泵站、观城6#泵站、观城8#泵站、企业路泵站、周巷3#泵站、二塘江泵站、东外环3# 泵站、永安路泵站、东外环1#泵站、西2#泵站、西3#泵站、桥头1#泵站、桥头3#泵站、逍林4#泵站、逍林6#泵 站、横河4#泵站、西5#泵站、西1#泵站、周巷1#泵站、北部污水厂、东部污水厂等。</w:t>
      </w:r>
    </w:p>
    <w:p w14:paraId="17A359E0">
      <w:pPr>
        <w:pStyle w:val="4"/>
        <w:keepNext w:val="0"/>
        <w:keepLines w:val="0"/>
        <w:spacing w:before="120" w:after="120" w:line="440" w:lineRule="exact"/>
        <w:ind w:left="0"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二、</w:t>
      </w:r>
      <w:r>
        <w:rPr>
          <w:rFonts w:hint="eastAsia" w:asciiTheme="minorEastAsia" w:hAnsiTheme="minorEastAsia" w:eastAsiaTheme="minorEastAsia"/>
          <w:b w:val="0"/>
          <w:sz w:val="21"/>
          <w:szCs w:val="21"/>
        </w:rPr>
        <w:t>项目</w:t>
      </w:r>
      <w:r>
        <w:rPr>
          <w:rFonts w:hint="eastAsia" w:asciiTheme="minorEastAsia" w:hAnsiTheme="minorEastAsia" w:eastAsiaTheme="minorEastAsia"/>
          <w:b w:val="0"/>
          <w:bCs w:val="0"/>
          <w:sz w:val="21"/>
          <w:szCs w:val="21"/>
        </w:rPr>
        <w:t>服务内容</w:t>
      </w:r>
    </w:p>
    <w:p w14:paraId="3CE87C8C">
      <w:pPr>
        <w:pStyle w:val="41"/>
        <w:spacing w:line="440" w:lineRule="exact"/>
        <w:ind w:firstLine="420" w:firstLineChars="200"/>
        <w:jc w:val="both"/>
        <w:rPr>
          <w:rFonts w:asciiTheme="minorEastAsia" w:hAnsiTheme="minorEastAsia" w:eastAsiaTheme="minorEastAsia"/>
          <w:b w:val="0"/>
          <w:bCs w:val="0"/>
          <w:sz w:val="21"/>
          <w:szCs w:val="21"/>
        </w:rPr>
      </w:pPr>
      <w:r>
        <w:rPr>
          <w:rFonts w:hint="eastAsia" w:asciiTheme="minorEastAsia" w:hAnsiTheme="minorEastAsia" w:eastAsiaTheme="minorEastAsia"/>
          <w:b w:val="0"/>
          <w:sz w:val="21"/>
          <w:szCs w:val="21"/>
        </w:rPr>
        <w:t>主要包括设备运输到指定地点，运输</w:t>
      </w:r>
      <w:r>
        <w:rPr>
          <w:rFonts w:asciiTheme="minorEastAsia" w:hAnsiTheme="minorEastAsia" w:eastAsiaTheme="minorEastAsia"/>
          <w:b w:val="0"/>
          <w:sz w:val="21"/>
          <w:szCs w:val="21"/>
        </w:rPr>
        <w:t>现场</w:t>
      </w:r>
      <w:r>
        <w:rPr>
          <w:rFonts w:hint="eastAsia" w:asciiTheme="minorEastAsia" w:hAnsiTheme="minorEastAsia" w:eastAsiaTheme="minorEastAsia"/>
          <w:b w:val="0"/>
          <w:sz w:val="21"/>
          <w:szCs w:val="21"/>
        </w:rPr>
        <w:t>的切割</w:t>
      </w:r>
      <w:r>
        <w:rPr>
          <w:rFonts w:asciiTheme="minorEastAsia" w:hAnsiTheme="minorEastAsia" w:eastAsiaTheme="minorEastAsia"/>
          <w:b w:val="0"/>
          <w:sz w:val="21"/>
          <w:szCs w:val="21"/>
        </w:rPr>
        <w:t>、</w:t>
      </w:r>
      <w:r>
        <w:rPr>
          <w:rFonts w:hint="eastAsia" w:asciiTheme="minorEastAsia" w:hAnsiTheme="minorEastAsia" w:eastAsiaTheme="minorEastAsia"/>
          <w:b w:val="0"/>
          <w:sz w:val="21"/>
          <w:szCs w:val="21"/>
        </w:rPr>
        <w:t>卸货、搬运、堆放指定地点工作、搬运操作人员保险购买等服务内容。</w:t>
      </w:r>
    </w:p>
    <w:p w14:paraId="07B4F6AC">
      <w:pPr>
        <w:pStyle w:val="41"/>
        <w:spacing w:line="440" w:lineRule="exact"/>
        <w:ind w:firstLine="420" w:firstLineChars="200"/>
        <w:jc w:val="both"/>
        <w:rPr>
          <w:rFonts w:hint="eastAsia" w:asciiTheme="minorEastAsia" w:hAnsiTheme="minorEastAsia" w:eastAsiaTheme="minorEastAsia"/>
          <w:b w:val="0"/>
          <w:bCs w:val="0"/>
          <w:sz w:val="21"/>
          <w:szCs w:val="21"/>
          <w:lang w:eastAsia="zh-CN"/>
        </w:rPr>
      </w:pPr>
      <w:r>
        <w:rPr>
          <w:rFonts w:hint="eastAsia" w:asciiTheme="minorEastAsia" w:hAnsiTheme="minorEastAsia" w:eastAsiaTheme="minorEastAsia"/>
          <w:b w:val="0"/>
          <w:sz w:val="21"/>
          <w:szCs w:val="21"/>
        </w:rPr>
        <w:t>设备搬运清单</w:t>
      </w:r>
      <w:r>
        <w:rPr>
          <w:rFonts w:hint="eastAsia" w:asciiTheme="minorEastAsia" w:hAnsiTheme="minorEastAsia" w:eastAsiaTheme="minorEastAsia"/>
          <w:b w:val="0"/>
          <w:sz w:val="21"/>
          <w:szCs w:val="21"/>
          <w:lang w:eastAsia="zh-CN"/>
        </w:rPr>
        <w:t>内容数据过大，请供应商联系甲方</w:t>
      </w:r>
      <w:r>
        <w:rPr>
          <w:rFonts w:ascii="宋体" w:hAnsi="宋体" w:cs="宋体"/>
          <w:szCs w:val="21"/>
        </w:rPr>
        <w:t>18605817690</w:t>
      </w:r>
      <w:r>
        <w:rPr>
          <w:rFonts w:hint="eastAsia" w:asciiTheme="minorEastAsia" w:hAnsiTheme="minorEastAsia" w:eastAsiaTheme="minorEastAsia"/>
          <w:b w:val="0"/>
          <w:sz w:val="21"/>
          <w:szCs w:val="21"/>
          <w:lang w:eastAsia="zh-CN"/>
        </w:rPr>
        <w:t>提取。</w:t>
      </w:r>
    </w:p>
    <w:p w14:paraId="07A7AA55">
      <w:pPr>
        <w:pStyle w:val="41"/>
        <w:spacing w:line="440" w:lineRule="exact"/>
        <w:ind w:firstLine="420" w:firstLineChars="200"/>
        <w:jc w:val="both"/>
        <w:rPr>
          <w:rFonts w:asciiTheme="minorEastAsia" w:hAnsiTheme="minorEastAsia" w:eastAsiaTheme="minorEastAsia"/>
          <w:b w:val="0"/>
          <w:bCs w:val="0"/>
          <w:sz w:val="21"/>
          <w:szCs w:val="21"/>
        </w:rPr>
      </w:pPr>
      <w:r>
        <w:rPr>
          <w:rFonts w:hint="eastAsia" w:asciiTheme="minorEastAsia" w:hAnsiTheme="minorEastAsia" w:eastAsiaTheme="minorEastAsia"/>
          <w:b w:val="0"/>
          <w:sz w:val="21"/>
          <w:szCs w:val="21"/>
        </w:rPr>
        <w:t>三、</w:t>
      </w:r>
      <w:r>
        <w:rPr>
          <w:rFonts w:asciiTheme="minorEastAsia" w:hAnsiTheme="minorEastAsia" w:eastAsiaTheme="minorEastAsia"/>
          <w:b w:val="0"/>
          <w:sz w:val="21"/>
          <w:szCs w:val="21"/>
        </w:rPr>
        <w:t>项目</w:t>
      </w:r>
      <w:r>
        <w:rPr>
          <w:rFonts w:hint="eastAsia" w:asciiTheme="minorEastAsia" w:hAnsiTheme="minorEastAsia" w:eastAsiaTheme="minorEastAsia"/>
          <w:b w:val="0"/>
          <w:sz w:val="21"/>
          <w:szCs w:val="21"/>
        </w:rPr>
        <w:t>技术要求</w:t>
      </w:r>
    </w:p>
    <w:p w14:paraId="25055670">
      <w:pPr>
        <w:pStyle w:val="41"/>
        <w:spacing w:line="440" w:lineRule="exact"/>
        <w:ind w:firstLine="420" w:firstLineChars="200"/>
        <w:jc w:val="both"/>
        <w:rPr>
          <w:rFonts w:asciiTheme="minorEastAsia" w:hAnsiTheme="minorEastAsia" w:eastAsiaTheme="minorEastAsia"/>
          <w:b w:val="0"/>
          <w:sz w:val="21"/>
          <w:szCs w:val="21"/>
        </w:rPr>
      </w:pPr>
      <w:bookmarkStart w:id="19" w:name="_Toc30052"/>
      <w:r>
        <w:rPr>
          <w:rFonts w:hint="eastAsia" w:asciiTheme="minorEastAsia" w:hAnsiTheme="minorEastAsia" w:eastAsiaTheme="minorEastAsia"/>
          <w:b w:val="0"/>
          <w:sz w:val="21"/>
          <w:szCs w:val="21"/>
        </w:rPr>
        <w:t>（一）供应商在接到采购人通知后能在</w:t>
      </w:r>
      <w:r>
        <w:rPr>
          <w:rFonts w:asciiTheme="minorEastAsia" w:hAnsiTheme="minorEastAsia" w:eastAsiaTheme="minorEastAsia"/>
          <w:b w:val="0"/>
          <w:sz w:val="21"/>
          <w:szCs w:val="21"/>
        </w:rPr>
        <w:t>3</w:t>
      </w:r>
      <w:r>
        <w:rPr>
          <w:rFonts w:hint="eastAsia" w:asciiTheme="minorEastAsia" w:hAnsiTheme="minorEastAsia" w:eastAsiaTheme="minorEastAsia"/>
          <w:b w:val="0"/>
          <w:sz w:val="21"/>
          <w:szCs w:val="21"/>
        </w:rPr>
        <w:t xml:space="preserve">小时以内能抵达现场进行施工。搬迁过程中确保设备部件无遗失、损毁等； </w:t>
      </w:r>
    </w:p>
    <w:p w14:paraId="52F6BE94">
      <w:pPr>
        <w:pStyle w:val="41"/>
        <w:spacing w:line="440" w:lineRule="exact"/>
        <w:ind w:firstLine="420" w:firstLineChars="200"/>
        <w:jc w:val="both"/>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二）遵循安全第一的原则，遵守安全生产有关管理规定及相关安全管理制度，严格按安全操作规程进行实施并随时接受行业安全检查人员依法实施的监督检查，采取必要的安全防护措施，消除事故隐患。加强装卸作业人员安全教育，文明作业，保障装卸货物的安全完好。</w:t>
      </w:r>
    </w:p>
    <w:p w14:paraId="4FC1FDD8">
      <w:pPr>
        <w:pStyle w:val="41"/>
        <w:spacing w:line="440" w:lineRule="exact"/>
        <w:ind w:firstLine="420" w:firstLineChars="200"/>
        <w:jc w:val="both"/>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（三）保险：为相关人员搬运操作过程中的意外保险。</w:t>
      </w:r>
    </w:p>
    <w:p w14:paraId="1472EF82">
      <w:pPr>
        <w:pStyle w:val="41"/>
        <w:spacing w:line="440" w:lineRule="exact"/>
        <w:ind w:firstLine="420" w:firstLineChars="200"/>
        <w:jc w:val="both"/>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四）事故及损害赔偿：在搬迁过程中造成仪器设备等物资遗失、损毁的按购置价进行赔偿；做好搬运现场的保护工作，对于搬迁过程中涉及到的实施现场（如电梯、地面、墙面、道路、楼梯、门窗、家具等）做到有效保护，如有损坏按市场价进行赔偿。</w:t>
      </w:r>
    </w:p>
    <w:p w14:paraId="5E7AEB2E">
      <w:pPr>
        <w:pStyle w:val="41"/>
        <w:spacing w:line="440" w:lineRule="exact"/>
        <w:ind w:firstLine="420" w:firstLineChars="200"/>
        <w:jc w:val="both"/>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（五）供应商需要具有如下搬运工具：大、</w:t>
      </w:r>
      <w:r>
        <w:rPr>
          <w:rFonts w:asciiTheme="minorEastAsia" w:hAnsiTheme="minorEastAsia" w:eastAsiaTheme="minorEastAsia"/>
          <w:b w:val="0"/>
          <w:sz w:val="21"/>
          <w:szCs w:val="21"/>
        </w:rPr>
        <w:t>小型农运车</w:t>
      </w:r>
      <w:r>
        <w:rPr>
          <w:rFonts w:hint="eastAsia" w:asciiTheme="minorEastAsia" w:hAnsiTheme="minorEastAsia" w:eastAsiaTheme="minorEastAsia"/>
          <w:b w:val="0"/>
          <w:sz w:val="21"/>
          <w:szCs w:val="21"/>
        </w:rPr>
        <w:t>各</w:t>
      </w:r>
      <w:r>
        <w:rPr>
          <w:rFonts w:asciiTheme="minorEastAsia" w:hAnsiTheme="minorEastAsia" w:eastAsiaTheme="minorEastAsia"/>
          <w:b w:val="0"/>
          <w:sz w:val="21"/>
          <w:szCs w:val="21"/>
        </w:rPr>
        <w:t>一辆、大型运输车</w:t>
      </w:r>
      <w:r>
        <w:rPr>
          <w:rFonts w:hint="eastAsia" w:asciiTheme="minorEastAsia" w:hAnsiTheme="minorEastAsia" w:eastAsiaTheme="minorEastAsia"/>
          <w:b w:val="0"/>
          <w:sz w:val="21"/>
          <w:szCs w:val="21"/>
        </w:rPr>
        <w:t>1辆</w:t>
      </w:r>
    </w:p>
    <w:p w14:paraId="129A4383">
      <w:pPr>
        <w:pStyle w:val="41"/>
        <w:spacing w:line="440" w:lineRule="exact"/>
        <w:ind w:firstLine="420" w:firstLineChars="200"/>
        <w:jc w:val="both"/>
        <w:rPr>
          <w:rFonts w:asciiTheme="minorEastAsia" w:hAnsiTheme="minorEastAsia" w:eastAsiaTheme="minorEastAsia"/>
          <w:b w:val="0"/>
          <w:sz w:val="21"/>
          <w:szCs w:val="21"/>
        </w:rPr>
      </w:pPr>
      <w:r>
        <w:rPr>
          <w:rFonts w:asciiTheme="minorEastAsia" w:hAnsiTheme="minorEastAsia" w:eastAsiaTheme="minorEastAsia"/>
          <w:b w:val="0"/>
          <w:sz w:val="21"/>
          <w:szCs w:val="21"/>
        </w:rPr>
        <w:t>载重能力10吨及以上的叉车1辆，载重能力50吨及以上的吊车1辆，</w:t>
      </w:r>
      <w:r>
        <w:rPr>
          <w:rFonts w:hint="eastAsia" w:asciiTheme="minorEastAsia" w:hAnsiTheme="minorEastAsia" w:eastAsiaTheme="minorEastAsia"/>
          <w:b w:val="0"/>
          <w:sz w:val="21"/>
          <w:szCs w:val="21"/>
        </w:rPr>
        <w:t>载重能力50吨以下的吊车1辆。</w:t>
      </w:r>
    </w:p>
    <w:p w14:paraId="78444382">
      <w:pPr>
        <w:pStyle w:val="41"/>
        <w:spacing w:line="440" w:lineRule="exact"/>
        <w:ind w:firstLine="420" w:firstLineChars="200"/>
        <w:jc w:val="both"/>
        <w:rPr>
          <w:rFonts w:asciiTheme="minorEastAsia" w:hAnsiTheme="minorEastAsia" w:eastAsiaTheme="minorEastAsia"/>
          <w:b w:val="0"/>
          <w:bCs w:val="0"/>
          <w:sz w:val="21"/>
          <w:szCs w:val="21"/>
        </w:rPr>
      </w:pPr>
      <w:r>
        <w:rPr>
          <w:rFonts w:hint="eastAsia" w:asciiTheme="minorEastAsia" w:hAnsiTheme="minorEastAsia" w:eastAsiaTheme="minorEastAsia"/>
          <w:b w:val="0"/>
          <w:sz w:val="21"/>
          <w:szCs w:val="21"/>
        </w:rPr>
        <w:t>（六）装卸操作人员分岗位统一着装、佩戴标志、工作证（包含相片、姓名、职务、工号），行为规范，服务主动、细致、周到，用语文明。</w:t>
      </w:r>
    </w:p>
    <w:bookmarkEnd w:id="19"/>
    <w:p w14:paraId="26FBC7FF">
      <w:pPr>
        <w:pStyle w:val="41"/>
        <w:spacing w:line="440" w:lineRule="exact"/>
        <w:ind w:firstLine="420" w:firstLineChars="200"/>
        <w:jc w:val="both"/>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（七）制定完善的货物装卸登记台帐。</w:t>
      </w:r>
    </w:p>
    <w:p w14:paraId="0D51A6D9">
      <w:pPr>
        <w:pStyle w:val="41"/>
        <w:spacing w:line="440" w:lineRule="exact"/>
        <w:ind w:firstLine="420" w:firstLineChars="200"/>
        <w:jc w:val="both"/>
        <w:rPr>
          <w:rFonts w:asciiTheme="minorEastAsia" w:hAnsiTheme="minorEastAsia" w:eastAsiaTheme="minorEastAsia"/>
          <w:b w:val="0"/>
          <w:bCs w:val="0"/>
          <w:sz w:val="21"/>
          <w:szCs w:val="21"/>
        </w:rPr>
      </w:pPr>
      <w:r>
        <w:rPr>
          <w:rFonts w:hint="eastAsia" w:asciiTheme="minorEastAsia" w:hAnsiTheme="minorEastAsia" w:eastAsiaTheme="minorEastAsia"/>
          <w:b w:val="0"/>
          <w:sz w:val="21"/>
          <w:szCs w:val="21"/>
        </w:rPr>
        <w:t>（八）完成采购人交办的其他服务内容。</w:t>
      </w:r>
    </w:p>
    <w:p w14:paraId="62C65380">
      <w:pPr>
        <w:pStyle w:val="41"/>
        <w:spacing w:line="440" w:lineRule="exact"/>
        <w:ind w:firstLine="420" w:firstLineChars="200"/>
        <w:jc w:val="both"/>
        <w:rPr>
          <w:rFonts w:asciiTheme="minorEastAsia" w:hAnsiTheme="minorEastAsia" w:eastAsiaTheme="minorEastAsia"/>
          <w:b w:val="0"/>
          <w:bCs w:val="0"/>
          <w:sz w:val="21"/>
          <w:szCs w:val="21"/>
        </w:rPr>
      </w:pPr>
      <w:r>
        <w:rPr>
          <w:rFonts w:hint="eastAsia" w:asciiTheme="minorEastAsia" w:hAnsiTheme="minorEastAsia" w:eastAsiaTheme="minorEastAsia"/>
          <w:b w:val="0"/>
          <w:sz w:val="21"/>
          <w:szCs w:val="21"/>
        </w:rPr>
        <w:t>四、项目服务期</w:t>
      </w:r>
    </w:p>
    <w:p w14:paraId="7C692CC4">
      <w:pPr>
        <w:pStyle w:val="41"/>
        <w:spacing w:line="440" w:lineRule="exact"/>
        <w:ind w:firstLine="420" w:firstLineChars="200"/>
        <w:jc w:val="both"/>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1.搬迁时间：具体搬迁实施分批（按采购人要求，可以做到单台单独或多台同时）进行，以采购人通知时间为准；</w:t>
      </w:r>
    </w:p>
    <w:p w14:paraId="6FA89D17">
      <w:pPr>
        <w:pStyle w:val="41"/>
        <w:spacing w:line="440" w:lineRule="exact"/>
        <w:ind w:firstLine="420" w:firstLineChars="200"/>
        <w:jc w:val="both"/>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2.按采购人要求安排时间与对接，每天由搬迁服务人员在规定时间（经采购人确认的针对性搬迁服务方案中所列时间）内完成，特殊情况另行协商。</w:t>
      </w:r>
    </w:p>
    <w:p w14:paraId="18831F52">
      <w:pPr>
        <w:pStyle w:val="41"/>
        <w:spacing w:line="440" w:lineRule="exact"/>
        <w:ind w:firstLine="420" w:firstLineChars="200"/>
        <w:jc w:val="both"/>
        <w:rPr>
          <w:rFonts w:asciiTheme="minorEastAsia" w:hAnsiTheme="minorEastAsia" w:eastAsiaTheme="minorEastAsia"/>
          <w:b w:val="0"/>
          <w:bCs w:val="0"/>
          <w:sz w:val="21"/>
          <w:szCs w:val="21"/>
        </w:rPr>
      </w:pPr>
      <w:r>
        <w:rPr>
          <w:rFonts w:hint="eastAsia" w:asciiTheme="minorEastAsia" w:hAnsiTheme="minorEastAsia" w:eastAsiaTheme="minorEastAsia"/>
          <w:b w:val="0"/>
          <w:sz w:val="21"/>
          <w:szCs w:val="21"/>
        </w:rPr>
        <w:t>五、安全要求</w:t>
      </w:r>
    </w:p>
    <w:p w14:paraId="5FF5FD9C">
      <w:pPr>
        <w:pStyle w:val="41"/>
        <w:spacing w:line="440" w:lineRule="exact"/>
        <w:ind w:firstLine="420" w:firstLineChars="200"/>
        <w:jc w:val="both"/>
        <w:rPr>
          <w:rFonts w:asciiTheme="minorEastAsia" w:hAnsiTheme="minorEastAsia" w:eastAsiaTheme="minorEastAsia"/>
          <w:b w:val="0"/>
          <w:bCs w:val="0"/>
          <w:sz w:val="21"/>
          <w:szCs w:val="21"/>
        </w:rPr>
      </w:pPr>
      <w:r>
        <w:rPr>
          <w:rFonts w:hint="eastAsia" w:asciiTheme="minorEastAsia" w:hAnsiTheme="minorEastAsia" w:eastAsiaTheme="minorEastAsia"/>
          <w:b w:val="0"/>
          <w:sz w:val="21"/>
          <w:szCs w:val="21"/>
        </w:rPr>
        <w:t>供应商必须按国家有关规定，切实落实各项安全技术措施，确保搬运现场的安全生产和文明施工。在项目实施过程中任何人身伤亡、财产损失及其它一切事故，其责任费用全部由中标人承担。</w:t>
      </w:r>
    </w:p>
    <w:p w14:paraId="3C1DBD96">
      <w:pPr>
        <w:pStyle w:val="41"/>
        <w:spacing w:line="440" w:lineRule="exact"/>
        <w:ind w:firstLine="420" w:firstLineChars="200"/>
        <w:jc w:val="both"/>
        <w:rPr>
          <w:rFonts w:asciiTheme="minorEastAsia" w:hAnsiTheme="minorEastAsia" w:eastAsiaTheme="minorEastAsia"/>
          <w:b w:val="0"/>
          <w:bCs w:val="0"/>
          <w:sz w:val="21"/>
          <w:szCs w:val="21"/>
        </w:rPr>
      </w:pPr>
      <w:r>
        <w:rPr>
          <w:rFonts w:hint="eastAsia" w:asciiTheme="minorEastAsia" w:hAnsiTheme="minorEastAsia" w:eastAsiaTheme="minorEastAsia"/>
          <w:b w:val="0"/>
          <w:sz w:val="21"/>
          <w:szCs w:val="21"/>
        </w:rPr>
        <w:t>六、</w:t>
      </w:r>
      <w:r>
        <w:rPr>
          <w:rFonts w:asciiTheme="minorEastAsia" w:hAnsiTheme="minorEastAsia" w:eastAsiaTheme="minorEastAsia"/>
          <w:b w:val="0"/>
          <w:sz w:val="21"/>
          <w:szCs w:val="21"/>
        </w:rPr>
        <w:t>报价</w:t>
      </w:r>
      <w:r>
        <w:rPr>
          <w:rFonts w:hint="eastAsia" w:asciiTheme="minorEastAsia" w:hAnsiTheme="minorEastAsia" w:eastAsiaTheme="minorEastAsia"/>
          <w:b w:val="0"/>
          <w:sz w:val="21"/>
          <w:szCs w:val="21"/>
        </w:rPr>
        <w:t>说明</w:t>
      </w:r>
    </w:p>
    <w:p w14:paraId="13896806">
      <w:pPr>
        <w:pStyle w:val="41"/>
        <w:spacing w:line="440" w:lineRule="exact"/>
        <w:ind w:firstLine="420" w:firstLineChars="200"/>
        <w:jc w:val="both"/>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报价包含设备搬运清单（见附件）提出的搬迁设备清单的卸货、搬运（分为电梯搬运和吊装搬运，部分设备需要用到减震气垫等）、堆放指定地点等内容以及购买保险等其他所有可能发生的费用，保证设备搬迁前后状态一致，即所需的一切人工、物耗、工具、设备等所有可能发生的一切费用，合同实施过程中可能发生的其他费用（如增加耗材、材料涨价、人工/运输成本增加等因素）与采购人无涉；</w:t>
      </w:r>
    </w:p>
    <w:p w14:paraId="2999E05B">
      <w:pPr>
        <w:pStyle w:val="41"/>
        <w:spacing w:line="440" w:lineRule="exact"/>
        <w:ind w:firstLine="420" w:firstLineChars="200"/>
        <w:jc w:val="both"/>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2.采购人未列明而搬运商认为必需的费用也需列入报价，合同实施时采购人将不予支付搬运商没有列入的项目费用，并认为此项目的费用已包含在合同总价中。</w:t>
      </w:r>
    </w:p>
    <w:p w14:paraId="7A4C8896"/>
    <w:p w14:paraId="43E50781">
      <w:pPr>
        <w:pStyle w:val="2"/>
        <w:spacing w:before="120" w:after="120"/>
      </w:pPr>
    </w:p>
    <w:p w14:paraId="09A713C5"/>
    <w:p w14:paraId="0E44EEDC"/>
    <w:p w14:paraId="1961B282"/>
    <w:bookmarkEnd w:id="9"/>
    <w:p w14:paraId="71DB222F">
      <w:pPr>
        <w:pStyle w:val="3"/>
        <w:keepLines/>
        <w:numPr>
          <w:ilvl w:val="0"/>
          <w:numId w:val="6"/>
        </w:numPr>
        <w:spacing w:before="120" w:after="330" w:line="360" w:lineRule="auto"/>
        <w:rPr>
          <w:rFonts w:ascii="宋体" w:hAnsi="宋体" w:cs="宋体"/>
          <w:sz w:val="36"/>
          <w:szCs w:val="36"/>
        </w:rPr>
      </w:pPr>
      <w:bookmarkStart w:id="20" w:name="_Toc216662965"/>
      <w:bookmarkStart w:id="21" w:name="_Toc5926"/>
      <w:r>
        <w:rPr>
          <w:rFonts w:hint="eastAsia" w:ascii="宋体" w:hAnsi="宋体" w:cs="宋体"/>
          <w:sz w:val="36"/>
          <w:szCs w:val="36"/>
        </w:rPr>
        <w:t xml:space="preserve"> 商务条款</w:t>
      </w:r>
    </w:p>
    <w:tbl>
      <w:tblPr>
        <w:tblStyle w:val="44"/>
        <w:tblW w:w="0" w:type="auto"/>
        <w:jc w:val="center"/>
        <w:tblLayout w:type="fixed"/>
        <w:tblCellMar>
          <w:top w:w="0" w:type="dxa"/>
          <w:left w:w="108" w:type="dxa"/>
          <w:bottom w:w="0" w:type="dxa"/>
          <w:right w:w="108" w:type="dxa"/>
        </w:tblCellMar>
      </w:tblPr>
      <w:tblGrid>
        <w:gridCol w:w="1286"/>
        <w:gridCol w:w="7645"/>
      </w:tblGrid>
      <w:tr w14:paraId="700B20C5">
        <w:tblPrEx>
          <w:tblCellMar>
            <w:top w:w="0" w:type="dxa"/>
            <w:left w:w="108" w:type="dxa"/>
            <w:bottom w:w="0" w:type="dxa"/>
            <w:right w:w="108" w:type="dxa"/>
          </w:tblCellMar>
        </w:tblPrEx>
        <w:trPr>
          <w:trHeight w:val="525" w:hRule="atLeast"/>
          <w:jc w:val="center"/>
        </w:trPr>
        <w:tc>
          <w:tcPr>
            <w:tcW w:w="1286" w:type="dxa"/>
            <w:tcBorders>
              <w:top w:val="single" w:color="000000" w:sz="12" w:space="0"/>
              <w:left w:val="single" w:color="000000" w:sz="12" w:space="0"/>
              <w:bottom w:val="single" w:color="000000" w:sz="6" w:space="0"/>
              <w:right w:val="single" w:color="000000" w:sz="6" w:space="0"/>
            </w:tcBorders>
            <w:vAlign w:val="center"/>
          </w:tcPr>
          <w:p w14:paraId="42E3F117">
            <w:pPr>
              <w:autoSpaceDE w:val="0"/>
              <w:autoSpaceDN w:val="0"/>
              <w:adjustRightInd w:val="0"/>
              <w:spacing w:line="400" w:lineRule="exact"/>
              <w:jc w:val="center"/>
              <w:rPr>
                <w:rFonts w:ascii="宋体" w:hAnsi="宋体"/>
                <w:b/>
                <w:bCs/>
                <w:szCs w:val="21"/>
              </w:rPr>
            </w:pPr>
            <w:r>
              <w:rPr>
                <w:rFonts w:hint="eastAsia" w:ascii="宋体" w:hAnsi="宋体"/>
                <w:b/>
                <w:bCs/>
                <w:szCs w:val="21"/>
              </w:rPr>
              <w:t>序号</w:t>
            </w:r>
          </w:p>
        </w:tc>
        <w:tc>
          <w:tcPr>
            <w:tcW w:w="7645" w:type="dxa"/>
            <w:tcBorders>
              <w:top w:val="single" w:color="000000" w:sz="12" w:space="0"/>
              <w:left w:val="nil"/>
              <w:bottom w:val="single" w:color="000000" w:sz="6" w:space="0"/>
              <w:right w:val="single" w:color="000000" w:sz="12" w:space="0"/>
            </w:tcBorders>
            <w:vAlign w:val="center"/>
          </w:tcPr>
          <w:p w14:paraId="4713D69A">
            <w:pPr>
              <w:autoSpaceDE w:val="0"/>
              <w:autoSpaceDN w:val="0"/>
              <w:adjustRightInd w:val="0"/>
              <w:spacing w:line="400" w:lineRule="exact"/>
              <w:jc w:val="center"/>
              <w:rPr>
                <w:rFonts w:ascii="宋体" w:hAnsi="宋体"/>
                <w:b/>
                <w:bCs/>
                <w:szCs w:val="21"/>
              </w:rPr>
            </w:pPr>
            <w:r>
              <w:rPr>
                <w:rFonts w:hint="eastAsia" w:ascii="宋体" w:hAnsi="宋体"/>
                <w:b/>
                <w:bCs/>
                <w:szCs w:val="21"/>
                <w:lang w:val="zh-CN"/>
              </w:rPr>
              <w:t>内</w:t>
            </w:r>
            <w:r>
              <w:rPr>
                <w:rFonts w:ascii="宋体" w:hAnsi="宋体"/>
                <w:b/>
                <w:bCs/>
                <w:szCs w:val="21"/>
              </w:rPr>
              <w:t xml:space="preserve">      </w:t>
            </w:r>
            <w:r>
              <w:rPr>
                <w:rFonts w:hint="eastAsia" w:ascii="宋体" w:hAnsi="宋体"/>
                <w:b/>
                <w:bCs/>
                <w:szCs w:val="21"/>
                <w:lang w:val="zh-CN"/>
              </w:rPr>
              <w:t>容</w:t>
            </w:r>
          </w:p>
        </w:tc>
      </w:tr>
      <w:tr w14:paraId="414F601C">
        <w:tblPrEx>
          <w:tblCellMar>
            <w:top w:w="0" w:type="dxa"/>
            <w:left w:w="108" w:type="dxa"/>
            <w:bottom w:w="0" w:type="dxa"/>
            <w:right w:w="108" w:type="dxa"/>
          </w:tblCellMar>
        </w:tblPrEx>
        <w:trPr>
          <w:trHeight w:val="719" w:hRule="atLeast"/>
          <w:jc w:val="center"/>
        </w:trPr>
        <w:tc>
          <w:tcPr>
            <w:tcW w:w="1286" w:type="dxa"/>
            <w:tcBorders>
              <w:top w:val="single" w:color="auto" w:sz="6" w:space="0"/>
              <w:left w:val="single" w:color="000000" w:sz="12" w:space="0"/>
              <w:bottom w:val="single" w:color="000000" w:sz="6" w:space="0"/>
              <w:right w:val="single" w:color="000000" w:sz="6" w:space="0"/>
            </w:tcBorders>
            <w:vAlign w:val="center"/>
          </w:tcPr>
          <w:p w14:paraId="492B3C74">
            <w:pPr>
              <w:autoSpaceDE w:val="0"/>
              <w:autoSpaceDN w:val="0"/>
              <w:adjustRightInd w:val="0"/>
              <w:spacing w:line="400" w:lineRule="exact"/>
              <w:jc w:val="center"/>
              <w:rPr>
                <w:rFonts w:ascii="宋体" w:hAnsi="宋体"/>
                <w:szCs w:val="21"/>
              </w:rPr>
            </w:pPr>
            <w:r>
              <w:rPr>
                <w:rFonts w:hint="eastAsia" w:ascii="宋体" w:hAnsi="宋体"/>
                <w:szCs w:val="21"/>
              </w:rPr>
              <w:t>1</w:t>
            </w:r>
          </w:p>
        </w:tc>
        <w:tc>
          <w:tcPr>
            <w:tcW w:w="7645" w:type="dxa"/>
            <w:tcBorders>
              <w:top w:val="single" w:color="auto" w:sz="6" w:space="0"/>
              <w:left w:val="nil"/>
              <w:bottom w:val="single" w:color="000000" w:sz="6" w:space="0"/>
              <w:right w:val="single" w:color="000000" w:sz="12" w:space="0"/>
            </w:tcBorders>
            <w:vAlign w:val="center"/>
          </w:tcPr>
          <w:p w14:paraId="6DC83891">
            <w:pPr>
              <w:snapToGrid w:val="0"/>
              <w:spacing w:line="400" w:lineRule="exact"/>
              <w:rPr>
                <w:rFonts w:ascii="宋体" w:hAnsi="宋体"/>
                <w:szCs w:val="21"/>
                <w:lang w:val="zh-CN"/>
              </w:rPr>
            </w:pPr>
            <w:r>
              <w:rPr>
                <w:rFonts w:hint="eastAsia" w:ascii="宋体" w:hAnsi="宋体"/>
                <w:b/>
              </w:rPr>
              <w:t>服务地点：本次招标区域内。</w:t>
            </w:r>
          </w:p>
        </w:tc>
      </w:tr>
      <w:tr w14:paraId="66777CDC">
        <w:tblPrEx>
          <w:tblCellMar>
            <w:top w:w="0" w:type="dxa"/>
            <w:left w:w="108" w:type="dxa"/>
            <w:bottom w:w="0" w:type="dxa"/>
            <w:right w:w="108" w:type="dxa"/>
          </w:tblCellMar>
        </w:tblPrEx>
        <w:trPr>
          <w:trHeight w:val="829" w:hRule="atLeast"/>
          <w:jc w:val="center"/>
        </w:trPr>
        <w:tc>
          <w:tcPr>
            <w:tcW w:w="1286" w:type="dxa"/>
            <w:tcBorders>
              <w:top w:val="single" w:color="auto" w:sz="6" w:space="0"/>
              <w:left w:val="single" w:color="000000" w:sz="12" w:space="0"/>
              <w:bottom w:val="single" w:color="000000" w:sz="6" w:space="0"/>
              <w:right w:val="single" w:color="000000" w:sz="6" w:space="0"/>
            </w:tcBorders>
            <w:vAlign w:val="center"/>
          </w:tcPr>
          <w:p w14:paraId="4F253B45">
            <w:pPr>
              <w:autoSpaceDE w:val="0"/>
              <w:autoSpaceDN w:val="0"/>
              <w:adjustRightInd w:val="0"/>
              <w:spacing w:line="400" w:lineRule="exact"/>
              <w:jc w:val="center"/>
              <w:rPr>
                <w:rFonts w:ascii="宋体" w:hAnsi="宋体"/>
                <w:szCs w:val="21"/>
              </w:rPr>
            </w:pPr>
            <w:r>
              <w:rPr>
                <w:rFonts w:hint="eastAsia" w:ascii="宋体" w:hAnsi="宋体"/>
                <w:szCs w:val="21"/>
              </w:rPr>
              <w:t>2</w:t>
            </w:r>
          </w:p>
        </w:tc>
        <w:tc>
          <w:tcPr>
            <w:tcW w:w="7645" w:type="dxa"/>
            <w:tcBorders>
              <w:top w:val="single" w:color="auto" w:sz="6" w:space="0"/>
              <w:left w:val="nil"/>
              <w:bottom w:val="single" w:color="000000" w:sz="6" w:space="0"/>
              <w:right w:val="single" w:color="000000" w:sz="12" w:space="0"/>
            </w:tcBorders>
            <w:vAlign w:val="center"/>
          </w:tcPr>
          <w:p w14:paraId="11B6910A">
            <w:pPr>
              <w:snapToGrid w:val="0"/>
              <w:spacing w:line="400" w:lineRule="exact"/>
              <w:rPr>
                <w:rFonts w:ascii="宋体" w:hAnsi="宋体"/>
              </w:rPr>
            </w:pPr>
            <w:r>
              <w:rPr>
                <w:rFonts w:hint="eastAsia" w:ascii="宋体" w:hAnsi="宋体"/>
                <w:szCs w:val="21"/>
                <w:lang w:val="zh-CN"/>
              </w:rPr>
              <w:t>服务期：</w:t>
            </w:r>
            <w:r>
              <w:rPr>
                <w:rFonts w:hint="eastAsia" w:ascii="宋体" w:hAnsi="宋体"/>
                <w:szCs w:val="21"/>
              </w:rPr>
              <w:t>合同签订后</w:t>
            </w:r>
            <w:r>
              <w:rPr>
                <w:rFonts w:ascii="宋体" w:hAnsi="宋体"/>
                <w:szCs w:val="21"/>
              </w:rPr>
              <w:t>6</w:t>
            </w:r>
            <w:r>
              <w:rPr>
                <w:rFonts w:hint="eastAsia" w:ascii="宋体" w:hAnsi="宋体"/>
                <w:szCs w:val="21"/>
              </w:rPr>
              <w:t>0天内交货，清运、堆放完毕。</w:t>
            </w:r>
          </w:p>
        </w:tc>
      </w:tr>
      <w:tr w14:paraId="3F533C63">
        <w:tblPrEx>
          <w:tblCellMar>
            <w:top w:w="0" w:type="dxa"/>
            <w:left w:w="108" w:type="dxa"/>
            <w:bottom w:w="0" w:type="dxa"/>
            <w:right w:w="108" w:type="dxa"/>
          </w:tblCellMar>
        </w:tblPrEx>
        <w:trPr>
          <w:trHeight w:val="1197" w:hRule="atLeast"/>
          <w:jc w:val="center"/>
        </w:trPr>
        <w:tc>
          <w:tcPr>
            <w:tcW w:w="1286" w:type="dxa"/>
            <w:tcBorders>
              <w:top w:val="single" w:color="auto" w:sz="6" w:space="0"/>
              <w:left w:val="single" w:color="000000" w:sz="12" w:space="0"/>
              <w:bottom w:val="single" w:color="000000" w:sz="6" w:space="0"/>
              <w:right w:val="single" w:color="000000" w:sz="6" w:space="0"/>
            </w:tcBorders>
            <w:vAlign w:val="center"/>
          </w:tcPr>
          <w:p w14:paraId="0D6D9173">
            <w:pPr>
              <w:autoSpaceDE w:val="0"/>
              <w:autoSpaceDN w:val="0"/>
              <w:adjustRightInd w:val="0"/>
              <w:spacing w:line="400" w:lineRule="exact"/>
              <w:jc w:val="center"/>
              <w:rPr>
                <w:rFonts w:ascii="宋体" w:hAnsi="宋体"/>
                <w:szCs w:val="21"/>
              </w:rPr>
            </w:pPr>
            <w:r>
              <w:rPr>
                <w:rFonts w:hint="eastAsia" w:ascii="宋体" w:hAnsi="宋体"/>
                <w:szCs w:val="21"/>
              </w:rPr>
              <w:t>3</w:t>
            </w:r>
          </w:p>
        </w:tc>
        <w:tc>
          <w:tcPr>
            <w:tcW w:w="7645" w:type="dxa"/>
            <w:tcBorders>
              <w:top w:val="single" w:color="auto" w:sz="6" w:space="0"/>
              <w:left w:val="nil"/>
              <w:bottom w:val="single" w:color="000000" w:sz="6" w:space="0"/>
              <w:right w:val="single" w:color="000000" w:sz="12" w:space="0"/>
            </w:tcBorders>
            <w:vAlign w:val="center"/>
          </w:tcPr>
          <w:p w14:paraId="0BB8DBD9">
            <w:pPr>
              <w:autoSpaceDE w:val="0"/>
              <w:autoSpaceDN w:val="0"/>
              <w:adjustRightInd w:val="0"/>
              <w:spacing w:line="400" w:lineRule="exact"/>
              <w:jc w:val="left"/>
              <w:rPr>
                <w:rFonts w:ascii="宋体" w:hAnsi="宋体"/>
                <w:szCs w:val="21"/>
                <w:lang w:val="zh-CN"/>
              </w:rPr>
            </w:pPr>
            <w:r>
              <w:rPr>
                <w:rFonts w:hint="eastAsia" w:ascii="宋体" w:hAnsi="宋体"/>
                <w:b/>
                <w:lang w:val="zh-CN"/>
              </w:rPr>
              <w:t>履约保证金金额：</w:t>
            </w:r>
            <w:r>
              <w:rPr>
                <w:rFonts w:hint="eastAsia" w:ascii="宋体" w:hAnsi="宋体" w:cs="宋体"/>
                <w:snapToGrid w:val="0"/>
                <w:szCs w:val="21"/>
              </w:rPr>
              <w:t>本项目履约保证金为合同价的</w:t>
            </w:r>
            <w:r>
              <w:rPr>
                <w:rFonts w:ascii="宋体" w:hAnsi="宋体" w:cs="宋体"/>
                <w:snapToGrid w:val="0"/>
                <w:szCs w:val="21"/>
              </w:rPr>
              <w:t>2</w:t>
            </w:r>
            <w:r>
              <w:rPr>
                <w:rFonts w:hint="eastAsia" w:ascii="宋体" w:hAnsi="宋体" w:cs="宋体"/>
                <w:snapToGrid w:val="0"/>
                <w:szCs w:val="21"/>
              </w:rPr>
              <w:t>%，承包方于合同签订后5个工作日内递交，履约保证金递交形式不限。合同期满，扣除相应款项后按实无息退还。</w:t>
            </w:r>
          </w:p>
        </w:tc>
      </w:tr>
      <w:tr w14:paraId="17596870">
        <w:tblPrEx>
          <w:tblCellMar>
            <w:top w:w="0" w:type="dxa"/>
            <w:left w:w="108" w:type="dxa"/>
            <w:bottom w:w="0" w:type="dxa"/>
            <w:right w:w="108" w:type="dxa"/>
          </w:tblCellMar>
        </w:tblPrEx>
        <w:trPr>
          <w:trHeight w:val="860" w:hRule="atLeast"/>
          <w:jc w:val="center"/>
        </w:trPr>
        <w:tc>
          <w:tcPr>
            <w:tcW w:w="1286" w:type="dxa"/>
            <w:tcBorders>
              <w:top w:val="single" w:color="auto" w:sz="6" w:space="0"/>
              <w:left w:val="single" w:color="000000" w:sz="12" w:space="0"/>
              <w:bottom w:val="single" w:color="auto" w:sz="6" w:space="0"/>
              <w:right w:val="single" w:color="000000" w:sz="6" w:space="0"/>
            </w:tcBorders>
            <w:vAlign w:val="center"/>
          </w:tcPr>
          <w:p w14:paraId="22021349">
            <w:pPr>
              <w:snapToGrid w:val="0"/>
              <w:spacing w:line="400" w:lineRule="exact"/>
              <w:rPr>
                <w:rFonts w:ascii="宋体" w:hAnsi="宋体" w:cs="宋体"/>
                <w:szCs w:val="21"/>
                <w:lang w:val="zh-CN"/>
              </w:rPr>
            </w:pPr>
            <w:r>
              <w:rPr>
                <w:rFonts w:ascii="宋体" w:hAnsi="宋体" w:cs="宋体"/>
                <w:szCs w:val="21"/>
                <w:lang w:val="zh-CN"/>
              </w:rPr>
              <w:t>4</w:t>
            </w:r>
          </w:p>
        </w:tc>
        <w:tc>
          <w:tcPr>
            <w:tcW w:w="7645" w:type="dxa"/>
            <w:tcBorders>
              <w:top w:val="single" w:color="auto" w:sz="6" w:space="0"/>
              <w:left w:val="nil"/>
              <w:bottom w:val="single" w:color="auto" w:sz="6" w:space="0"/>
              <w:right w:val="single" w:color="000000" w:sz="12" w:space="0"/>
            </w:tcBorders>
            <w:vAlign w:val="center"/>
          </w:tcPr>
          <w:p w14:paraId="491D4B54">
            <w:pPr>
              <w:snapToGrid w:val="0"/>
              <w:spacing w:line="400" w:lineRule="exact"/>
              <w:rPr>
                <w:rFonts w:ascii="宋体" w:hAnsi="宋体" w:cs="宋体"/>
                <w:szCs w:val="21"/>
                <w:lang w:val="zh-CN"/>
              </w:rPr>
            </w:pPr>
            <w:r>
              <w:rPr>
                <w:rFonts w:hint="eastAsia" w:ascii="宋体" w:hAnsi="宋体" w:cs="宋体"/>
                <w:szCs w:val="21"/>
                <w:lang w:val="zh-CN"/>
              </w:rPr>
              <w:t>付款方法和条件：合同生效以及具体实施条件后7个工作日内支付合同总价的40%作为预付款（供应商需提交银行、保险公司等金融机构出具的预付款保函或其他担保措施。供应商在签订合同时，表示无需预付款或主动要求降低预付款比例的，可不适用本条款），项目设备清运完成后，由乙方提交验收申请，甲方组织验收合格后送审，最终以审计价为准，甲方收到票据后支付到审定价的95％；余款审定价的5％作为质量保证金，为期一年，待期满后30天内结算付清（无息）；结算以正规增值税发票为结算单位。</w:t>
            </w:r>
          </w:p>
          <w:p w14:paraId="1AD23A9C">
            <w:pPr>
              <w:snapToGrid w:val="0"/>
              <w:spacing w:line="400" w:lineRule="exact"/>
              <w:rPr>
                <w:rFonts w:ascii="宋体" w:hAnsi="宋体" w:cs="宋体"/>
                <w:szCs w:val="21"/>
                <w:lang w:val="zh-CN"/>
              </w:rPr>
            </w:pPr>
            <w:r>
              <w:rPr>
                <w:rFonts w:hint="eastAsia" w:ascii="宋体" w:hAnsi="宋体" w:cs="宋体"/>
                <w:szCs w:val="21"/>
                <w:lang w:val="zh-CN"/>
              </w:rPr>
              <w:t>2、采购人对于满足合同约定支付条件的，自收到发票后7个工作日内支付至供应商账户。供应商不提供发票的，采购人有权不予支付。</w:t>
            </w:r>
          </w:p>
          <w:p w14:paraId="59917150">
            <w:pPr>
              <w:pStyle w:val="2"/>
              <w:snapToGrid w:val="0"/>
              <w:spacing w:before="120" w:after="120"/>
              <w:ind w:left="0" w:firstLine="0"/>
              <w:rPr>
                <w:rFonts w:ascii="宋体" w:hAnsi="宋体" w:eastAsia="宋体" w:cs="宋体"/>
                <w:b w:val="0"/>
                <w:bCs w:val="0"/>
                <w:sz w:val="21"/>
                <w:szCs w:val="21"/>
                <w:lang w:val="zh-CN"/>
              </w:rPr>
            </w:pPr>
            <w:r>
              <w:rPr>
                <w:rFonts w:hint="eastAsia" w:ascii="宋体" w:hAnsi="宋体" w:eastAsia="宋体" w:cs="宋体"/>
                <w:b w:val="0"/>
                <w:bCs w:val="0"/>
                <w:sz w:val="21"/>
                <w:szCs w:val="21"/>
                <w:lang w:val="zh-CN"/>
              </w:rPr>
              <w:t>3、结算时单价固定，数量按实，但最结算价最多不得超过合同价的10%。</w:t>
            </w:r>
          </w:p>
        </w:tc>
      </w:tr>
      <w:tr w14:paraId="7DE42776">
        <w:tblPrEx>
          <w:tblCellMar>
            <w:top w:w="0" w:type="dxa"/>
            <w:left w:w="108" w:type="dxa"/>
            <w:bottom w:w="0" w:type="dxa"/>
            <w:right w:w="108" w:type="dxa"/>
          </w:tblCellMar>
        </w:tblPrEx>
        <w:trPr>
          <w:trHeight w:val="832" w:hRule="atLeast"/>
          <w:jc w:val="center"/>
        </w:trPr>
        <w:tc>
          <w:tcPr>
            <w:tcW w:w="1286" w:type="dxa"/>
            <w:tcBorders>
              <w:top w:val="single" w:color="auto" w:sz="6" w:space="0"/>
              <w:left w:val="single" w:color="000000" w:sz="12" w:space="0"/>
              <w:bottom w:val="single" w:color="auto" w:sz="6" w:space="0"/>
              <w:right w:val="single" w:color="000000" w:sz="6" w:space="0"/>
            </w:tcBorders>
            <w:vAlign w:val="center"/>
          </w:tcPr>
          <w:p w14:paraId="7384F4EC">
            <w:pPr>
              <w:autoSpaceDE w:val="0"/>
              <w:autoSpaceDN w:val="0"/>
              <w:adjustRightInd w:val="0"/>
              <w:spacing w:line="400" w:lineRule="exact"/>
              <w:jc w:val="center"/>
              <w:rPr>
                <w:rFonts w:ascii="宋体" w:hAnsi="宋体"/>
                <w:kern w:val="10"/>
                <w:szCs w:val="21"/>
                <w:lang w:val="zh-CN"/>
              </w:rPr>
            </w:pPr>
            <w:r>
              <w:rPr>
                <w:rFonts w:ascii="宋体" w:hAnsi="宋体"/>
                <w:kern w:val="10"/>
                <w:szCs w:val="21"/>
              </w:rPr>
              <w:t>5</w:t>
            </w:r>
          </w:p>
        </w:tc>
        <w:tc>
          <w:tcPr>
            <w:tcW w:w="7645" w:type="dxa"/>
            <w:tcBorders>
              <w:top w:val="single" w:color="auto" w:sz="6" w:space="0"/>
              <w:left w:val="nil"/>
              <w:bottom w:val="single" w:color="auto" w:sz="6" w:space="0"/>
              <w:right w:val="single" w:color="000000" w:sz="12" w:space="0"/>
            </w:tcBorders>
            <w:vAlign w:val="center"/>
          </w:tcPr>
          <w:p w14:paraId="5A91C672">
            <w:pPr>
              <w:snapToGrid w:val="0"/>
              <w:spacing w:line="400" w:lineRule="exact"/>
              <w:rPr>
                <w:rFonts w:ascii="宋体" w:hAnsi="宋体"/>
              </w:rPr>
            </w:pPr>
            <w:r>
              <w:rPr>
                <w:rFonts w:hint="eastAsia" w:ascii="宋体" w:hAnsi="宋体"/>
                <w:b/>
              </w:rPr>
              <w:t>签订合同：</w:t>
            </w:r>
          </w:p>
          <w:p w14:paraId="2EEA8C9C">
            <w:pPr>
              <w:snapToGrid w:val="0"/>
              <w:spacing w:line="400" w:lineRule="exact"/>
              <w:ind w:firstLine="210" w:firstLineChars="100"/>
              <w:rPr>
                <w:rFonts w:ascii="宋体" w:hAnsi="宋体"/>
                <w:kern w:val="10"/>
                <w:szCs w:val="21"/>
                <w:lang w:val="zh-CN"/>
              </w:rPr>
            </w:pPr>
            <w:r>
              <w:rPr>
                <w:rFonts w:hint="eastAsia" w:ascii="宋体" w:hAnsi="宋体"/>
              </w:rPr>
              <w:t>按照招标文件的规定、中标人的投标响应及中标通知书确定的金额签订合同。</w:t>
            </w:r>
            <w:bookmarkStart w:id="22" w:name="_Toc343600300"/>
            <w:r>
              <w:rPr>
                <w:rFonts w:hint="eastAsia" w:ascii="宋体" w:hAnsi="宋体"/>
              </w:rPr>
              <w:t>中标通知书发出后30日内签订合同。</w:t>
            </w:r>
            <w:bookmarkEnd w:id="22"/>
          </w:p>
        </w:tc>
      </w:tr>
    </w:tbl>
    <w:p w14:paraId="4893ED9D">
      <w:pPr>
        <w:pStyle w:val="43"/>
        <w:ind w:firstLine="480"/>
        <w:jc w:val="center"/>
        <w:rPr>
          <w:rStyle w:val="116"/>
          <w:rFonts w:hint="default" w:ascii="宋体" w:hAnsi="宋体" w:cs="宋体"/>
          <w:sz w:val="30"/>
          <w:szCs w:val="30"/>
        </w:rPr>
      </w:pPr>
      <w:r>
        <w:rPr>
          <w:rFonts w:ascii="宋体" w:hAnsi="宋体" w:eastAsia="宋体" w:cs="宋体"/>
        </w:rPr>
        <w:br w:type="page"/>
      </w:r>
      <w:r>
        <w:rPr>
          <w:rFonts w:ascii="宋体" w:hAnsi="宋体" w:eastAsia="宋体" w:cs="宋体"/>
          <w:sz w:val="36"/>
          <w:szCs w:val="36"/>
        </w:rPr>
        <w:t xml:space="preserve">第七章  </w:t>
      </w:r>
      <w:bookmarkEnd w:id="20"/>
      <w:r>
        <w:rPr>
          <w:rFonts w:ascii="宋体" w:hAnsi="宋体" w:eastAsia="宋体" w:cs="宋体"/>
          <w:sz w:val="36"/>
          <w:szCs w:val="36"/>
        </w:rPr>
        <w:t>附件</w:t>
      </w:r>
      <w:bookmarkEnd w:id="21"/>
    </w:p>
    <w:p w14:paraId="4867CB07">
      <w:pPr>
        <w:rPr>
          <w:rStyle w:val="116"/>
          <w:rFonts w:ascii="宋体" w:hAnsi="宋体" w:cs="宋体"/>
          <w:szCs w:val="24"/>
        </w:rPr>
      </w:pPr>
      <w:r>
        <w:rPr>
          <w:rStyle w:val="116"/>
          <w:rFonts w:hint="eastAsia" w:ascii="宋体" w:hAnsi="宋体" w:cs="宋体"/>
          <w:szCs w:val="24"/>
        </w:rPr>
        <w:t>附件</w:t>
      </w:r>
    </w:p>
    <w:p w14:paraId="31D03D34">
      <w:pPr>
        <w:jc w:val="center"/>
        <w:rPr>
          <w:rFonts w:ascii="宋体" w:hAnsi="宋体" w:cs="宋体"/>
          <w:b/>
          <w:sz w:val="30"/>
          <w:szCs w:val="30"/>
        </w:rPr>
      </w:pPr>
      <w:r>
        <w:rPr>
          <w:rFonts w:hint="eastAsia" w:ascii="宋体" w:hAnsi="宋体" w:cs="宋体"/>
          <w:b/>
          <w:sz w:val="30"/>
          <w:szCs w:val="30"/>
        </w:rPr>
        <w:t>投 标 函</w:t>
      </w:r>
    </w:p>
    <w:p w14:paraId="19E66308">
      <w:pPr>
        <w:ind w:left="540" w:leftChars="257" w:firstLine="1703" w:firstLineChars="808"/>
        <w:rPr>
          <w:rFonts w:ascii="宋体" w:hAnsi="宋体" w:cs="宋体"/>
          <w:b/>
          <w:szCs w:val="21"/>
        </w:rPr>
      </w:pPr>
    </w:p>
    <w:p w14:paraId="190CE63E">
      <w:pPr>
        <w:spacing w:line="400" w:lineRule="exact"/>
        <w:ind w:firstLine="105" w:firstLineChars="50"/>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14:paraId="16458EDE">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(供应商全称)授权</w:t>
      </w:r>
      <w:r>
        <w:rPr>
          <w:rFonts w:hint="eastAsia" w:ascii="宋体" w:hAnsi="宋体" w:cs="宋体"/>
          <w:szCs w:val="21"/>
          <w:u w:val="single"/>
        </w:rPr>
        <w:t xml:space="preserve">        </w:t>
      </w:r>
      <w:r>
        <w:rPr>
          <w:rFonts w:hint="eastAsia" w:ascii="宋体" w:hAnsi="宋体" w:cs="宋体"/>
          <w:szCs w:val="21"/>
        </w:rPr>
        <w:t>（全名、职务）为全权代表，参加贵方组织的</w:t>
      </w:r>
      <w:r>
        <w:rPr>
          <w:rFonts w:hint="eastAsia" w:ascii="宋体" w:hAnsi="宋体" w:cs="宋体"/>
          <w:szCs w:val="21"/>
          <w:u w:val="single"/>
        </w:rPr>
        <w:t xml:space="preserve">  </w:t>
      </w:r>
      <w:r>
        <w:rPr>
          <w:rFonts w:hint="eastAsia" w:ascii="宋体" w:hAnsi="宋体" w:cs="宋体"/>
          <w:kern w:val="0"/>
          <w:szCs w:val="21"/>
          <w:u w:val="single"/>
          <w:lang w:eastAsia="zh-CN"/>
        </w:rPr>
        <w:t>慈溪市排水有限公司污水处理厂、污水泵站废旧设备清运、集中堆放项目（重发）</w:t>
      </w:r>
      <w:r>
        <w:rPr>
          <w:rFonts w:hint="eastAsia" w:ascii="宋体" w:hAnsi="宋体" w:cs="宋体"/>
          <w:szCs w:val="21"/>
          <w:u w:val="single"/>
        </w:rPr>
        <w:t xml:space="preserve">  </w:t>
      </w:r>
      <w:r>
        <w:rPr>
          <w:rFonts w:hint="eastAsia" w:ascii="宋体" w:hAnsi="宋体" w:cs="宋体"/>
          <w:szCs w:val="21"/>
        </w:rPr>
        <w:t>（招标项目名称）（编号为</w:t>
      </w:r>
      <w:r>
        <w:rPr>
          <w:rFonts w:hint="eastAsia" w:ascii="宋体" w:hAnsi="宋体" w:cs="宋体"/>
          <w:szCs w:val="21"/>
          <w:u w:val="single"/>
        </w:rPr>
        <w:t xml:space="preserve"> QTGGZY202</w:t>
      </w:r>
      <w:r>
        <w:rPr>
          <w:rFonts w:ascii="宋体" w:hAnsi="宋体" w:cs="宋体"/>
          <w:szCs w:val="21"/>
          <w:u w:val="single"/>
        </w:rPr>
        <w:t>5</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）招标活动并投标。为此：</w:t>
      </w:r>
    </w:p>
    <w:p w14:paraId="1633AA5F">
      <w:pPr>
        <w:spacing w:line="400" w:lineRule="exact"/>
        <w:rPr>
          <w:rFonts w:ascii="宋体" w:hAnsi="宋体" w:cs="宋体"/>
          <w:szCs w:val="21"/>
        </w:rPr>
      </w:pPr>
      <w:r>
        <w:rPr>
          <w:rFonts w:hint="eastAsia" w:ascii="宋体" w:hAnsi="宋体" w:cs="宋体"/>
          <w:szCs w:val="21"/>
        </w:rPr>
        <w:t>（1）、我方同意在供应商须知规定的开标日期起遵守本投标函中的承诺且在投标有效期满之前均具有约束力。</w:t>
      </w:r>
    </w:p>
    <w:p w14:paraId="3215D3A4">
      <w:pPr>
        <w:spacing w:line="400" w:lineRule="exact"/>
        <w:rPr>
          <w:rFonts w:ascii="宋体" w:hAnsi="宋体" w:cs="宋体"/>
          <w:szCs w:val="21"/>
        </w:rPr>
      </w:pPr>
      <w:r>
        <w:rPr>
          <w:rFonts w:hint="eastAsia" w:ascii="宋体" w:hAnsi="宋体" w:cs="宋体"/>
          <w:szCs w:val="21"/>
        </w:rPr>
        <w:t>（2）、提供供应商须知规定的全部投标文件。</w:t>
      </w:r>
    </w:p>
    <w:p w14:paraId="5DDC1A48">
      <w:pPr>
        <w:spacing w:line="400" w:lineRule="exact"/>
        <w:rPr>
          <w:rFonts w:ascii="宋体" w:hAnsi="宋体" w:cs="宋体"/>
          <w:szCs w:val="21"/>
        </w:rPr>
      </w:pPr>
      <w:r>
        <w:rPr>
          <w:rFonts w:hint="eastAsia" w:ascii="宋体" w:hAnsi="宋体" w:cs="宋体"/>
          <w:szCs w:val="21"/>
        </w:rPr>
        <w:t>（3）、我方已详细阅读全部招标文件，包括招标文件修改书（如有的话）、参考资料及有关附件，确认无误。同意招标文件中的各项要求。</w:t>
      </w:r>
    </w:p>
    <w:p w14:paraId="1113ABF2">
      <w:pPr>
        <w:spacing w:line="400" w:lineRule="exact"/>
        <w:rPr>
          <w:rFonts w:ascii="宋体" w:hAnsi="宋体" w:cs="宋体"/>
          <w:szCs w:val="21"/>
        </w:rPr>
      </w:pPr>
      <w:bookmarkStart w:id="23" w:name="_Toc231780372"/>
      <w:bookmarkStart w:id="24" w:name="_Toc360457891"/>
      <w:bookmarkStart w:id="25" w:name="_Toc437251189"/>
      <w:r>
        <w:rPr>
          <w:rFonts w:hint="eastAsia" w:ascii="宋体" w:hAnsi="宋体" w:cs="宋体"/>
          <w:szCs w:val="21"/>
        </w:rPr>
        <w:t>（4）、保证忠实地执行双方所签订的合同，并承担合同规定的责任和义务。</w:t>
      </w:r>
      <w:bookmarkEnd w:id="23"/>
      <w:bookmarkEnd w:id="24"/>
      <w:bookmarkEnd w:id="25"/>
    </w:p>
    <w:p w14:paraId="0BD2393A">
      <w:pPr>
        <w:spacing w:line="400" w:lineRule="exact"/>
        <w:rPr>
          <w:rFonts w:ascii="宋体" w:hAnsi="宋体" w:cs="宋体"/>
          <w:szCs w:val="21"/>
        </w:rPr>
      </w:pPr>
      <w:r>
        <w:rPr>
          <w:rFonts w:hint="eastAsia" w:ascii="宋体" w:hAnsi="宋体" w:cs="宋体"/>
          <w:szCs w:val="21"/>
        </w:rPr>
        <w:t>（5）、保证遵守招标文件中的其他有关规定。</w:t>
      </w:r>
    </w:p>
    <w:p w14:paraId="6D48F5A3">
      <w:pPr>
        <w:spacing w:line="400" w:lineRule="exact"/>
        <w:rPr>
          <w:rFonts w:ascii="宋体" w:hAnsi="宋体" w:cs="宋体"/>
          <w:szCs w:val="21"/>
        </w:rPr>
      </w:pPr>
      <w:r>
        <w:rPr>
          <w:rFonts w:hint="eastAsia" w:ascii="宋体" w:hAnsi="宋体" w:cs="宋体"/>
          <w:szCs w:val="21"/>
        </w:rPr>
        <w:t>（6）、如果在开标后的投标有效期内撤回投标，我方同意按招标人的规定进行处罚。</w:t>
      </w:r>
    </w:p>
    <w:p w14:paraId="15F3844A">
      <w:pPr>
        <w:spacing w:line="400" w:lineRule="exact"/>
        <w:rPr>
          <w:rFonts w:ascii="宋体" w:hAnsi="宋体" w:cs="宋体"/>
          <w:szCs w:val="21"/>
        </w:rPr>
      </w:pPr>
      <w:r>
        <w:rPr>
          <w:rFonts w:hint="eastAsia" w:ascii="宋体" w:hAnsi="宋体" w:cs="宋体"/>
          <w:szCs w:val="21"/>
        </w:rPr>
        <w:t>（7）、我方完全理解贵方不一定要接受最低价的投标或收到的任何投标。</w:t>
      </w:r>
    </w:p>
    <w:p w14:paraId="3BB6D71E">
      <w:pPr>
        <w:spacing w:line="400" w:lineRule="exact"/>
        <w:rPr>
          <w:rFonts w:ascii="宋体" w:hAnsi="宋体" w:cs="宋体"/>
          <w:szCs w:val="21"/>
        </w:rPr>
      </w:pPr>
      <w:r>
        <w:rPr>
          <w:rFonts w:hint="eastAsia" w:ascii="宋体" w:hAnsi="宋体" w:cs="宋体"/>
          <w:szCs w:val="21"/>
        </w:rPr>
        <w:t>（8）、我方同意提供按照贵方可能要求的与其投标有关的一切数据或资料，并保证其真实性、合法性。</w:t>
      </w:r>
    </w:p>
    <w:p w14:paraId="633F33D8">
      <w:pPr>
        <w:spacing w:line="400" w:lineRule="exact"/>
        <w:rPr>
          <w:rFonts w:ascii="宋体" w:hAnsi="宋体" w:cs="宋体"/>
          <w:szCs w:val="21"/>
        </w:rPr>
      </w:pPr>
      <w:r>
        <w:rPr>
          <w:rFonts w:hint="eastAsia" w:ascii="宋体" w:hAnsi="宋体" w:cs="宋体"/>
          <w:szCs w:val="21"/>
        </w:rPr>
        <w:t>（9）、投标有效期为自开标日起</w:t>
      </w:r>
      <w:r>
        <w:rPr>
          <w:rFonts w:hint="eastAsia" w:ascii="宋体" w:hAnsi="宋体" w:cs="宋体"/>
          <w:szCs w:val="21"/>
          <w:u w:val="single"/>
        </w:rPr>
        <w:t xml:space="preserve"> 90 </w:t>
      </w:r>
      <w:r>
        <w:rPr>
          <w:rFonts w:hint="eastAsia" w:ascii="宋体" w:hAnsi="宋体" w:cs="宋体"/>
          <w:szCs w:val="21"/>
        </w:rPr>
        <w:t>个日历天。</w:t>
      </w:r>
    </w:p>
    <w:p w14:paraId="772924D8">
      <w:pPr>
        <w:spacing w:line="400" w:lineRule="exact"/>
        <w:rPr>
          <w:rFonts w:ascii="宋体" w:hAnsi="宋体" w:cs="宋体"/>
          <w:szCs w:val="21"/>
        </w:rPr>
      </w:pPr>
      <w:r>
        <w:rPr>
          <w:rFonts w:hint="eastAsia" w:ascii="宋体" w:hAnsi="宋体" w:cs="宋体"/>
          <w:szCs w:val="21"/>
        </w:rPr>
        <w:t>（10）、我们郑重声明：</w:t>
      </w:r>
      <w:r>
        <w:rPr>
          <w:rFonts w:hint="eastAsia" w:ascii="宋体" w:hAnsi="宋体" w:cs="宋体"/>
          <w:bCs/>
          <w:szCs w:val="21"/>
        </w:rPr>
        <w:t>在同一合同项下的采购活动中，不存在单位负责人为同一人或者存在直接控股、管理关系。</w:t>
      </w:r>
    </w:p>
    <w:p w14:paraId="4232B42E">
      <w:pPr>
        <w:spacing w:line="400" w:lineRule="exact"/>
        <w:rPr>
          <w:rFonts w:ascii="宋体" w:hAnsi="宋体" w:cs="宋体"/>
          <w:szCs w:val="21"/>
        </w:rPr>
      </w:pPr>
      <w:r>
        <w:rPr>
          <w:rFonts w:hint="eastAsia" w:ascii="宋体" w:hAnsi="宋体" w:cs="宋体"/>
          <w:szCs w:val="21"/>
        </w:rPr>
        <w:t>与本投标有关的一切往来通讯请寄：</w:t>
      </w:r>
    </w:p>
    <w:p w14:paraId="5486DBD7">
      <w:pPr>
        <w:spacing w:line="400" w:lineRule="exact"/>
        <w:rPr>
          <w:rFonts w:ascii="宋体" w:hAnsi="宋体" w:cs="宋体"/>
          <w:szCs w:val="21"/>
        </w:rPr>
      </w:pPr>
      <w:r>
        <w:rPr>
          <w:rFonts w:hint="eastAsia" w:ascii="宋体" w:hAnsi="宋体" w:cs="宋体"/>
          <w:szCs w:val="21"/>
        </w:rPr>
        <w:t xml:space="preserve">地址：_______________________    </w:t>
      </w:r>
    </w:p>
    <w:p w14:paraId="1EB2F064">
      <w:pPr>
        <w:spacing w:line="400" w:lineRule="exact"/>
        <w:rPr>
          <w:rFonts w:ascii="宋体" w:hAnsi="宋体" w:cs="宋体"/>
          <w:szCs w:val="21"/>
        </w:rPr>
      </w:pPr>
      <w:r>
        <w:rPr>
          <w:rFonts w:hint="eastAsia" w:ascii="宋体" w:hAnsi="宋体" w:cs="宋体"/>
          <w:szCs w:val="21"/>
        </w:rPr>
        <w:t>邮编：_______________________　</w:t>
      </w:r>
    </w:p>
    <w:p w14:paraId="2B410453">
      <w:pPr>
        <w:spacing w:line="400" w:lineRule="exact"/>
        <w:rPr>
          <w:rFonts w:ascii="宋体" w:hAnsi="宋体" w:cs="宋体"/>
          <w:szCs w:val="21"/>
        </w:rPr>
      </w:pPr>
      <w:r>
        <w:rPr>
          <w:rFonts w:hint="eastAsia" w:ascii="宋体" w:hAnsi="宋体" w:cs="宋体"/>
          <w:szCs w:val="21"/>
        </w:rPr>
        <w:t>电话：_______________________　</w:t>
      </w:r>
    </w:p>
    <w:p w14:paraId="221016A2">
      <w:pPr>
        <w:spacing w:line="400" w:lineRule="exact"/>
        <w:rPr>
          <w:rFonts w:ascii="宋体" w:hAnsi="宋体" w:cs="宋体"/>
          <w:szCs w:val="21"/>
        </w:rPr>
      </w:pPr>
      <w:r>
        <w:rPr>
          <w:rFonts w:hint="eastAsia" w:ascii="宋体" w:hAnsi="宋体" w:cs="宋体"/>
          <w:szCs w:val="21"/>
        </w:rPr>
        <w:t>传真：_______________________</w:t>
      </w:r>
    </w:p>
    <w:p w14:paraId="39EE7910">
      <w:pPr>
        <w:adjustRightInd w:val="0"/>
        <w:snapToGrid w:val="0"/>
        <w:spacing w:after="120" w:afterLines="50" w:line="400" w:lineRule="exact"/>
        <w:rPr>
          <w:rFonts w:ascii="宋体" w:hAnsi="宋体" w:cs="宋体"/>
          <w:kern w:val="0"/>
          <w:szCs w:val="21"/>
        </w:rPr>
      </w:pPr>
      <w:r>
        <w:rPr>
          <w:rFonts w:hint="eastAsia" w:ascii="宋体" w:hAnsi="宋体" w:cs="宋体"/>
          <w:kern w:val="0"/>
          <w:szCs w:val="21"/>
        </w:rPr>
        <w:t xml:space="preserve">                                    </w:t>
      </w:r>
    </w:p>
    <w:p w14:paraId="660E06F0">
      <w:pPr>
        <w:adjustRightInd w:val="0"/>
        <w:snapToGrid w:val="0"/>
        <w:spacing w:after="120" w:afterLines="50" w:line="400" w:lineRule="exact"/>
        <w:jc w:val="center"/>
        <w:rPr>
          <w:rFonts w:ascii="宋体" w:hAnsi="宋体" w:cs="宋体"/>
          <w:kern w:val="0"/>
          <w:szCs w:val="21"/>
        </w:rPr>
      </w:pPr>
      <w:r>
        <w:rPr>
          <w:rFonts w:hint="eastAsia" w:ascii="宋体" w:hAnsi="宋体" w:cs="宋体"/>
          <w:kern w:val="0"/>
          <w:szCs w:val="21"/>
        </w:rPr>
        <w:t xml:space="preserve">       供应商名称（公章）：                               </w:t>
      </w:r>
    </w:p>
    <w:p w14:paraId="2584E1AA">
      <w:pPr>
        <w:spacing w:line="400" w:lineRule="exact"/>
        <w:rPr>
          <w:rFonts w:ascii="宋体" w:hAnsi="宋体" w:cs="宋体"/>
          <w:kern w:val="0"/>
          <w:szCs w:val="21"/>
          <w:u w:val="single"/>
        </w:rPr>
      </w:pPr>
      <w:r>
        <w:rPr>
          <w:rFonts w:hint="eastAsia" w:ascii="宋体" w:hAnsi="宋体" w:cs="宋体"/>
          <w:kern w:val="0"/>
          <w:szCs w:val="21"/>
        </w:rPr>
        <w:t xml:space="preserve">                                     </w:t>
      </w: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kern w:val="0"/>
          <w:szCs w:val="21"/>
          <w:u w:val="single"/>
        </w:rPr>
        <w:t xml:space="preserve">        </w:t>
      </w:r>
    </w:p>
    <w:p w14:paraId="3BCFB0AE">
      <w:pPr>
        <w:spacing w:line="360" w:lineRule="auto"/>
        <w:rPr>
          <w:rFonts w:ascii="宋体" w:hAnsi="宋体" w:cs="宋体"/>
          <w:kern w:val="0"/>
          <w:szCs w:val="21"/>
          <w:u w:val="single"/>
        </w:rPr>
      </w:pPr>
    </w:p>
    <w:p w14:paraId="7437E570">
      <w:pPr>
        <w:spacing w:line="360" w:lineRule="auto"/>
        <w:rPr>
          <w:rFonts w:ascii="宋体" w:hAnsi="宋体" w:cs="宋体"/>
          <w:kern w:val="0"/>
          <w:szCs w:val="21"/>
          <w:u w:val="single"/>
        </w:rPr>
      </w:pPr>
    </w:p>
    <w:p w14:paraId="0E9F0679">
      <w:pPr>
        <w:spacing w:line="360" w:lineRule="auto"/>
        <w:rPr>
          <w:rStyle w:val="116"/>
          <w:rFonts w:ascii="宋体" w:hAnsi="宋体" w:cs="宋体"/>
          <w:sz w:val="28"/>
          <w:szCs w:val="28"/>
        </w:rPr>
      </w:pPr>
    </w:p>
    <w:p w14:paraId="104DA6AA">
      <w:pPr>
        <w:spacing w:line="480" w:lineRule="auto"/>
        <w:jc w:val="left"/>
        <w:rPr>
          <w:rStyle w:val="116"/>
          <w:rFonts w:ascii="宋体" w:hAnsi="宋体" w:cs="宋体"/>
          <w:sz w:val="30"/>
          <w:szCs w:val="30"/>
        </w:rPr>
      </w:pPr>
    </w:p>
    <w:p w14:paraId="6D4F1FBF">
      <w:pPr>
        <w:pStyle w:val="43"/>
        <w:ind w:firstLine="594"/>
        <w:rPr>
          <w:rStyle w:val="116"/>
          <w:rFonts w:hint="default" w:ascii="宋体" w:hAnsi="宋体" w:cs="宋体"/>
          <w:sz w:val="30"/>
          <w:szCs w:val="30"/>
        </w:rPr>
      </w:pPr>
    </w:p>
    <w:p w14:paraId="70E655A5">
      <w:pPr>
        <w:pStyle w:val="43"/>
        <w:ind w:firstLine="594"/>
        <w:rPr>
          <w:rStyle w:val="116"/>
          <w:rFonts w:hint="default" w:ascii="宋体" w:hAnsi="宋体" w:cs="宋体"/>
          <w:sz w:val="30"/>
          <w:szCs w:val="30"/>
        </w:rPr>
      </w:pPr>
    </w:p>
    <w:p w14:paraId="04A1EDFD">
      <w:pPr>
        <w:spacing w:line="480" w:lineRule="auto"/>
        <w:jc w:val="left"/>
        <w:rPr>
          <w:rStyle w:val="116"/>
          <w:rFonts w:ascii="宋体" w:hAnsi="宋体" w:cs="宋体"/>
          <w:sz w:val="30"/>
          <w:szCs w:val="30"/>
        </w:rPr>
      </w:pPr>
      <w:r>
        <w:rPr>
          <w:rStyle w:val="116"/>
          <w:rFonts w:hint="eastAsia" w:ascii="宋体" w:hAnsi="宋体" w:cs="宋体"/>
          <w:szCs w:val="24"/>
        </w:rPr>
        <w:t>附件</w:t>
      </w:r>
      <w:r>
        <w:rPr>
          <w:rFonts w:hint="eastAsia" w:ascii="宋体" w:hAnsi="宋体" w:cs="宋体"/>
          <w:b/>
          <w:sz w:val="32"/>
        </w:rPr>
        <w:t xml:space="preserve">   </w:t>
      </w:r>
    </w:p>
    <w:p w14:paraId="75E517A3">
      <w:pPr>
        <w:jc w:val="center"/>
        <w:rPr>
          <w:rFonts w:ascii="宋体" w:hAnsi="宋体" w:cs="宋体"/>
          <w:b/>
          <w:sz w:val="30"/>
          <w:szCs w:val="30"/>
        </w:rPr>
      </w:pPr>
      <w:bookmarkStart w:id="26" w:name="_Toc12376828"/>
      <w:bookmarkStart w:id="27" w:name="_Toc12428987"/>
      <w:bookmarkStart w:id="28" w:name="_Toc529781151"/>
      <w:bookmarkStart w:id="29" w:name="_Toc12374303"/>
      <w:r>
        <w:rPr>
          <w:rFonts w:hint="eastAsia" w:ascii="宋体" w:hAnsi="宋体" w:cs="宋体"/>
          <w:b/>
          <w:sz w:val="30"/>
          <w:szCs w:val="30"/>
        </w:rPr>
        <w:t>法定代表人身份证明</w:t>
      </w:r>
      <w:bookmarkEnd w:id="26"/>
      <w:bookmarkEnd w:id="27"/>
      <w:bookmarkEnd w:id="28"/>
      <w:bookmarkEnd w:id="29"/>
    </w:p>
    <w:p w14:paraId="65ED74DB">
      <w:pPr>
        <w:spacing w:line="400" w:lineRule="exact"/>
        <w:jc w:val="center"/>
        <w:outlineLvl w:val="0"/>
        <w:rPr>
          <w:rFonts w:ascii="宋体" w:hAnsi="宋体" w:cs="宋体"/>
          <w:bCs/>
          <w:szCs w:val="21"/>
        </w:rPr>
      </w:pPr>
      <w:r>
        <w:rPr>
          <w:rFonts w:hint="eastAsia" w:ascii="宋体" w:hAnsi="宋体" w:cs="宋体"/>
          <w:bCs/>
          <w:szCs w:val="21"/>
        </w:rPr>
        <w:t>（若法定代表人参加开标的，在开标身份确认时另提供一份原件）</w:t>
      </w:r>
    </w:p>
    <w:p w14:paraId="54371CA8">
      <w:pPr>
        <w:pStyle w:val="43"/>
        <w:ind w:firstLine="480"/>
        <w:rPr>
          <w:rFonts w:hint="default" w:ascii="宋体" w:hAnsi="宋体" w:eastAsia="宋体" w:cs="宋体"/>
        </w:rPr>
      </w:pPr>
    </w:p>
    <w:p w14:paraId="107489F3">
      <w:pPr>
        <w:spacing w:after="120" w:afterLines="50" w:line="400" w:lineRule="exact"/>
        <w:rPr>
          <w:rFonts w:ascii="宋体" w:hAnsi="宋体" w:cs="宋体"/>
          <w:szCs w:val="21"/>
          <w:u w:val="single"/>
        </w:rPr>
      </w:pPr>
      <w:r>
        <w:rPr>
          <w:rFonts w:hint="eastAsia" w:ascii="宋体" w:hAnsi="宋体" w:cs="宋体"/>
          <w:szCs w:val="21"/>
          <w:lang w:bidi="ar"/>
        </w:rPr>
        <w:t>供应商名称：</w:t>
      </w:r>
      <w:r>
        <w:rPr>
          <w:rFonts w:hint="eastAsia" w:ascii="宋体" w:hAnsi="宋体" w:cs="宋体"/>
          <w:szCs w:val="21"/>
          <w:u w:val="single"/>
          <w:lang w:bidi="ar"/>
        </w:rPr>
        <w:t xml:space="preserve">                                  </w:t>
      </w:r>
    </w:p>
    <w:p w14:paraId="61357557">
      <w:pPr>
        <w:spacing w:after="120" w:afterLines="50" w:line="400" w:lineRule="exact"/>
        <w:rPr>
          <w:rFonts w:ascii="宋体" w:hAnsi="宋体" w:cs="宋体"/>
          <w:szCs w:val="21"/>
          <w:u w:val="single"/>
        </w:rPr>
      </w:pPr>
      <w:r>
        <w:rPr>
          <w:rFonts w:hint="eastAsia" w:ascii="宋体" w:hAnsi="宋体" w:cs="宋体"/>
          <w:szCs w:val="21"/>
          <w:lang w:bidi="ar"/>
        </w:rPr>
        <w:t>单位性质：</w:t>
      </w:r>
      <w:r>
        <w:rPr>
          <w:rFonts w:hint="eastAsia" w:ascii="宋体" w:hAnsi="宋体" w:cs="宋体"/>
          <w:szCs w:val="21"/>
          <w:u w:val="single"/>
          <w:lang w:bidi="ar"/>
        </w:rPr>
        <w:t xml:space="preserve">                                    </w:t>
      </w:r>
    </w:p>
    <w:p w14:paraId="1CDFF609">
      <w:pPr>
        <w:spacing w:after="120" w:afterLines="50" w:line="400" w:lineRule="exact"/>
        <w:rPr>
          <w:rFonts w:ascii="宋体" w:hAnsi="宋体" w:cs="宋体"/>
          <w:szCs w:val="21"/>
          <w:u w:val="single"/>
        </w:rPr>
      </w:pPr>
      <w:r>
        <w:rPr>
          <w:rFonts w:hint="eastAsia" w:ascii="宋体" w:hAnsi="宋体" w:cs="宋体"/>
          <w:szCs w:val="21"/>
          <w:lang w:bidi="ar"/>
        </w:rPr>
        <w:t>地址：</w:t>
      </w:r>
      <w:r>
        <w:rPr>
          <w:rFonts w:hint="eastAsia" w:ascii="宋体" w:hAnsi="宋体" w:cs="宋体"/>
          <w:szCs w:val="21"/>
          <w:u w:val="single"/>
          <w:lang w:bidi="ar"/>
        </w:rPr>
        <w:t xml:space="preserve">                                        </w:t>
      </w:r>
    </w:p>
    <w:p w14:paraId="6A2F6DBC">
      <w:pPr>
        <w:spacing w:after="120" w:afterLines="50" w:line="400" w:lineRule="exact"/>
        <w:rPr>
          <w:rFonts w:ascii="宋体" w:hAnsi="宋体" w:cs="宋体"/>
          <w:szCs w:val="21"/>
          <w:u w:val="single"/>
        </w:rPr>
      </w:pPr>
      <w:r>
        <w:rPr>
          <w:rFonts w:hint="eastAsia" w:ascii="宋体" w:hAnsi="宋体" w:cs="宋体"/>
          <w:szCs w:val="21"/>
          <w:lang w:bidi="ar"/>
        </w:rPr>
        <w:t>成立时间：</w:t>
      </w:r>
      <w:r>
        <w:rPr>
          <w:rFonts w:hint="eastAsia" w:ascii="宋体" w:hAnsi="宋体" w:cs="宋体"/>
          <w:szCs w:val="21"/>
          <w:u w:val="single"/>
          <w:lang w:bidi="ar"/>
        </w:rPr>
        <w:t xml:space="preserve">          </w:t>
      </w:r>
      <w:r>
        <w:rPr>
          <w:rFonts w:hint="eastAsia" w:ascii="宋体" w:hAnsi="宋体" w:cs="宋体"/>
          <w:szCs w:val="21"/>
          <w:lang w:bidi="ar"/>
        </w:rPr>
        <w:t>年</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3823A9BC">
      <w:pPr>
        <w:spacing w:after="120" w:afterLines="50" w:line="400" w:lineRule="exact"/>
        <w:rPr>
          <w:rFonts w:ascii="宋体" w:hAnsi="宋体" w:cs="宋体"/>
          <w:szCs w:val="21"/>
          <w:u w:val="single"/>
        </w:rPr>
      </w:pPr>
      <w:r>
        <w:rPr>
          <w:rFonts w:hint="eastAsia" w:ascii="宋体" w:hAnsi="宋体" w:cs="宋体"/>
          <w:szCs w:val="21"/>
          <w:lang w:bidi="ar"/>
        </w:rPr>
        <w:t>经营期限：</w:t>
      </w:r>
      <w:r>
        <w:rPr>
          <w:rFonts w:hint="eastAsia" w:ascii="宋体" w:hAnsi="宋体" w:cs="宋体"/>
          <w:szCs w:val="21"/>
          <w:u w:val="single"/>
          <w:lang w:bidi="ar"/>
        </w:rPr>
        <w:t xml:space="preserve">                                     </w:t>
      </w:r>
    </w:p>
    <w:p w14:paraId="0BDA4D3A">
      <w:pPr>
        <w:spacing w:after="120" w:afterLines="50" w:line="400" w:lineRule="exact"/>
        <w:rPr>
          <w:rFonts w:ascii="宋体" w:hAnsi="宋体" w:cs="宋体"/>
          <w:szCs w:val="21"/>
          <w:u w:val="single"/>
        </w:rPr>
      </w:pPr>
      <w:r>
        <w:rPr>
          <w:rFonts w:hint="eastAsia" w:ascii="宋体" w:hAnsi="宋体" w:cs="宋体"/>
          <w:szCs w:val="21"/>
          <w:lang w:bidi="ar"/>
        </w:rPr>
        <w:t>姓名：</w:t>
      </w:r>
      <w:r>
        <w:rPr>
          <w:rFonts w:hint="eastAsia" w:ascii="宋体" w:hAnsi="宋体" w:cs="宋体"/>
          <w:szCs w:val="21"/>
          <w:u w:val="single"/>
          <w:lang w:bidi="ar"/>
        </w:rPr>
        <w:t xml:space="preserve">         </w:t>
      </w:r>
      <w:r>
        <w:rPr>
          <w:rFonts w:hint="eastAsia" w:ascii="宋体" w:hAnsi="宋体" w:cs="宋体"/>
          <w:szCs w:val="21"/>
          <w:lang w:bidi="ar"/>
        </w:rPr>
        <w:t xml:space="preserve">  性别：</w:t>
      </w:r>
      <w:r>
        <w:rPr>
          <w:rFonts w:hint="eastAsia" w:ascii="宋体" w:hAnsi="宋体" w:cs="宋体"/>
          <w:szCs w:val="21"/>
          <w:u w:val="single"/>
          <w:lang w:bidi="ar"/>
        </w:rPr>
        <w:t xml:space="preserve">         </w:t>
      </w:r>
      <w:r>
        <w:rPr>
          <w:rFonts w:hint="eastAsia" w:ascii="宋体" w:hAnsi="宋体" w:cs="宋体"/>
          <w:szCs w:val="21"/>
          <w:lang w:bidi="ar"/>
        </w:rPr>
        <w:t xml:space="preserve">  年龄：</w:t>
      </w:r>
      <w:r>
        <w:rPr>
          <w:rFonts w:hint="eastAsia" w:ascii="宋体" w:hAnsi="宋体" w:cs="宋体"/>
          <w:szCs w:val="21"/>
          <w:u w:val="single"/>
          <w:lang w:bidi="ar"/>
        </w:rPr>
        <w:t xml:space="preserve">         </w:t>
      </w:r>
      <w:r>
        <w:rPr>
          <w:rFonts w:hint="eastAsia" w:ascii="宋体" w:hAnsi="宋体" w:cs="宋体"/>
          <w:szCs w:val="21"/>
          <w:lang w:bidi="ar"/>
        </w:rPr>
        <w:t xml:space="preserve">  </w:t>
      </w:r>
      <w:r>
        <w:rPr>
          <w:rFonts w:hint="eastAsia" w:ascii="宋体" w:hAnsi="宋体" w:cs="宋体"/>
          <w:lang w:bidi="ar"/>
        </w:rPr>
        <w:t>职务：</w:t>
      </w:r>
      <w:r>
        <w:rPr>
          <w:rFonts w:hint="eastAsia" w:ascii="宋体" w:hAnsi="宋体" w:cs="宋体"/>
          <w:u w:val="single"/>
          <w:lang w:bidi="ar"/>
        </w:rPr>
        <w:t xml:space="preserve">          </w:t>
      </w:r>
      <w:r>
        <w:rPr>
          <w:rFonts w:hint="eastAsia" w:ascii="宋体" w:hAnsi="宋体" w:cs="宋体"/>
          <w:szCs w:val="21"/>
          <w:u w:val="single"/>
          <w:lang w:bidi="ar"/>
        </w:rPr>
        <w:t xml:space="preserve">    </w:t>
      </w:r>
      <w:r>
        <w:rPr>
          <w:rFonts w:hint="eastAsia" w:ascii="宋体" w:hAnsi="宋体" w:cs="宋体"/>
          <w:szCs w:val="21"/>
          <w:lang w:bidi="ar"/>
        </w:rPr>
        <w:t xml:space="preserve">  </w:t>
      </w:r>
    </w:p>
    <w:p w14:paraId="20AAF642">
      <w:pPr>
        <w:spacing w:after="120" w:afterLines="50" w:line="400" w:lineRule="exact"/>
        <w:rPr>
          <w:rFonts w:ascii="宋体" w:hAnsi="宋体" w:cs="宋体"/>
          <w:szCs w:val="21"/>
        </w:rPr>
      </w:pPr>
      <w:r>
        <w:rPr>
          <w:rFonts w:hint="eastAsia" w:ascii="宋体" w:hAnsi="宋体" w:cs="宋体"/>
          <w:szCs w:val="21"/>
          <w:lang w:bidi="ar"/>
        </w:rPr>
        <w:t>身份证号码：</w:t>
      </w:r>
      <w:r>
        <w:rPr>
          <w:rFonts w:hint="eastAsia" w:ascii="宋体" w:hAnsi="宋体" w:cs="宋体"/>
          <w:szCs w:val="21"/>
          <w:u w:val="single"/>
          <w:lang w:bidi="ar"/>
        </w:rPr>
        <w:t xml:space="preserve">                           </w:t>
      </w:r>
      <w:r>
        <w:rPr>
          <w:rFonts w:hint="eastAsia" w:ascii="宋体" w:hAnsi="宋体" w:cs="宋体"/>
          <w:szCs w:val="21"/>
          <w:lang w:bidi="ar"/>
        </w:rPr>
        <w:t>系</w:t>
      </w:r>
      <w:r>
        <w:rPr>
          <w:rFonts w:hint="eastAsia" w:ascii="宋体" w:hAnsi="宋体" w:cs="宋体"/>
          <w:szCs w:val="21"/>
          <w:u w:val="single"/>
          <w:lang w:bidi="ar"/>
        </w:rPr>
        <w:t xml:space="preserve">                          </w:t>
      </w:r>
      <w:r>
        <w:rPr>
          <w:rFonts w:hint="eastAsia" w:ascii="宋体" w:hAnsi="宋体" w:cs="宋体"/>
          <w:szCs w:val="21"/>
          <w:lang w:bidi="ar"/>
        </w:rPr>
        <w:t>（供应商名称）的法定代表人。</w:t>
      </w:r>
    </w:p>
    <w:p w14:paraId="314C73E1">
      <w:pPr>
        <w:spacing w:line="400" w:lineRule="exact"/>
        <w:ind w:firstLine="560"/>
        <w:rPr>
          <w:rFonts w:ascii="宋体" w:hAnsi="宋体" w:cs="宋体"/>
          <w:szCs w:val="21"/>
        </w:rPr>
      </w:pPr>
    </w:p>
    <w:p w14:paraId="25917148">
      <w:pPr>
        <w:spacing w:line="400" w:lineRule="exact"/>
        <w:rPr>
          <w:rFonts w:ascii="宋体" w:hAnsi="宋体" w:cs="宋体"/>
          <w:szCs w:val="21"/>
        </w:rPr>
      </w:pPr>
      <w:r>
        <w:rPr>
          <w:rFonts w:hint="eastAsia" w:ascii="宋体" w:hAnsi="宋体" w:cs="宋体"/>
          <w:szCs w:val="21"/>
          <w:lang w:bidi="ar"/>
        </w:rPr>
        <w:t>特此证明。</w:t>
      </w:r>
    </w:p>
    <w:p w14:paraId="730305FC">
      <w:pPr>
        <w:spacing w:line="400" w:lineRule="exact"/>
        <w:rPr>
          <w:rFonts w:ascii="宋体" w:hAnsi="宋体" w:cs="宋体"/>
          <w:szCs w:val="21"/>
        </w:rPr>
      </w:pPr>
    </w:p>
    <w:p w14:paraId="425A3A9C">
      <w:pPr>
        <w:spacing w:line="400" w:lineRule="exact"/>
        <w:rPr>
          <w:rFonts w:ascii="宋体" w:hAnsi="宋体" w:cs="宋体"/>
          <w:szCs w:val="21"/>
        </w:rPr>
      </w:pPr>
      <w:r>
        <w:rPr>
          <w:rFonts w:hint="eastAsia" w:ascii="宋体" w:hAnsi="宋体" w:cs="宋体"/>
          <w:szCs w:val="21"/>
          <w:lang w:bidi="ar"/>
        </w:rPr>
        <w:t>供应商（盖章）：</w:t>
      </w:r>
    </w:p>
    <w:p w14:paraId="038B3B2E">
      <w:pPr>
        <w:spacing w:line="400" w:lineRule="exact"/>
        <w:ind w:right="560"/>
        <w:rPr>
          <w:rFonts w:ascii="宋体" w:hAnsi="宋体" w:cs="宋体"/>
          <w:szCs w:val="21"/>
        </w:rPr>
      </w:pPr>
      <w:r>
        <w:rPr>
          <w:rFonts w:hint="eastAsia" w:ascii="宋体" w:hAnsi="宋体" w:cs="宋体"/>
          <w:szCs w:val="21"/>
          <w:lang w:bidi="ar"/>
        </w:rPr>
        <w:t>日期：   年    月    日</w:t>
      </w:r>
    </w:p>
    <w:p w14:paraId="2E14DCF7">
      <w:pPr>
        <w:spacing w:line="400" w:lineRule="exact"/>
        <w:ind w:right="560"/>
        <w:rPr>
          <w:rFonts w:ascii="宋体" w:hAnsi="宋体" w:cs="宋体"/>
          <w:szCs w:val="21"/>
        </w:rPr>
      </w:pPr>
    </w:p>
    <w:p w14:paraId="3654B1A5">
      <w:pPr>
        <w:spacing w:line="400" w:lineRule="exact"/>
        <w:ind w:right="560"/>
        <w:rPr>
          <w:rFonts w:ascii="宋体" w:hAnsi="宋体" w:cs="宋体"/>
          <w:szCs w:val="21"/>
        </w:rPr>
      </w:pPr>
    </w:p>
    <w:p w14:paraId="72A1188C">
      <w:pPr>
        <w:spacing w:line="400" w:lineRule="exact"/>
        <w:rPr>
          <w:rFonts w:ascii="宋体" w:hAnsi="宋体" w:cs="宋体"/>
          <w:szCs w:val="21"/>
        </w:rPr>
      </w:pPr>
      <w:r>
        <w:rPr>
          <w:rFonts w:hint="eastAsia" w:ascii="宋体" w:hAnsi="宋体" w:cs="宋体"/>
          <w:szCs w:val="21"/>
          <w:lang w:bidi="ar"/>
        </w:rPr>
        <w:t>附：法定代表人身份证扫描件</w:t>
      </w:r>
    </w:p>
    <w:p w14:paraId="27C7871E">
      <w:pPr>
        <w:spacing w:line="400" w:lineRule="exact"/>
        <w:jc w:val="left"/>
        <w:rPr>
          <w:rFonts w:ascii="宋体" w:hAnsi="宋体" w:cs="宋体"/>
          <w:sz w:val="24"/>
          <w:szCs w:val="21"/>
        </w:rPr>
      </w:pPr>
    </w:p>
    <w:p w14:paraId="421D3A94">
      <w:pPr>
        <w:spacing w:line="400" w:lineRule="exact"/>
        <w:jc w:val="left"/>
        <w:rPr>
          <w:rFonts w:ascii="宋体" w:hAnsi="宋体" w:cs="宋体"/>
          <w:sz w:val="24"/>
          <w:szCs w:val="21"/>
        </w:rPr>
      </w:pPr>
    </w:p>
    <w:p w14:paraId="082DC917">
      <w:pPr>
        <w:jc w:val="center"/>
        <w:rPr>
          <w:rFonts w:ascii="宋体" w:hAnsi="宋体" w:cs="宋体"/>
          <w:b/>
          <w:spacing w:val="40"/>
          <w:sz w:val="28"/>
          <w:szCs w:val="28"/>
        </w:rPr>
      </w:pPr>
    </w:p>
    <w:p w14:paraId="069D9A6E">
      <w:pPr>
        <w:jc w:val="center"/>
        <w:rPr>
          <w:rFonts w:ascii="宋体" w:hAnsi="宋体" w:cs="宋体"/>
          <w:b/>
          <w:spacing w:val="40"/>
          <w:sz w:val="28"/>
          <w:szCs w:val="28"/>
        </w:rPr>
      </w:pPr>
    </w:p>
    <w:p w14:paraId="23584848">
      <w:pPr>
        <w:spacing w:line="400" w:lineRule="exact"/>
        <w:jc w:val="left"/>
        <w:outlineLvl w:val="0"/>
        <w:rPr>
          <w:rStyle w:val="116"/>
          <w:rFonts w:ascii="宋体" w:hAnsi="宋体" w:cs="宋体"/>
          <w:sz w:val="30"/>
          <w:szCs w:val="30"/>
        </w:rPr>
      </w:pPr>
    </w:p>
    <w:p w14:paraId="045BFB82">
      <w:pPr>
        <w:spacing w:line="400" w:lineRule="exact"/>
        <w:jc w:val="left"/>
        <w:rPr>
          <w:rFonts w:ascii="宋体" w:hAnsi="宋体" w:cs="宋体"/>
          <w:b/>
          <w:spacing w:val="-2"/>
          <w:kern w:val="0"/>
          <w:sz w:val="24"/>
          <w:szCs w:val="21"/>
          <w:lang w:bidi="ar"/>
        </w:rPr>
      </w:pPr>
    </w:p>
    <w:p w14:paraId="37F08B76">
      <w:pPr>
        <w:pStyle w:val="43"/>
        <w:ind w:firstLine="474"/>
        <w:rPr>
          <w:rFonts w:hint="default" w:ascii="宋体" w:hAnsi="宋体" w:eastAsia="宋体" w:cs="宋体"/>
          <w:b/>
          <w:spacing w:val="-2"/>
          <w:kern w:val="0"/>
          <w:szCs w:val="21"/>
          <w:lang w:bidi="ar"/>
        </w:rPr>
      </w:pPr>
    </w:p>
    <w:p w14:paraId="7A7D8C66">
      <w:pPr>
        <w:pStyle w:val="43"/>
        <w:ind w:firstLine="474"/>
        <w:rPr>
          <w:rFonts w:hint="default" w:ascii="宋体" w:hAnsi="宋体" w:eastAsia="宋体" w:cs="宋体"/>
          <w:b/>
          <w:spacing w:val="-2"/>
          <w:kern w:val="0"/>
          <w:szCs w:val="21"/>
          <w:lang w:bidi="ar"/>
        </w:rPr>
      </w:pPr>
    </w:p>
    <w:p w14:paraId="191DAB07">
      <w:pPr>
        <w:pStyle w:val="43"/>
        <w:ind w:firstLine="474"/>
        <w:rPr>
          <w:rFonts w:hint="default" w:ascii="宋体" w:hAnsi="宋体" w:eastAsia="宋体" w:cs="宋体"/>
          <w:b/>
          <w:spacing w:val="-2"/>
          <w:kern w:val="0"/>
          <w:szCs w:val="21"/>
          <w:lang w:bidi="ar"/>
        </w:rPr>
      </w:pPr>
    </w:p>
    <w:p w14:paraId="64624846">
      <w:pPr>
        <w:pStyle w:val="43"/>
        <w:ind w:firstLine="474"/>
        <w:rPr>
          <w:rFonts w:hint="default" w:ascii="宋体" w:hAnsi="宋体" w:eastAsia="宋体" w:cs="宋体"/>
          <w:b/>
          <w:spacing w:val="-2"/>
          <w:kern w:val="0"/>
          <w:szCs w:val="21"/>
          <w:lang w:bidi="ar"/>
        </w:rPr>
      </w:pPr>
    </w:p>
    <w:p w14:paraId="5BF5B966">
      <w:pPr>
        <w:pStyle w:val="43"/>
        <w:ind w:firstLine="474"/>
        <w:rPr>
          <w:rFonts w:hint="default" w:ascii="宋体" w:hAnsi="宋体" w:eastAsia="宋体" w:cs="宋体"/>
          <w:b/>
          <w:spacing w:val="-2"/>
          <w:kern w:val="0"/>
          <w:szCs w:val="21"/>
          <w:lang w:bidi="ar"/>
        </w:rPr>
      </w:pPr>
    </w:p>
    <w:p w14:paraId="53F5FE33">
      <w:pPr>
        <w:pStyle w:val="43"/>
        <w:ind w:firstLine="474"/>
        <w:rPr>
          <w:rFonts w:hint="default" w:ascii="宋体" w:hAnsi="宋体" w:eastAsia="宋体" w:cs="宋体"/>
          <w:b/>
          <w:spacing w:val="-2"/>
          <w:kern w:val="0"/>
          <w:szCs w:val="21"/>
          <w:lang w:bidi="ar"/>
        </w:rPr>
      </w:pPr>
    </w:p>
    <w:p w14:paraId="218147AA">
      <w:pPr>
        <w:pStyle w:val="43"/>
        <w:ind w:firstLine="474"/>
        <w:rPr>
          <w:rFonts w:hint="default" w:ascii="宋体" w:hAnsi="宋体" w:eastAsia="宋体" w:cs="宋体"/>
          <w:b/>
          <w:spacing w:val="-2"/>
          <w:kern w:val="0"/>
          <w:szCs w:val="21"/>
          <w:lang w:bidi="ar"/>
        </w:rPr>
      </w:pPr>
    </w:p>
    <w:p w14:paraId="71A1945C">
      <w:pPr>
        <w:spacing w:line="400" w:lineRule="exact"/>
        <w:jc w:val="left"/>
        <w:rPr>
          <w:rFonts w:ascii="宋体" w:hAnsi="宋体" w:cs="宋体"/>
          <w:b/>
          <w:szCs w:val="21"/>
        </w:rPr>
      </w:pPr>
      <w:r>
        <w:rPr>
          <w:rFonts w:hint="eastAsia" w:ascii="宋体" w:hAnsi="宋体" w:cs="宋体"/>
          <w:b/>
          <w:spacing w:val="-2"/>
          <w:kern w:val="0"/>
          <w:sz w:val="24"/>
          <w:szCs w:val="21"/>
          <w:lang w:bidi="ar"/>
        </w:rPr>
        <w:t>附件</w:t>
      </w:r>
    </w:p>
    <w:p w14:paraId="3794D95D">
      <w:pPr>
        <w:spacing w:line="400" w:lineRule="exact"/>
        <w:jc w:val="left"/>
        <w:rPr>
          <w:rFonts w:ascii="宋体" w:hAnsi="宋体" w:cs="宋体"/>
          <w:b/>
          <w:szCs w:val="21"/>
        </w:rPr>
      </w:pPr>
    </w:p>
    <w:p w14:paraId="3F32F4DD">
      <w:pPr>
        <w:jc w:val="center"/>
        <w:rPr>
          <w:rFonts w:ascii="宋体" w:hAnsi="宋体" w:cs="宋体"/>
          <w:b/>
          <w:sz w:val="30"/>
          <w:szCs w:val="30"/>
        </w:rPr>
      </w:pPr>
      <w:r>
        <w:rPr>
          <w:rFonts w:hint="eastAsia" w:ascii="宋体" w:hAnsi="宋体" w:cs="宋体"/>
          <w:b/>
          <w:sz w:val="30"/>
          <w:szCs w:val="30"/>
        </w:rPr>
        <w:t>关于资格的声明函</w:t>
      </w:r>
    </w:p>
    <w:p w14:paraId="04FD6FB7">
      <w:pPr>
        <w:spacing w:line="400" w:lineRule="exact"/>
        <w:ind w:left="540" w:firstLine="30"/>
        <w:jc w:val="center"/>
        <w:rPr>
          <w:rFonts w:ascii="宋体" w:hAnsi="宋体" w:cs="宋体"/>
          <w:b/>
          <w:szCs w:val="21"/>
        </w:rPr>
      </w:pPr>
    </w:p>
    <w:p w14:paraId="0343C8F3">
      <w:pPr>
        <w:spacing w:line="400" w:lineRule="exact"/>
        <w:rPr>
          <w:rFonts w:ascii="宋体" w:hAnsi="宋体" w:cs="宋体"/>
          <w:szCs w:val="21"/>
        </w:rPr>
      </w:pPr>
      <w:r>
        <w:rPr>
          <w:rFonts w:hint="eastAsia" w:ascii="宋体" w:hAnsi="宋体" w:cs="宋体"/>
          <w:szCs w:val="21"/>
          <w:lang w:bidi="ar"/>
        </w:rPr>
        <w:t>致：招标人</w:t>
      </w:r>
    </w:p>
    <w:p w14:paraId="3752D810">
      <w:pPr>
        <w:spacing w:line="400" w:lineRule="exact"/>
        <w:ind w:firstLine="420" w:firstLineChars="200"/>
        <w:rPr>
          <w:rFonts w:ascii="宋体" w:hAnsi="宋体" w:cs="宋体"/>
          <w:szCs w:val="21"/>
        </w:rPr>
      </w:pPr>
      <w:r>
        <w:rPr>
          <w:rFonts w:hint="eastAsia" w:ascii="宋体" w:hAnsi="宋体" w:cs="宋体"/>
          <w:szCs w:val="21"/>
          <w:lang w:bidi="ar"/>
        </w:rPr>
        <w:t>关于贵方对采购编号为</w:t>
      </w:r>
      <w:r>
        <w:rPr>
          <w:rFonts w:hint="eastAsia" w:ascii="宋体" w:hAnsi="宋体" w:cs="宋体"/>
          <w:szCs w:val="21"/>
          <w:u w:val="single"/>
          <w:lang w:bidi="ar"/>
        </w:rPr>
        <w:t xml:space="preserve">  </w:t>
      </w:r>
      <w:r>
        <w:rPr>
          <w:rFonts w:ascii="宋体" w:hAnsi="宋体" w:cs="宋体"/>
          <w:szCs w:val="21"/>
          <w:u w:val="single"/>
          <w:lang w:bidi="ar"/>
        </w:rPr>
        <w:t xml:space="preserve">   </w:t>
      </w:r>
      <w:r>
        <w:rPr>
          <w:rFonts w:hint="eastAsia" w:ascii="宋体" w:hAnsi="宋体" w:cs="宋体"/>
          <w:szCs w:val="21"/>
          <w:u w:val="single"/>
          <w:lang w:bidi="ar"/>
        </w:rPr>
        <w:t xml:space="preserve">   </w:t>
      </w:r>
      <w:r>
        <w:rPr>
          <w:rFonts w:ascii="宋体" w:hAnsi="宋体" w:cs="宋体"/>
          <w:szCs w:val="21"/>
          <w:u w:val="single"/>
        </w:rPr>
        <w:t xml:space="preserve"> </w:t>
      </w:r>
      <w:r>
        <w:rPr>
          <w:rFonts w:hint="eastAsia" w:ascii="宋体" w:hAnsi="宋体" w:cs="宋体"/>
          <w:szCs w:val="21"/>
          <w:u w:val="single"/>
          <w:lang w:bidi="ar"/>
        </w:rPr>
        <w:t xml:space="preserve">  </w:t>
      </w:r>
      <w:r>
        <w:rPr>
          <w:rFonts w:hint="eastAsia" w:ascii="宋体" w:hAnsi="宋体" w:cs="宋体"/>
          <w:szCs w:val="21"/>
          <w:lang w:bidi="ar"/>
        </w:rPr>
        <w:t>的</w:t>
      </w:r>
      <w:r>
        <w:rPr>
          <w:rFonts w:hint="eastAsia" w:ascii="宋体" w:hAnsi="宋体" w:cs="宋体"/>
          <w:szCs w:val="21"/>
          <w:u w:val="single"/>
          <w:lang w:bidi="ar"/>
        </w:rPr>
        <w:t xml:space="preserve"> </w:t>
      </w:r>
      <w:r>
        <w:rPr>
          <w:rFonts w:hint="eastAsia" w:ascii="宋体" w:hAnsi="宋体" w:cs="宋体"/>
          <w:kern w:val="0"/>
          <w:szCs w:val="21"/>
          <w:u w:val="single"/>
          <w:lang w:eastAsia="zh-CN"/>
        </w:rPr>
        <w:t>慈溪市排水有限公司污水处理厂、污水泵站废旧设备清运、集中堆放项目（重发）</w:t>
      </w:r>
      <w:r>
        <w:rPr>
          <w:rFonts w:hint="eastAsia" w:ascii="宋体" w:hAnsi="宋体" w:cs="宋体"/>
          <w:szCs w:val="21"/>
          <w:lang w:bidi="ar"/>
        </w:rPr>
        <w:t xml:space="preserve">（项目名称），本单位申明如下： </w:t>
      </w:r>
    </w:p>
    <w:p w14:paraId="0229E87F">
      <w:pPr>
        <w:numPr>
          <w:ilvl w:val="0"/>
          <w:numId w:val="7"/>
        </w:numPr>
        <w:spacing w:line="400" w:lineRule="exact"/>
        <w:ind w:firstLine="420" w:firstLineChars="200"/>
        <w:rPr>
          <w:rFonts w:ascii="宋体" w:hAnsi="宋体"/>
          <w:szCs w:val="21"/>
        </w:rPr>
      </w:pPr>
      <w:r>
        <w:rPr>
          <w:rFonts w:hint="eastAsia" w:ascii="宋体" w:hAnsi="宋体"/>
          <w:szCs w:val="21"/>
        </w:rPr>
        <w:t xml:space="preserve">符合《中华人民共和国招标投标法》规定的投标人资格条件。 </w:t>
      </w:r>
    </w:p>
    <w:p w14:paraId="5CFFC371">
      <w:pPr>
        <w:numPr>
          <w:ilvl w:val="0"/>
          <w:numId w:val="7"/>
        </w:numPr>
        <w:spacing w:line="400" w:lineRule="exact"/>
        <w:ind w:firstLine="420" w:firstLineChars="200"/>
        <w:rPr>
          <w:rFonts w:ascii="宋体" w:hAnsi="宋体"/>
          <w:szCs w:val="21"/>
        </w:rPr>
      </w:pPr>
      <w:r>
        <w:rPr>
          <w:rFonts w:hint="eastAsia" w:ascii="宋体" w:hAnsi="宋体"/>
          <w:szCs w:val="21"/>
        </w:rPr>
        <w:t>未被信用中国网站（www.creditchina.gov.cn）列入失信被执行人、重大税收违法案件当事人名单。</w:t>
      </w:r>
    </w:p>
    <w:p w14:paraId="522F1F20">
      <w:pPr>
        <w:numPr>
          <w:ilvl w:val="0"/>
          <w:numId w:val="7"/>
        </w:numPr>
        <w:spacing w:line="400" w:lineRule="exact"/>
        <w:ind w:firstLine="420" w:firstLineChars="200"/>
        <w:rPr>
          <w:rFonts w:ascii="宋体" w:hAnsi="宋体"/>
          <w:szCs w:val="21"/>
        </w:rPr>
      </w:pPr>
      <w:r>
        <w:rPr>
          <w:rFonts w:hint="eastAsia" w:ascii="宋体" w:hAnsi="宋体"/>
          <w:szCs w:val="21"/>
        </w:rPr>
        <w:t>本项目我单位非联合体投标。</w:t>
      </w:r>
    </w:p>
    <w:p w14:paraId="13EC9927">
      <w:pPr>
        <w:spacing w:line="400" w:lineRule="exact"/>
        <w:ind w:firstLine="420" w:firstLineChars="200"/>
        <w:rPr>
          <w:rFonts w:ascii="宋体" w:hAnsi="宋体" w:cs="宋体"/>
          <w:szCs w:val="21"/>
        </w:rPr>
      </w:pPr>
    </w:p>
    <w:p w14:paraId="7BFC1193">
      <w:pPr>
        <w:spacing w:line="400" w:lineRule="exact"/>
        <w:ind w:firstLine="420" w:firstLineChars="200"/>
        <w:rPr>
          <w:rFonts w:ascii="宋体" w:hAnsi="宋体" w:cs="宋体"/>
          <w:szCs w:val="21"/>
        </w:rPr>
      </w:pPr>
    </w:p>
    <w:p w14:paraId="445EC435">
      <w:pPr>
        <w:spacing w:line="400" w:lineRule="exact"/>
        <w:ind w:firstLine="420" w:firstLineChars="200"/>
        <w:rPr>
          <w:rFonts w:ascii="宋体" w:hAnsi="宋体" w:cs="宋体"/>
          <w:szCs w:val="21"/>
        </w:rPr>
      </w:pPr>
    </w:p>
    <w:p w14:paraId="6C3CAEE3">
      <w:pPr>
        <w:spacing w:line="400" w:lineRule="atLeast"/>
        <w:jc w:val="left"/>
        <w:rPr>
          <w:rFonts w:ascii="宋体" w:hAnsi="宋体" w:cs="宋体"/>
          <w:szCs w:val="21"/>
        </w:rPr>
      </w:pPr>
      <w:r>
        <w:rPr>
          <w:rFonts w:hint="eastAsia" w:ascii="宋体" w:hAnsi="宋体" w:cs="宋体"/>
          <w:szCs w:val="21"/>
          <w:lang w:bidi="ar"/>
        </w:rPr>
        <w:t>供应商（盖章）：</w:t>
      </w:r>
      <w:r>
        <w:rPr>
          <w:rFonts w:hint="eastAsia" w:ascii="宋体" w:hAnsi="宋体" w:cs="宋体"/>
          <w:szCs w:val="21"/>
          <w:u w:val="single"/>
          <w:lang w:bidi="ar"/>
        </w:rPr>
        <w:t xml:space="preserve">                                </w:t>
      </w:r>
      <w:r>
        <w:rPr>
          <w:rFonts w:hint="eastAsia" w:ascii="宋体" w:hAnsi="宋体" w:cs="宋体"/>
          <w:szCs w:val="21"/>
          <w:lang w:bidi="ar"/>
        </w:rPr>
        <w:t xml:space="preserve">          </w:t>
      </w:r>
    </w:p>
    <w:p w14:paraId="6B8A33F7">
      <w:pPr>
        <w:spacing w:line="400" w:lineRule="atLeast"/>
        <w:rPr>
          <w:rFonts w:ascii="宋体" w:hAnsi="宋体" w:cs="宋体"/>
          <w:szCs w:val="21"/>
          <w:u w:val="single"/>
        </w:rPr>
      </w:pPr>
      <w:r>
        <w:rPr>
          <w:rFonts w:hint="eastAsia" w:ascii="宋体" w:hAnsi="宋体" w:cs="宋体"/>
          <w:szCs w:val="21"/>
          <w:lang w:bidi="ar"/>
        </w:rPr>
        <w:t>日            期：</w:t>
      </w:r>
      <w:r>
        <w:rPr>
          <w:rFonts w:hint="eastAsia" w:ascii="宋体" w:hAnsi="宋体" w:cs="宋体"/>
          <w:szCs w:val="21"/>
          <w:u w:val="single"/>
          <w:lang w:bidi="ar"/>
        </w:rPr>
        <w:t xml:space="preserve">                             </w:t>
      </w:r>
    </w:p>
    <w:p w14:paraId="3BC33341">
      <w:pPr>
        <w:spacing w:line="400" w:lineRule="exact"/>
        <w:ind w:firstLine="600" w:firstLineChars="250"/>
        <w:jc w:val="center"/>
        <w:rPr>
          <w:rFonts w:ascii="宋体" w:hAnsi="宋体" w:cs="宋体"/>
          <w:sz w:val="24"/>
          <w:szCs w:val="21"/>
        </w:rPr>
      </w:pPr>
    </w:p>
    <w:p w14:paraId="57695BD0">
      <w:pPr>
        <w:spacing w:line="400" w:lineRule="exact"/>
        <w:jc w:val="left"/>
        <w:rPr>
          <w:rFonts w:ascii="宋体" w:hAnsi="宋体" w:cs="宋体"/>
          <w:b/>
          <w:spacing w:val="-2"/>
          <w:kern w:val="0"/>
          <w:sz w:val="24"/>
          <w:szCs w:val="21"/>
          <w:lang w:bidi="ar"/>
        </w:rPr>
      </w:pPr>
      <w:r>
        <w:rPr>
          <w:rFonts w:hint="eastAsia" w:ascii="宋体" w:hAnsi="宋体" w:cs="宋体"/>
          <w:b/>
          <w:spacing w:val="-2"/>
          <w:sz w:val="24"/>
          <w:szCs w:val="21"/>
          <w:lang w:bidi="ar"/>
        </w:rPr>
        <w:br w:type="page"/>
      </w:r>
      <w:r>
        <w:rPr>
          <w:rFonts w:hint="eastAsia" w:ascii="宋体" w:hAnsi="宋体" w:cs="宋体"/>
          <w:b/>
          <w:spacing w:val="-2"/>
          <w:kern w:val="0"/>
          <w:sz w:val="24"/>
          <w:szCs w:val="21"/>
          <w:lang w:bidi="ar"/>
        </w:rPr>
        <w:t>附件</w:t>
      </w:r>
    </w:p>
    <w:p w14:paraId="4DD6378F">
      <w:pPr>
        <w:pStyle w:val="43"/>
        <w:ind w:firstLine="480"/>
        <w:rPr>
          <w:rFonts w:hint="default"/>
        </w:rPr>
      </w:pPr>
    </w:p>
    <w:p w14:paraId="1F2D9288">
      <w:pPr>
        <w:jc w:val="center"/>
        <w:rPr>
          <w:rFonts w:ascii="宋体" w:hAnsi="宋体" w:cs="宋体"/>
          <w:b/>
          <w:sz w:val="30"/>
          <w:szCs w:val="30"/>
        </w:rPr>
      </w:pPr>
      <w:r>
        <w:rPr>
          <w:rFonts w:hint="eastAsia" w:ascii="宋体" w:hAnsi="宋体" w:cs="宋体"/>
          <w:b/>
          <w:sz w:val="30"/>
          <w:szCs w:val="30"/>
        </w:rPr>
        <w:t>供应商一般情况</w:t>
      </w:r>
    </w:p>
    <w:p w14:paraId="09B08103">
      <w:pPr>
        <w:pStyle w:val="43"/>
        <w:ind w:firstLine="480"/>
        <w:rPr>
          <w:rFonts w:hint="default"/>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4068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0E4452B">
            <w:pPr>
              <w:spacing w:line="400" w:lineRule="exact"/>
              <w:jc w:val="center"/>
              <w:rPr>
                <w:rFonts w:ascii="宋体" w:hAnsi="宋体" w:cs="宋体"/>
                <w:szCs w:val="21"/>
              </w:rPr>
            </w:pPr>
            <w:r>
              <w:rPr>
                <w:rFonts w:hint="eastAsia" w:ascii="宋体" w:hAnsi="宋体" w:cs="宋体"/>
                <w:szCs w:val="21"/>
                <w:lang w:bidi="ar"/>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018FB1B8">
            <w:pPr>
              <w:spacing w:line="400" w:lineRule="exact"/>
              <w:rPr>
                <w:rFonts w:ascii="宋体" w:hAnsi="宋体" w:cs="宋体"/>
                <w:szCs w:val="21"/>
              </w:rPr>
            </w:pPr>
            <w:r>
              <w:rPr>
                <w:rFonts w:hint="eastAsia" w:ascii="宋体" w:hAnsi="宋体" w:cs="宋体"/>
                <w:szCs w:val="21"/>
                <w:lang w:bidi="ar"/>
              </w:rPr>
              <w:t>单位名称：</w:t>
            </w:r>
          </w:p>
        </w:tc>
      </w:tr>
      <w:tr w14:paraId="735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2CEF51F">
            <w:pPr>
              <w:spacing w:line="400" w:lineRule="exact"/>
              <w:jc w:val="center"/>
              <w:rPr>
                <w:rFonts w:ascii="宋体" w:hAnsi="宋体" w:cs="宋体"/>
                <w:szCs w:val="21"/>
              </w:rPr>
            </w:pPr>
            <w:r>
              <w:rPr>
                <w:rFonts w:hint="eastAsia" w:ascii="宋体" w:hAnsi="宋体" w:cs="宋体"/>
                <w:szCs w:val="21"/>
                <w:lang w:bidi="ar"/>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5E1B7E1E">
            <w:pPr>
              <w:spacing w:line="400" w:lineRule="exact"/>
              <w:rPr>
                <w:rFonts w:ascii="宋体" w:hAnsi="宋体" w:cs="宋体"/>
                <w:szCs w:val="21"/>
              </w:rPr>
            </w:pPr>
            <w:r>
              <w:rPr>
                <w:rFonts w:hint="eastAsia" w:ascii="宋体" w:hAnsi="宋体" w:cs="宋体"/>
                <w:szCs w:val="21"/>
                <w:lang w:bidi="ar"/>
              </w:rPr>
              <w:t>总部地址：</w:t>
            </w:r>
          </w:p>
        </w:tc>
      </w:tr>
      <w:tr w14:paraId="3733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4374F24">
            <w:pPr>
              <w:spacing w:line="400" w:lineRule="exact"/>
              <w:jc w:val="center"/>
              <w:rPr>
                <w:rFonts w:ascii="宋体" w:hAnsi="宋体" w:cs="宋体"/>
                <w:szCs w:val="21"/>
              </w:rPr>
            </w:pPr>
            <w:r>
              <w:rPr>
                <w:rFonts w:hint="eastAsia" w:ascii="宋体" w:hAnsi="宋体" w:cs="宋体"/>
                <w:szCs w:val="21"/>
                <w:lang w:bidi="ar"/>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5AD5D918">
            <w:pPr>
              <w:spacing w:line="400" w:lineRule="exact"/>
              <w:rPr>
                <w:rFonts w:ascii="宋体" w:hAnsi="宋体" w:cs="宋体"/>
                <w:szCs w:val="21"/>
              </w:rPr>
            </w:pPr>
            <w:r>
              <w:rPr>
                <w:rFonts w:hint="eastAsia" w:ascii="宋体" w:hAnsi="宋体" w:cs="宋体"/>
                <w:szCs w:val="21"/>
                <w:lang w:bidi="ar"/>
              </w:rPr>
              <w:t>当地代表处地址：</w:t>
            </w:r>
          </w:p>
        </w:tc>
      </w:tr>
      <w:tr w14:paraId="6F0C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10D56B8">
            <w:pPr>
              <w:spacing w:line="400" w:lineRule="exact"/>
              <w:jc w:val="center"/>
              <w:rPr>
                <w:rFonts w:ascii="宋体" w:hAnsi="宋体" w:cs="宋体"/>
                <w:szCs w:val="21"/>
              </w:rPr>
            </w:pPr>
            <w:r>
              <w:rPr>
                <w:rFonts w:hint="eastAsia" w:ascii="宋体" w:hAnsi="宋体" w:cs="宋体"/>
                <w:szCs w:val="21"/>
                <w:lang w:bidi="ar"/>
              </w:rPr>
              <w:t>4</w:t>
            </w:r>
          </w:p>
        </w:tc>
        <w:tc>
          <w:tcPr>
            <w:tcW w:w="4305" w:type="dxa"/>
            <w:tcBorders>
              <w:top w:val="single" w:color="auto" w:sz="4" w:space="0"/>
              <w:left w:val="single" w:color="auto" w:sz="4" w:space="0"/>
              <w:bottom w:val="single" w:color="auto" w:sz="4" w:space="0"/>
              <w:right w:val="single" w:color="auto" w:sz="4" w:space="0"/>
            </w:tcBorders>
            <w:vAlign w:val="center"/>
          </w:tcPr>
          <w:p w14:paraId="4141D1B1">
            <w:pPr>
              <w:spacing w:line="400" w:lineRule="exact"/>
              <w:rPr>
                <w:rFonts w:ascii="宋体" w:hAnsi="宋体" w:cs="宋体"/>
                <w:szCs w:val="21"/>
              </w:rPr>
            </w:pPr>
            <w:r>
              <w:rPr>
                <w:rFonts w:hint="eastAsia" w:ascii="宋体" w:hAnsi="宋体" w:cs="宋体"/>
                <w:szCs w:val="21"/>
                <w:lang w:bidi="ar"/>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4B6A27ED">
            <w:pPr>
              <w:spacing w:line="400" w:lineRule="exact"/>
              <w:rPr>
                <w:rFonts w:ascii="宋体" w:hAnsi="宋体" w:cs="宋体"/>
                <w:szCs w:val="21"/>
              </w:rPr>
            </w:pPr>
            <w:r>
              <w:rPr>
                <w:rFonts w:hint="eastAsia" w:ascii="宋体" w:hAnsi="宋体" w:cs="宋体"/>
                <w:szCs w:val="21"/>
                <w:lang w:bidi="ar"/>
              </w:rPr>
              <w:t>联 系 人：</w:t>
            </w:r>
          </w:p>
        </w:tc>
      </w:tr>
      <w:tr w14:paraId="7437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4D61C12">
            <w:pPr>
              <w:spacing w:line="400" w:lineRule="exact"/>
              <w:jc w:val="center"/>
              <w:rPr>
                <w:rFonts w:ascii="宋体" w:hAnsi="宋体" w:cs="宋体"/>
                <w:szCs w:val="21"/>
              </w:rPr>
            </w:pPr>
            <w:r>
              <w:rPr>
                <w:rFonts w:hint="eastAsia" w:ascii="宋体" w:hAnsi="宋体" w:cs="宋体"/>
                <w:szCs w:val="21"/>
                <w:lang w:bidi="ar"/>
              </w:rPr>
              <w:t>5</w:t>
            </w:r>
          </w:p>
        </w:tc>
        <w:tc>
          <w:tcPr>
            <w:tcW w:w="4305" w:type="dxa"/>
            <w:tcBorders>
              <w:top w:val="single" w:color="auto" w:sz="4" w:space="0"/>
              <w:left w:val="single" w:color="auto" w:sz="4" w:space="0"/>
              <w:bottom w:val="single" w:color="auto" w:sz="4" w:space="0"/>
              <w:right w:val="single" w:color="auto" w:sz="4" w:space="0"/>
            </w:tcBorders>
            <w:vAlign w:val="center"/>
          </w:tcPr>
          <w:p w14:paraId="28AD7916">
            <w:pPr>
              <w:spacing w:line="400" w:lineRule="exact"/>
              <w:rPr>
                <w:rFonts w:ascii="宋体" w:hAnsi="宋体" w:cs="宋体"/>
                <w:szCs w:val="21"/>
              </w:rPr>
            </w:pPr>
            <w:r>
              <w:rPr>
                <w:rFonts w:hint="eastAsia" w:ascii="宋体" w:hAnsi="宋体" w:cs="宋体"/>
                <w:szCs w:val="21"/>
                <w:lang w:bidi="ar"/>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4001417A">
            <w:pPr>
              <w:spacing w:line="400" w:lineRule="exact"/>
              <w:rPr>
                <w:rFonts w:ascii="宋体" w:hAnsi="宋体" w:cs="宋体"/>
                <w:szCs w:val="21"/>
              </w:rPr>
            </w:pPr>
            <w:r>
              <w:rPr>
                <w:rFonts w:hint="eastAsia" w:ascii="宋体" w:hAnsi="宋体" w:cs="宋体"/>
                <w:szCs w:val="21"/>
                <w:lang w:bidi="ar"/>
              </w:rPr>
              <w:t>电子信箱：</w:t>
            </w:r>
          </w:p>
        </w:tc>
      </w:tr>
      <w:tr w14:paraId="4E10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B903A95">
            <w:pPr>
              <w:spacing w:line="400" w:lineRule="exact"/>
              <w:jc w:val="center"/>
              <w:rPr>
                <w:rFonts w:ascii="宋体" w:hAnsi="宋体" w:cs="宋体"/>
                <w:szCs w:val="21"/>
              </w:rPr>
            </w:pPr>
            <w:r>
              <w:rPr>
                <w:rFonts w:hint="eastAsia" w:ascii="宋体" w:hAnsi="宋体" w:cs="宋体"/>
                <w:szCs w:val="21"/>
                <w:lang w:bidi="ar"/>
              </w:rPr>
              <w:t>6</w:t>
            </w:r>
          </w:p>
        </w:tc>
        <w:tc>
          <w:tcPr>
            <w:tcW w:w="4305" w:type="dxa"/>
            <w:tcBorders>
              <w:top w:val="single" w:color="auto" w:sz="4" w:space="0"/>
              <w:left w:val="single" w:color="auto" w:sz="4" w:space="0"/>
              <w:bottom w:val="single" w:color="auto" w:sz="4" w:space="0"/>
              <w:right w:val="single" w:color="auto" w:sz="4" w:space="0"/>
            </w:tcBorders>
            <w:vAlign w:val="center"/>
          </w:tcPr>
          <w:p w14:paraId="450664D8">
            <w:pPr>
              <w:spacing w:line="400" w:lineRule="exact"/>
              <w:rPr>
                <w:rFonts w:ascii="宋体" w:hAnsi="宋体" w:cs="宋体"/>
                <w:szCs w:val="21"/>
              </w:rPr>
            </w:pPr>
            <w:r>
              <w:rPr>
                <w:rFonts w:hint="eastAsia" w:ascii="宋体" w:hAnsi="宋体" w:cs="宋体"/>
                <w:szCs w:val="21"/>
                <w:lang w:bidi="ar"/>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627AE46F">
            <w:pPr>
              <w:spacing w:line="400" w:lineRule="exact"/>
              <w:rPr>
                <w:rFonts w:ascii="宋体" w:hAnsi="宋体" w:cs="宋体"/>
                <w:szCs w:val="21"/>
              </w:rPr>
            </w:pPr>
            <w:r>
              <w:rPr>
                <w:rFonts w:hint="eastAsia" w:ascii="宋体" w:hAnsi="宋体" w:cs="宋体"/>
                <w:szCs w:val="21"/>
                <w:lang w:bidi="ar"/>
              </w:rPr>
              <w:t>注册年份：</w:t>
            </w:r>
          </w:p>
        </w:tc>
      </w:tr>
      <w:tr w14:paraId="106F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7AF2A2E">
            <w:pPr>
              <w:spacing w:line="400" w:lineRule="exact"/>
              <w:jc w:val="center"/>
              <w:rPr>
                <w:rFonts w:ascii="宋体" w:hAnsi="宋体" w:cs="宋体"/>
                <w:szCs w:val="21"/>
              </w:rPr>
            </w:pPr>
            <w:r>
              <w:rPr>
                <w:rFonts w:hint="eastAsia" w:ascii="宋体" w:hAnsi="宋体" w:cs="宋体"/>
                <w:szCs w:val="21"/>
                <w:lang w:bidi="ar"/>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0C6CEB75">
            <w:pPr>
              <w:spacing w:line="400" w:lineRule="exact"/>
              <w:rPr>
                <w:rFonts w:ascii="宋体" w:hAnsi="宋体" w:cs="宋体"/>
                <w:szCs w:val="21"/>
              </w:rPr>
            </w:pPr>
            <w:r>
              <w:rPr>
                <w:rFonts w:hint="eastAsia" w:ascii="宋体" w:hAnsi="宋体" w:cs="宋体"/>
                <w:szCs w:val="21"/>
                <w:lang w:bidi="ar"/>
              </w:rPr>
              <w:t>公司的经营范围：</w:t>
            </w:r>
          </w:p>
        </w:tc>
      </w:tr>
      <w:tr w14:paraId="7532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D211D62">
            <w:pPr>
              <w:spacing w:line="400" w:lineRule="exact"/>
              <w:jc w:val="center"/>
              <w:rPr>
                <w:rFonts w:ascii="宋体" w:hAnsi="宋体" w:cs="宋体"/>
                <w:szCs w:val="21"/>
              </w:rPr>
            </w:pPr>
            <w:r>
              <w:rPr>
                <w:rFonts w:hint="eastAsia" w:ascii="宋体" w:hAnsi="宋体" w:cs="宋体"/>
                <w:szCs w:val="21"/>
                <w:lang w:bidi="ar"/>
              </w:rPr>
              <w:t>8</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41F7B022">
            <w:pPr>
              <w:spacing w:line="400" w:lineRule="exact"/>
              <w:rPr>
                <w:rFonts w:ascii="宋体" w:hAnsi="宋体" w:cs="宋体"/>
                <w:szCs w:val="21"/>
              </w:rPr>
            </w:pPr>
            <w:r>
              <w:rPr>
                <w:rFonts w:hint="eastAsia" w:ascii="宋体" w:hAnsi="宋体" w:cs="宋体"/>
                <w:szCs w:val="21"/>
                <w:lang w:bidi="ar"/>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37395346">
            <w:pPr>
              <w:spacing w:line="400" w:lineRule="exact"/>
              <w:rPr>
                <w:rFonts w:ascii="宋体" w:hAnsi="宋体" w:cs="宋体"/>
                <w:szCs w:val="21"/>
              </w:rPr>
            </w:pPr>
          </w:p>
        </w:tc>
      </w:tr>
      <w:tr w14:paraId="57C7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DD9F991">
            <w:pPr>
              <w:spacing w:line="400" w:lineRule="exact"/>
              <w:jc w:val="center"/>
              <w:rPr>
                <w:rFonts w:ascii="宋体" w:hAnsi="宋体" w:cs="宋体"/>
                <w:szCs w:val="21"/>
              </w:rPr>
            </w:pPr>
            <w:r>
              <w:rPr>
                <w:rFonts w:hint="eastAsia" w:ascii="宋体" w:hAnsi="宋体" w:cs="宋体"/>
                <w:szCs w:val="21"/>
                <w:lang w:bidi="ar"/>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0BCB126E">
            <w:pPr>
              <w:spacing w:line="400" w:lineRule="exact"/>
              <w:rPr>
                <w:rFonts w:ascii="宋体" w:hAnsi="宋体" w:cs="宋体"/>
                <w:szCs w:val="21"/>
              </w:rPr>
            </w:pPr>
            <w:r>
              <w:rPr>
                <w:rFonts w:hint="eastAsia" w:ascii="宋体" w:hAnsi="宋体" w:cs="宋体"/>
                <w:szCs w:val="21"/>
                <w:lang w:bidi="ar"/>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4C1F61CC">
            <w:pPr>
              <w:spacing w:line="400" w:lineRule="exact"/>
              <w:rPr>
                <w:rFonts w:ascii="宋体" w:hAnsi="宋体" w:cs="宋体"/>
                <w:szCs w:val="21"/>
              </w:rPr>
            </w:pPr>
          </w:p>
        </w:tc>
      </w:tr>
      <w:tr w14:paraId="53CF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B34F37F">
            <w:pPr>
              <w:spacing w:line="400" w:lineRule="exact"/>
              <w:jc w:val="center"/>
              <w:rPr>
                <w:rFonts w:ascii="宋体" w:hAnsi="宋体" w:cs="宋体"/>
                <w:szCs w:val="21"/>
              </w:rPr>
            </w:pPr>
            <w:r>
              <w:rPr>
                <w:rFonts w:hint="eastAsia" w:ascii="宋体" w:hAnsi="宋体" w:cs="宋体"/>
                <w:szCs w:val="21"/>
                <w:lang w:bidi="ar"/>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C51C2C8">
            <w:pPr>
              <w:spacing w:line="400" w:lineRule="exact"/>
              <w:rPr>
                <w:rFonts w:ascii="宋体" w:hAnsi="宋体" w:cs="宋体"/>
                <w:szCs w:val="21"/>
              </w:rPr>
            </w:pPr>
            <w:r>
              <w:rPr>
                <w:rFonts w:hint="eastAsia" w:ascii="宋体" w:hAnsi="宋体" w:cs="宋体"/>
                <w:szCs w:val="21"/>
                <w:lang w:bidi="ar"/>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25522AD3">
            <w:pPr>
              <w:spacing w:line="400" w:lineRule="exact"/>
              <w:rPr>
                <w:rFonts w:ascii="宋体" w:hAnsi="宋体" w:cs="宋体"/>
                <w:szCs w:val="21"/>
              </w:rPr>
            </w:pPr>
          </w:p>
        </w:tc>
      </w:tr>
    </w:tbl>
    <w:p w14:paraId="36F25290">
      <w:pPr>
        <w:spacing w:line="400" w:lineRule="exact"/>
        <w:jc w:val="left"/>
        <w:rPr>
          <w:rFonts w:ascii="宋体" w:hAnsi="宋体" w:cs="宋体"/>
          <w:szCs w:val="21"/>
        </w:rPr>
      </w:pPr>
    </w:p>
    <w:p w14:paraId="7A1ACD4C">
      <w:pPr>
        <w:pStyle w:val="43"/>
        <w:ind w:firstLine="480"/>
        <w:rPr>
          <w:rFonts w:hint="default" w:ascii="宋体" w:hAnsi="宋体" w:eastAsia="宋体" w:cs="宋体"/>
        </w:rPr>
      </w:pPr>
    </w:p>
    <w:p w14:paraId="5D398328">
      <w:pPr>
        <w:spacing w:line="400" w:lineRule="exact"/>
        <w:jc w:val="left"/>
        <w:rPr>
          <w:rFonts w:ascii="宋体" w:hAnsi="宋体" w:cs="宋体"/>
          <w:szCs w:val="21"/>
        </w:rPr>
      </w:pPr>
      <w:r>
        <w:rPr>
          <w:rFonts w:hint="eastAsia" w:ascii="宋体" w:hAnsi="宋体" w:cs="宋体"/>
          <w:szCs w:val="21"/>
          <w:lang w:bidi="ar"/>
        </w:rPr>
        <w:t>供应商（盖章）：</w:t>
      </w:r>
      <w:r>
        <w:rPr>
          <w:rFonts w:hint="eastAsia" w:ascii="宋体" w:hAnsi="宋体" w:cs="宋体"/>
          <w:szCs w:val="21"/>
          <w:u w:val="single"/>
          <w:lang w:bidi="ar"/>
        </w:rPr>
        <w:t xml:space="preserve">                                </w:t>
      </w:r>
      <w:r>
        <w:rPr>
          <w:rFonts w:hint="eastAsia" w:ascii="宋体" w:hAnsi="宋体" w:cs="宋体"/>
          <w:szCs w:val="21"/>
          <w:lang w:bidi="ar"/>
        </w:rPr>
        <w:t xml:space="preserve">          </w:t>
      </w:r>
    </w:p>
    <w:p w14:paraId="754BDCF3">
      <w:pPr>
        <w:spacing w:line="400" w:lineRule="exact"/>
        <w:rPr>
          <w:rFonts w:ascii="宋体" w:hAnsi="宋体" w:cs="宋体"/>
          <w:szCs w:val="21"/>
          <w:u w:val="single"/>
        </w:rPr>
      </w:pPr>
      <w:r>
        <w:rPr>
          <w:rFonts w:hint="eastAsia" w:ascii="宋体" w:hAnsi="宋体" w:cs="宋体"/>
          <w:szCs w:val="21"/>
          <w:lang w:bidi="ar"/>
        </w:rPr>
        <w:t>日            期：</w:t>
      </w:r>
      <w:r>
        <w:rPr>
          <w:rFonts w:hint="eastAsia" w:ascii="宋体" w:hAnsi="宋体" w:cs="宋体"/>
          <w:szCs w:val="21"/>
          <w:u w:val="single"/>
          <w:lang w:bidi="ar"/>
        </w:rPr>
        <w:t xml:space="preserve">                             </w:t>
      </w:r>
    </w:p>
    <w:p w14:paraId="0D549088">
      <w:pPr>
        <w:spacing w:line="480" w:lineRule="auto"/>
        <w:jc w:val="left"/>
        <w:rPr>
          <w:rStyle w:val="116"/>
          <w:rFonts w:ascii="宋体" w:hAnsi="宋体" w:cs="宋体"/>
          <w:szCs w:val="24"/>
        </w:rPr>
      </w:pPr>
      <w:r>
        <w:rPr>
          <w:rFonts w:hint="eastAsia" w:ascii="宋体" w:hAnsi="宋体" w:cs="宋体"/>
          <w:b/>
          <w:spacing w:val="-2"/>
          <w:sz w:val="24"/>
          <w:szCs w:val="21"/>
          <w:lang w:bidi="ar"/>
        </w:rPr>
        <w:br w:type="page"/>
      </w:r>
      <w:r>
        <w:rPr>
          <w:rStyle w:val="116"/>
          <w:rFonts w:hint="eastAsia" w:ascii="宋体" w:hAnsi="宋体" w:cs="宋体"/>
          <w:szCs w:val="24"/>
        </w:rPr>
        <w:t>附件</w:t>
      </w:r>
    </w:p>
    <w:p w14:paraId="5207341C">
      <w:pPr>
        <w:jc w:val="center"/>
        <w:rPr>
          <w:rFonts w:ascii="宋体" w:hAnsi="宋体" w:cs="宋体"/>
          <w:b/>
          <w:sz w:val="30"/>
          <w:szCs w:val="30"/>
        </w:rPr>
      </w:pPr>
      <w:r>
        <w:rPr>
          <w:rFonts w:hint="eastAsia" w:ascii="宋体" w:hAnsi="宋体" w:cs="宋体"/>
          <w:b/>
          <w:sz w:val="30"/>
          <w:szCs w:val="30"/>
        </w:rPr>
        <w:t>商务条款响应表</w:t>
      </w:r>
    </w:p>
    <w:p w14:paraId="4BF48621">
      <w:pPr>
        <w:pStyle w:val="43"/>
        <w:ind w:firstLine="480"/>
        <w:rPr>
          <w:rFonts w:hint="default"/>
        </w:rPr>
      </w:pPr>
    </w:p>
    <w:p w14:paraId="5E1B5384">
      <w:pPr>
        <w:spacing w:line="400" w:lineRule="exact"/>
        <w:ind w:left="540"/>
        <w:jc w:val="center"/>
        <w:rPr>
          <w:rFonts w:ascii="宋体" w:hAnsi="宋体" w:cs="宋体"/>
          <w:b/>
          <w:szCs w:val="21"/>
        </w:rPr>
      </w:pPr>
    </w:p>
    <w:p w14:paraId="12F3E005">
      <w:pPr>
        <w:adjustRightInd w:val="0"/>
        <w:snapToGrid w:val="0"/>
        <w:spacing w:after="120" w:afterLines="50"/>
        <w:rPr>
          <w:rFonts w:hint="eastAsia" w:ascii="宋体" w:hAnsi="宋体" w:eastAsia="宋体" w:cs="宋体"/>
          <w:szCs w:val="21"/>
          <w:u w:val="single"/>
          <w:lang w:eastAsia="zh-CN"/>
        </w:rPr>
      </w:pPr>
      <w:r>
        <w:rPr>
          <w:rFonts w:hint="eastAsia" w:ascii="宋体" w:hAnsi="宋体" w:cs="宋体"/>
          <w:kern w:val="0"/>
          <w:szCs w:val="21"/>
        </w:rPr>
        <w:t>项目名称：</w:t>
      </w:r>
      <w:r>
        <w:rPr>
          <w:rFonts w:hint="eastAsia" w:ascii="宋体" w:hAnsi="宋体" w:cs="宋体"/>
          <w:szCs w:val="21"/>
          <w:u w:val="single"/>
          <w:lang w:eastAsia="zh-CN"/>
        </w:rPr>
        <w:t>慈溪市排水有限公司污水处理厂、污水泵站废旧设备清运、集中堆放项目（重发）</w:t>
      </w:r>
    </w:p>
    <w:p w14:paraId="7E5AD98A">
      <w:pPr>
        <w:adjustRightInd w:val="0"/>
        <w:snapToGrid w:val="0"/>
        <w:spacing w:after="120" w:afterLines="50"/>
        <w:rPr>
          <w:rFonts w:ascii="宋体" w:hAnsi="宋体" w:cs="宋体"/>
          <w:szCs w:val="21"/>
          <w:u w:val="single"/>
        </w:rPr>
      </w:pPr>
      <w:r>
        <w:rPr>
          <w:rFonts w:hint="eastAsia" w:ascii="宋体" w:hAnsi="宋体" w:cs="宋体"/>
          <w:kern w:val="0"/>
          <w:szCs w:val="21"/>
        </w:rPr>
        <w:t>项目编号：</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kern w:val="0"/>
          <w:szCs w:val="21"/>
        </w:rPr>
        <w:t xml:space="preserve"> </w:t>
      </w:r>
      <w:r>
        <w:rPr>
          <w:rFonts w:hint="eastAsia" w:ascii="宋体" w:hAnsi="宋体" w:cs="宋体"/>
          <w:szCs w:val="21"/>
        </w:rPr>
        <w:t xml:space="preserve"> </w:t>
      </w:r>
    </w:p>
    <w:tbl>
      <w:tblPr>
        <w:tblStyle w:val="44"/>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17"/>
        <w:gridCol w:w="1794"/>
        <w:gridCol w:w="4517"/>
      </w:tblGrid>
      <w:tr w14:paraId="342F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14:paraId="31425A18">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序号</w:t>
            </w:r>
          </w:p>
        </w:tc>
        <w:tc>
          <w:tcPr>
            <w:tcW w:w="1717" w:type="dxa"/>
            <w:vAlign w:val="center"/>
          </w:tcPr>
          <w:p w14:paraId="54D73E07">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招标要求</w:t>
            </w:r>
          </w:p>
        </w:tc>
        <w:tc>
          <w:tcPr>
            <w:tcW w:w="1794" w:type="dxa"/>
            <w:vAlign w:val="center"/>
          </w:tcPr>
          <w:p w14:paraId="792E76BE">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投标响应</w:t>
            </w:r>
          </w:p>
        </w:tc>
        <w:tc>
          <w:tcPr>
            <w:tcW w:w="4517" w:type="dxa"/>
            <w:vAlign w:val="center"/>
          </w:tcPr>
          <w:p w14:paraId="7927B2F2">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偏离说明</w:t>
            </w:r>
          </w:p>
        </w:tc>
      </w:tr>
      <w:tr w14:paraId="12DC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14:paraId="69280624">
            <w:pPr>
              <w:adjustRightInd w:val="0"/>
              <w:snapToGrid w:val="0"/>
              <w:spacing w:line="400" w:lineRule="exact"/>
              <w:jc w:val="center"/>
              <w:rPr>
                <w:rFonts w:ascii="宋体" w:hAnsi="宋体" w:cs="宋体"/>
                <w:spacing w:val="20"/>
                <w:szCs w:val="21"/>
              </w:rPr>
            </w:pPr>
          </w:p>
        </w:tc>
        <w:tc>
          <w:tcPr>
            <w:tcW w:w="1717" w:type="dxa"/>
            <w:vAlign w:val="center"/>
          </w:tcPr>
          <w:p w14:paraId="41FF5F35">
            <w:pPr>
              <w:adjustRightInd w:val="0"/>
              <w:snapToGrid w:val="0"/>
              <w:spacing w:line="400" w:lineRule="exact"/>
              <w:jc w:val="center"/>
              <w:rPr>
                <w:rFonts w:ascii="宋体" w:hAnsi="宋体" w:cs="宋体"/>
                <w:spacing w:val="20"/>
                <w:szCs w:val="21"/>
              </w:rPr>
            </w:pPr>
          </w:p>
        </w:tc>
        <w:tc>
          <w:tcPr>
            <w:tcW w:w="1794" w:type="dxa"/>
            <w:vAlign w:val="center"/>
          </w:tcPr>
          <w:p w14:paraId="147D38A1">
            <w:pPr>
              <w:adjustRightInd w:val="0"/>
              <w:snapToGrid w:val="0"/>
              <w:spacing w:line="400" w:lineRule="exact"/>
              <w:jc w:val="center"/>
              <w:rPr>
                <w:rFonts w:ascii="宋体" w:hAnsi="宋体" w:cs="宋体"/>
                <w:spacing w:val="20"/>
                <w:szCs w:val="21"/>
              </w:rPr>
            </w:pPr>
          </w:p>
        </w:tc>
        <w:tc>
          <w:tcPr>
            <w:tcW w:w="4517" w:type="dxa"/>
            <w:vAlign w:val="center"/>
          </w:tcPr>
          <w:p w14:paraId="5177CBE0">
            <w:pPr>
              <w:adjustRightInd w:val="0"/>
              <w:snapToGrid w:val="0"/>
              <w:spacing w:line="400" w:lineRule="exact"/>
              <w:jc w:val="center"/>
              <w:rPr>
                <w:rFonts w:ascii="宋体" w:hAnsi="宋体" w:cs="宋体"/>
                <w:spacing w:val="20"/>
                <w:szCs w:val="21"/>
              </w:rPr>
            </w:pPr>
          </w:p>
        </w:tc>
      </w:tr>
      <w:tr w14:paraId="6178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14:paraId="20E1B925">
            <w:pPr>
              <w:adjustRightInd w:val="0"/>
              <w:snapToGrid w:val="0"/>
              <w:spacing w:line="400" w:lineRule="exact"/>
              <w:jc w:val="center"/>
              <w:rPr>
                <w:rFonts w:ascii="宋体" w:hAnsi="宋体" w:cs="宋体"/>
                <w:spacing w:val="20"/>
                <w:szCs w:val="21"/>
              </w:rPr>
            </w:pPr>
          </w:p>
        </w:tc>
        <w:tc>
          <w:tcPr>
            <w:tcW w:w="1717" w:type="dxa"/>
            <w:vAlign w:val="center"/>
          </w:tcPr>
          <w:p w14:paraId="68E22696">
            <w:pPr>
              <w:adjustRightInd w:val="0"/>
              <w:snapToGrid w:val="0"/>
              <w:spacing w:line="400" w:lineRule="exact"/>
              <w:jc w:val="center"/>
              <w:rPr>
                <w:rFonts w:ascii="宋体" w:hAnsi="宋体" w:cs="宋体"/>
                <w:spacing w:val="20"/>
                <w:szCs w:val="21"/>
              </w:rPr>
            </w:pPr>
          </w:p>
        </w:tc>
        <w:tc>
          <w:tcPr>
            <w:tcW w:w="1794" w:type="dxa"/>
            <w:vAlign w:val="center"/>
          </w:tcPr>
          <w:p w14:paraId="5A929BBF">
            <w:pPr>
              <w:adjustRightInd w:val="0"/>
              <w:snapToGrid w:val="0"/>
              <w:spacing w:line="400" w:lineRule="exact"/>
              <w:jc w:val="center"/>
              <w:rPr>
                <w:rFonts w:ascii="宋体" w:hAnsi="宋体" w:cs="宋体"/>
                <w:spacing w:val="20"/>
                <w:szCs w:val="21"/>
              </w:rPr>
            </w:pPr>
          </w:p>
        </w:tc>
        <w:tc>
          <w:tcPr>
            <w:tcW w:w="4517" w:type="dxa"/>
            <w:vAlign w:val="center"/>
          </w:tcPr>
          <w:p w14:paraId="265DB42C">
            <w:pPr>
              <w:adjustRightInd w:val="0"/>
              <w:snapToGrid w:val="0"/>
              <w:spacing w:line="400" w:lineRule="exact"/>
              <w:jc w:val="center"/>
              <w:rPr>
                <w:rFonts w:ascii="宋体" w:hAnsi="宋体" w:cs="宋体"/>
                <w:spacing w:val="20"/>
                <w:szCs w:val="21"/>
              </w:rPr>
            </w:pPr>
          </w:p>
        </w:tc>
      </w:tr>
      <w:tr w14:paraId="11EA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14:paraId="090128F3">
            <w:pPr>
              <w:adjustRightInd w:val="0"/>
              <w:snapToGrid w:val="0"/>
              <w:spacing w:line="400" w:lineRule="exact"/>
              <w:jc w:val="center"/>
              <w:rPr>
                <w:rFonts w:ascii="宋体" w:hAnsi="宋体" w:cs="宋体"/>
                <w:spacing w:val="20"/>
                <w:szCs w:val="21"/>
              </w:rPr>
            </w:pPr>
          </w:p>
        </w:tc>
        <w:tc>
          <w:tcPr>
            <w:tcW w:w="1717" w:type="dxa"/>
            <w:vAlign w:val="center"/>
          </w:tcPr>
          <w:p w14:paraId="3E238592">
            <w:pPr>
              <w:adjustRightInd w:val="0"/>
              <w:snapToGrid w:val="0"/>
              <w:spacing w:line="400" w:lineRule="exact"/>
              <w:jc w:val="center"/>
              <w:rPr>
                <w:rFonts w:ascii="宋体" w:hAnsi="宋体" w:cs="宋体"/>
                <w:spacing w:val="20"/>
                <w:szCs w:val="21"/>
              </w:rPr>
            </w:pPr>
          </w:p>
        </w:tc>
        <w:tc>
          <w:tcPr>
            <w:tcW w:w="1794" w:type="dxa"/>
            <w:vAlign w:val="center"/>
          </w:tcPr>
          <w:p w14:paraId="39D65F1A">
            <w:pPr>
              <w:adjustRightInd w:val="0"/>
              <w:snapToGrid w:val="0"/>
              <w:spacing w:line="400" w:lineRule="exact"/>
              <w:jc w:val="center"/>
              <w:rPr>
                <w:rFonts w:ascii="宋体" w:hAnsi="宋体" w:cs="宋体"/>
                <w:spacing w:val="20"/>
                <w:szCs w:val="21"/>
              </w:rPr>
            </w:pPr>
          </w:p>
        </w:tc>
        <w:tc>
          <w:tcPr>
            <w:tcW w:w="4517" w:type="dxa"/>
            <w:vAlign w:val="center"/>
          </w:tcPr>
          <w:p w14:paraId="3379E79C">
            <w:pPr>
              <w:adjustRightInd w:val="0"/>
              <w:snapToGrid w:val="0"/>
              <w:spacing w:line="400" w:lineRule="exact"/>
              <w:jc w:val="center"/>
              <w:rPr>
                <w:rFonts w:ascii="宋体" w:hAnsi="宋体" w:cs="宋体"/>
                <w:spacing w:val="20"/>
                <w:szCs w:val="21"/>
              </w:rPr>
            </w:pPr>
          </w:p>
        </w:tc>
      </w:tr>
      <w:tr w14:paraId="613A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14:paraId="1A39876E">
            <w:pPr>
              <w:adjustRightInd w:val="0"/>
              <w:snapToGrid w:val="0"/>
              <w:spacing w:line="400" w:lineRule="exact"/>
              <w:jc w:val="center"/>
              <w:rPr>
                <w:rFonts w:ascii="宋体" w:hAnsi="宋体" w:cs="宋体"/>
                <w:spacing w:val="20"/>
                <w:szCs w:val="21"/>
              </w:rPr>
            </w:pPr>
          </w:p>
        </w:tc>
        <w:tc>
          <w:tcPr>
            <w:tcW w:w="1717" w:type="dxa"/>
            <w:vAlign w:val="center"/>
          </w:tcPr>
          <w:p w14:paraId="1CBC599A">
            <w:pPr>
              <w:adjustRightInd w:val="0"/>
              <w:snapToGrid w:val="0"/>
              <w:spacing w:line="400" w:lineRule="exact"/>
              <w:jc w:val="center"/>
              <w:rPr>
                <w:rFonts w:ascii="宋体" w:hAnsi="宋体" w:cs="宋体"/>
                <w:spacing w:val="20"/>
                <w:szCs w:val="21"/>
              </w:rPr>
            </w:pPr>
          </w:p>
        </w:tc>
        <w:tc>
          <w:tcPr>
            <w:tcW w:w="1794" w:type="dxa"/>
            <w:vAlign w:val="center"/>
          </w:tcPr>
          <w:p w14:paraId="3C76C6B0">
            <w:pPr>
              <w:adjustRightInd w:val="0"/>
              <w:snapToGrid w:val="0"/>
              <w:spacing w:line="400" w:lineRule="exact"/>
              <w:jc w:val="center"/>
              <w:rPr>
                <w:rFonts w:ascii="宋体" w:hAnsi="宋体" w:cs="宋体"/>
                <w:spacing w:val="20"/>
                <w:szCs w:val="21"/>
              </w:rPr>
            </w:pPr>
          </w:p>
        </w:tc>
        <w:tc>
          <w:tcPr>
            <w:tcW w:w="4517" w:type="dxa"/>
            <w:vAlign w:val="center"/>
          </w:tcPr>
          <w:p w14:paraId="06C5C115">
            <w:pPr>
              <w:adjustRightInd w:val="0"/>
              <w:snapToGrid w:val="0"/>
              <w:spacing w:line="400" w:lineRule="exact"/>
              <w:jc w:val="center"/>
              <w:rPr>
                <w:rFonts w:ascii="宋体" w:hAnsi="宋体" w:cs="宋体"/>
                <w:spacing w:val="20"/>
                <w:szCs w:val="21"/>
              </w:rPr>
            </w:pPr>
          </w:p>
        </w:tc>
      </w:tr>
      <w:tr w14:paraId="1759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14:paraId="03947781">
            <w:pPr>
              <w:adjustRightInd w:val="0"/>
              <w:snapToGrid w:val="0"/>
              <w:spacing w:line="400" w:lineRule="exact"/>
              <w:jc w:val="center"/>
              <w:rPr>
                <w:rFonts w:ascii="宋体" w:hAnsi="宋体" w:cs="宋体"/>
                <w:spacing w:val="20"/>
                <w:szCs w:val="21"/>
              </w:rPr>
            </w:pPr>
          </w:p>
        </w:tc>
        <w:tc>
          <w:tcPr>
            <w:tcW w:w="1717" w:type="dxa"/>
            <w:vAlign w:val="center"/>
          </w:tcPr>
          <w:p w14:paraId="176591DB">
            <w:pPr>
              <w:adjustRightInd w:val="0"/>
              <w:snapToGrid w:val="0"/>
              <w:spacing w:line="400" w:lineRule="exact"/>
              <w:jc w:val="center"/>
              <w:rPr>
                <w:rFonts w:ascii="宋体" w:hAnsi="宋体" w:cs="宋体"/>
                <w:spacing w:val="20"/>
                <w:szCs w:val="21"/>
              </w:rPr>
            </w:pPr>
          </w:p>
        </w:tc>
        <w:tc>
          <w:tcPr>
            <w:tcW w:w="1794" w:type="dxa"/>
            <w:vAlign w:val="center"/>
          </w:tcPr>
          <w:p w14:paraId="2C56C01A">
            <w:pPr>
              <w:adjustRightInd w:val="0"/>
              <w:snapToGrid w:val="0"/>
              <w:spacing w:line="400" w:lineRule="exact"/>
              <w:jc w:val="center"/>
              <w:rPr>
                <w:rFonts w:ascii="宋体" w:hAnsi="宋体" w:cs="宋体"/>
                <w:spacing w:val="20"/>
                <w:szCs w:val="21"/>
              </w:rPr>
            </w:pPr>
          </w:p>
        </w:tc>
        <w:tc>
          <w:tcPr>
            <w:tcW w:w="4517" w:type="dxa"/>
            <w:vAlign w:val="center"/>
          </w:tcPr>
          <w:p w14:paraId="096EEA53">
            <w:pPr>
              <w:adjustRightInd w:val="0"/>
              <w:snapToGrid w:val="0"/>
              <w:spacing w:line="400" w:lineRule="exact"/>
              <w:jc w:val="center"/>
              <w:rPr>
                <w:rFonts w:ascii="宋体" w:hAnsi="宋体" w:cs="宋体"/>
                <w:spacing w:val="20"/>
                <w:szCs w:val="21"/>
              </w:rPr>
            </w:pPr>
          </w:p>
        </w:tc>
      </w:tr>
      <w:tr w14:paraId="03A3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14:paraId="62A98DD7">
            <w:pPr>
              <w:adjustRightInd w:val="0"/>
              <w:snapToGrid w:val="0"/>
              <w:spacing w:line="400" w:lineRule="exact"/>
              <w:jc w:val="center"/>
              <w:rPr>
                <w:rFonts w:ascii="宋体" w:hAnsi="宋体" w:cs="宋体"/>
                <w:spacing w:val="20"/>
                <w:szCs w:val="21"/>
              </w:rPr>
            </w:pPr>
          </w:p>
        </w:tc>
        <w:tc>
          <w:tcPr>
            <w:tcW w:w="1717" w:type="dxa"/>
            <w:vAlign w:val="center"/>
          </w:tcPr>
          <w:p w14:paraId="36290729">
            <w:pPr>
              <w:adjustRightInd w:val="0"/>
              <w:snapToGrid w:val="0"/>
              <w:spacing w:line="400" w:lineRule="exact"/>
              <w:jc w:val="center"/>
              <w:rPr>
                <w:rFonts w:ascii="宋体" w:hAnsi="宋体" w:cs="宋体"/>
                <w:spacing w:val="20"/>
                <w:szCs w:val="21"/>
              </w:rPr>
            </w:pPr>
          </w:p>
        </w:tc>
        <w:tc>
          <w:tcPr>
            <w:tcW w:w="1794" w:type="dxa"/>
            <w:vAlign w:val="center"/>
          </w:tcPr>
          <w:p w14:paraId="1C5F304A">
            <w:pPr>
              <w:adjustRightInd w:val="0"/>
              <w:snapToGrid w:val="0"/>
              <w:spacing w:line="400" w:lineRule="exact"/>
              <w:jc w:val="center"/>
              <w:rPr>
                <w:rFonts w:ascii="宋体" w:hAnsi="宋体" w:cs="宋体"/>
                <w:spacing w:val="20"/>
                <w:szCs w:val="21"/>
              </w:rPr>
            </w:pPr>
          </w:p>
        </w:tc>
        <w:tc>
          <w:tcPr>
            <w:tcW w:w="4517" w:type="dxa"/>
            <w:vAlign w:val="center"/>
          </w:tcPr>
          <w:p w14:paraId="64BDDE22">
            <w:pPr>
              <w:adjustRightInd w:val="0"/>
              <w:snapToGrid w:val="0"/>
              <w:spacing w:line="400" w:lineRule="exact"/>
              <w:jc w:val="center"/>
              <w:rPr>
                <w:rFonts w:ascii="宋体" w:hAnsi="宋体" w:cs="宋体"/>
                <w:spacing w:val="20"/>
                <w:szCs w:val="21"/>
              </w:rPr>
            </w:pPr>
          </w:p>
        </w:tc>
      </w:tr>
    </w:tbl>
    <w:p w14:paraId="39666816">
      <w:pPr>
        <w:adjustRightInd w:val="0"/>
        <w:snapToGrid w:val="0"/>
        <w:spacing w:line="400" w:lineRule="exact"/>
        <w:ind w:left="250" w:hanging="250" w:hangingChars="100"/>
        <w:rPr>
          <w:rFonts w:ascii="宋体" w:hAnsi="宋体" w:cs="宋体"/>
          <w:szCs w:val="21"/>
        </w:rPr>
      </w:pPr>
      <w:r>
        <w:rPr>
          <w:rFonts w:hint="eastAsia" w:ascii="宋体" w:hAnsi="宋体" w:cs="宋体"/>
          <w:spacing w:val="20"/>
          <w:szCs w:val="21"/>
        </w:rPr>
        <w:t>注：1、采购文件第</w:t>
      </w:r>
      <w:r>
        <w:rPr>
          <w:rFonts w:ascii="宋体" w:hAnsi="宋体" w:cs="宋体"/>
          <w:spacing w:val="20"/>
          <w:szCs w:val="21"/>
        </w:rPr>
        <w:t>六章</w:t>
      </w:r>
      <w:r>
        <w:rPr>
          <w:rFonts w:hint="eastAsia" w:ascii="宋体" w:hAnsi="宋体" w:cs="宋体"/>
          <w:spacing w:val="20"/>
          <w:szCs w:val="21"/>
        </w:rPr>
        <w:t>商务条款逐项比较填写。</w:t>
      </w:r>
    </w:p>
    <w:p w14:paraId="467631F1">
      <w:pPr>
        <w:spacing w:line="400" w:lineRule="exact"/>
        <w:rPr>
          <w:rFonts w:ascii="宋体" w:hAnsi="宋体" w:cs="宋体"/>
          <w:szCs w:val="21"/>
        </w:rPr>
      </w:pPr>
    </w:p>
    <w:p w14:paraId="1D6E1036">
      <w:pPr>
        <w:spacing w:line="400" w:lineRule="exact"/>
        <w:rPr>
          <w:rFonts w:ascii="宋体" w:hAnsi="宋体" w:cs="宋体"/>
          <w:szCs w:val="21"/>
        </w:rPr>
      </w:pPr>
    </w:p>
    <w:p w14:paraId="6618A7C8">
      <w:pPr>
        <w:spacing w:line="400" w:lineRule="exact"/>
        <w:rPr>
          <w:rFonts w:ascii="宋体" w:hAnsi="宋体" w:cs="宋体"/>
          <w:szCs w:val="21"/>
        </w:rPr>
      </w:pPr>
    </w:p>
    <w:p w14:paraId="5B8EB2F6">
      <w:pPr>
        <w:spacing w:line="400" w:lineRule="exact"/>
        <w:ind w:firstLine="5880" w:firstLineChars="2800"/>
        <w:rPr>
          <w:rFonts w:ascii="宋体" w:hAnsi="宋体" w:cs="宋体"/>
          <w:szCs w:val="21"/>
        </w:rPr>
      </w:pPr>
      <w:r>
        <w:rPr>
          <w:rFonts w:hint="eastAsia" w:ascii="宋体" w:hAnsi="宋体" w:cs="宋体"/>
          <w:szCs w:val="21"/>
        </w:rPr>
        <w:t>供应商盖章：</w:t>
      </w:r>
      <w:r>
        <w:rPr>
          <w:rFonts w:hint="eastAsia" w:ascii="宋体" w:hAnsi="宋体" w:cs="宋体"/>
          <w:szCs w:val="21"/>
          <w:u w:val="single"/>
        </w:rPr>
        <w:t xml:space="preserve">   （公章）　</w:t>
      </w:r>
    </w:p>
    <w:p w14:paraId="10E221ED">
      <w:pPr>
        <w:snapToGrid w:val="0"/>
        <w:spacing w:line="400" w:lineRule="exact"/>
        <w:ind w:firstLine="3150" w:firstLineChars="1500"/>
        <w:rPr>
          <w:rFonts w:ascii="宋体" w:hAnsi="宋体" w:cs="宋体"/>
          <w:szCs w:val="21"/>
        </w:rPr>
      </w:pPr>
    </w:p>
    <w:p w14:paraId="3A76077B">
      <w:pPr>
        <w:spacing w:line="400" w:lineRule="exact"/>
        <w:ind w:firstLine="5880" w:firstLineChars="28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128EB3D">
      <w:pPr>
        <w:spacing w:line="400" w:lineRule="exact"/>
        <w:rPr>
          <w:rFonts w:ascii="宋体" w:hAnsi="宋体" w:cs="宋体"/>
          <w:szCs w:val="21"/>
        </w:rPr>
      </w:pPr>
    </w:p>
    <w:p w14:paraId="3C2C793B">
      <w:pPr>
        <w:spacing w:line="400" w:lineRule="exact"/>
        <w:rPr>
          <w:rFonts w:ascii="宋体" w:hAnsi="宋体" w:cs="宋体"/>
          <w:szCs w:val="21"/>
        </w:rPr>
      </w:pPr>
    </w:p>
    <w:p w14:paraId="02276DCF">
      <w:pPr>
        <w:spacing w:line="400" w:lineRule="exact"/>
        <w:rPr>
          <w:rFonts w:ascii="宋体" w:hAnsi="宋体" w:cs="宋体"/>
          <w:szCs w:val="21"/>
        </w:rPr>
      </w:pPr>
    </w:p>
    <w:p w14:paraId="5E905A3F">
      <w:pPr>
        <w:spacing w:line="400" w:lineRule="exact"/>
        <w:rPr>
          <w:rFonts w:ascii="宋体" w:hAnsi="宋体" w:cs="宋体"/>
          <w:szCs w:val="21"/>
        </w:rPr>
      </w:pPr>
    </w:p>
    <w:p w14:paraId="3A429DBB">
      <w:pPr>
        <w:spacing w:line="400" w:lineRule="exact"/>
        <w:rPr>
          <w:rFonts w:ascii="宋体" w:hAnsi="宋体" w:cs="宋体"/>
          <w:szCs w:val="21"/>
        </w:rPr>
      </w:pPr>
    </w:p>
    <w:p w14:paraId="0F9BD9AE">
      <w:pPr>
        <w:spacing w:line="400" w:lineRule="exact"/>
        <w:rPr>
          <w:rFonts w:ascii="宋体" w:hAnsi="宋体" w:cs="宋体"/>
          <w:szCs w:val="21"/>
        </w:rPr>
      </w:pPr>
    </w:p>
    <w:p w14:paraId="2EA416BB">
      <w:pPr>
        <w:spacing w:line="400" w:lineRule="exact"/>
        <w:rPr>
          <w:rFonts w:ascii="宋体" w:hAnsi="宋体" w:cs="宋体"/>
          <w:szCs w:val="21"/>
        </w:rPr>
      </w:pPr>
    </w:p>
    <w:p w14:paraId="201BE7EC">
      <w:pPr>
        <w:spacing w:line="400" w:lineRule="exact"/>
        <w:rPr>
          <w:rFonts w:ascii="宋体" w:hAnsi="宋体" w:cs="宋体"/>
          <w:szCs w:val="21"/>
        </w:rPr>
      </w:pPr>
    </w:p>
    <w:p w14:paraId="7D37F5CD">
      <w:pPr>
        <w:spacing w:line="400" w:lineRule="exact"/>
        <w:rPr>
          <w:rFonts w:ascii="宋体" w:hAnsi="宋体" w:cs="宋体"/>
          <w:szCs w:val="21"/>
        </w:rPr>
      </w:pPr>
    </w:p>
    <w:p w14:paraId="56C15BA9">
      <w:pPr>
        <w:spacing w:line="480" w:lineRule="auto"/>
        <w:jc w:val="left"/>
        <w:rPr>
          <w:rFonts w:ascii="宋体" w:hAnsi="宋体" w:cs="宋体"/>
          <w:spacing w:val="20"/>
          <w:sz w:val="30"/>
          <w:szCs w:val="30"/>
        </w:rPr>
      </w:pPr>
      <w:r>
        <w:rPr>
          <w:rFonts w:hint="eastAsia" w:ascii="宋体" w:hAnsi="宋体" w:cs="宋体"/>
          <w:spacing w:val="20"/>
          <w:sz w:val="30"/>
          <w:szCs w:val="30"/>
        </w:rPr>
        <w:t xml:space="preserve"> </w:t>
      </w:r>
    </w:p>
    <w:p w14:paraId="0820B96B">
      <w:pPr>
        <w:pStyle w:val="43"/>
        <w:ind w:firstLine="480"/>
        <w:rPr>
          <w:rFonts w:hint="default" w:ascii="宋体" w:hAnsi="宋体" w:eastAsia="宋体" w:cs="宋体"/>
        </w:rPr>
      </w:pPr>
    </w:p>
    <w:p w14:paraId="28034242">
      <w:pPr>
        <w:pStyle w:val="43"/>
        <w:ind w:firstLine="594"/>
        <w:rPr>
          <w:rStyle w:val="116"/>
          <w:rFonts w:hint="default" w:ascii="宋体" w:hAnsi="宋体" w:cs="宋体"/>
          <w:sz w:val="30"/>
          <w:szCs w:val="30"/>
        </w:rPr>
      </w:pPr>
    </w:p>
    <w:p w14:paraId="2B7868B3">
      <w:pPr>
        <w:spacing w:line="400" w:lineRule="exact"/>
        <w:rPr>
          <w:rFonts w:ascii="宋体" w:hAnsi="宋体" w:cs="宋体"/>
          <w:b/>
          <w:bCs/>
          <w:iCs/>
          <w:spacing w:val="20"/>
          <w:szCs w:val="21"/>
        </w:rPr>
      </w:pPr>
      <w:r>
        <w:rPr>
          <w:rStyle w:val="116"/>
          <w:rFonts w:hint="eastAsia" w:ascii="宋体" w:hAnsi="宋体" w:cs="宋体"/>
          <w:szCs w:val="24"/>
        </w:rPr>
        <w:t>附件</w:t>
      </w:r>
      <w:r>
        <w:rPr>
          <w:rFonts w:hint="eastAsia" w:ascii="宋体" w:hAnsi="宋体" w:cs="宋体"/>
          <w:spacing w:val="20"/>
          <w:sz w:val="30"/>
          <w:szCs w:val="30"/>
        </w:rPr>
        <w:t xml:space="preserve"> </w:t>
      </w:r>
    </w:p>
    <w:p w14:paraId="1249357D">
      <w:pPr>
        <w:jc w:val="center"/>
        <w:rPr>
          <w:rFonts w:ascii="宋体" w:hAnsi="宋体" w:cs="宋体"/>
          <w:b/>
          <w:sz w:val="30"/>
          <w:szCs w:val="30"/>
        </w:rPr>
      </w:pPr>
    </w:p>
    <w:p w14:paraId="605AADAC">
      <w:pPr>
        <w:jc w:val="center"/>
        <w:rPr>
          <w:rFonts w:ascii="宋体" w:hAnsi="宋体" w:cs="宋体"/>
          <w:b/>
          <w:sz w:val="30"/>
          <w:szCs w:val="30"/>
        </w:rPr>
      </w:pPr>
      <w:r>
        <w:rPr>
          <w:rFonts w:hint="eastAsia" w:ascii="宋体" w:hAnsi="宋体" w:cs="宋体"/>
          <w:b/>
          <w:sz w:val="30"/>
          <w:szCs w:val="30"/>
        </w:rPr>
        <w:t>技术响应表</w:t>
      </w:r>
    </w:p>
    <w:p w14:paraId="333243C6">
      <w:pPr>
        <w:pStyle w:val="43"/>
        <w:ind w:firstLine="480"/>
        <w:rPr>
          <w:rFonts w:hint="default"/>
        </w:rPr>
      </w:pPr>
    </w:p>
    <w:p w14:paraId="2F9787D1">
      <w:pPr>
        <w:adjustRightInd w:val="0"/>
        <w:snapToGrid w:val="0"/>
        <w:spacing w:line="400" w:lineRule="exact"/>
        <w:rPr>
          <w:rFonts w:ascii="宋体" w:hAnsi="宋体" w:cs="宋体"/>
          <w:szCs w:val="21"/>
        </w:rPr>
      </w:pPr>
    </w:p>
    <w:p w14:paraId="4B1A39E8">
      <w:pPr>
        <w:adjustRightInd w:val="0"/>
        <w:snapToGrid w:val="0"/>
        <w:spacing w:after="120" w:afterLines="50"/>
        <w:rPr>
          <w:rFonts w:hint="eastAsia" w:ascii="宋体" w:hAnsi="宋体" w:eastAsia="宋体" w:cs="宋体"/>
          <w:szCs w:val="21"/>
          <w:u w:val="single"/>
          <w:lang w:eastAsia="zh-CN"/>
        </w:rPr>
      </w:pPr>
      <w:r>
        <w:rPr>
          <w:rFonts w:hint="eastAsia" w:ascii="宋体" w:hAnsi="宋体" w:cs="宋体"/>
          <w:kern w:val="0"/>
          <w:szCs w:val="21"/>
        </w:rPr>
        <w:t>项目名称：</w:t>
      </w:r>
      <w:r>
        <w:rPr>
          <w:rFonts w:hint="eastAsia" w:ascii="宋体" w:hAnsi="宋体" w:cs="宋体"/>
          <w:szCs w:val="21"/>
          <w:u w:val="single"/>
          <w:lang w:eastAsia="zh-CN"/>
        </w:rPr>
        <w:t>慈溪市排水有限公司污水处理厂、污水泵站废旧设备清运、集中堆放项目（重发）</w:t>
      </w:r>
    </w:p>
    <w:p w14:paraId="2B3BD599">
      <w:pPr>
        <w:adjustRightInd w:val="0"/>
        <w:snapToGrid w:val="0"/>
        <w:spacing w:after="120" w:afterLines="50"/>
        <w:rPr>
          <w:rFonts w:ascii="宋体" w:hAnsi="宋体" w:cs="宋体"/>
          <w:spacing w:val="20"/>
          <w:szCs w:val="21"/>
        </w:rPr>
      </w:pPr>
      <w:r>
        <w:rPr>
          <w:rFonts w:hint="eastAsia" w:ascii="宋体" w:hAnsi="宋体" w:cs="宋体"/>
          <w:kern w:val="0"/>
          <w:szCs w:val="21"/>
        </w:rPr>
        <w:t>项目编号：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kern w:val="0"/>
          <w:szCs w:val="21"/>
        </w:rPr>
        <w:t xml:space="preserve"> </w:t>
      </w:r>
      <w:r>
        <w:rPr>
          <w:rFonts w:hint="eastAsia" w:ascii="宋体" w:hAnsi="宋体" w:cs="宋体"/>
          <w:szCs w:val="21"/>
        </w:rPr>
        <w:t xml:space="preserve">  </w:t>
      </w:r>
    </w:p>
    <w:tbl>
      <w:tblPr>
        <w:tblStyle w:val="44"/>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222"/>
        <w:gridCol w:w="709"/>
        <w:gridCol w:w="708"/>
      </w:tblGrid>
      <w:tr w14:paraId="561C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14:paraId="22D90164">
            <w:r>
              <w:rPr>
                <w:rFonts w:hint="eastAsia"/>
              </w:rPr>
              <w:t>序号</w:t>
            </w:r>
          </w:p>
        </w:tc>
        <w:tc>
          <w:tcPr>
            <w:tcW w:w="8222" w:type="dxa"/>
            <w:vAlign w:val="center"/>
          </w:tcPr>
          <w:p w14:paraId="48901254">
            <w:r>
              <w:rPr>
                <w:rFonts w:hint="eastAsia"/>
              </w:rPr>
              <w:t>招标要求</w:t>
            </w:r>
          </w:p>
        </w:tc>
        <w:tc>
          <w:tcPr>
            <w:tcW w:w="709" w:type="dxa"/>
            <w:vAlign w:val="center"/>
          </w:tcPr>
          <w:p w14:paraId="2D89B4CD">
            <w:r>
              <w:rPr>
                <w:rFonts w:hint="eastAsia"/>
              </w:rPr>
              <w:t>投标响应</w:t>
            </w:r>
          </w:p>
        </w:tc>
        <w:tc>
          <w:tcPr>
            <w:tcW w:w="708" w:type="dxa"/>
            <w:vAlign w:val="center"/>
          </w:tcPr>
          <w:p w14:paraId="3058F8B7">
            <w:r>
              <w:rPr>
                <w:rFonts w:hint="eastAsia"/>
              </w:rPr>
              <w:t>偏离说明</w:t>
            </w:r>
          </w:p>
        </w:tc>
      </w:tr>
      <w:tr w14:paraId="78F7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14:paraId="12C0ED9D">
            <w:r>
              <w:rPr>
                <w:rFonts w:hint="eastAsia"/>
              </w:rPr>
              <w:t>1</w:t>
            </w:r>
          </w:p>
        </w:tc>
        <w:tc>
          <w:tcPr>
            <w:tcW w:w="8222" w:type="dxa"/>
            <w:vAlign w:val="center"/>
          </w:tcPr>
          <w:p w14:paraId="1327AA83"/>
        </w:tc>
        <w:tc>
          <w:tcPr>
            <w:tcW w:w="709" w:type="dxa"/>
            <w:vAlign w:val="center"/>
          </w:tcPr>
          <w:p w14:paraId="1BF03FC9"/>
        </w:tc>
        <w:tc>
          <w:tcPr>
            <w:tcW w:w="708" w:type="dxa"/>
            <w:vAlign w:val="center"/>
          </w:tcPr>
          <w:p w14:paraId="3921A802"/>
        </w:tc>
      </w:tr>
      <w:tr w14:paraId="6E3C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14:paraId="657454EE">
            <w:r>
              <w:rPr>
                <w:rFonts w:hint="eastAsia"/>
              </w:rPr>
              <w:t>2</w:t>
            </w:r>
          </w:p>
        </w:tc>
        <w:tc>
          <w:tcPr>
            <w:tcW w:w="8222" w:type="dxa"/>
            <w:vAlign w:val="center"/>
          </w:tcPr>
          <w:p w14:paraId="1406E348"/>
        </w:tc>
        <w:tc>
          <w:tcPr>
            <w:tcW w:w="709" w:type="dxa"/>
            <w:vAlign w:val="center"/>
          </w:tcPr>
          <w:p w14:paraId="22C71E5D"/>
        </w:tc>
        <w:tc>
          <w:tcPr>
            <w:tcW w:w="708" w:type="dxa"/>
            <w:vAlign w:val="center"/>
          </w:tcPr>
          <w:p w14:paraId="45FC2F62">
            <w:r>
              <w:rPr>
                <w:rFonts w:hint="eastAsia"/>
              </w:rPr>
              <w:t xml:space="preserve">  </w:t>
            </w:r>
          </w:p>
        </w:tc>
      </w:tr>
      <w:tr w14:paraId="39F7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14:paraId="6BB5250F">
            <w:r>
              <w:rPr>
                <w:rFonts w:hint="eastAsia"/>
              </w:rPr>
              <w:t>3</w:t>
            </w:r>
          </w:p>
        </w:tc>
        <w:tc>
          <w:tcPr>
            <w:tcW w:w="8222" w:type="dxa"/>
            <w:vAlign w:val="center"/>
          </w:tcPr>
          <w:p w14:paraId="29E0164B"/>
        </w:tc>
        <w:tc>
          <w:tcPr>
            <w:tcW w:w="709" w:type="dxa"/>
            <w:vAlign w:val="center"/>
          </w:tcPr>
          <w:p w14:paraId="6421CEFA"/>
        </w:tc>
        <w:tc>
          <w:tcPr>
            <w:tcW w:w="708" w:type="dxa"/>
            <w:vAlign w:val="center"/>
          </w:tcPr>
          <w:p w14:paraId="2AF17100"/>
        </w:tc>
      </w:tr>
      <w:tr w14:paraId="64E6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14:paraId="4BD9CE63">
            <w:r>
              <w:rPr>
                <w:rFonts w:hint="eastAsia"/>
              </w:rPr>
              <w:t>4</w:t>
            </w:r>
          </w:p>
        </w:tc>
        <w:tc>
          <w:tcPr>
            <w:tcW w:w="8222" w:type="dxa"/>
            <w:vAlign w:val="center"/>
          </w:tcPr>
          <w:p w14:paraId="4D8BD73E"/>
        </w:tc>
        <w:tc>
          <w:tcPr>
            <w:tcW w:w="709" w:type="dxa"/>
            <w:vAlign w:val="center"/>
          </w:tcPr>
          <w:p w14:paraId="655D46F8"/>
        </w:tc>
        <w:tc>
          <w:tcPr>
            <w:tcW w:w="708" w:type="dxa"/>
            <w:vAlign w:val="center"/>
          </w:tcPr>
          <w:p w14:paraId="39D5173A"/>
        </w:tc>
      </w:tr>
      <w:tr w14:paraId="04FD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14:paraId="205D4BEE">
            <w:r>
              <w:rPr>
                <w:rFonts w:hint="eastAsia"/>
              </w:rPr>
              <w:t>5</w:t>
            </w:r>
          </w:p>
        </w:tc>
        <w:tc>
          <w:tcPr>
            <w:tcW w:w="8222" w:type="dxa"/>
            <w:vAlign w:val="center"/>
          </w:tcPr>
          <w:p w14:paraId="2AFBF236"/>
        </w:tc>
        <w:tc>
          <w:tcPr>
            <w:tcW w:w="709" w:type="dxa"/>
            <w:vAlign w:val="center"/>
          </w:tcPr>
          <w:p w14:paraId="572E2969"/>
        </w:tc>
        <w:tc>
          <w:tcPr>
            <w:tcW w:w="708" w:type="dxa"/>
            <w:vAlign w:val="center"/>
          </w:tcPr>
          <w:p w14:paraId="6CB09D11"/>
        </w:tc>
      </w:tr>
    </w:tbl>
    <w:p w14:paraId="7F90C805">
      <w:pPr>
        <w:adjustRightInd w:val="0"/>
        <w:snapToGrid w:val="0"/>
        <w:spacing w:line="360" w:lineRule="auto"/>
        <w:ind w:left="210" w:hanging="210" w:hangingChars="100"/>
        <w:rPr>
          <w:rFonts w:ascii="宋体" w:hAnsi="宋体"/>
          <w:szCs w:val="21"/>
        </w:rPr>
      </w:pPr>
    </w:p>
    <w:p w14:paraId="4871025D">
      <w:pPr>
        <w:adjustRightInd w:val="0"/>
        <w:snapToGrid w:val="0"/>
        <w:spacing w:line="360" w:lineRule="auto"/>
        <w:ind w:left="210" w:hanging="210" w:hangingChars="100"/>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2BF40AA6">
      <w:pPr>
        <w:adjustRightInd w:val="0"/>
        <w:snapToGrid w:val="0"/>
        <w:spacing w:line="400" w:lineRule="exact"/>
        <w:rPr>
          <w:rFonts w:ascii="宋体" w:hAnsi="宋体" w:cs="宋体"/>
          <w:szCs w:val="21"/>
        </w:rPr>
      </w:pPr>
    </w:p>
    <w:p w14:paraId="4AC50062">
      <w:pPr>
        <w:adjustRightInd w:val="0"/>
        <w:snapToGrid w:val="0"/>
        <w:spacing w:line="400" w:lineRule="exact"/>
        <w:rPr>
          <w:rFonts w:ascii="宋体" w:hAnsi="宋体" w:cs="宋体"/>
          <w:spacing w:val="20"/>
          <w:szCs w:val="21"/>
        </w:rPr>
      </w:pPr>
    </w:p>
    <w:p w14:paraId="09D162B5">
      <w:pPr>
        <w:adjustRightInd w:val="0"/>
        <w:snapToGrid w:val="0"/>
        <w:spacing w:line="400" w:lineRule="exact"/>
        <w:rPr>
          <w:rFonts w:ascii="宋体" w:hAnsi="宋体" w:cs="宋体"/>
          <w:spacing w:val="20"/>
          <w:szCs w:val="21"/>
        </w:rPr>
      </w:pPr>
    </w:p>
    <w:p w14:paraId="4E29B409">
      <w:pPr>
        <w:spacing w:line="400" w:lineRule="exact"/>
        <w:ind w:firstLine="3150" w:firstLineChars="1500"/>
        <w:rPr>
          <w:rFonts w:ascii="宋体" w:hAnsi="宋体" w:cs="宋体"/>
          <w:szCs w:val="21"/>
        </w:rPr>
      </w:pPr>
      <w:r>
        <w:rPr>
          <w:rFonts w:hint="eastAsia" w:ascii="宋体" w:hAnsi="宋体" w:cs="宋体"/>
          <w:szCs w:val="21"/>
        </w:rPr>
        <w:t>供应商盖章：</w:t>
      </w:r>
      <w:r>
        <w:rPr>
          <w:rFonts w:hint="eastAsia" w:ascii="宋体" w:hAnsi="宋体" w:cs="宋体"/>
          <w:szCs w:val="21"/>
          <w:u w:val="single"/>
        </w:rPr>
        <w:t xml:space="preserve">      （公章）  　</w:t>
      </w:r>
    </w:p>
    <w:p w14:paraId="686DB9A1">
      <w:pPr>
        <w:snapToGrid w:val="0"/>
        <w:spacing w:line="400" w:lineRule="exact"/>
        <w:ind w:firstLine="3150" w:firstLineChars="1500"/>
        <w:rPr>
          <w:rFonts w:ascii="宋体" w:hAnsi="宋体" w:cs="宋体"/>
          <w:szCs w:val="21"/>
        </w:rPr>
      </w:pPr>
    </w:p>
    <w:p w14:paraId="72B610FA">
      <w:pPr>
        <w:spacing w:line="400" w:lineRule="exact"/>
        <w:ind w:firstLine="3360" w:firstLineChars="1600"/>
        <w:rPr>
          <w:rFonts w:ascii="宋体" w:hAnsi="宋体" w:cs="宋体"/>
          <w:szCs w:val="21"/>
          <w:lang w:bidi="ar"/>
        </w:rPr>
        <w:sectPr>
          <w:headerReference r:id="rId9" w:type="default"/>
          <w:footerReference r:id="rId10" w:type="default"/>
          <w:pgSz w:w="11907" w:h="16840"/>
          <w:pgMar w:top="1134" w:right="1417" w:bottom="1134" w:left="1417" w:header="284" w:footer="990" w:gutter="0"/>
          <w:cols w:space="720" w:num="1"/>
          <w:docGrid w:linePitch="285" w:charSpace="0"/>
        </w:sect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p>
    <w:p w14:paraId="2AA7BC10">
      <w:pPr>
        <w:rPr>
          <w:rStyle w:val="116"/>
          <w:rFonts w:ascii="宋体" w:hAnsi="宋体" w:cs="宋体"/>
          <w:szCs w:val="24"/>
        </w:rPr>
      </w:pPr>
      <w:r>
        <w:rPr>
          <w:rStyle w:val="116"/>
          <w:rFonts w:hint="eastAsia" w:ascii="宋体" w:hAnsi="宋体" w:cs="宋体"/>
          <w:szCs w:val="24"/>
        </w:rPr>
        <w:t>附件</w:t>
      </w:r>
    </w:p>
    <w:p w14:paraId="2862CCF9">
      <w:pPr>
        <w:jc w:val="center"/>
        <w:rPr>
          <w:rFonts w:ascii="宋体" w:hAnsi="宋体" w:cs="宋体"/>
          <w:b/>
          <w:sz w:val="32"/>
          <w:szCs w:val="32"/>
        </w:rPr>
      </w:pPr>
    </w:p>
    <w:p w14:paraId="39960048">
      <w:pPr>
        <w:jc w:val="center"/>
        <w:rPr>
          <w:rFonts w:ascii="宋体" w:hAnsi="宋体" w:cs="宋体"/>
          <w:b/>
          <w:sz w:val="30"/>
          <w:szCs w:val="30"/>
        </w:rPr>
      </w:pPr>
      <w:r>
        <w:rPr>
          <w:rFonts w:hint="eastAsia" w:ascii="宋体" w:hAnsi="宋体" w:cs="宋体"/>
          <w:b/>
          <w:sz w:val="30"/>
          <w:szCs w:val="30"/>
        </w:rPr>
        <w:t>开标一览表</w:t>
      </w:r>
    </w:p>
    <w:p w14:paraId="71B05167">
      <w:pPr>
        <w:spacing w:line="460" w:lineRule="exact"/>
        <w:rPr>
          <w:rFonts w:ascii="宋体" w:hAnsi="宋体" w:cs="宋体"/>
        </w:rPr>
      </w:pPr>
    </w:p>
    <w:p w14:paraId="3FED9976">
      <w:pPr>
        <w:adjustRightInd w:val="0"/>
        <w:snapToGrid w:val="0"/>
        <w:spacing w:after="120" w:afterLines="50"/>
        <w:rPr>
          <w:rFonts w:hint="eastAsia" w:ascii="宋体" w:hAnsi="宋体" w:eastAsia="宋体" w:cs="宋体"/>
          <w:szCs w:val="21"/>
          <w:u w:val="single"/>
          <w:lang w:eastAsia="zh-CN"/>
        </w:rPr>
      </w:pPr>
      <w:r>
        <w:rPr>
          <w:rFonts w:hint="eastAsia" w:ascii="宋体" w:hAnsi="宋体" w:cs="宋体"/>
          <w:kern w:val="0"/>
          <w:szCs w:val="21"/>
        </w:rPr>
        <w:t>项目名称：</w:t>
      </w:r>
      <w:r>
        <w:rPr>
          <w:rFonts w:hint="eastAsia" w:ascii="宋体" w:hAnsi="宋体" w:cs="宋体"/>
          <w:szCs w:val="21"/>
          <w:u w:val="single"/>
          <w:lang w:eastAsia="zh-CN"/>
        </w:rPr>
        <w:t>慈溪市排水有限公司污水处理厂、污水泵站废旧设备清运、集中堆放项目（重发）</w:t>
      </w:r>
    </w:p>
    <w:p w14:paraId="0A08542A">
      <w:pPr>
        <w:adjustRightInd w:val="0"/>
        <w:snapToGrid w:val="0"/>
        <w:spacing w:after="120" w:afterLines="50"/>
        <w:rPr>
          <w:rFonts w:ascii="宋体" w:hAnsi="宋体" w:cs="宋体"/>
          <w:szCs w:val="21"/>
          <w:u w:val="single"/>
        </w:rPr>
      </w:pPr>
      <w:r>
        <w:rPr>
          <w:rFonts w:hint="eastAsia" w:ascii="宋体" w:hAnsi="宋体" w:cs="宋体"/>
          <w:kern w:val="0"/>
          <w:szCs w:val="21"/>
        </w:rPr>
        <w:t>项目编号：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kern w:val="0"/>
          <w:szCs w:val="21"/>
        </w:rPr>
        <w:t xml:space="preserve"> </w:t>
      </w:r>
      <w:r>
        <w:rPr>
          <w:rFonts w:hint="eastAsia" w:ascii="宋体" w:hAnsi="宋体" w:cs="宋体"/>
          <w:szCs w:val="21"/>
        </w:rPr>
        <w:t xml:space="preserve"> </w:t>
      </w:r>
    </w:p>
    <w:p w14:paraId="556D0B8A">
      <w:pPr>
        <w:adjustRightInd w:val="0"/>
        <w:snapToGrid w:val="0"/>
        <w:spacing w:after="120" w:afterLines="50"/>
        <w:rPr>
          <w:rFonts w:ascii="宋体" w:hAnsi="宋体" w:cs="宋体"/>
          <w:szCs w:val="21"/>
          <w:u w:val="single"/>
        </w:rPr>
      </w:pPr>
      <w:r>
        <w:rPr>
          <w:rFonts w:hint="eastAsia" w:ascii="宋体" w:hAnsi="宋体" w:cs="宋体"/>
          <w:szCs w:val="21"/>
        </w:rPr>
        <w:t xml:space="preserve"> </w:t>
      </w:r>
    </w:p>
    <w:tbl>
      <w:tblPr>
        <w:tblStyle w:val="44"/>
        <w:tblW w:w="0" w:type="auto"/>
        <w:jc w:val="center"/>
        <w:tblLayout w:type="fixed"/>
        <w:tblCellMar>
          <w:top w:w="0" w:type="dxa"/>
          <w:left w:w="108" w:type="dxa"/>
          <w:bottom w:w="0" w:type="dxa"/>
          <w:right w:w="108" w:type="dxa"/>
        </w:tblCellMar>
      </w:tblPr>
      <w:tblGrid>
        <w:gridCol w:w="4033"/>
        <w:gridCol w:w="5154"/>
      </w:tblGrid>
      <w:tr w14:paraId="421519EF">
        <w:tblPrEx>
          <w:tblCellMar>
            <w:top w:w="0" w:type="dxa"/>
            <w:left w:w="108" w:type="dxa"/>
            <w:bottom w:w="0" w:type="dxa"/>
            <w:right w:w="108" w:type="dxa"/>
          </w:tblCellMar>
        </w:tblPrEx>
        <w:trPr>
          <w:cantSplit/>
          <w:trHeight w:val="1010" w:hRule="atLeast"/>
          <w:jc w:val="center"/>
        </w:trPr>
        <w:tc>
          <w:tcPr>
            <w:tcW w:w="403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30F9510">
            <w:pPr>
              <w:pStyle w:val="126"/>
              <w:spacing w:line="360" w:lineRule="auto"/>
              <w:jc w:val="center"/>
              <w:rPr>
                <w:rFonts w:ascii="宋体" w:hAnsi="宋体" w:cs="宋体"/>
                <w:color w:val="auto"/>
                <w:sz w:val="24"/>
                <w:szCs w:val="24"/>
                <w:lang w:val="zh-Hans" w:eastAsia="zh-Hans"/>
              </w:rPr>
            </w:pPr>
            <w:r>
              <w:rPr>
                <w:rFonts w:ascii="宋体" w:hAnsi="宋体" w:cs="宋体"/>
                <w:color w:val="auto"/>
                <w:sz w:val="24"/>
                <w:szCs w:val="24"/>
                <w:lang w:val="zh-Hans" w:eastAsia="zh-Hans"/>
              </w:rPr>
              <w:t>项目名称</w:t>
            </w:r>
          </w:p>
        </w:tc>
        <w:tc>
          <w:tcPr>
            <w:tcW w:w="51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D099D7A">
            <w:pPr>
              <w:pStyle w:val="126"/>
              <w:spacing w:line="360" w:lineRule="auto"/>
              <w:jc w:val="center"/>
              <w:rPr>
                <w:rFonts w:ascii="宋体" w:hAnsi="宋体" w:cs="宋体"/>
                <w:color w:val="auto"/>
                <w:sz w:val="24"/>
                <w:szCs w:val="24"/>
              </w:rPr>
            </w:pPr>
            <w:r>
              <w:rPr>
                <w:rFonts w:ascii="宋体" w:hAnsi="宋体" w:cs="宋体"/>
                <w:color w:val="auto"/>
                <w:sz w:val="24"/>
                <w:szCs w:val="24"/>
                <w:lang w:val="zh-Hans" w:eastAsia="zh-Hans"/>
              </w:rPr>
              <w:t>投标</w:t>
            </w:r>
            <w:r>
              <w:rPr>
                <w:rFonts w:hint="eastAsia" w:ascii="宋体" w:hAnsi="宋体" w:cs="宋体"/>
                <w:color w:val="auto"/>
                <w:sz w:val="24"/>
                <w:szCs w:val="24"/>
                <w:lang w:val="zh-Hans"/>
              </w:rPr>
              <w:t>报</w:t>
            </w:r>
            <w:r>
              <w:rPr>
                <w:rFonts w:ascii="宋体" w:hAnsi="宋体" w:cs="宋体"/>
                <w:color w:val="auto"/>
                <w:sz w:val="24"/>
                <w:szCs w:val="24"/>
                <w:lang w:val="zh-Hans" w:eastAsia="zh-Hans"/>
              </w:rPr>
              <w:t>价</w:t>
            </w:r>
          </w:p>
          <w:p w14:paraId="67589E37">
            <w:pPr>
              <w:pStyle w:val="126"/>
              <w:spacing w:line="360" w:lineRule="auto"/>
              <w:jc w:val="center"/>
              <w:rPr>
                <w:rFonts w:ascii="宋体" w:hAnsi="宋体" w:cs="宋体"/>
                <w:color w:val="auto"/>
                <w:sz w:val="24"/>
                <w:szCs w:val="24"/>
                <w:lang w:val="zh-Hans" w:eastAsia="zh-Hans"/>
              </w:rPr>
            </w:pPr>
            <w:r>
              <w:rPr>
                <w:rFonts w:ascii="宋体" w:hAnsi="宋体" w:cs="宋体"/>
                <w:color w:val="auto"/>
                <w:sz w:val="24"/>
                <w:szCs w:val="24"/>
                <w:lang w:val="zh-Hans" w:eastAsia="zh-Hans"/>
              </w:rPr>
              <w:t>（人民币元）</w:t>
            </w:r>
          </w:p>
        </w:tc>
      </w:tr>
      <w:tr w14:paraId="14AD50A6">
        <w:tblPrEx>
          <w:tblCellMar>
            <w:top w:w="0" w:type="dxa"/>
            <w:left w:w="108" w:type="dxa"/>
            <w:bottom w:w="0" w:type="dxa"/>
            <w:right w:w="108" w:type="dxa"/>
          </w:tblCellMar>
        </w:tblPrEx>
        <w:trPr>
          <w:cantSplit/>
          <w:trHeight w:val="697" w:hRule="atLeast"/>
          <w:jc w:val="center"/>
        </w:trPr>
        <w:tc>
          <w:tcPr>
            <w:tcW w:w="4033"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6267240">
            <w:pPr>
              <w:pStyle w:val="151"/>
              <w:spacing w:line="320" w:lineRule="exact"/>
              <w:ind w:firstLine="0"/>
              <w:jc w:val="center"/>
              <w:rPr>
                <w:rFonts w:hint="eastAsia" w:ascii="宋体" w:hAnsi="宋体" w:eastAsia="宋体" w:cs="宋体"/>
                <w:color w:val="auto"/>
                <w:sz w:val="24"/>
                <w:szCs w:val="24"/>
                <w:lang w:val="zh-Hans" w:eastAsia="zh-CN"/>
              </w:rPr>
            </w:pPr>
            <w:r>
              <w:rPr>
                <w:rFonts w:hint="eastAsia" w:ascii="宋体" w:hAnsi="宋体" w:eastAsia="宋体"/>
                <w:color w:val="auto"/>
                <w:sz w:val="24"/>
                <w:szCs w:val="24"/>
                <w:lang w:val="zh-Hans" w:eastAsia="zh-CN"/>
              </w:rPr>
              <w:t>慈溪市排水有限公司污水处理厂、污水泵站废旧设备清运、集中堆放项目（重发）</w:t>
            </w:r>
          </w:p>
        </w:tc>
        <w:tc>
          <w:tcPr>
            <w:tcW w:w="51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F0FBDC9">
            <w:pPr>
              <w:pStyle w:val="151"/>
              <w:ind w:firstLine="0"/>
              <w:jc w:val="left"/>
              <w:rPr>
                <w:rFonts w:ascii="宋体" w:hAnsi="宋体" w:eastAsia="宋体" w:cs="宋体"/>
                <w:color w:val="auto"/>
                <w:sz w:val="24"/>
                <w:szCs w:val="24"/>
                <w:lang w:val="zh-Hans" w:eastAsia="zh-Hans"/>
              </w:rPr>
            </w:pPr>
            <w:r>
              <w:rPr>
                <w:rFonts w:ascii="宋体" w:hAnsi="宋体" w:eastAsia="宋体" w:cs="宋体"/>
                <w:color w:val="auto"/>
                <w:sz w:val="24"/>
                <w:szCs w:val="24"/>
                <w:lang w:val="zh-Hans" w:eastAsia="zh-Hans"/>
              </w:rPr>
              <w:t>小写：</w:t>
            </w:r>
          </w:p>
        </w:tc>
      </w:tr>
      <w:tr w14:paraId="0268B603">
        <w:tblPrEx>
          <w:tblCellMar>
            <w:top w:w="0" w:type="dxa"/>
            <w:left w:w="108" w:type="dxa"/>
            <w:bottom w:w="0" w:type="dxa"/>
            <w:right w:w="108" w:type="dxa"/>
          </w:tblCellMar>
        </w:tblPrEx>
        <w:trPr>
          <w:cantSplit/>
          <w:trHeight w:val="795" w:hRule="atLeast"/>
          <w:jc w:val="center"/>
        </w:trPr>
        <w:tc>
          <w:tcPr>
            <w:tcW w:w="4033" w:type="dxa"/>
            <w:vMerge w:val="continue"/>
            <w:tcBorders>
              <w:top w:val="single" w:color="000000" w:sz="4" w:space="0"/>
              <w:left w:val="single" w:color="000000" w:sz="4" w:space="0"/>
              <w:bottom w:val="single" w:color="000000" w:sz="4" w:space="0"/>
              <w:right w:val="single" w:color="000000" w:sz="4" w:space="0"/>
            </w:tcBorders>
          </w:tcPr>
          <w:p w14:paraId="39DBA8B9">
            <w:pPr>
              <w:rPr>
                <w:rFonts w:ascii="宋体" w:hAnsi="宋体"/>
              </w:rPr>
            </w:pPr>
          </w:p>
        </w:tc>
        <w:tc>
          <w:tcPr>
            <w:tcW w:w="51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6FC71FF">
            <w:pPr>
              <w:pStyle w:val="151"/>
              <w:ind w:firstLine="0"/>
              <w:jc w:val="left"/>
              <w:rPr>
                <w:rFonts w:ascii="宋体" w:hAnsi="宋体" w:eastAsia="宋体" w:cs="宋体"/>
                <w:color w:val="auto"/>
                <w:sz w:val="24"/>
                <w:szCs w:val="24"/>
                <w:lang w:val="zh-Hans" w:eastAsia="zh-Hans"/>
              </w:rPr>
            </w:pPr>
            <w:r>
              <w:rPr>
                <w:rFonts w:ascii="宋体" w:hAnsi="宋体" w:eastAsia="宋体" w:cs="宋体"/>
                <w:color w:val="auto"/>
                <w:sz w:val="24"/>
                <w:szCs w:val="24"/>
                <w:lang w:val="zh-Hans" w:eastAsia="zh-Hans"/>
              </w:rPr>
              <w:t>大写：</w:t>
            </w:r>
          </w:p>
        </w:tc>
      </w:tr>
    </w:tbl>
    <w:p w14:paraId="02A296A1">
      <w:pPr>
        <w:tabs>
          <w:tab w:val="left" w:pos="3870"/>
          <w:tab w:val="left" w:pos="4085"/>
        </w:tabs>
        <w:snapToGrid w:val="0"/>
        <w:spacing w:line="360" w:lineRule="auto"/>
        <w:ind w:firstLine="420" w:firstLineChars="200"/>
        <w:jc w:val="left"/>
        <w:rPr>
          <w:rFonts w:ascii="宋体" w:hAnsi="宋体"/>
          <w:szCs w:val="21"/>
        </w:rPr>
      </w:pPr>
      <w:r>
        <w:rPr>
          <w:rFonts w:hint="eastAsia" w:ascii="宋体" w:hAnsi="宋体" w:cs="宋体"/>
          <w:szCs w:val="21"/>
        </w:rPr>
        <w:t>备注：</w:t>
      </w:r>
      <w:r>
        <w:rPr>
          <w:rFonts w:hint="eastAsia"/>
          <w:szCs w:val="21"/>
        </w:rPr>
        <w:t>投标总价</w:t>
      </w:r>
      <w:r>
        <w:rPr>
          <w:rFonts w:hint="eastAsia" w:ascii="宋体" w:hAnsi="宋体"/>
          <w:szCs w:val="21"/>
        </w:rPr>
        <w:t>包括设备清运、集中堆放、小型拆卸机械费、措施费、保险、税金、原建筑保护、切割辅材以及其他等费用 。</w:t>
      </w:r>
    </w:p>
    <w:p w14:paraId="1185204C">
      <w:pPr>
        <w:pStyle w:val="151"/>
        <w:spacing w:line="240" w:lineRule="atLeast"/>
        <w:ind w:firstLine="601"/>
        <w:rPr>
          <w:rFonts w:ascii="宋体" w:hAnsi="宋体" w:eastAsia="宋体" w:cs="宋体"/>
          <w:color w:val="auto"/>
          <w:sz w:val="21"/>
          <w:szCs w:val="21"/>
        </w:rPr>
      </w:pPr>
    </w:p>
    <w:p w14:paraId="2C377CD2">
      <w:pPr>
        <w:ind w:firstLine="422"/>
        <w:rPr>
          <w:rFonts w:ascii="宋体" w:hAnsi="宋体" w:cs="宋体"/>
          <w:b/>
          <w:bCs/>
          <w:szCs w:val="21"/>
        </w:rPr>
      </w:pPr>
    </w:p>
    <w:p w14:paraId="5030A3C1">
      <w:pPr>
        <w:spacing w:line="400" w:lineRule="exact"/>
        <w:ind w:firstLine="3570" w:firstLineChars="1700"/>
        <w:rPr>
          <w:rFonts w:ascii="宋体" w:hAnsi="宋体" w:cs="宋体"/>
          <w:szCs w:val="21"/>
        </w:rPr>
      </w:pPr>
    </w:p>
    <w:p w14:paraId="1FE85D70">
      <w:pPr>
        <w:spacing w:line="360" w:lineRule="auto"/>
        <w:ind w:left="170" w:firstLine="1680" w:firstLineChars="800"/>
        <w:rPr>
          <w:rFonts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（公章）</w:t>
      </w:r>
    </w:p>
    <w:p w14:paraId="45549806">
      <w:pPr>
        <w:spacing w:line="360" w:lineRule="auto"/>
        <w:rPr>
          <w:rFonts w:ascii="宋体" w:hAnsi="宋体" w:cs="宋体"/>
          <w:szCs w:val="21"/>
        </w:rPr>
      </w:pPr>
      <w:r>
        <w:rPr>
          <w:rFonts w:hint="eastAsia" w:ascii="宋体" w:hAnsi="宋体" w:cs="宋体"/>
          <w:szCs w:val="21"/>
        </w:rPr>
        <w:t xml:space="preserve">                                   投标日期：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3926728"/>
    <w:p w14:paraId="6B570BAF"/>
    <w:p w14:paraId="3A7725CB"/>
    <w:p w14:paraId="46F5C54B"/>
    <w:p w14:paraId="38C80FF3"/>
    <w:p w14:paraId="001FAF72"/>
    <w:p w14:paraId="7FB95A00"/>
    <w:p w14:paraId="3BCC1D11"/>
    <w:p w14:paraId="3911DC81"/>
    <w:p w14:paraId="4F48BE01"/>
    <w:p w14:paraId="117D075C"/>
    <w:p w14:paraId="77EFB41A"/>
    <w:p w14:paraId="5071FDA2"/>
    <w:p w14:paraId="3AD966C0"/>
    <w:p w14:paraId="60021596"/>
    <w:p w14:paraId="732AC310">
      <w:pPr>
        <w:sectPr>
          <w:footerReference r:id="rId12" w:type="first"/>
          <w:footerReference r:id="rId11" w:type="default"/>
          <w:pgSz w:w="11906" w:h="16838"/>
          <w:pgMar w:top="1361" w:right="1247" w:bottom="1361" w:left="1361" w:header="851" w:footer="992" w:gutter="0"/>
          <w:cols w:space="720" w:num="1"/>
          <w:titlePg/>
          <w:docGrid w:linePitch="391" w:charSpace="0"/>
        </w:sectPr>
      </w:pPr>
    </w:p>
    <w:p w14:paraId="118B1227">
      <w:pPr>
        <w:rPr>
          <w:rStyle w:val="116"/>
          <w:rFonts w:ascii="宋体" w:hAnsi="宋体" w:cs="宋体"/>
          <w:szCs w:val="24"/>
        </w:rPr>
      </w:pPr>
      <w:r>
        <w:rPr>
          <w:rStyle w:val="116"/>
          <w:rFonts w:hint="eastAsia" w:ascii="宋体" w:hAnsi="宋体" w:cs="宋体"/>
          <w:szCs w:val="24"/>
        </w:rPr>
        <w:t>附件</w:t>
      </w:r>
    </w:p>
    <w:p w14:paraId="7B8F1388">
      <w:pPr>
        <w:pStyle w:val="43"/>
        <w:ind w:firstLine="480"/>
        <w:rPr>
          <w:rFonts w:hint="default"/>
        </w:rPr>
      </w:pPr>
    </w:p>
    <w:p w14:paraId="384D6A7D">
      <w:pPr>
        <w:jc w:val="center"/>
        <w:rPr>
          <w:rFonts w:ascii="宋体" w:hAnsi="宋体" w:cs="宋体"/>
          <w:b/>
          <w:sz w:val="30"/>
          <w:szCs w:val="30"/>
        </w:rPr>
      </w:pPr>
      <w:r>
        <w:rPr>
          <w:rFonts w:hint="eastAsia" w:ascii="宋体" w:hAnsi="宋体" w:cs="宋体"/>
          <w:b/>
          <w:sz w:val="30"/>
          <w:szCs w:val="30"/>
        </w:rPr>
        <w:t>分项报价表</w:t>
      </w:r>
    </w:p>
    <w:p w14:paraId="22ADDCB1">
      <w:pPr>
        <w:adjustRightInd w:val="0"/>
        <w:snapToGrid w:val="0"/>
        <w:spacing w:after="120" w:afterLines="50"/>
        <w:rPr>
          <w:rFonts w:hint="eastAsia" w:ascii="宋体" w:hAnsi="宋体" w:eastAsia="宋体" w:cs="宋体"/>
          <w:szCs w:val="21"/>
          <w:u w:val="single"/>
          <w:lang w:eastAsia="zh-CN"/>
        </w:rPr>
      </w:pPr>
      <w:r>
        <w:rPr>
          <w:rFonts w:hint="eastAsia" w:ascii="宋体" w:hAnsi="宋体" w:cs="宋体"/>
          <w:kern w:val="0"/>
          <w:szCs w:val="21"/>
        </w:rPr>
        <w:t>项目名称：</w:t>
      </w:r>
      <w:r>
        <w:rPr>
          <w:rFonts w:hint="eastAsia" w:ascii="宋体" w:hAnsi="宋体" w:cs="宋体"/>
          <w:szCs w:val="21"/>
          <w:u w:val="single"/>
          <w:lang w:eastAsia="zh-CN"/>
        </w:rPr>
        <w:t>慈溪市排水有限公司污水处理厂、污水泵站废旧设备清运、集中堆放项目（重发）</w:t>
      </w:r>
    </w:p>
    <w:p w14:paraId="6E78A241">
      <w:pPr>
        <w:adjustRightInd w:val="0"/>
        <w:snapToGrid w:val="0"/>
        <w:spacing w:after="120" w:afterLines="50"/>
        <w:rPr>
          <w:rFonts w:ascii="宋体" w:hAnsi="宋体" w:cs="宋体"/>
          <w:szCs w:val="21"/>
          <w:u w:val="single"/>
        </w:rPr>
      </w:pPr>
      <w:r>
        <w:rPr>
          <w:rFonts w:hint="eastAsia" w:ascii="宋体" w:hAnsi="宋体" w:cs="宋体"/>
          <w:kern w:val="0"/>
          <w:szCs w:val="21"/>
        </w:rPr>
        <w:t>项目编号：</w:t>
      </w:r>
      <w:r>
        <w:rPr>
          <w:rFonts w:hint="eastAsia" w:ascii="宋体" w:hAnsi="宋体" w:cs="宋体"/>
          <w:szCs w:val="21"/>
          <w:u w:val="single"/>
        </w:rPr>
        <w:t xml:space="preserve"> QTGGZY202</w:t>
      </w:r>
      <w:r>
        <w:rPr>
          <w:rFonts w:ascii="宋体" w:hAnsi="宋体" w:cs="宋体"/>
          <w:szCs w:val="21"/>
          <w:u w:val="single"/>
        </w:rPr>
        <w:t>5</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kern w:val="0"/>
          <w:szCs w:val="21"/>
        </w:rPr>
        <w:t xml:space="preserve"> </w:t>
      </w:r>
      <w:r>
        <w:rPr>
          <w:rFonts w:hint="eastAsia" w:ascii="宋体" w:hAnsi="宋体" w:cs="宋体"/>
          <w:szCs w:val="21"/>
        </w:rPr>
        <w:t xml:space="preserve"> </w:t>
      </w:r>
    </w:p>
    <w:tbl>
      <w:tblPr>
        <w:tblStyle w:val="188"/>
        <w:tblW w:w="9628" w:type="dxa"/>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249"/>
        <w:gridCol w:w="918"/>
        <w:gridCol w:w="919"/>
        <w:gridCol w:w="1139"/>
        <w:gridCol w:w="1139"/>
        <w:gridCol w:w="1514"/>
      </w:tblGrid>
      <w:tr w14:paraId="1A28C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750" w:type="dxa"/>
            <w:tcBorders>
              <w:top w:val="single" w:color="000000" w:sz="6" w:space="0"/>
              <w:left w:val="single" w:color="000000" w:sz="6" w:space="0"/>
              <w:bottom w:val="single" w:color="000000" w:sz="6" w:space="0"/>
              <w:right w:val="single" w:color="000000" w:sz="6" w:space="0"/>
            </w:tcBorders>
          </w:tcPr>
          <w:p w14:paraId="007C50D2">
            <w:pPr>
              <w:widowControl/>
              <w:kinsoku w:val="0"/>
              <w:autoSpaceDE w:val="0"/>
              <w:autoSpaceDN w:val="0"/>
              <w:adjustRightInd w:val="0"/>
              <w:snapToGrid w:val="0"/>
              <w:spacing w:before="286"/>
              <w:ind w:left="136"/>
              <w:jc w:val="left"/>
              <w:textAlignment w:val="baseline"/>
              <w:rPr>
                <w:rFonts w:ascii="宋体" w:hAnsi="宋体" w:eastAsia="Times New Roman"/>
                <w:kern w:val="0"/>
                <w:sz w:val="22"/>
                <w:szCs w:val="22"/>
              </w:rPr>
            </w:pPr>
            <w:r>
              <w:rPr>
                <w:rFonts w:hint="eastAsia" w:ascii="宋体" w:hAnsi="宋体" w:eastAsia="Times New Roman"/>
                <w:spacing w:val="-4"/>
                <w:kern w:val="0"/>
                <w:sz w:val="22"/>
                <w:szCs w:val="22"/>
              </w:rPr>
              <w:t>序号</w:t>
            </w:r>
          </w:p>
        </w:tc>
        <w:tc>
          <w:tcPr>
            <w:tcW w:w="3249" w:type="dxa"/>
            <w:tcBorders>
              <w:top w:val="single" w:color="000000" w:sz="6" w:space="0"/>
              <w:left w:val="single" w:color="000000" w:sz="6" w:space="0"/>
              <w:bottom w:val="single" w:color="000000" w:sz="6" w:space="0"/>
              <w:right w:val="single" w:color="000000" w:sz="6" w:space="0"/>
            </w:tcBorders>
          </w:tcPr>
          <w:p w14:paraId="70F4BFE9">
            <w:pPr>
              <w:widowControl/>
              <w:kinsoku w:val="0"/>
              <w:autoSpaceDE w:val="0"/>
              <w:autoSpaceDN w:val="0"/>
              <w:adjustRightInd w:val="0"/>
              <w:snapToGrid w:val="0"/>
              <w:spacing w:before="286"/>
              <w:ind w:left="1607"/>
              <w:jc w:val="left"/>
              <w:textAlignment w:val="baseline"/>
              <w:rPr>
                <w:rFonts w:ascii="宋体" w:hAnsi="宋体" w:eastAsia="Times New Roman"/>
                <w:kern w:val="0"/>
                <w:sz w:val="22"/>
                <w:szCs w:val="22"/>
              </w:rPr>
            </w:pPr>
            <w:r>
              <w:rPr>
                <w:rFonts w:hint="eastAsia" w:ascii="宋体" w:hAnsi="宋体" w:eastAsia="Times New Roman"/>
                <w:spacing w:val="-5"/>
                <w:kern w:val="0"/>
                <w:sz w:val="22"/>
                <w:szCs w:val="22"/>
              </w:rPr>
              <w:t>名称</w:t>
            </w:r>
          </w:p>
        </w:tc>
        <w:tc>
          <w:tcPr>
            <w:tcW w:w="918" w:type="dxa"/>
            <w:tcBorders>
              <w:top w:val="single" w:color="000000" w:sz="6" w:space="0"/>
              <w:left w:val="single" w:color="000000" w:sz="6" w:space="0"/>
              <w:bottom w:val="single" w:color="000000" w:sz="6" w:space="0"/>
              <w:right w:val="single" w:color="000000" w:sz="6" w:space="0"/>
            </w:tcBorders>
          </w:tcPr>
          <w:p w14:paraId="38C57A55">
            <w:pPr>
              <w:widowControl/>
              <w:kinsoku w:val="0"/>
              <w:autoSpaceDE w:val="0"/>
              <w:autoSpaceDN w:val="0"/>
              <w:adjustRightInd w:val="0"/>
              <w:snapToGrid w:val="0"/>
              <w:spacing w:before="285"/>
              <w:ind w:left="337"/>
              <w:jc w:val="left"/>
              <w:textAlignment w:val="baseline"/>
              <w:rPr>
                <w:rFonts w:ascii="宋体" w:hAnsi="宋体" w:eastAsia="Times New Roman"/>
                <w:kern w:val="0"/>
                <w:sz w:val="22"/>
                <w:szCs w:val="22"/>
              </w:rPr>
            </w:pPr>
            <w:r>
              <w:rPr>
                <w:rFonts w:hint="eastAsia" w:ascii="宋体" w:hAnsi="宋体" w:eastAsia="Times New Roman"/>
                <w:spacing w:val="-5"/>
                <w:kern w:val="0"/>
                <w:sz w:val="22"/>
                <w:szCs w:val="22"/>
              </w:rPr>
              <w:t>单位</w:t>
            </w:r>
          </w:p>
        </w:tc>
        <w:tc>
          <w:tcPr>
            <w:tcW w:w="919" w:type="dxa"/>
            <w:tcBorders>
              <w:top w:val="single" w:color="000000" w:sz="6" w:space="0"/>
              <w:left w:val="single" w:color="000000" w:sz="6" w:space="0"/>
              <w:bottom w:val="single" w:color="000000" w:sz="6" w:space="0"/>
              <w:right w:val="single" w:color="000000" w:sz="6" w:space="0"/>
            </w:tcBorders>
          </w:tcPr>
          <w:p w14:paraId="73612059">
            <w:pPr>
              <w:widowControl/>
              <w:kinsoku w:val="0"/>
              <w:autoSpaceDE w:val="0"/>
              <w:autoSpaceDN w:val="0"/>
              <w:adjustRightInd w:val="0"/>
              <w:snapToGrid w:val="0"/>
              <w:spacing w:before="285"/>
              <w:ind w:left="339"/>
              <w:jc w:val="left"/>
              <w:textAlignment w:val="baseline"/>
              <w:rPr>
                <w:rFonts w:ascii="宋体" w:hAnsi="宋体" w:eastAsia="Times New Roman"/>
                <w:kern w:val="0"/>
                <w:sz w:val="22"/>
                <w:szCs w:val="22"/>
              </w:rPr>
            </w:pPr>
            <w:r>
              <w:rPr>
                <w:rFonts w:hint="eastAsia" w:ascii="宋体" w:hAnsi="宋体" w:eastAsia="Times New Roman"/>
                <w:spacing w:val="-5"/>
                <w:kern w:val="0"/>
                <w:sz w:val="22"/>
                <w:szCs w:val="22"/>
              </w:rPr>
              <w:t>数量</w:t>
            </w:r>
          </w:p>
        </w:tc>
        <w:tc>
          <w:tcPr>
            <w:tcW w:w="1139" w:type="dxa"/>
            <w:tcBorders>
              <w:top w:val="single" w:color="000000" w:sz="6" w:space="0"/>
              <w:left w:val="single" w:color="000000" w:sz="6" w:space="0"/>
              <w:bottom w:val="single" w:color="000000" w:sz="6" w:space="0"/>
              <w:right w:val="single" w:color="000000" w:sz="6" w:space="0"/>
            </w:tcBorders>
          </w:tcPr>
          <w:p w14:paraId="4622C60F">
            <w:pPr>
              <w:widowControl/>
              <w:kinsoku w:val="0"/>
              <w:autoSpaceDE w:val="0"/>
              <w:autoSpaceDN w:val="0"/>
              <w:adjustRightInd w:val="0"/>
              <w:snapToGrid w:val="0"/>
              <w:spacing w:before="285"/>
              <w:ind w:left="339"/>
              <w:jc w:val="left"/>
              <w:textAlignment w:val="baseline"/>
              <w:rPr>
                <w:rFonts w:hint="eastAsia" w:ascii="宋体" w:hAnsi="宋体" w:eastAsia="宋体"/>
                <w:spacing w:val="-5"/>
                <w:kern w:val="0"/>
                <w:sz w:val="22"/>
                <w:szCs w:val="22"/>
                <w:lang w:eastAsia="zh-CN"/>
              </w:rPr>
            </w:pPr>
            <w:r>
              <w:rPr>
                <w:rFonts w:hint="eastAsia" w:ascii="宋体" w:hAnsi="宋体"/>
                <w:spacing w:val="-5"/>
                <w:kern w:val="0"/>
                <w:sz w:val="22"/>
                <w:szCs w:val="22"/>
                <w:lang w:eastAsia="zh-CN"/>
              </w:rPr>
              <w:t>最高单价限价</w:t>
            </w:r>
            <w:r>
              <w:rPr>
                <w:rFonts w:hint="eastAsia" w:ascii="宋体" w:hAnsi="宋体" w:eastAsia="Times New Roman"/>
                <w:spacing w:val="-4"/>
                <w:kern w:val="0"/>
                <w:sz w:val="22"/>
                <w:szCs w:val="22"/>
              </w:rPr>
              <w:t>（元）</w:t>
            </w:r>
          </w:p>
        </w:tc>
        <w:tc>
          <w:tcPr>
            <w:tcW w:w="1139" w:type="dxa"/>
            <w:tcBorders>
              <w:top w:val="single" w:color="000000" w:sz="6" w:space="0"/>
              <w:left w:val="single" w:color="000000" w:sz="6" w:space="0"/>
              <w:bottom w:val="single" w:color="000000" w:sz="6" w:space="0"/>
              <w:right w:val="single" w:color="000000" w:sz="6" w:space="0"/>
            </w:tcBorders>
          </w:tcPr>
          <w:p w14:paraId="580B70EF">
            <w:pPr>
              <w:widowControl/>
              <w:kinsoku w:val="0"/>
              <w:autoSpaceDE w:val="0"/>
              <w:autoSpaceDN w:val="0"/>
              <w:adjustRightInd w:val="0"/>
              <w:snapToGrid w:val="0"/>
              <w:spacing w:before="149"/>
              <w:ind w:left="363" w:right="223" w:hanging="116"/>
              <w:jc w:val="left"/>
              <w:textAlignment w:val="baseline"/>
              <w:rPr>
                <w:rFonts w:ascii="宋体" w:hAnsi="宋体" w:eastAsia="Times New Roman"/>
                <w:kern w:val="0"/>
                <w:sz w:val="22"/>
                <w:szCs w:val="22"/>
              </w:rPr>
            </w:pPr>
            <w:r>
              <w:rPr>
                <w:rFonts w:hint="eastAsia" w:ascii="宋体" w:hAnsi="宋体" w:eastAsia="Times New Roman"/>
                <w:spacing w:val="-2"/>
                <w:kern w:val="0"/>
                <w:sz w:val="22"/>
                <w:szCs w:val="22"/>
              </w:rPr>
              <w:t>含税单价</w:t>
            </w:r>
            <w:r>
              <w:rPr>
                <w:rFonts w:hint="eastAsia" w:ascii="宋体" w:hAnsi="宋体" w:eastAsia="Times New Roman"/>
                <w:spacing w:val="1"/>
                <w:kern w:val="0"/>
                <w:sz w:val="22"/>
                <w:szCs w:val="22"/>
              </w:rPr>
              <w:t xml:space="preserve"> </w:t>
            </w:r>
            <w:r>
              <w:rPr>
                <w:rFonts w:hint="eastAsia" w:ascii="宋体" w:hAnsi="宋体" w:eastAsia="Times New Roman"/>
                <w:spacing w:val="-4"/>
                <w:kern w:val="0"/>
                <w:sz w:val="22"/>
                <w:szCs w:val="22"/>
              </w:rPr>
              <w:t>（元）</w:t>
            </w:r>
          </w:p>
        </w:tc>
        <w:tc>
          <w:tcPr>
            <w:tcW w:w="1514" w:type="dxa"/>
            <w:tcBorders>
              <w:top w:val="single" w:color="000000" w:sz="6" w:space="0"/>
              <w:left w:val="single" w:color="000000" w:sz="6" w:space="0"/>
              <w:bottom w:val="single" w:color="000000" w:sz="6" w:space="0"/>
              <w:right w:val="single" w:color="000000" w:sz="6" w:space="0"/>
            </w:tcBorders>
          </w:tcPr>
          <w:p w14:paraId="5E6B3DE5">
            <w:pPr>
              <w:widowControl/>
              <w:kinsoku w:val="0"/>
              <w:autoSpaceDE w:val="0"/>
              <w:autoSpaceDN w:val="0"/>
              <w:adjustRightInd w:val="0"/>
              <w:snapToGrid w:val="0"/>
              <w:spacing w:before="149"/>
              <w:ind w:left="244"/>
              <w:jc w:val="left"/>
              <w:textAlignment w:val="baseline"/>
              <w:rPr>
                <w:rFonts w:ascii="宋体" w:hAnsi="宋体" w:eastAsia="Times New Roman"/>
                <w:kern w:val="0"/>
                <w:sz w:val="22"/>
                <w:szCs w:val="22"/>
              </w:rPr>
            </w:pPr>
            <w:r>
              <w:rPr>
                <w:rFonts w:hint="eastAsia" w:ascii="宋体" w:hAnsi="宋体" w:eastAsia="Times New Roman"/>
                <w:spacing w:val="-1"/>
                <w:kern w:val="0"/>
                <w:sz w:val="22"/>
                <w:szCs w:val="22"/>
              </w:rPr>
              <w:t>含税合计金额</w:t>
            </w:r>
          </w:p>
          <w:p w14:paraId="4935D115">
            <w:pPr>
              <w:widowControl/>
              <w:kinsoku w:val="0"/>
              <w:autoSpaceDE w:val="0"/>
              <w:autoSpaceDN w:val="0"/>
              <w:adjustRightInd w:val="0"/>
              <w:snapToGrid w:val="0"/>
              <w:spacing w:before="8"/>
              <w:ind w:left="587"/>
              <w:jc w:val="left"/>
              <w:textAlignment w:val="baseline"/>
              <w:rPr>
                <w:rFonts w:ascii="宋体" w:hAnsi="宋体" w:eastAsia="Times New Roman"/>
                <w:kern w:val="0"/>
                <w:sz w:val="22"/>
                <w:szCs w:val="22"/>
              </w:rPr>
            </w:pPr>
            <w:r>
              <w:rPr>
                <w:rFonts w:hint="eastAsia" w:ascii="宋体" w:hAnsi="宋体" w:eastAsia="Times New Roman"/>
                <w:spacing w:val="-4"/>
                <w:kern w:val="0"/>
                <w:sz w:val="22"/>
                <w:szCs w:val="22"/>
              </w:rPr>
              <w:t>（元）</w:t>
            </w:r>
          </w:p>
        </w:tc>
      </w:tr>
      <w:tr w14:paraId="2CA59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750" w:type="dxa"/>
            <w:tcBorders>
              <w:top w:val="single" w:color="000000" w:sz="6" w:space="0"/>
              <w:left w:val="single" w:color="000000" w:sz="6" w:space="0"/>
              <w:bottom w:val="single" w:color="000000" w:sz="6" w:space="0"/>
              <w:right w:val="single" w:color="000000" w:sz="6" w:space="0"/>
            </w:tcBorders>
          </w:tcPr>
          <w:p w14:paraId="515FB580">
            <w:pPr>
              <w:widowControl/>
              <w:kinsoku w:val="0"/>
              <w:autoSpaceDE w:val="0"/>
              <w:autoSpaceDN w:val="0"/>
              <w:adjustRightInd w:val="0"/>
              <w:snapToGrid w:val="0"/>
              <w:spacing w:before="268"/>
              <w:ind w:left="321"/>
              <w:jc w:val="left"/>
              <w:textAlignment w:val="baseline"/>
              <w:rPr>
                <w:rFonts w:ascii="宋体" w:hAnsi="宋体" w:eastAsia="Times New Roman"/>
                <w:kern w:val="0"/>
                <w:sz w:val="22"/>
                <w:szCs w:val="22"/>
              </w:rPr>
            </w:pPr>
            <w:r>
              <w:rPr>
                <w:rFonts w:hint="eastAsia" w:ascii="宋体" w:hAnsi="宋体" w:eastAsia="Times New Roman"/>
                <w:kern w:val="0"/>
                <w:sz w:val="22"/>
                <w:szCs w:val="22"/>
              </w:rPr>
              <w:t>1</w:t>
            </w:r>
          </w:p>
        </w:tc>
        <w:tc>
          <w:tcPr>
            <w:tcW w:w="3249" w:type="dxa"/>
            <w:tcBorders>
              <w:top w:val="single" w:color="000000" w:sz="6" w:space="0"/>
              <w:left w:val="single" w:color="000000" w:sz="6" w:space="0"/>
              <w:bottom w:val="single" w:color="000000" w:sz="6" w:space="0"/>
              <w:right w:val="single" w:color="000000" w:sz="6" w:space="0"/>
            </w:tcBorders>
          </w:tcPr>
          <w:p w14:paraId="035913FC">
            <w:pPr>
              <w:widowControl/>
              <w:kinsoku w:val="0"/>
              <w:autoSpaceDE w:val="0"/>
              <w:autoSpaceDN w:val="0"/>
              <w:adjustRightInd w:val="0"/>
              <w:snapToGrid w:val="0"/>
              <w:spacing w:before="234"/>
              <w:ind w:left="1276"/>
              <w:jc w:val="left"/>
              <w:textAlignment w:val="baseline"/>
              <w:rPr>
                <w:rFonts w:ascii="宋体" w:hAnsi="宋体" w:eastAsia="Times New Roman"/>
                <w:kern w:val="0"/>
                <w:sz w:val="22"/>
                <w:szCs w:val="22"/>
              </w:rPr>
            </w:pPr>
            <w:r>
              <w:rPr>
                <w:rFonts w:hint="eastAsia" w:ascii="宋体" w:hAnsi="宋体" w:eastAsia="Times New Roman"/>
                <w:spacing w:val="-3"/>
                <w:kern w:val="0"/>
                <w:sz w:val="22"/>
                <w:szCs w:val="22"/>
              </w:rPr>
              <w:t>小型农运车</w:t>
            </w:r>
          </w:p>
        </w:tc>
        <w:tc>
          <w:tcPr>
            <w:tcW w:w="918" w:type="dxa"/>
            <w:tcBorders>
              <w:top w:val="single" w:color="000000" w:sz="6" w:space="0"/>
              <w:left w:val="single" w:color="000000" w:sz="6" w:space="0"/>
              <w:bottom w:val="single" w:color="000000" w:sz="6" w:space="0"/>
              <w:right w:val="single" w:color="000000" w:sz="6" w:space="0"/>
            </w:tcBorders>
          </w:tcPr>
          <w:p w14:paraId="7645526B">
            <w:pPr>
              <w:widowControl/>
              <w:kinsoku w:val="0"/>
              <w:autoSpaceDE w:val="0"/>
              <w:autoSpaceDN w:val="0"/>
              <w:adjustRightInd w:val="0"/>
              <w:snapToGrid w:val="0"/>
              <w:spacing w:before="233"/>
              <w:ind w:left="452"/>
              <w:jc w:val="left"/>
              <w:textAlignment w:val="baseline"/>
              <w:rPr>
                <w:rFonts w:ascii="宋体" w:hAnsi="宋体" w:eastAsia="Times New Roman"/>
                <w:kern w:val="0"/>
                <w:sz w:val="22"/>
                <w:szCs w:val="22"/>
              </w:rPr>
            </w:pPr>
            <w:r>
              <w:rPr>
                <w:rFonts w:hint="eastAsia" w:ascii="宋体" w:hAnsi="宋体" w:eastAsia="Times New Roman"/>
                <w:kern w:val="0"/>
                <w:sz w:val="22"/>
                <w:szCs w:val="22"/>
              </w:rPr>
              <w:t>天</w:t>
            </w:r>
          </w:p>
        </w:tc>
        <w:tc>
          <w:tcPr>
            <w:tcW w:w="919" w:type="dxa"/>
            <w:tcBorders>
              <w:top w:val="single" w:color="000000" w:sz="6" w:space="0"/>
              <w:left w:val="single" w:color="000000" w:sz="6" w:space="0"/>
              <w:bottom w:val="single" w:color="000000" w:sz="6" w:space="0"/>
              <w:right w:val="single" w:color="000000" w:sz="6" w:space="0"/>
            </w:tcBorders>
          </w:tcPr>
          <w:p w14:paraId="5C955B6D">
            <w:pPr>
              <w:widowControl/>
              <w:kinsoku w:val="0"/>
              <w:autoSpaceDE w:val="0"/>
              <w:autoSpaceDN w:val="0"/>
              <w:adjustRightInd w:val="0"/>
              <w:snapToGrid w:val="0"/>
              <w:spacing w:before="269"/>
              <w:ind w:left="452"/>
              <w:jc w:val="left"/>
              <w:textAlignment w:val="baseline"/>
              <w:rPr>
                <w:rFonts w:ascii="宋体" w:hAnsi="宋体" w:eastAsia="Times New Roman"/>
                <w:kern w:val="0"/>
                <w:sz w:val="22"/>
                <w:szCs w:val="22"/>
              </w:rPr>
            </w:pPr>
            <w:r>
              <w:rPr>
                <w:rFonts w:hint="eastAsia" w:ascii="宋体" w:hAnsi="宋体" w:eastAsia="Times New Roman"/>
                <w:spacing w:val="-6"/>
                <w:kern w:val="0"/>
                <w:sz w:val="22"/>
                <w:szCs w:val="22"/>
              </w:rPr>
              <w:t>25</w:t>
            </w:r>
          </w:p>
        </w:tc>
        <w:tc>
          <w:tcPr>
            <w:tcW w:w="1139" w:type="dxa"/>
            <w:tcBorders>
              <w:top w:val="single" w:color="000000" w:sz="6" w:space="0"/>
              <w:left w:val="single" w:color="000000" w:sz="6" w:space="0"/>
              <w:bottom w:val="single" w:color="000000" w:sz="6" w:space="0"/>
              <w:right w:val="single" w:color="000000" w:sz="6" w:space="0"/>
            </w:tcBorders>
            <w:vAlign w:val="center"/>
          </w:tcPr>
          <w:p w14:paraId="0E516CBF">
            <w:pPr>
              <w:widowControl/>
              <w:kinsoku w:val="0"/>
              <w:autoSpaceDE w:val="0"/>
              <w:autoSpaceDN w:val="0"/>
              <w:adjustRightInd w:val="0"/>
              <w:snapToGrid w:val="0"/>
              <w:spacing w:before="269"/>
              <w:ind w:left="452"/>
              <w:jc w:val="center"/>
              <w:textAlignment w:val="baseline"/>
              <w:rPr>
                <w:rFonts w:hint="eastAsia" w:ascii="宋体" w:hAnsi="宋体" w:eastAsia="Times New Roman"/>
                <w:spacing w:val="-6"/>
                <w:kern w:val="0"/>
                <w:sz w:val="22"/>
                <w:szCs w:val="22"/>
              </w:rPr>
            </w:pPr>
            <w:r>
              <w:rPr>
                <w:rFonts w:ascii="宋体" w:hAnsi="宋体" w:eastAsia="宋体" w:cs="宋体"/>
                <w:b w:val="0"/>
                <w:bCs w:val="0"/>
                <w:color w:val="000000"/>
                <w:sz w:val="22"/>
                <w:szCs w:val="22"/>
              </w:rPr>
              <w:t>800</w:t>
            </w:r>
          </w:p>
        </w:tc>
        <w:tc>
          <w:tcPr>
            <w:tcW w:w="1139" w:type="dxa"/>
            <w:tcBorders>
              <w:top w:val="single" w:color="000000" w:sz="6" w:space="0"/>
              <w:left w:val="single" w:color="000000" w:sz="6" w:space="0"/>
              <w:bottom w:val="single" w:color="000000" w:sz="6" w:space="0"/>
              <w:right w:val="single" w:color="000000" w:sz="6" w:space="0"/>
            </w:tcBorders>
          </w:tcPr>
          <w:p w14:paraId="10C679D4">
            <w:pPr>
              <w:widowControl/>
              <w:kinsoku w:val="0"/>
              <w:autoSpaceDE w:val="0"/>
              <w:autoSpaceDN w:val="0"/>
              <w:adjustRightInd w:val="0"/>
              <w:snapToGrid w:val="0"/>
              <w:spacing w:before="269"/>
              <w:ind w:left="526"/>
              <w:jc w:val="left"/>
              <w:textAlignment w:val="baseline"/>
              <w:rPr>
                <w:rFonts w:ascii="宋体" w:hAnsi="宋体" w:eastAsia="Times New Roman"/>
                <w:kern w:val="0"/>
                <w:sz w:val="22"/>
                <w:szCs w:val="22"/>
              </w:rPr>
            </w:pPr>
          </w:p>
        </w:tc>
        <w:tc>
          <w:tcPr>
            <w:tcW w:w="1514" w:type="dxa"/>
            <w:tcBorders>
              <w:top w:val="single" w:color="000000" w:sz="6" w:space="0"/>
              <w:left w:val="single" w:color="000000" w:sz="6" w:space="0"/>
              <w:bottom w:val="single" w:color="000000" w:sz="6" w:space="0"/>
              <w:right w:val="single" w:color="000000" w:sz="6" w:space="0"/>
            </w:tcBorders>
          </w:tcPr>
          <w:p w14:paraId="317E4EE5">
            <w:pPr>
              <w:widowControl/>
              <w:kinsoku w:val="0"/>
              <w:autoSpaceDE w:val="0"/>
              <w:autoSpaceDN w:val="0"/>
              <w:adjustRightInd w:val="0"/>
              <w:snapToGrid w:val="0"/>
              <w:spacing w:before="269"/>
              <w:ind w:left="638"/>
              <w:jc w:val="left"/>
              <w:textAlignment w:val="baseline"/>
              <w:rPr>
                <w:rFonts w:ascii="宋体" w:hAnsi="宋体" w:eastAsia="Times New Roman"/>
                <w:kern w:val="0"/>
                <w:sz w:val="22"/>
                <w:szCs w:val="22"/>
              </w:rPr>
            </w:pPr>
          </w:p>
        </w:tc>
      </w:tr>
      <w:tr w14:paraId="7D976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750" w:type="dxa"/>
            <w:tcBorders>
              <w:top w:val="single" w:color="000000" w:sz="6" w:space="0"/>
              <w:left w:val="single" w:color="000000" w:sz="6" w:space="0"/>
              <w:bottom w:val="single" w:color="000000" w:sz="6" w:space="0"/>
              <w:right w:val="single" w:color="000000" w:sz="6" w:space="0"/>
            </w:tcBorders>
          </w:tcPr>
          <w:p w14:paraId="014F996F">
            <w:pPr>
              <w:widowControl/>
              <w:kinsoku w:val="0"/>
              <w:autoSpaceDE w:val="0"/>
              <w:autoSpaceDN w:val="0"/>
              <w:adjustRightInd w:val="0"/>
              <w:snapToGrid w:val="0"/>
              <w:spacing w:before="271"/>
              <w:ind w:left="308"/>
              <w:jc w:val="left"/>
              <w:textAlignment w:val="baseline"/>
              <w:rPr>
                <w:rFonts w:ascii="宋体" w:hAnsi="宋体" w:eastAsia="Times New Roman"/>
                <w:kern w:val="0"/>
                <w:sz w:val="22"/>
                <w:szCs w:val="22"/>
              </w:rPr>
            </w:pPr>
            <w:r>
              <w:rPr>
                <w:rFonts w:hint="eastAsia" w:ascii="宋体" w:hAnsi="宋体" w:eastAsia="Times New Roman"/>
                <w:kern w:val="0"/>
                <w:sz w:val="22"/>
                <w:szCs w:val="22"/>
              </w:rPr>
              <w:t>2</w:t>
            </w:r>
          </w:p>
        </w:tc>
        <w:tc>
          <w:tcPr>
            <w:tcW w:w="3249" w:type="dxa"/>
            <w:tcBorders>
              <w:top w:val="single" w:color="000000" w:sz="6" w:space="0"/>
              <w:left w:val="single" w:color="000000" w:sz="6" w:space="0"/>
              <w:bottom w:val="single" w:color="000000" w:sz="6" w:space="0"/>
              <w:right w:val="single" w:color="000000" w:sz="6" w:space="0"/>
            </w:tcBorders>
          </w:tcPr>
          <w:p w14:paraId="74782F46">
            <w:pPr>
              <w:widowControl/>
              <w:kinsoku w:val="0"/>
              <w:autoSpaceDE w:val="0"/>
              <w:autoSpaceDN w:val="0"/>
              <w:adjustRightInd w:val="0"/>
              <w:snapToGrid w:val="0"/>
              <w:spacing w:before="236"/>
              <w:ind w:left="1291"/>
              <w:jc w:val="left"/>
              <w:textAlignment w:val="baseline"/>
              <w:rPr>
                <w:rFonts w:ascii="宋体" w:hAnsi="宋体" w:eastAsia="Times New Roman"/>
                <w:kern w:val="0"/>
                <w:sz w:val="22"/>
                <w:szCs w:val="22"/>
              </w:rPr>
            </w:pPr>
            <w:r>
              <w:rPr>
                <w:rFonts w:hint="eastAsia" w:ascii="宋体" w:hAnsi="宋体" w:eastAsia="Times New Roman"/>
                <w:spacing w:val="-6"/>
                <w:kern w:val="0"/>
                <w:sz w:val="22"/>
                <w:szCs w:val="22"/>
              </w:rPr>
              <w:t>中型农运车</w:t>
            </w:r>
          </w:p>
        </w:tc>
        <w:tc>
          <w:tcPr>
            <w:tcW w:w="918" w:type="dxa"/>
            <w:tcBorders>
              <w:top w:val="single" w:color="000000" w:sz="6" w:space="0"/>
              <w:left w:val="single" w:color="000000" w:sz="6" w:space="0"/>
              <w:bottom w:val="single" w:color="000000" w:sz="6" w:space="0"/>
              <w:right w:val="single" w:color="000000" w:sz="6" w:space="0"/>
            </w:tcBorders>
          </w:tcPr>
          <w:p w14:paraId="6BE22E9C">
            <w:pPr>
              <w:widowControl/>
              <w:kinsoku w:val="0"/>
              <w:autoSpaceDE w:val="0"/>
              <w:autoSpaceDN w:val="0"/>
              <w:adjustRightInd w:val="0"/>
              <w:snapToGrid w:val="0"/>
              <w:spacing w:before="236"/>
              <w:ind w:left="452"/>
              <w:jc w:val="left"/>
              <w:textAlignment w:val="baseline"/>
              <w:rPr>
                <w:rFonts w:ascii="宋体" w:hAnsi="宋体" w:eastAsia="Times New Roman"/>
                <w:kern w:val="0"/>
                <w:sz w:val="22"/>
                <w:szCs w:val="22"/>
              </w:rPr>
            </w:pPr>
            <w:r>
              <w:rPr>
                <w:rFonts w:hint="eastAsia" w:ascii="宋体" w:hAnsi="宋体" w:eastAsia="Times New Roman"/>
                <w:kern w:val="0"/>
                <w:sz w:val="22"/>
                <w:szCs w:val="22"/>
              </w:rPr>
              <w:t>天</w:t>
            </w:r>
          </w:p>
        </w:tc>
        <w:tc>
          <w:tcPr>
            <w:tcW w:w="919" w:type="dxa"/>
            <w:tcBorders>
              <w:top w:val="single" w:color="000000" w:sz="6" w:space="0"/>
              <w:left w:val="single" w:color="000000" w:sz="6" w:space="0"/>
              <w:bottom w:val="single" w:color="000000" w:sz="6" w:space="0"/>
              <w:right w:val="single" w:color="000000" w:sz="6" w:space="0"/>
            </w:tcBorders>
          </w:tcPr>
          <w:p w14:paraId="5AA6FDBE">
            <w:pPr>
              <w:widowControl/>
              <w:kinsoku w:val="0"/>
              <w:autoSpaceDE w:val="0"/>
              <w:autoSpaceDN w:val="0"/>
              <w:adjustRightInd w:val="0"/>
              <w:snapToGrid w:val="0"/>
              <w:spacing w:before="272"/>
              <w:ind w:left="451"/>
              <w:jc w:val="left"/>
              <w:textAlignment w:val="baseline"/>
              <w:rPr>
                <w:rFonts w:ascii="宋体" w:hAnsi="宋体" w:eastAsia="Times New Roman"/>
                <w:kern w:val="0"/>
                <w:sz w:val="22"/>
                <w:szCs w:val="22"/>
              </w:rPr>
            </w:pPr>
            <w:r>
              <w:rPr>
                <w:rFonts w:hint="eastAsia" w:ascii="宋体" w:hAnsi="宋体" w:eastAsia="Times New Roman"/>
                <w:spacing w:val="-5"/>
                <w:kern w:val="0"/>
                <w:sz w:val="22"/>
                <w:szCs w:val="22"/>
              </w:rPr>
              <w:t>92</w:t>
            </w:r>
          </w:p>
        </w:tc>
        <w:tc>
          <w:tcPr>
            <w:tcW w:w="1139" w:type="dxa"/>
            <w:tcBorders>
              <w:top w:val="single" w:color="000000" w:sz="6" w:space="0"/>
              <w:left w:val="single" w:color="000000" w:sz="6" w:space="0"/>
              <w:bottom w:val="single" w:color="000000" w:sz="6" w:space="0"/>
              <w:right w:val="single" w:color="000000" w:sz="6" w:space="0"/>
            </w:tcBorders>
            <w:vAlign w:val="center"/>
          </w:tcPr>
          <w:p w14:paraId="21FAE83B">
            <w:pPr>
              <w:widowControl/>
              <w:kinsoku w:val="0"/>
              <w:autoSpaceDE w:val="0"/>
              <w:autoSpaceDN w:val="0"/>
              <w:adjustRightInd w:val="0"/>
              <w:snapToGrid w:val="0"/>
              <w:spacing w:before="272"/>
              <w:ind w:left="451"/>
              <w:jc w:val="center"/>
              <w:textAlignment w:val="baseline"/>
              <w:rPr>
                <w:rFonts w:hint="eastAsia" w:ascii="宋体" w:hAnsi="宋体" w:eastAsia="Times New Roman"/>
                <w:spacing w:val="-5"/>
                <w:kern w:val="0"/>
                <w:sz w:val="22"/>
                <w:szCs w:val="22"/>
              </w:rPr>
            </w:pPr>
            <w:r>
              <w:rPr>
                <w:rFonts w:ascii="宋体" w:hAnsi="宋体" w:eastAsia="宋体" w:cs="宋体"/>
                <w:b w:val="0"/>
                <w:bCs w:val="0"/>
                <w:color w:val="000000"/>
                <w:sz w:val="22"/>
                <w:szCs w:val="22"/>
              </w:rPr>
              <w:t>1600</w:t>
            </w:r>
          </w:p>
        </w:tc>
        <w:tc>
          <w:tcPr>
            <w:tcW w:w="1139" w:type="dxa"/>
            <w:tcBorders>
              <w:top w:val="single" w:color="000000" w:sz="6" w:space="0"/>
              <w:left w:val="single" w:color="000000" w:sz="6" w:space="0"/>
              <w:bottom w:val="single" w:color="000000" w:sz="6" w:space="0"/>
              <w:right w:val="single" w:color="000000" w:sz="6" w:space="0"/>
            </w:tcBorders>
          </w:tcPr>
          <w:p w14:paraId="01AE5919">
            <w:pPr>
              <w:widowControl/>
              <w:kinsoku w:val="0"/>
              <w:autoSpaceDE w:val="0"/>
              <w:autoSpaceDN w:val="0"/>
              <w:adjustRightInd w:val="0"/>
              <w:snapToGrid w:val="0"/>
              <w:spacing w:before="270"/>
              <w:ind w:left="487"/>
              <w:jc w:val="left"/>
              <w:textAlignment w:val="baseline"/>
              <w:rPr>
                <w:rFonts w:ascii="宋体" w:hAnsi="宋体" w:eastAsia="Times New Roman"/>
                <w:kern w:val="0"/>
                <w:sz w:val="22"/>
                <w:szCs w:val="22"/>
              </w:rPr>
            </w:pPr>
          </w:p>
        </w:tc>
        <w:tc>
          <w:tcPr>
            <w:tcW w:w="1514" w:type="dxa"/>
            <w:tcBorders>
              <w:top w:val="single" w:color="000000" w:sz="6" w:space="0"/>
              <w:left w:val="single" w:color="000000" w:sz="6" w:space="0"/>
              <w:bottom w:val="single" w:color="000000" w:sz="6" w:space="0"/>
              <w:right w:val="single" w:color="000000" w:sz="6" w:space="0"/>
            </w:tcBorders>
          </w:tcPr>
          <w:p w14:paraId="4675187B">
            <w:pPr>
              <w:widowControl/>
              <w:kinsoku w:val="0"/>
              <w:autoSpaceDE w:val="0"/>
              <w:autoSpaceDN w:val="0"/>
              <w:adjustRightInd w:val="0"/>
              <w:snapToGrid w:val="0"/>
              <w:spacing w:before="270"/>
              <w:ind w:left="597"/>
              <w:jc w:val="left"/>
              <w:textAlignment w:val="baseline"/>
              <w:rPr>
                <w:rFonts w:ascii="宋体" w:hAnsi="宋体" w:eastAsia="Times New Roman"/>
                <w:kern w:val="0"/>
                <w:sz w:val="22"/>
                <w:szCs w:val="22"/>
              </w:rPr>
            </w:pPr>
          </w:p>
        </w:tc>
      </w:tr>
      <w:tr w14:paraId="0C77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750" w:type="dxa"/>
            <w:tcBorders>
              <w:top w:val="single" w:color="000000" w:sz="6" w:space="0"/>
              <w:left w:val="single" w:color="000000" w:sz="6" w:space="0"/>
              <w:bottom w:val="single" w:color="000000" w:sz="6" w:space="0"/>
              <w:right w:val="single" w:color="000000" w:sz="6" w:space="0"/>
            </w:tcBorders>
          </w:tcPr>
          <w:p w14:paraId="125BC285">
            <w:pPr>
              <w:widowControl/>
              <w:kinsoku w:val="0"/>
              <w:autoSpaceDE w:val="0"/>
              <w:autoSpaceDN w:val="0"/>
              <w:adjustRightInd w:val="0"/>
              <w:snapToGrid w:val="0"/>
              <w:spacing w:before="274"/>
              <w:ind w:left="309"/>
              <w:jc w:val="left"/>
              <w:textAlignment w:val="baseline"/>
              <w:rPr>
                <w:rFonts w:ascii="宋体" w:hAnsi="宋体" w:eastAsia="Times New Roman"/>
                <w:kern w:val="0"/>
                <w:sz w:val="22"/>
                <w:szCs w:val="22"/>
              </w:rPr>
            </w:pPr>
            <w:r>
              <w:rPr>
                <w:rFonts w:hint="eastAsia" w:ascii="宋体" w:hAnsi="宋体" w:eastAsia="Times New Roman"/>
                <w:kern w:val="0"/>
                <w:sz w:val="22"/>
                <w:szCs w:val="22"/>
              </w:rPr>
              <w:t>3</w:t>
            </w:r>
          </w:p>
        </w:tc>
        <w:tc>
          <w:tcPr>
            <w:tcW w:w="3249" w:type="dxa"/>
            <w:tcBorders>
              <w:top w:val="single" w:color="000000" w:sz="6" w:space="0"/>
              <w:left w:val="single" w:color="000000" w:sz="6" w:space="0"/>
              <w:bottom w:val="single" w:color="000000" w:sz="6" w:space="0"/>
              <w:right w:val="single" w:color="000000" w:sz="6" w:space="0"/>
            </w:tcBorders>
          </w:tcPr>
          <w:p w14:paraId="6AAB270D">
            <w:pPr>
              <w:widowControl/>
              <w:kinsoku w:val="0"/>
              <w:autoSpaceDE w:val="0"/>
              <w:autoSpaceDN w:val="0"/>
              <w:adjustRightInd w:val="0"/>
              <w:snapToGrid w:val="0"/>
              <w:spacing w:before="238"/>
              <w:ind w:left="1273"/>
              <w:jc w:val="left"/>
              <w:textAlignment w:val="baseline"/>
              <w:rPr>
                <w:rFonts w:ascii="宋体" w:hAnsi="宋体" w:eastAsia="Times New Roman"/>
                <w:kern w:val="0"/>
                <w:sz w:val="22"/>
                <w:szCs w:val="22"/>
              </w:rPr>
            </w:pPr>
            <w:r>
              <w:rPr>
                <w:rFonts w:hint="eastAsia" w:ascii="宋体" w:hAnsi="宋体" w:eastAsia="Times New Roman"/>
                <w:spacing w:val="-2"/>
                <w:kern w:val="0"/>
                <w:sz w:val="22"/>
                <w:szCs w:val="22"/>
              </w:rPr>
              <w:t>大型运输车</w:t>
            </w:r>
          </w:p>
        </w:tc>
        <w:tc>
          <w:tcPr>
            <w:tcW w:w="918" w:type="dxa"/>
            <w:tcBorders>
              <w:top w:val="single" w:color="000000" w:sz="6" w:space="0"/>
              <w:left w:val="single" w:color="000000" w:sz="6" w:space="0"/>
              <w:bottom w:val="single" w:color="000000" w:sz="6" w:space="0"/>
              <w:right w:val="single" w:color="000000" w:sz="6" w:space="0"/>
            </w:tcBorders>
          </w:tcPr>
          <w:p w14:paraId="4AFC416E">
            <w:pPr>
              <w:widowControl/>
              <w:kinsoku w:val="0"/>
              <w:autoSpaceDE w:val="0"/>
              <w:autoSpaceDN w:val="0"/>
              <w:adjustRightInd w:val="0"/>
              <w:snapToGrid w:val="0"/>
              <w:spacing w:before="238"/>
              <w:ind w:left="452"/>
              <w:jc w:val="left"/>
              <w:textAlignment w:val="baseline"/>
              <w:rPr>
                <w:rFonts w:ascii="宋体" w:hAnsi="宋体" w:eastAsia="Times New Roman"/>
                <w:kern w:val="0"/>
                <w:sz w:val="22"/>
                <w:szCs w:val="22"/>
              </w:rPr>
            </w:pPr>
            <w:r>
              <w:rPr>
                <w:rFonts w:hint="eastAsia" w:ascii="宋体" w:hAnsi="宋体" w:eastAsia="Times New Roman"/>
                <w:kern w:val="0"/>
                <w:sz w:val="22"/>
                <w:szCs w:val="22"/>
              </w:rPr>
              <w:t>天</w:t>
            </w:r>
          </w:p>
        </w:tc>
        <w:tc>
          <w:tcPr>
            <w:tcW w:w="919" w:type="dxa"/>
            <w:tcBorders>
              <w:top w:val="single" w:color="000000" w:sz="6" w:space="0"/>
              <w:left w:val="single" w:color="000000" w:sz="6" w:space="0"/>
              <w:bottom w:val="single" w:color="000000" w:sz="6" w:space="0"/>
              <w:right w:val="single" w:color="000000" w:sz="6" w:space="0"/>
            </w:tcBorders>
          </w:tcPr>
          <w:p w14:paraId="17A8E2C7">
            <w:pPr>
              <w:widowControl/>
              <w:kinsoku w:val="0"/>
              <w:autoSpaceDE w:val="0"/>
              <w:autoSpaceDN w:val="0"/>
              <w:adjustRightInd w:val="0"/>
              <w:snapToGrid w:val="0"/>
              <w:spacing w:before="274"/>
              <w:ind w:left="506"/>
              <w:jc w:val="left"/>
              <w:textAlignment w:val="baseline"/>
              <w:rPr>
                <w:rFonts w:ascii="宋体" w:hAnsi="宋体" w:eastAsia="Times New Roman"/>
                <w:kern w:val="0"/>
                <w:sz w:val="22"/>
                <w:szCs w:val="22"/>
              </w:rPr>
            </w:pPr>
            <w:r>
              <w:rPr>
                <w:rFonts w:hint="eastAsia" w:ascii="宋体" w:hAnsi="宋体" w:eastAsia="Times New Roman"/>
                <w:kern w:val="0"/>
                <w:sz w:val="22"/>
                <w:szCs w:val="22"/>
              </w:rPr>
              <w:t>8</w:t>
            </w:r>
          </w:p>
        </w:tc>
        <w:tc>
          <w:tcPr>
            <w:tcW w:w="1139" w:type="dxa"/>
            <w:tcBorders>
              <w:top w:val="single" w:color="000000" w:sz="6" w:space="0"/>
              <w:left w:val="single" w:color="000000" w:sz="6" w:space="0"/>
              <w:bottom w:val="single" w:color="000000" w:sz="6" w:space="0"/>
              <w:right w:val="single" w:color="000000" w:sz="6" w:space="0"/>
            </w:tcBorders>
            <w:vAlign w:val="center"/>
          </w:tcPr>
          <w:p w14:paraId="7D034971">
            <w:pPr>
              <w:widowControl/>
              <w:kinsoku w:val="0"/>
              <w:autoSpaceDE w:val="0"/>
              <w:autoSpaceDN w:val="0"/>
              <w:adjustRightInd w:val="0"/>
              <w:snapToGrid w:val="0"/>
              <w:spacing w:before="274"/>
              <w:ind w:left="506"/>
              <w:jc w:val="center"/>
              <w:textAlignment w:val="baseline"/>
              <w:rPr>
                <w:rFonts w:hint="eastAsia" w:ascii="宋体" w:hAnsi="宋体" w:eastAsia="Times New Roman"/>
                <w:kern w:val="0"/>
                <w:sz w:val="22"/>
                <w:szCs w:val="22"/>
              </w:rPr>
            </w:pPr>
            <w:r>
              <w:rPr>
                <w:rFonts w:ascii="宋体" w:hAnsi="宋体" w:eastAsia="宋体" w:cs="宋体"/>
                <w:b w:val="0"/>
                <w:bCs w:val="0"/>
                <w:color w:val="000000"/>
                <w:sz w:val="22"/>
                <w:szCs w:val="22"/>
              </w:rPr>
              <w:t>2500</w:t>
            </w:r>
          </w:p>
        </w:tc>
        <w:tc>
          <w:tcPr>
            <w:tcW w:w="1139" w:type="dxa"/>
            <w:tcBorders>
              <w:top w:val="single" w:color="000000" w:sz="6" w:space="0"/>
              <w:left w:val="single" w:color="000000" w:sz="6" w:space="0"/>
              <w:bottom w:val="single" w:color="000000" w:sz="6" w:space="0"/>
              <w:right w:val="single" w:color="000000" w:sz="6" w:space="0"/>
            </w:tcBorders>
          </w:tcPr>
          <w:p w14:paraId="1966C192">
            <w:pPr>
              <w:widowControl/>
              <w:kinsoku w:val="0"/>
              <w:autoSpaceDE w:val="0"/>
              <w:autoSpaceDN w:val="0"/>
              <w:adjustRightInd w:val="0"/>
              <w:snapToGrid w:val="0"/>
              <w:spacing w:before="274"/>
              <w:ind w:left="473"/>
              <w:jc w:val="left"/>
              <w:textAlignment w:val="baseline"/>
              <w:rPr>
                <w:rFonts w:ascii="宋体" w:hAnsi="宋体" w:eastAsia="Times New Roman"/>
                <w:kern w:val="0"/>
                <w:sz w:val="22"/>
                <w:szCs w:val="22"/>
              </w:rPr>
            </w:pPr>
          </w:p>
        </w:tc>
        <w:tc>
          <w:tcPr>
            <w:tcW w:w="1514" w:type="dxa"/>
            <w:tcBorders>
              <w:top w:val="single" w:color="000000" w:sz="6" w:space="0"/>
              <w:left w:val="single" w:color="000000" w:sz="6" w:space="0"/>
              <w:bottom w:val="single" w:color="000000" w:sz="6" w:space="0"/>
              <w:right w:val="single" w:color="000000" w:sz="6" w:space="0"/>
            </w:tcBorders>
          </w:tcPr>
          <w:p w14:paraId="3F12C90C">
            <w:pPr>
              <w:widowControl/>
              <w:kinsoku w:val="0"/>
              <w:autoSpaceDE w:val="0"/>
              <w:autoSpaceDN w:val="0"/>
              <w:adjustRightInd w:val="0"/>
              <w:snapToGrid w:val="0"/>
              <w:spacing w:before="274"/>
              <w:ind w:left="638"/>
              <w:jc w:val="left"/>
              <w:textAlignment w:val="baseline"/>
              <w:rPr>
                <w:rFonts w:ascii="宋体" w:hAnsi="宋体" w:eastAsia="Times New Roman"/>
                <w:kern w:val="0"/>
                <w:sz w:val="22"/>
                <w:szCs w:val="22"/>
              </w:rPr>
            </w:pPr>
          </w:p>
        </w:tc>
      </w:tr>
      <w:tr w14:paraId="02A2A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750" w:type="dxa"/>
            <w:tcBorders>
              <w:top w:val="single" w:color="000000" w:sz="6" w:space="0"/>
              <w:left w:val="single" w:color="000000" w:sz="6" w:space="0"/>
              <w:bottom w:val="single" w:color="000000" w:sz="6" w:space="0"/>
              <w:right w:val="single" w:color="000000" w:sz="6" w:space="0"/>
            </w:tcBorders>
          </w:tcPr>
          <w:p w14:paraId="5EA86E68">
            <w:pPr>
              <w:widowControl/>
              <w:kinsoku w:val="0"/>
              <w:autoSpaceDE w:val="0"/>
              <w:autoSpaceDN w:val="0"/>
              <w:adjustRightInd w:val="0"/>
              <w:snapToGrid w:val="0"/>
              <w:spacing w:before="275"/>
              <w:ind w:left="304"/>
              <w:jc w:val="left"/>
              <w:textAlignment w:val="baseline"/>
              <w:rPr>
                <w:rFonts w:ascii="宋体" w:hAnsi="宋体" w:eastAsia="Times New Roman"/>
                <w:kern w:val="0"/>
                <w:sz w:val="22"/>
                <w:szCs w:val="22"/>
              </w:rPr>
            </w:pPr>
            <w:r>
              <w:rPr>
                <w:rFonts w:hint="eastAsia" w:ascii="宋体" w:hAnsi="宋体" w:eastAsia="Times New Roman"/>
                <w:kern w:val="0"/>
                <w:sz w:val="22"/>
                <w:szCs w:val="22"/>
              </w:rPr>
              <w:t>4</w:t>
            </w:r>
          </w:p>
        </w:tc>
        <w:tc>
          <w:tcPr>
            <w:tcW w:w="3249" w:type="dxa"/>
            <w:tcBorders>
              <w:top w:val="single" w:color="000000" w:sz="6" w:space="0"/>
              <w:left w:val="single" w:color="000000" w:sz="6" w:space="0"/>
              <w:bottom w:val="single" w:color="000000" w:sz="6" w:space="0"/>
              <w:right w:val="single" w:color="000000" w:sz="6" w:space="0"/>
            </w:tcBorders>
          </w:tcPr>
          <w:p w14:paraId="6D74E252">
            <w:pPr>
              <w:widowControl/>
              <w:kinsoku w:val="0"/>
              <w:autoSpaceDE w:val="0"/>
              <w:autoSpaceDN w:val="0"/>
              <w:adjustRightInd w:val="0"/>
              <w:snapToGrid w:val="0"/>
              <w:spacing w:before="239"/>
              <w:ind w:left="1047"/>
              <w:jc w:val="left"/>
              <w:textAlignment w:val="baseline"/>
              <w:rPr>
                <w:rFonts w:ascii="宋体" w:hAnsi="宋体" w:eastAsia="Times New Roman"/>
                <w:kern w:val="0"/>
                <w:sz w:val="22"/>
                <w:szCs w:val="22"/>
              </w:rPr>
            </w:pPr>
            <w:r>
              <w:rPr>
                <w:rFonts w:hint="eastAsia" w:ascii="宋体" w:hAnsi="宋体" w:eastAsia="Times New Roman"/>
                <w:spacing w:val="-1"/>
                <w:kern w:val="0"/>
                <w:sz w:val="22"/>
                <w:szCs w:val="22"/>
              </w:rPr>
              <w:t>拆卸及搬运人工</w:t>
            </w:r>
          </w:p>
        </w:tc>
        <w:tc>
          <w:tcPr>
            <w:tcW w:w="918" w:type="dxa"/>
            <w:tcBorders>
              <w:top w:val="single" w:color="000000" w:sz="6" w:space="0"/>
              <w:left w:val="single" w:color="000000" w:sz="6" w:space="0"/>
              <w:bottom w:val="single" w:color="000000" w:sz="6" w:space="0"/>
              <w:right w:val="single" w:color="000000" w:sz="6" w:space="0"/>
            </w:tcBorders>
          </w:tcPr>
          <w:p w14:paraId="7AB067EF">
            <w:pPr>
              <w:widowControl/>
              <w:kinsoku w:val="0"/>
              <w:autoSpaceDE w:val="0"/>
              <w:autoSpaceDN w:val="0"/>
              <w:adjustRightInd w:val="0"/>
              <w:snapToGrid w:val="0"/>
              <w:spacing w:before="240"/>
              <w:ind w:left="450"/>
              <w:jc w:val="left"/>
              <w:textAlignment w:val="baseline"/>
              <w:rPr>
                <w:rFonts w:ascii="宋体" w:hAnsi="宋体" w:eastAsia="Times New Roman"/>
                <w:kern w:val="0"/>
                <w:sz w:val="22"/>
                <w:szCs w:val="22"/>
              </w:rPr>
            </w:pPr>
            <w:r>
              <w:rPr>
                <w:rFonts w:hint="eastAsia" w:ascii="宋体" w:hAnsi="宋体" w:eastAsia="Times New Roman"/>
                <w:kern w:val="0"/>
                <w:sz w:val="22"/>
                <w:szCs w:val="22"/>
              </w:rPr>
              <w:t>工</w:t>
            </w:r>
          </w:p>
        </w:tc>
        <w:tc>
          <w:tcPr>
            <w:tcW w:w="919" w:type="dxa"/>
            <w:tcBorders>
              <w:top w:val="single" w:color="000000" w:sz="6" w:space="0"/>
              <w:left w:val="single" w:color="000000" w:sz="6" w:space="0"/>
              <w:bottom w:val="single" w:color="000000" w:sz="6" w:space="0"/>
              <w:right w:val="single" w:color="000000" w:sz="6" w:space="0"/>
            </w:tcBorders>
          </w:tcPr>
          <w:p w14:paraId="732D18AE">
            <w:pPr>
              <w:widowControl/>
              <w:kinsoku w:val="0"/>
              <w:autoSpaceDE w:val="0"/>
              <w:autoSpaceDN w:val="0"/>
              <w:adjustRightInd w:val="0"/>
              <w:snapToGrid w:val="0"/>
              <w:spacing w:before="274"/>
              <w:ind w:left="395"/>
              <w:jc w:val="left"/>
              <w:textAlignment w:val="baseline"/>
              <w:rPr>
                <w:rFonts w:ascii="宋体" w:hAnsi="宋体" w:eastAsia="Times New Roman"/>
                <w:kern w:val="0"/>
                <w:sz w:val="22"/>
                <w:szCs w:val="22"/>
              </w:rPr>
            </w:pPr>
            <w:r>
              <w:rPr>
                <w:rFonts w:hint="eastAsia" w:ascii="宋体" w:hAnsi="宋体" w:eastAsia="Times New Roman"/>
                <w:spacing w:val="-4"/>
                <w:kern w:val="0"/>
                <w:sz w:val="22"/>
                <w:szCs w:val="22"/>
              </w:rPr>
              <w:t>217</w:t>
            </w:r>
          </w:p>
        </w:tc>
        <w:tc>
          <w:tcPr>
            <w:tcW w:w="1139" w:type="dxa"/>
            <w:tcBorders>
              <w:top w:val="single" w:color="000000" w:sz="6" w:space="0"/>
              <w:left w:val="single" w:color="000000" w:sz="6" w:space="0"/>
              <w:bottom w:val="single" w:color="000000" w:sz="6" w:space="0"/>
              <w:right w:val="single" w:color="000000" w:sz="6" w:space="0"/>
            </w:tcBorders>
            <w:vAlign w:val="center"/>
          </w:tcPr>
          <w:p w14:paraId="631BE4DF">
            <w:pPr>
              <w:widowControl/>
              <w:kinsoku w:val="0"/>
              <w:autoSpaceDE w:val="0"/>
              <w:autoSpaceDN w:val="0"/>
              <w:adjustRightInd w:val="0"/>
              <w:snapToGrid w:val="0"/>
              <w:spacing w:before="274"/>
              <w:ind w:left="395"/>
              <w:jc w:val="center"/>
              <w:textAlignment w:val="baseline"/>
              <w:rPr>
                <w:rFonts w:hint="eastAsia" w:ascii="宋体" w:hAnsi="宋体" w:eastAsia="Times New Roman"/>
                <w:spacing w:val="-4"/>
                <w:kern w:val="0"/>
                <w:sz w:val="22"/>
                <w:szCs w:val="22"/>
              </w:rPr>
            </w:pPr>
            <w:r>
              <w:rPr>
                <w:rFonts w:ascii="宋体" w:hAnsi="宋体" w:eastAsia="宋体" w:cs="宋体"/>
                <w:b w:val="0"/>
                <w:bCs w:val="0"/>
                <w:color w:val="000000"/>
                <w:sz w:val="22"/>
                <w:szCs w:val="22"/>
              </w:rPr>
              <w:t>280</w:t>
            </w:r>
          </w:p>
        </w:tc>
        <w:tc>
          <w:tcPr>
            <w:tcW w:w="1139" w:type="dxa"/>
            <w:tcBorders>
              <w:top w:val="single" w:color="000000" w:sz="6" w:space="0"/>
              <w:left w:val="single" w:color="000000" w:sz="6" w:space="0"/>
              <w:bottom w:val="single" w:color="000000" w:sz="6" w:space="0"/>
              <w:right w:val="single" w:color="000000" w:sz="6" w:space="0"/>
            </w:tcBorders>
          </w:tcPr>
          <w:p w14:paraId="746476CF">
            <w:pPr>
              <w:widowControl/>
              <w:kinsoku w:val="0"/>
              <w:autoSpaceDE w:val="0"/>
              <w:autoSpaceDN w:val="0"/>
              <w:adjustRightInd w:val="0"/>
              <w:snapToGrid w:val="0"/>
              <w:spacing w:before="275"/>
              <w:ind w:left="528"/>
              <w:jc w:val="left"/>
              <w:textAlignment w:val="baseline"/>
              <w:rPr>
                <w:rFonts w:ascii="宋体" w:hAnsi="宋体" w:eastAsia="Times New Roman"/>
                <w:kern w:val="0"/>
                <w:sz w:val="22"/>
                <w:szCs w:val="22"/>
              </w:rPr>
            </w:pPr>
          </w:p>
        </w:tc>
        <w:tc>
          <w:tcPr>
            <w:tcW w:w="1514" w:type="dxa"/>
            <w:tcBorders>
              <w:top w:val="single" w:color="000000" w:sz="6" w:space="0"/>
              <w:left w:val="single" w:color="000000" w:sz="6" w:space="0"/>
              <w:bottom w:val="single" w:color="000000" w:sz="6" w:space="0"/>
              <w:right w:val="single" w:color="000000" w:sz="6" w:space="0"/>
            </w:tcBorders>
          </w:tcPr>
          <w:p w14:paraId="50565526">
            <w:pPr>
              <w:widowControl/>
              <w:kinsoku w:val="0"/>
              <w:autoSpaceDE w:val="0"/>
              <w:autoSpaceDN w:val="0"/>
              <w:adjustRightInd w:val="0"/>
              <w:snapToGrid w:val="0"/>
              <w:spacing w:before="275"/>
              <w:ind w:left="637"/>
              <w:jc w:val="left"/>
              <w:textAlignment w:val="baseline"/>
              <w:rPr>
                <w:rFonts w:ascii="宋体" w:hAnsi="宋体" w:eastAsia="Times New Roman"/>
                <w:kern w:val="0"/>
                <w:sz w:val="22"/>
                <w:szCs w:val="22"/>
              </w:rPr>
            </w:pPr>
          </w:p>
        </w:tc>
      </w:tr>
      <w:tr w14:paraId="7ACF2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750" w:type="dxa"/>
            <w:tcBorders>
              <w:top w:val="single" w:color="000000" w:sz="6" w:space="0"/>
              <w:left w:val="single" w:color="000000" w:sz="6" w:space="0"/>
              <w:bottom w:val="single" w:color="000000" w:sz="6" w:space="0"/>
              <w:right w:val="single" w:color="000000" w:sz="6" w:space="0"/>
            </w:tcBorders>
          </w:tcPr>
          <w:p w14:paraId="04A1E2F2">
            <w:pPr>
              <w:widowControl/>
              <w:kinsoku w:val="0"/>
              <w:autoSpaceDE w:val="0"/>
              <w:autoSpaceDN w:val="0"/>
              <w:adjustRightInd w:val="0"/>
              <w:snapToGrid w:val="0"/>
              <w:spacing w:before="278"/>
              <w:ind w:left="309"/>
              <w:jc w:val="left"/>
              <w:textAlignment w:val="baseline"/>
              <w:rPr>
                <w:rFonts w:ascii="宋体" w:hAnsi="宋体" w:eastAsia="Times New Roman"/>
                <w:kern w:val="0"/>
                <w:sz w:val="22"/>
                <w:szCs w:val="22"/>
              </w:rPr>
            </w:pPr>
            <w:r>
              <w:rPr>
                <w:rFonts w:hint="eastAsia" w:ascii="宋体" w:hAnsi="宋体" w:eastAsia="Times New Roman"/>
                <w:kern w:val="0"/>
                <w:sz w:val="22"/>
                <w:szCs w:val="22"/>
              </w:rPr>
              <w:t>5</w:t>
            </w:r>
          </w:p>
        </w:tc>
        <w:tc>
          <w:tcPr>
            <w:tcW w:w="3249" w:type="dxa"/>
            <w:tcBorders>
              <w:top w:val="single" w:color="000000" w:sz="6" w:space="0"/>
              <w:left w:val="single" w:color="000000" w:sz="6" w:space="0"/>
              <w:bottom w:val="single" w:color="000000" w:sz="6" w:space="0"/>
              <w:right w:val="single" w:color="000000" w:sz="6" w:space="0"/>
            </w:tcBorders>
          </w:tcPr>
          <w:p w14:paraId="033602A9">
            <w:pPr>
              <w:widowControl/>
              <w:kinsoku w:val="0"/>
              <w:autoSpaceDE w:val="0"/>
              <w:autoSpaceDN w:val="0"/>
              <w:adjustRightInd w:val="0"/>
              <w:snapToGrid w:val="0"/>
              <w:spacing w:before="241"/>
              <w:jc w:val="left"/>
              <w:textAlignment w:val="baseline"/>
              <w:rPr>
                <w:rFonts w:ascii="宋体" w:hAnsi="宋体" w:eastAsia="Times New Roman"/>
                <w:kern w:val="0"/>
                <w:sz w:val="22"/>
                <w:szCs w:val="22"/>
              </w:rPr>
            </w:pPr>
            <w:r>
              <w:rPr>
                <w:rFonts w:hint="eastAsia" w:ascii="宋体" w:hAnsi="宋体" w:eastAsia="Times New Roman"/>
                <w:spacing w:val="1"/>
                <w:kern w:val="0"/>
                <w:sz w:val="22"/>
                <w:szCs w:val="22"/>
              </w:rPr>
              <w:t>小型吊机（50t以下，含50t）</w:t>
            </w:r>
          </w:p>
        </w:tc>
        <w:tc>
          <w:tcPr>
            <w:tcW w:w="918" w:type="dxa"/>
            <w:tcBorders>
              <w:top w:val="single" w:color="000000" w:sz="6" w:space="0"/>
              <w:left w:val="single" w:color="000000" w:sz="6" w:space="0"/>
              <w:bottom w:val="single" w:color="000000" w:sz="6" w:space="0"/>
              <w:right w:val="single" w:color="000000" w:sz="6" w:space="0"/>
            </w:tcBorders>
          </w:tcPr>
          <w:p w14:paraId="60E880EC">
            <w:pPr>
              <w:widowControl/>
              <w:kinsoku w:val="0"/>
              <w:autoSpaceDE w:val="0"/>
              <w:autoSpaceDN w:val="0"/>
              <w:adjustRightInd w:val="0"/>
              <w:snapToGrid w:val="0"/>
              <w:spacing w:before="241"/>
              <w:ind w:left="452"/>
              <w:jc w:val="left"/>
              <w:textAlignment w:val="baseline"/>
              <w:rPr>
                <w:rFonts w:ascii="宋体" w:hAnsi="宋体" w:eastAsia="Times New Roman"/>
                <w:kern w:val="0"/>
                <w:sz w:val="22"/>
                <w:szCs w:val="22"/>
              </w:rPr>
            </w:pPr>
            <w:r>
              <w:rPr>
                <w:rFonts w:hint="eastAsia" w:ascii="宋体" w:hAnsi="宋体" w:eastAsia="Times New Roman"/>
                <w:kern w:val="0"/>
                <w:sz w:val="22"/>
                <w:szCs w:val="22"/>
              </w:rPr>
              <w:t>天</w:t>
            </w:r>
          </w:p>
        </w:tc>
        <w:tc>
          <w:tcPr>
            <w:tcW w:w="919" w:type="dxa"/>
            <w:tcBorders>
              <w:top w:val="single" w:color="000000" w:sz="6" w:space="0"/>
              <w:left w:val="single" w:color="000000" w:sz="6" w:space="0"/>
              <w:bottom w:val="single" w:color="000000" w:sz="6" w:space="0"/>
              <w:right w:val="single" w:color="000000" w:sz="6" w:space="0"/>
            </w:tcBorders>
          </w:tcPr>
          <w:p w14:paraId="0EBC8A06">
            <w:pPr>
              <w:widowControl/>
              <w:kinsoku w:val="0"/>
              <w:autoSpaceDE w:val="0"/>
              <w:autoSpaceDN w:val="0"/>
              <w:adjustRightInd w:val="0"/>
              <w:snapToGrid w:val="0"/>
              <w:spacing w:before="277"/>
              <w:ind w:left="452"/>
              <w:jc w:val="left"/>
              <w:textAlignment w:val="baseline"/>
              <w:rPr>
                <w:rFonts w:ascii="宋体" w:hAnsi="宋体" w:eastAsia="Times New Roman"/>
                <w:kern w:val="0"/>
                <w:sz w:val="22"/>
                <w:szCs w:val="22"/>
              </w:rPr>
            </w:pPr>
            <w:r>
              <w:rPr>
                <w:rFonts w:hint="eastAsia" w:ascii="宋体" w:hAnsi="宋体" w:eastAsia="Times New Roman"/>
                <w:spacing w:val="-6"/>
                <w:kern w:val="0"/>
                <w:sz w:val="22"/>
                <w:szCs w:val="22"/>
              </w:rPr>
              <w:t>23</w:t>
            </w:r>
          </w:p>
        </w:tc>
        <w:tc>
          <w:tcPr>
            <w:tcW w:w="1139" w:type="dxa"/>
            <w:tcBorders>
              <w:top w:val="single" w:color="000000" w:sz="6" w:space="0"/>
              <w:left w:val="single" w:color="000000" w:sz="6" w:space="0"/>
              <w:bottom w:val="single" w:color="000000" w:sz="6" w:space="0"/>
              <w:right w:val="single" w:color="000000" w:sz="6" w:space="0"/>
            </w:tcBorders>
            <w:vAlign w:val="center"/>
          </w:tcPr>
          <w:p w14:paraId="0F16B390">
            <w:pPr>
              <w:jc w:val="center"/>
              <w:rPr>
                <w:rFonts w:hint="default" w:eastAsia="宋体"/>
                <w:lang w:val="en-US" w:eastAsia="zh-CN"/>
              </w:rPr>
            </w:pPr>
            <w:r>
              <w:rPr>
                <w:rFonts w:hint="eastAsia"/>
                <w:lang w:val="en-US" w:eastAsia="zh-CN"/>
              </w:rPr>
              <w:t xml:space="preserve">  2000</w:t>
            </w:r>
          </w:p>
        </w:tc>
        <w:tc>
          <w:tcPr>
            <w:tcW w:w="1139" w:type="dxa"/>
            <w:tcBorders>
              <w:top w:val="single" w:color="000000" w:sz="6" w:space="0"/>
              <w:left w:val="single" w:color="000000" w:sz="6" w:space="0"/>
              <w:bottom w:val="single" w:color="000000" w:sz="6" w:space="0"/>
              <w:right w:val="single" w:color="000000" w:sz="6" w:space="0"/>
            </w:tcBorders>
          </w:tcPr>
          <w:p w14:paraId="745FC138"/>
        </w:tc>
        <w:tc>
          <w:tcPr>
            <w:tcW w:w="1514" w:type="dxa"/>
            <w:tcBorders>
              <w:top w:val="single" w:color="000000" w:sz="6" w:space="0"/>
              <w:left w:val="single" w:color="000000" w:sz="6" w:space="0"/>
              <w:bottom w:val="single" w:color="000000" w:sz="6" w:space="0"/>
              <w:right w:val="single" w:color="000000" w:sz="6" w:space="0"/>
            </w:tcBorders>
          </w:tcPr>
          <w:p w14:paraId="78B41B61">
            <w:pPr>
              <w:widowControl/>
              <w:kinsoku w:val="0"/>
              <w:autoSpaceDE w:val="0"/>
              <w:autoSpaceDN w:val="0"/>
              <w:adjustRightInd w:val="0"/>
              <w:snapToGrid w:val="0"/>
              <w:spacing w:before="277"/>
              <w:ind w:left="635"/>
              <w:jc w:val="left"/>
              <w:textAlignment w:val="baseline"/>
              <w:rPr>
                <w:rFonts w:ascii="宋体" w:hAnsi="宋体" w:eastAsia="Times New Roman"/>
                <w:kern w:val="0"/>
                <w:sz w:val="22"/>
                <w:szCs w:val="22"/>
              </w:rPr>
            </w:pPr>
          </w:p>
        </w:tc>
      </w:tr>
      <w:tr w14:paraId="76063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750" w:type="dxa"/>
            <w:tcBorders>
              <w:top w:val="single" w:color="000000" w:sz="6" w:space="0"/>
              <w:left w:val="single" w:color="000000" w:sz="6" w:space="0"/>
              <w:bottom w:val="single" w:color="000000" w:sz="6" w:space="0"/>
              <w:right w:val="single" w:color="000000" w:sz="6" w:space="0"/>
            </w:tcBorders>
          </w:tcPr>
          <w:p w14:paraId="4983AC46">
            <w:pPr>
              <w:widowControl/>
              <w:kinsoku w:val="0"/>
              <w:autoSpaceDE w:val="0"/>
              <w:autoSpaceDN w:val="0"/>
              <w:adjustRightInd w:val="0"/>
              <w:snapToGrid w:val="0"/>
              <w:spacing w:before="278"/>
              <w:ind w:left="307"/>
              <w:jc w:val="left"/>
              <w:textAlignment w:val="baseline"/>
              <w:rPr>
                <w:rFonts w:ascii="宋体" w:hAnsi="宋体" w:eastAsia="Times New Roman"/>
                <w:kern w:val="0"/>
                <w:sz w:val="22"/>
                <w:szCs w:val="22"/>
              </w:rPr>
            </w:pPr>
            <w:r>
              <w:rPr>
                <w:rFonts w:hint="eastAsia" w:ascii="宋体" w:hAnsi="宋体" w:eastAsia="Times New Roman"/>
                <w:kern w:val="0"/>
                <w:sz w:val="22"/>
                <w:szCs w:val="22"/>
              </w:rPr>
              <w:t>6</w:t>
            </w:r>
          </w:p>
        </w:tc>
        <w:tc>
          <w:tcPr>
            <w:tcW w:w="3249" w:type="dxa"/>
            <w:tcBorders>
              <w:top w:val="single" w:color="000000" w:sz="6" w:space="0"/>
              <w:left w:val="single" w:color="000000" w:sz="6" w:space="0"/>
              <w:bottom w:val="single" w:color="000000" w:sz="6" w:space="0"/>
              <w:right w:val="single" w:color="000000" w:sz="6" w:space="0"/>
            </w:tcBorders>
          </w:tcPr>
          <w:p w14:paraId="2E7C66BC">
            <w:pPr>
              <w:widowControl/>
              <w:kinsoku w:val="0"/>
              <w:autoSpaceDE w:val="0"/>
              <w:autoSpaceDN w:val="0"/>
              <w:adjustRightInd w:val="0"/>
              <w:snapToGrid w:val="0"/>
              <w:spacing w:before="243"/>
              <w:jc w:val="left"/>
              <w:textAlignment w:val="baseline"/>
              <w:rPr>
                <w:rFonts w:ascii="宋体" w:hAnsi="宋体" w:eastAsia="Times New Roman"/>
                <w:kern w:val="0"/>
                <w:sz w:val="22"/>
                <w:szCs w:val="22"/>
              </w:rPr>
            </w:pPr>
            <w:r>
              <w:rPr>
                <w:rFonts w:hint="eastAsia" w:ascii="宋体" w:hAnsi="宋体" w:eastAsia="Times New Roman"/>
                <w:spacing w:val="1"/>
                <w:kern w:val="0"/>
                <w:sz w:val="22"/>
                <w:szCs w:val="22"/>
              </w:rPr>
              <w:t>大型吊机（50t以上，不含50t）</w:t>
            </w:r>
          </w:p>
        </w:tc>
        <w:tc>
          <w:tcPr>
            <w:tcW w:w="918" w:type="dxa"/>
            <w:tcBorders>
              <w:top w:val="single" w:color="000000" w:sz="6" w:space="0"/>
              <w:left w:val="single" w:color="000000" w:sz="6" w:space="0"/>
              <w:bottom w:val="single" w:color="000000" w:sz="6" w:space="0"/>
              <w:right w:val="single" w:color="000000" w:sz="6" w:space="0"/>
            </w:tcBorders>
          </w:tcPr>
          <w:p w14:paraId="7A64E7FB">
            <w:pPr>
              <w:widowControl/>
              <w:kinsoku w:val="0"/>
              <w:autoSpaceDE w:val="0"/>
              <w:autoSpaceDN w:val="0"/>
              <w:adjustRightInd w:val="0"/>
              <w:snapToGrid w:val="0"/>
              <w:spacing w:before="242"/>
              <w:ind w:left="452"/>
              <w:jc w:val="left"/>
              <w:textAlignment w:val="baseline"/>
              <w:rPr>
                <w:rFonts w:ascii="宋体" w:hAnsi="宋体" w:eastAsia="Times New Roman"/>
                <w:kern w:val="0"/>
                <w:sz w:val="22"/>
                <w:szCs w:val="22"/>
              </w:rPr>
            </w:pPr>
            <w:r>
              <w:rPr>
                <w:rFonts w:hint="eastAsia" w:ascii="宋体" w:hAnsi="宋体" w:eastAsia="Times New Roman"/>
                <w:kern w:val="0"/>
                <w:sz w:val="22"/>
                <w:szCs w:val="22"/>
              </w:rPr>
              <w:t>天</w:t>
            </w:r>
          </w:p>
        </w:tc>
        <w:tc>
          <w:tcPr>
            <w:tcW w:w="919" w:type="dxa"/>
            <w:tcBorders>
              <w:top w:val="single" w:color="000000" w:sz="6" w:space="0"/>
              <w:left w:val="single" w:color="000000" w:sz="6" w:space="0"/>
              <w:bottom w:val="single" w:color="000000" w:sz="6" w:space="0"/>
              <w:right w:val="single" w:color="000000" w:sz="6" w:space="0"/>
            </w:tcBorders>
          </w:tcPr>
          <w:p w14:paraId="47B0B62E">
            <w:pPr>
              <w:widowControl/>
              <w:kinsoku w:val="0"/>
              <w:autoSpaceDE w:val="0"/>
              <w:autoSpaceDN w:val="0"/>
              <w:adjustRightInd w:val="0"/>
              <w:snapToGrid w:val="0"/>
              <w:spacing w:before="278"/>
              <w:ind w:left="506"/>
              <w:jc w:val="left"/>
              <w:textAlignment w:val="baseline"/>
              <w:rPr>
                <w:rFonts w:ascii="宋体" w:hAnsi="宋体" w:eastAsia="Times New Roman"/>
                <w:kern w:val="0"/>
                <w:sz w:val="22"/>
                <w:szCs w:val="22"/>
              </w:rPr>
            </w:pPr>
            <w:r>
              <w:rPr>
                <w:rFonts w:hint="eastAsia" w:ascii="宋体" w:hAnsi="宋体" w:eastAsia="Times New Roman"/>
                <w:kern w:val="0"/>
                <w:sz w:val="22"/>
                <w:szCs w:val="22"/>
              </w:rPr>
              <w:t>8</w:t>
            </w:r>
          </w:p>
        </w:tc>
        <w:tc>
          <w:tcPr>
            <w:tcW w:w="1139" w:type="dxa"/>
            <w:tcBorders>
              <w:top w:val="single" w:color="000000" w:sz="6" w:space="0"/>
              <w:left w:val="single" w:color="000000" w:sz="6" w:space="0"/>
              <w:bottom w:val="single" w:color="000000" w:sz="6" w:space="0"/>
              <w:right w:val="single" w:color="000000" w:sz="6" w:space="0"/>
            </w:tcBorders>
            <w:vAlign w:val="center"/>
          </w:tcPr>
          <w:p w14:paraId="7A39F307">
            <w:pPr>
              <w:widowControl/>
              <w:kinsoku w:val="0"/>
              <w:autoSpaceDE w:val="0"/>
              <w:autoSpaceDN w:val="0"/>
              <w:adjustRightInd w:val="0"/>
              <w:snapToGrid w:val="0"/>
              <w:spacing w:before="278"/>
              <w:ind w:left="506"/>
              <w:jc w:val="center"/>
              <w:textAlignment w:val="baseline"/>
              <w:rPr>
                <w:rFonts w:hint="default" w:ascii="宋体" w:hAnsi="宋体" w:eastAsia="宋体"/>
                <w:kern w:val="0"/>
                <w:sz w:val="22"/>
                <w:szCs w:val="22"/>
                <w:lang w:val="en-US" w:eastAsia="zh-CN"/>
              </w:rPr>
            </w:pPr>
            <w:r>
              <w:rPr>
                <w:rFonts w:hint="eastAsia" w:ascii="宋体" w:hAnsi="宋体"/>
                <w:kern w:val="0"/>
                <w:sz w:val="22"/>
                <w:szCs w:val="22"/>
                <w:lang w:val="en-US" w:eastAsia="zh-CN"/>
              </w:rPr>
              <w:t>6000</w:t>
            </w:r>
          </w:p>
        </w:tc>
        <w:tc>
          <w:tcPr>
            <w:tcW w:w="1139" w:type="dxa"/>
            <w:tcBorders>
              <w:top w:val="single" w:color="000000" w:sz="6" w:space="0"/>
              <w:left w:val="single" w:color="000000" w:sz="6" w:space="0"/>
              <w:bottom w:val="single" w:color="000000" w:sz="6" w:space="0"/>
              <w:right w:val="single" w:color="000000" w:sz="6" w:space="0"/>
            </w:tcBorders>
          </w:tcPr>
          <w:p w14:paraId="249691B7">
            <w:pPr>
              <w:widowControl/>
              <w:kinsoku w:val="0"/>
              <w:autoSpaceDE w:val="0"/>
              <w:autoSpaceDN w:val="0"/>
              <w:adjustRightInd w:val="0"/>
              <w:snapToGrid w:val="0"/>
              <w:spacing w:before="278"/>
              <w:ind w:left="472"/>
              <w:jc w:val="left"/>
              <w:textAlignment w:val="baseline"/>
              <w:rPr>
                <w:rFonts w:ascii="宋体" w:hAnsi="宋体" w:eastAsia="Times New Roman"/>
                <w:kern w:val="0"/>
                <w:sz w:val="22"/>
                <w:szCs w:val="22"/>
              </w:rPr>
            </w:pPr>
          </w:p>
        </w:tc>
        <w:tc>
          <w:tcPr>
            <w:tcW w:w="1514" w:type="dxa"/>
            <w:tcBorders>
              <w:top w:val="single" w:color="000000" w:sz="6" w:space="0"/>
              <w:left w:val="single" w:color="000000" w:sz="6" w:space="0"/>
              <w:bottom w:val="single" w:color="000000" w:sz="6" w:space="0"/>
              <w:right w:val="single" w:color="000000" w:sz="6" w:space="0"/>
            </w:tcBorders>
          </w:tcPr>
          <w:p w14:paraId="398068A0">
            <w:pPr>
              <w:widowControl/>
              <w:kinsoku w:val="0"/>
              <w:autoSpaceDE w:val="0"/>
              <w:autoSpaceDN w:val="0"/>
              <w:adjustRightInd w:val="0"/>
              <w:snapToGrid w:val="0"/>
              <w:spacing w:before="278"/>
              <w:ind w:left="635"/>
              <w:jc w:val="left"/>
              <w:textAlignment w:val="baseline"/>
              <w:rPr>
                <w:rFonts w:ascii="宋体" w:hAnsi="宋体" w:eastAsia="Times New Roman"/>
                <w:kern w:val="0"/>
                <w:sz w:val="22"/>
                <w:szCs w:val="22"/>
              </w:rPr>
            </w:pPr>
          </w:p>
        </w:tc>
      </w:tr>
      <w:tr w14:paraId="6AB7C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750" w:type="dxa"/>
            <w:tcBorders>
              <w:top w:val="single" w:color="000000" w:sz="6" w:space="0"/>
              <w:left w:val="single" w:color="000000" w:sz="6" w:space="0"/>
              <w:bottom w:val="single" w:color="000000" w:sz="6" w:space="0"/>
              <w:right w:val="single" w:color="000000" w:sz="6" w:space="0"/>
            </w:tcBorders>
          </w:tcPr>
          <w:p w14:paraId="1AEC9BE5">
            <w:pPr>
              <w:widowControl/>
              <w:kinsoku w:val="0"/>
              <w:autoSpaceDE w:val="0"/>
              <w:autoSpaceDN w:val="0"/>
              <w:adjustRightInd w:val="0"/>
              <w:snapToGrid w:val="0"/>
              <w:spacing w:before="281"/>
              <w:ind w:left="310"/>
              <w:jc w:val="left"/>
              <w:textAlignment w:val="baseline"/>
              <w:rPr>
                <w:rFonts w:ascii="宋体" w:hAnsi="宋体" w:eastAsia="Times New Roman"/>
                <w:kern w:val="0"/>
                <w:sz w:val="22"/>
                <w:szCs w:val="22"/>
              </w:rPr>
            </w:pPr>
            <w:r>
              <w:rPr>
                <w:rFonts w:hint="eastAsia" w:ascii="宋体" w:hAnsi="宋体" w:eastAsia="Times New Roman"/>
                <w:kern w:val="0"/>
                <w:sz w:val="22"/>
                <w:szCs w:val="22"/>
              </w:rPr>
              <w:t>7</w:t>
            </w:r>
          </w:p>
        </w:tc>
        <w:tc>
          <w:tcPr>
            <w:tcW w:w="3249" w:type="dxa"/>
            <w:tcBorders>
              <w:top w:val="single" w:color="000000" w:sz="6" w:space="0"/>
              <w:left w:val="single" w:color="000000" w:sz="6" w:space="0"/>
              <w:bottom w:val="single" w:color="000000" w:sz="6" w:space="0"/>
              <w:right w:val="single" w:color="000000" w:sz="6" w:space="0"/>
            </w:tcBorders>
          </w:tcPr>
          <w:p w14:paraId="20513C5E">
            <w:pPr>
              <w:widowControl/>
              <w:kinsoku w:val="0"/>
              <w:autoSpaceDE w:val="0"/>
              <w:autoSpaceDN w:val="0"/>
              <w:adjustRightInd w:val="0"/>
              <w:snapToGrid w:val="0"/>
              <w:spacing w:before="245"/>
              <w:ind w:left="1605"/>
              <w:jc w:val="left"/>
              <w:textAlignment w:val="baseline"/>
              <w:rPr>
                <w:rFonts w:ascii="宋体" w:hAnsi="宋体" w:eastAsia="Times New Roman"/>
                <w:kern w:val="0"/>
                <w:sz w:val="22"/>
                <w:szCs w:val="22"/>
              </w:rPr>
            </w:pPr>
            <w:r>
              <w:rPr>
                <w:rFonts w:hint="eastAsia" w:ascii="宋体" w:hAnsi="宋体" w:eastAsia="Times New Roman"/>
                <w:spacing w:val="-4"/>
                <w:kern w:val="0"/>
                <w:sz w:val="22"/>
                <w:szCs w:val="22"/>
              </w:rPr>
              <w:t>合计</w:t>
            </w:r>
          </w:p>
        </w:tc>
        <w:tc>
          <w:tcPr>
            <w:tcW w:w="918" w:type="dxa"/>
            <w:tcBorders>
              <w:top w:val="single" w:color="000000" w:sz="6" w:space="0"/>
              <w:left w:val="single" w:color="000000" w:sz="6" w:space="0"/>
              <w:bottom w:val="single" w:color="000000" w:sz="6" w:space="0"/>
              <w:right w:val="single" w:color="000000" w:sz="6" w:space="0"/>
            </w:tcBorders>
          </w:tcPr>
          <w:p w14:paraId="4E34690E">
            <w:pPr>
              <w:widowControl/>
              <w:kinsoku w:val="0"/>
              <w:autoSpaceDE w:val="0"/>
              <w:autoSpaceDN w:val="0"/>
              <w:adjustRightInd w:val="0"/>
              <w:snapToGrid w:val="0"/>
              <w:jc w:val="left"/>
              <w:textAlignment w:val="baseline"/>
              <w:rPr>
                <w:rFonts w:ascii="Arial" w:hAnsi="Arial" w:eastAsia="Times New Roman" w:cs="Arial"/>
                <w:kern w:val="0"/>
                <w:szCs w:val="21"/>
              </w:rPr>
            </w:pPr>
          </w:p>
        </w:tc>
        <w:tc>
          <w:tcPr>
            <w:tcW w:w="919" w:type="dxa"/>
            <w:tcBorders>
              <w:top w:val="single" w:color="000000" w:sz="6" w:space="0"/>
              <w:left w:val="single" w:color="000000" w:sz="6" w:space="0"/>
              <w:bottom w:val="single" w:color="000000" w:sz="6" w:space="0"/>
              <w:right w:val="single" w:color="000000" w:sz="6" w:space="0"/>
            </w:tcBorders>
          </w:tcPr>
          <w:p w14:paraId="7A8AF842">
            <w:pPr>
              <w:widowControl/>
              <w:kinsoku w:val="0"/>
              <w:autoSpaceDE w:val="0"/>
              <w:autoSpaceDN w:val="0"/>
              <w:adjustRightInd w:val="0"/>
              <w:snapToGrid w:val="0"/>
              <w:jc w:val="left"/>
              <w:textAlignment w:val="baseline"/>
              <w:rPr>
                <w:rFonts w:ascii="Arial" w:hAnsi="Arial" w:eastAsia="Times New Roman" w:cs="Arial"/>
                <w:kern w:val="0"/>
                <w:szCs w:val="21"/>
              </w:rPr>
            </w:pPr>
          </w:p>
        </w:tc>
        <w:tc>
          <w:tcPr>
            <w:tcW w:w="1139" w:type="dxa"/>
            <w:tcBorders>
              <w:top w:val="single" w:color="000000" w:sz="6" w:space="0"/>
              <w:left w:val="single" w:color="000000" w:sz="6" w:space="0"/>
              <w:bottom w:val="single" w:color="000000" w:sz="6" w:space="0"/>
              <w:right w:val="single" w:color="000000" w:sz="6" w:space="0"/>
            </w:tcBorders>
          </w:tcPr>
          <w:p w14:paraId="67D94163">
            <w:pPr>
              <w:widowControl/>
              <w:kinsoku w:val="0"/>
              <w:autoSpaceDE w:val="0"/>
              <w:autoSpaceDN w:val="0"/>
              <w:adjustRightInd w:val="0"/>
              <w:snapToGrid w:val="0"/>
              <w:jc w:val="left"/>
              <w:textAlignment w:val="baseline"/>
              <w:rPr>
                <w:rFonts w:ascii="Arial" w:hAnsi="Arial" w:eastAsia="Times New Roman" w:cs="Arial"/>
                <w:kern w:val="0"/>
                <w:szCs w:val="21"/>
              </w:rPr>
            </w:pPr>
          </w:p>
        </w:tc>
        <w:tc>
          <w:tcPr>
            <w:tcW w:w="1139" w:type="dxa"/>
            <w:tcBorders>
              <w:top w:val="single" w:color="000000" w:sz="6" w:space="0"/>
              <w:left w:val="single" w:color="000000" w:sz="6" w:space="0"/>
              <w:bottom w:val="single" w:color="000000" w:sz="6" w:space="0"/>
              <w:right w:val="single" w:color="000000" w:sz="6" w:space="0"/>
            </w:tcBorders>
          </w:tcPr>
          <w:p w14:paraId="7C1FE8E5">
            <w:pPr>
              <w:widowControl/>
              <w:kinsoku w:val="0"/>
              <w:autoSpaceDE w:val="0"/>
              <w:autoSpaceDN w:val="0"/>
              <w:adjustRightInd w:val="0"/>
              <w:snapToGrid w:val="0"/>
              <w:jc w:val="left"/>
              <w:textAlignment w:val="baseline"/>
              <w:rPr>
                <w:rFonts w:ascii="Arial" w:hAnsi="Arial" w:eastAsia="Times New Roman" w:cs="Arial"/>
                <w:kern w:val="0"/>
                <w:szCs w:val="21"/>
              </w:rPr>
            </w:pPr>
          </w:p>
        </w:tc>
        <w:tc>
          <w:tcPr>
            <w:tcW w:w="1514" w:type="dxa"/>
            <w:tcBorders>
              <w:top w:val="single" w:color="000000" w:sz="6" w:space="0"/>
              <w:left w:val="single" w:color="000000" w:sz="6" w:space="0"/>
              <w:bottom w:val="single" w:color="000000" w:sz="6" w:space="0"/>
              <w:right w:val="single" w:color="000000" w:sz="6" w:space="0"/>
            </w:tcBorders>
          </w:tcPr>
          <w:p w14:paraId="34A8BA05">
            <w:pPr>
              <w:widowControl/>
              <w:kinsoku w:val="0"/>
              <w:autoSpaceDE w:val="0"/>
              <w:autoSpaceDN w:val="0"/>
              <w:adjustRightInd w:val="0"/>
              <w:snapToGrid w:val="0"/>
              <w:spacing w:before="279"/>
              <w:ind w:left="585"/>
              <w:jc w:val="left"/>
              <w:textAlignment w:val="baseline"/>
              <w:rPr>
                <w:rFonts w:ascii="宋体" w:hAnsi="宋体" w:eastAsia="Times New Roman"/>
                <w:kern w:val="0"/>
                <w:sz w:val="22"/>
                <w:szCs w:val="22"/>
              </w:rPr>
            </w:pPr>
          </w:p>
        </w:tc>
      </w:tr>
    </w:tbl>
    <w:p w14:paraId="6EFE4A6E">
      <w:pPr>
        <w:pStyle w:val="151"/>
        <w:spacing w:line="340" w:lineRule="exact"/>
        <w:ind w:firstLine="480" w:firstLineChars="200"/>
        <w:rPr>
          <w:rFonts w:ascii="宋体" w:hAnsi="宋体" w:eastAsia="宋体"/>
          <w:color w:val="auto"/>
          <w:sz w:val="24"/>
          <w:szCs w:val="24"/>
        </w:rPr>
      </w:pPr>
    </w:p>
    <w:p w14:paraId="3CD53837">
      <w:pPr>
        <w:pStyle w:val="151"/>
        <w:spacing w:line="340" w:lineRule="exact"/>
        <w:ind w:firstLine="480" w:firstLineChars="200"/>
        <w:rPr>
          <w:rFonts w:ascii="宋体" w:hAnsi="宋体" w:eastAsia="宋体"/>
          <w:color w:val="auto"/>
          <w:sz w:val="24"/>
          <w:szCs w:val="24"/>
        </w:rPr>
      </w:pPr>
      <w:r>
        <w:rPr>
          <w:rFonts w:ascii="宋体" w:hAnsi="宋体" w:eastAsia="宋体"/>
          <w:color w:val="auto"/>
          <w:sz w:val="24"/>
          <w:szCs w:val="24"/>
        </w:rPr>
        <w:t>注</w:t>
      </w:r>
      <w:r>
        <w:rPr>
          <w:rFonts w:hint="eastAsia" w:ascii="宋体" w:hAnsi="宋体" w:eastAsia="宋体"/>
          <w:color w:val="auto"/>
          <w:sz w:val="24"/>
          <w:szCs w:val="24"/>
        </w:rPr>
        <w:t>：</w:t>
      </w:r>
      <w:r>
        <w:rPr>
          <w:rFonts w:ascii="宋体" w:hAnsi="宋体" w:eastAsia="宋体"/>
          <w:color w:val="auto"/>
          <w:sz w:val="24"/>
          <w:szCs w:val="24"/>
        </w:rPr>
        <w:t xml:space="preserve"> </w:t>
      </w:r>
    </w:p>
    <w:p w14:paraId="6C03F587">
      <w:pPr>
        <w:pStyle w:val="151"/>
        <w:spacing w:line="340" w:lineRule="exact"/>
        <w:ind w:firstLine="480" w:firstLineChars="200"/>
        <w:rPr>
          <w:rFonts w:ascii="宋体" w:hAnsi="宋体" w:eastAsia="宋体"/>
          <w:color w:val="auto"/>
          <w:sz w:val="24"/>
          <w:szCs w:val="24"/>
        </w:rPr>
      </w:pPr>
      <w:r>
        <w:rPr>
          <w:rFonts w:ascii="宋体" w:hAnsi="宋体" w:eastAsia="宋体"/>
          <w:color w:val="auto"/>
          <w:sz w:val="24"/>
          <w:szCs w:val="24"/>
        </w:rPr>
        <w:t>1</w:t>
      </w:r>
      <w:r>
        <w:rPr>
          <w:rFonts w:hint="eastAsia" w:ascii="宋体" w:hAnsi="宋体" w:eastAsia="宋体"/>
          <w:color w:val="auto"/>
          <w:sz w:val="24"/>
          <w:szCs w:val="24"/>
        </w:rPr>
        <w:t>、本次</w:t>
      </w:r>
      <w:r>
        <w:rPr>
          <w:rFonts w:hint="eastAsia" w:ascii="宋体" w:hAnsi="宋体" w:eastAsia="宋体"/>
          <w:color w:val="auto"/>
          <w:sz w:val="24"/>
          <w:szCs w:val="24"/>
          <w:lang w:eastAsia="zh-CN"/>
        </w:rPr>
        <w:t>投标报价</w:t>
      </w:r>
      <w:r>
        <w:rPr>
          <w:rFonts w:hint="eastAsia" w:ascii="宋体" w:hAnsi="宋体" w:eastAsia="宋体"/>
          <w:color w:val="auto"/>
          <w:sz w:val="24"/>
          <w:szCs w:val="24"/>
        </w:rPr>
        <w:t>超出最高限价</w:t>
      </w:r>
      <w:r>
        <w:rPr>
          <w:rFonts w:hint="eastAsia" w:ascii="宋体" w:hAnsi="宋体" w:eastAsia="宋体"/>
          <w:color w:val="auto"/>
          <w:sz w:val="24"/>
          <w:szCs w:val="24"/>
          <w:lang w:eastAsia="zh-CN"/>
        </w:rPr>
        <w:t>及最高单价限价</w:t>
      </w:r>
      <w:r>
        <w:rPr>
          <w:rFonts w:hint="eastAsia" w:ascii="宋体" w:hAnsi="宋体" w:eastAsia="宋体"/>
          <w:color w:val="auto"/>
          <w:sz w:val="24"/>
          <w:szCs w:val="24"/>
        </w:rPr>
        <w:t>的投标无效。</w:t>
      </w:r>
    </w:p>
    <w:p w14:paraId="58B57FB4">
      <w:pPr>
        <w:pStyle w:val="151"/>
        <w:spacing w:line="340" w:lineRule="exact"/>
        <w:ind w:firstLine="480" w:firstLineChars="200"/>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、本表中的合计价格须与开标一览表中投标报价一致。</w:t>
      </w:r>
    </w:p>
    <w:p w14:paraId="2B77AA93">
      <w:pPr>
        <w:spacing w:line="360" w:lineRule="auto"/>
        <w:ind w:left="170" w:firstLine="1680" w:firstLineChars="800"/>
        <w:rPr>
          <w:rFonts w:ascii="宋体" w:hAnsi="宋体" w:cs="宋体"/>
          <w:szCs w:val="21"/>
        </w:rPr>
      </w:pPr>
    </w:p>
    <w:p w14:paraId="3D9219FC">
      <w:pPr>
        <w:spacing w:line="360" w:lineRule="auto"/>
        <w:ind w:left="170" w:firstLine="4400" w:firstLineChars="2000"/>
        <w:rPr>
          <w:rFonts w:ascii="宋体" w:hAnsi="宋体" w:cs="宋体"/>
          <w:sz w:val="22"/>
          <w:szCs w:val="22"/>
        </w:rPr>
      </w:pPr>
      <w:r>
        <w:rPr>
          <w:rFonts w:hint="eastAsia" w:ascii="宋体" w:hAnsi="宋体" w:cs="宋体"/>
          <w:sz w:val="22"/>
          <w:szCs w:val="22"/>
        </w:rPr>
        <w:t xml:space="preserve"> 投标人名称：</w:t>
      </w:r>
      <w:r>
        <w:rPr>
          <w:rFonts w:hint="eastAsia" w:ascii="宋体" w:hAnsi="宋体" w:cs="宋体"/>
          <w:sz w:val="22"/>
          <w:szCs w:val="22"/>
          <w:u w:val="single"/>
        </w:rPr>
        <w:t xml:space="preserve">                    </w:t>
      </w:r>
      <w:r>
        <w:rPr>
          <w:rFonts w:hint="eastAsia" w:ascii="宋体" w:hAnsi="宋体" w:cs="宋体"/>
          <w:sz w:val="22"/>
          <w:szCs w:val="22"/>
        </w:rPr>
        <w:t>（公章）</w:t>
      </w:r>
    </w:p>
    <w:p w14:paraId="7C3DB054">
      <w:pPr>
        <w:spacing w:line="360" w:lineRule="auto"/>
        <w:rPr>
          <w:rFonts w:ascii="宋体" w:hAnsi="宋体" w:cs="宋体"/>
          <w:sz w:val="22"/>
          <w:szCs w:val="22"/>
        </w:rPr>
      </w:pPr>
      <w:r>
        <w:rPr>
          <w:rFonts w:hint="eastAsia" w:ascii="宋体" w:hAnsi="宋体" w:cs="宋体"/>
          <w:sz w:val="22"/>
          <w:szCs w:val="22"/>
        </w:rPr>
        <w:t xml:space="preserve">                                           投标日期：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14:paraId="3F84E444">
      <w:pPr>
        <w:spacing w:line="400" w:lineRule="exact"/>
        <w:jc w:val="left"/>
        <w:rPr>
          <w:rStyle w:val="116"/>
          <w:rFonts w:ascii="宋体" w:hAnsi="宋体" w:cs="仿宋_GB2312"/>
          <w:sz w:val="30"/>
          <w:szCs w:val="30"/>
        </w:rPr>
      </w:pPr>
    </w:p>
    <w:p w14:paraId="67A69DB6">
      <w:pPr>
        <w:pStyle w:val="2"/>
        <w:spacing w:before="120" w:after="120"/>
      </w:pPr>
    </w:p>
    <w:p w14:paraId="4531F7CC"/>
    <w:p w14:paraId="63EE33C6">
      <w:pPr>
        <w:pStyle w:val="2"/>
        <w:spacing w:before="120" w:after="120"/>
      </w:pPr>
    </w:p>
    <w:p w14:paraId="3C59D4BA"/>
    <w:p w14:paraId="2ED68DDE">
      <w:pPr>
        <w:pStyle w:val="2"/>
        <w:spacing w:before="120" w:after="120"/>
      </w:pPr>
    </w:p>
    <w:p w14:paraId="3056F143"/>
    <w:p w14:paraId="42395ABB"/>
    <w:p w14:paraId="493A0D04">
      <w:pPr>
        <w:spacing w:line="400" w:lineRule="exact"/>
        <w:jc w:val="left"/>
        <w:rPr>
          <w:rStyle w:val="116"/>
          <w:rFonts w:ascii="宋体" w:hAnsi="宋体" w:cs="仿宋_GB2312"/>
          <w:sz w:val="30"/>
          <w:szCs w:val="30"/>
        </w:rPr>
      </w:pPr>
      <w:r>
        <w:rPr>
          <w:rStyle w:val="116"/>
          <w:rFonts w:hint="eastAsia" w:ascii="宋体" w:hAnsi="宋体" w:cs="仿宋_GB2312"/>
          <w:sz w:val="30"/>
          <w:szCs w:val="30"/>
        </w:rPr>
        <w:t>附件</w:t>
      </w:r>
    </w:p>
    <w:p w14:paraId="1A423BF2">
      <w:pPr>
        <w:rPr>
          <w:rFonts w:ascii="宋体" w:hAnsi="宋体" w:cs="仿宋_GB2312"/>
          <w:sz w:val="44"/>
          <w:szCs w:val="44"/>
        </w:rPr>
      </w:pPr>
      <w:r>
        <w:rPr>
          <w:rFonts w:hint="eastAsia" w:ascii="宋体" w:hAnsi="宋体" w:cs="仿宋_GB2312"/>
          <w:b/>
          <w:bCs/>
          <w:sz w:val="32"/>
          <w:szCs w:val="32"/>
        </w:rPr>
        <w:t xml:space="preserve"> </w:t>
      </w:r>
    </w:p>
    <w:p w14:paraId="1E9A4A70">
      <w:pPr>
        <w:spacing w:line="360" w:lineRule="auto"/>
        <w:jc w:val="center"/>
        <w:rPr>
          <w:rFonts w:ascii="宋体" w:hAnsi="宋体" w:cs="仿宋_GB2312"/>
          <w:sz w:val="52"/>
          <w:szCs w:val="52"/>
        </w:rPr>
      </w:pPr>
      <w:r>
        <w:rPr>
          <w:rFonts w:ascii="宋体" w:hAnsi="宋体" w:cs="仿宋_GB2312"/>
          <w:sz w:val="52"/>
          <w:szCs w:val="52"/>
        </w:rPr>
        <w:t>(项目名称)项目</w:t>
      </w:r>
    </w:p>
    <w:p w14:paraId="38EE321B">
      <w:pPr>
        <w:spacing w:line="360" w:lineRule="auto"/>
        <w:jc w:val="center"/>
        <w:rPr>
          <w:rFonts w:ascii="宋体" w:hAnsi="宋体" w:cs="仿宋_GB2312"/>
          <w:sz w:val="32"/>
          <w:szCs w:val="32"/>
        </w:rPr>
      </w:pPr>
      <w:r>
        <w:rPr>
          <w:rFonts w:hint="eastAsia" w:ascii="宋体" w:hAnsi="宋体" w:cs="仿宋_GB2312"/>
          <w:sz w:val="32"/>
          <w:szCs w:val="32"/>
        </w:rPr>
        <w:t>采购</w:t>
      </w:r>
      <w:r>
        <w:rPr>
          <w:rFonts w:ascii="宋体" w:hAnsi="宋体" w:cs="仿宋_GB2312"/>
          <w:sz w:val="32"/>
          <w:szCs w:val="32"/>
        </w:rPr>
        <w:t xml:space="preserve">编号： </w:t>
      </w:r>
    </w:p>
    <w:p w14:paraId="16DA19FD">
      <w:pPr>
        <w:spacing w:line="360" w:lineRule="auto"/>
        <w:jc w:val="center"/>
        <w:rPr>
          <w:rFonts w:ascii="宋体" w:hAnsi="宋体" w:cs="仿宋_GB2312"/>
          <w:sz w:val="32"/>
          <w:szCs w:val="32"/>
        </w:rPr>
      </w:pPr>
      <w:r>
        <w:rPr>
          <w:rFonts w:ascii="宋体" w:hAnsi="宋体" w:cs="仿宋_GB2312"/>
          <w:sz w:val="32"/>
          <w:szCs w:val="32"/>
        </w:rPr>
        <w:t>（</w:t>
      </w:r>
      <w:r>
        <w:rPr>
          <w:rFonts w:hint="eastAsia" w:ascii="宋体" w:hAnsi="宋体" w:cs="仿宋_GB2312"/>
          <w:sz w:val="32"/>
          <w:szCs w:val="32"/>
        </w:rPr>
        <w:t>资格审查文件/商务技术文件</w:t>
      </w:r>
      <w:r>
        <w:rPr>
          <w:rFonts w:ascii="宋体" w:hAnsi="宋体" w:cs="仿宋_GB2312"/>
          <w:sz w:val="32"/>
          <w:szCs w:val="32"/>
        </w:rPr>
        <w:t>或报价文件）</w:t>
      </w:r>
    </w:p>
    <w:p w14:paraId="30EF32CA">
      <w:pPr>
        <w:jc w:val="center"/>
        <w:rPr>
          <w:rFonts w:ascii="宋体" w:hAnsi="宋体" w:cs="仿宋_GB2312"/>
          <w:sz w:val="84"/>
        </w:rPr>
      </w:pPr>
    </w:p>
    <w:p w14:paraId="566D0A39">
      <w:pPr>
        <w:jc w:val="center"/>
        <w:rPr>
          <w:rFonts w:ascii="宋体" w:hAnsi="宋体" w:cs="仿宋_GB2312"/>
          <w:sz w:val="84"/>
        </w:rPr>
      </w:pPr>
      <w:r>
        <w:rPr>
          <w:rFonts w:ascii="宋体" w:hAnsi="宋体" w:cs="仿宋_GB2312"/>
          <w:sz w:val="84"/>
        </w:rPr>
        <w:t>投</w:t>
      </w:r>
    </w:p>
    <w:p w14:paraId="1D2208E0">
      <w:pPr>
        <w:jc w:val="center"/>
        <w:rPr>
          <w:rFonts w:ascii="宋体" w:hAnsi="宋体" w:cs="仿宋_GB2312"/>
          <w:sz w:val="84"/>
        </w:rPr>
      </w:pPr>
      <w:r>
        <w:rPr>
          <w:rFonts w:ascii="宋体" w:hAnsi="宋体" w:cs="仿宋_GB2312"/>
          <w:sz w:val="84"/>
        </w:rPr>
        <w:t>标</w:t>
      </w:r>
    </w:p>
    <w:p w14:paraId="3C0D89B0">
      <w:pPr>
        <w:jc w:val="center"/>
        <w:rPr>
          <w:rFonts w:ascii="宋体" w:hAnsi="宋体" w:cs="仿宋_GB2312"/>
          <w:sz w:val="84"/>
        </w:rPr>
      </w:pPr>
      <w:r>
        <w:rPr>
          <w:rFonts w:ascii="宋体" w:hAnsi="宋体" w:cs="仿宋_GB2312"/>
          <w:sz w:val="84"/>
        </w:rPr>
        <w:t>文</w:t>
      </w:r>
    </w:p>
    <w:p w14:paraId="401F70C6">
      <w:pPr>
        <w:jc w:val="center"/>
        <w:rPr>
          <w:rFonts w:ascii="宋体" w:hAnsi="宋体" w:cs="仿宋_GB2312"/>
          <w:sz w:val="84"/>
        </w:rPr>
      </w:pPr>
      <w:r>
        <w:rPr>
          <w:rFonts w:ascii="宋体" w:hAnsi="宋体" w:cs="仿宋_GB2312"/>
          <w:sz w:val="84"/>
        </w:rPr>
        <w:t>件</w:t>
      </w:r>
    </w:p>
    <w:p w14:paraId="5A2F7050">
      <w:pPr>
        <w:jc w:val="center"/>
        <w:rPr>
          <w:rFonts w:ascii="宋体" w:hAnsi="宋体" w:cs="仿宋_GB2312"/>
          <w:sz w:val="24"/>
        </w:rPr>
      </w:pPr>
    </w:p>
    <w:p w14:paraId="054E0ADF">
      <w:pPr>
        <w:jc w:val="center"/>
        <w:rPr>
          <w:rFonts w:ascii="宋体" w:hAnsi="宋体" w:cs="仿宋_GB2312"/>
          <w:sz w:val="24"/>
        </w:rPr>
      </w:pPr>
    </w:p>
    <w:p w14:paraId="1B6C6A54">
      <w:pPr>
        <w:pStyle w:val="43"/>
        <w:ind w:firstLine="480"/>
        <w:rPr>
          <w:rFonts w:hint="default"/>
        </w:rPr>
      </w:pPr>
    </w:p>
    <w:p w14:paraId="056BF602">
      <w:pPr>
        <w:spacing w:line="480" w:lineRule="auto"/>
        <w:ind w:firstLine="1920" w:firstLineChars="600"/>
        <w:rPr>
          <w:rFonts w:ascii="宋体" w:hAnsi="宋体" w:cs="仿宋_GB2312"/>
          <w:sz w:val="32"/>
          <w:szCs w:val="32"/>
        </w:rPr>
      </w:pPr>
      <w:r>
        <w:rPr>
          <w:rFonts w:hint="eastAsia" w:ascii="宋体" w:hAnsi="宋体" w:cs="仿宋_GB2312"/>
          <w:sz w:val="32"/>
          <w:szCs w:val="32"/>
        </w:rPr>
        <w:t>供应商</w:t>
      </w:r>
      <w:r>
        <w:rPr>
          <w:rFonts w:ascii="宋体" w:hAnsi="宋体" w:cs="仿宋_GB2312"/>
          <w:sz w:val="32"/>
          <w:szCs w:val="32"/>
        </w:rPr>
        <w:t>全称：（加盖单位公章）</w:t>
      </w:r>
    </w:p>
    <w:p w14:paraId="0A850ED2">
      <w:pPr>
        <w:spacing w:line="480" w:lineRule="auto"/>
        <w:ind w:firstLine="1920" w:firstLineChars="600"/>
        <w:rPr>
          <w:rFonts w:ascii="宋体" w:hAnsi="宋体" w:cs="仿宋_GB2312"/>
          <w:sz w:val="32"/>
          <w:szCs w:val="32"/>
        </w:rPr>
      </w:pPr>
      <w:r>
        <w:rPr>
          <w:rFonts w:ascii="宋体" w:hAnsi="宋体" w:cs="仿宋_GB2312"/>
          <w:sz w:val="32"/>
          <w:szCs w:val="32"/>
        </w:rPr>
        <w:t>地址：</w:t>
      </w:r>
    </w:p>
    <w:p w14:paraId="62526637">
      <w:pPr>
        <w:rPr>
          <w:rFonts w:ascii="宋体" w:hAnsi="宋体" w:cs="宋体"/>
          <w:szCs w:val="21"/>
        </w:rPr>
      </w:pPr>
    </w:p>
    <w:p w14:paraId="3FCF600A">
      <w:pPr>
        <w:pStyle w:val="43"/>
        <w:ind w:firstLine="594"/>
        <w:rPr>
          <w:rStyle w:val="116"/>
          <w:rFonts w:hint="default" w:ascii="宋体" w:hAnsi="宋体" w:cs="宋体"/>
          <w:sz w:val="30"/>
          <w:szCs w:val="30"/>
        </w:rPr>
      </w:pPr>
    </w:p>
    <w:p w14:paraId="0FF16143">
      <w:pPr>
        <w:rPr>
          <w:rFonts w:ascii="宋体" w:hAnsi="宋体" w:cs="宋体"/>
          <w:szCs w:val="21"/>
        </w:rPr>
      </w:pPr>
    </w:p>
    <w:p w14:paraId="1C9389C0"/>
    <w:sectPr>
      <w:headerReference r:id="rId13" w:type="default"/>
      <w:footerReference r:id="rId14" w:type="default"/>
      <w:pgSz w:w="11906" w:h="16838"/>
      <w:pgMar w:top="1361" w:right="1247" w:bottom="1361" w:left="1361" w:header="284" w:footer="992"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E10A">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1272DE66">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D53CF">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7D5A">
    <w:pPr>
      <w:pStyle w:val="2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14:paraId="1862213D">
                          <w:pPr>
                            <w:pStyle w:val="2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3360;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LHALRAAAAAgEAAA8AAAAAAAAAAQAgAAAAIgAAAGRycy9k&#10;b3ducmV2LnhtbFBLAQIUABQAAAAIAIdO4kB80nIOCQIAAAEEAAAOAAAAAAAAAAEAIAAAACABAABk&#10;cnMvZTJvRG9jLnhtbFBLBQYAAAAABgAGAFkBAACbBQAAAAA=&#10;">
              <v:fill on="f" focussize="0,0"/>
              <v:stroke on="f"/>
              <v:imagedata o:title=""/>
              <o:lock v:ext="edit" aspectratio="f"/>
              <v:textbox inset="0mm,0mm,0mm,0mm" style="mso-fit-shape-to-text:t;">
                <w:txbxContent>
                  <w:p w14:paraId="1862213D">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0DA2">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29EB695F">
                          <w:pPr>
                            <w:pStyle w:val="28"/>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pb8P0QAAAAMBAAAPAAAAAAAAAAEAIAAAACIAAABkcnMv&#10;ZG93bnJldi54bWxQSwECFAAUAAAACACHTuJA3Sz31goCAAACBAAADgAAAAAAAAABACAAAAAgAQAA&#10;ZHJzL2Uyb0RvYy54bWxQSwUGAAAAAAYABgBZAQAAnAUAAAAA&#10;">
              <v:fill on="f" focussize="0,0"/>
              <v:stroke on="f"/>
              <v:imagedata o:title=""/>
              <o:lock v:ext="edit" aspectratio="f"/>
              <v:textbox inset="0mm,0mm,0mm,0mm" style="mso-fit-shape-to-text:t;">
                <w:txbxContent>
                  <w:p w14:paraId="29EB695F">
                    <w:pPr>
                      <w:pStyle w:val="2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A8FEB">
    <w:pPr>
      <w:pStyle w:val="28"/>
      <w:tabs>
        <w:tab w:val="center" w:pos="464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19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45EF91D3">
                          <w:pPr>
                            <w:pStyle w:val="28"/>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6W/D9EAAAADAQAADwAAAAAAAAABACAAAAAiAAAAZHJz&#10;L2Rvd25yZXYueG1sUEsBAhQAFAAAAAgAh07iQPQgnMALAgAAAgQAAA4AAAAAAAAAAQAgAAAAIAEA&#10;AGRycy9lMm9Eb2MueG1sUEsFBgAAAAAGAAYAWQEAAJ0FAAAAAA==&#10;">
              <v:fill on="f" focussize="0,0"/>
              <v:stroke on="f"/>
              <v:imagedata o:title=""/>
              <o:lock v:ext="edit" aspectratio="f"/>
              <v:textbox inset="0mm,0mm,0mm,0mm" style="mso-fit-shape-to-text:t;">
                <w:txbxContent>
                  <w:p w14:paraId="45EF91D3">
                    <w:pPr>
                      <w:pStyle w:val="28"/>
                    </w:pPr>
                    <w:r>
                      <w:fldChar w:fldCharType="begin"/>
                    </w:r>
                    <w:r>
                      <w:instrText xml:space="preserve"> PAGE  \* MERGEFORMAT </w:instrText>
                    </w:r>
                    <w:r>
                      <w:fldChar w:fldCharType="separate"/>
                    </w:r>
                    <w:r>
                      <w:t>68</w:t>
                    </w:r>
                    <w:r>
                      <w:fldChar w:fldCharType="end"/>
                    </w:r>
                  </w:p>
                </w:txbxContent>
              </v:textbox>
            </v:shape>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EBEE0">
    <w:pPr>
      <w:pStyle w:val="2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004148AE">
                          <w:pPr>
                            <w:pStyle w:val="28"/>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pb8P0QAAAAMBAAAPAAAAAAAAAAEAIAAAACIAAABkcnMv&#10;ZG93bnJldi54bWxQSwECFAAUAAAACACHTuJAjJUvggoCAAACBAAADgAAAAAAAAABACAAAAAgAQAA&#10;ZHJzL2Uyb0RvYy54bWxQSwUGAAAAAAYABgBZAQAAnAUAAAAA&#10;">
              <v:fill on="f" focussize="0,0"/>
              <v:stroke on="f"/>
              <v:imagedata o:title=""/>
              <o:lock v:ext="edit" aspectratio="f"/>
              <v:textbox inset="0mm,0mm,0mm,0mm" style="mso-fit-shape-to-text:t;">
                <w:txbxContent>
                  <w:p w14:paraId="004148AE">
                    <w:pPr>
                      <w:pStyle w:val="2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59BC">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4C5F1122">
                          <w:pPr>
                            <w:pStyle w:val="28"/>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6W/D9EAAAADAQAADwAAAAAAAAABACAAAAAiAAAAZHJzL2Rv&#10;d25yZXYueG1sUEsBAhQAFAAAAAgAh07iQARK+0UIAgAAAgQAAA4AAAAAAAAAAQAgAAAAIAEAAGRy&#10;cy9lMm9Eb2MueG1sUEsFBgAAAAAGAAYAWQEAAJoFAAAAAA==&#10;">
              <v:fill on="f" focussize="0,0"/>
              <v:stroke on="f"/>
              <v:imagedata o:title=""/>
              <o:lock v:ext="edit" aspectratio="f"/>
              <v:textbox inset="0mm,0mm,0mm,0mm" style="mso-fit-shape-to-text:t;">
                <w:txbxContent>
                  <w:p w14:paraId="4C5F1122">
                    <w:pPr>
                      <w:pStyle w:val="2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7533">
    <w:pPr>
      <w:pStyle w:val="29"/>
      <w:pBdr>
        <w:bottom w:val="none" w:color="auto" w:sz="0" w:space="0"/>
      </w:pBdr>
      <w:jc w:val="both"/>
      <w:rPr>
        <w:b/>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0D8D">
    <w:pPr>
      <w:pStyle w:val="29"/>
      <w:pBdr>
        <w:bottom w:val="none" w:color="auto" w:sz="0" w:space="0"/>
      </w:pBdr>
      <w:rPr>
        <w:b/>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B063">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4BFFD">
    <w:pPr>
      <w:pStyle w:val="29"/>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AC53">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4312F"/>
    <w:multiLevelType w:val="singleLevel"/>
    <w:tmpl w:val="C104312F"/>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pStyle w:val="20"/>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3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9"/>
      <w:lvlText w:val="%8)"/>
      <w:lvlJc w:val="left"/>
      <w:pPr>
        <w:tabs>
          <w:tab w:val="left" w:pos="3360"/>
        </w:tabs>
        <w:ind w:left="3360" w:hanging="420"/>
      </w:pPr>
    </w:lvl>
    <w:lvl w:ilvl="8" w:tentative="0">
      <w:start w:val="1"/>
      <w:numFmt w:val="lowerRoman"/>
      <w:pStyle w:val="10"/>
      <w:lvlText w:val="%9."/>
      <w:lvlJc w:val="right"/>
      <w:pPr>
        <w:tabs>
          <w:tab w:val="left" w:pos="3780"/>
        </w:tabs>
        <w:ind w:left="3780" w:hanging="420"/>
      </w:pPr>
    </w:lvl>
  </w:abstractNum>
  <w:abstractNum w:abstractNumId="2">
    <w:nsid w:val="0000000B"/>
    <w:multiLevelType w:val="singleLevel"/>
    <w:tmpl w:val="0000000B"/>
    <w:lvl w:ilvl="0" w:tentative="0">
      <w:start w:val="1"/>
      <w:numFmt w:val="decimal"/>
      <w:pStyle w:val="32"/>
      <w:lvlText w:val="%1、"/>
      <w:lvlJc w:val="left"/>
      <w:pPr>
        <w:tabs>
          <w:tab w:val="left" w:pos="840"/>
        </w:tabs>
        <w:ind w:left="840" w:hanging="360"/>
      </w:pPr>
      <w:rPr>
        <w:rFonts w:hint="eastAsia"/>
      </w:rPr>
    </w:lvl>
  </w:abstractNum>
  <w:abstractNum w:abstractNumId="3">
    <w:nsid w:val="0000000C"/>
    <w:multiLevelType w:val="singleLevel"/>
    <w:tmpl w:val="0000000C"/>
    <w:lvl w:ilvl="0" w:tentative="0">
      <w:start w:val="1"/>
      <w:numFmt w:val="decimal"/>
      <w:pStyle w:val="131"/>
      <w:lvlText w:val="(%1)"/>
      <w:lvlJc w:val="left"/>
      <w:pPr>
        <w:tabs>
          <w:tab w:val="left" w:pos="700"/>
        </w:tabs>
        <w:ind w:left="0" w:firstLine="340"/>
      </w:pPr>
      <w:rPr>
        <w:rFonts w:hint="eastAsia"/>
      </w:rPr>
    </w:lvl>
  </w:abstractNum>
  <w:abstractNum w:abstractNumId="4">
    <w:nsid w:val="0000000D"/>
    <w:multiLevelType w:val="multilevel"/>
    <w:tmpl w:val="0000000D"/>
    <w:lvl w:ilvl="0" w:tentative="0">
      <w:start w:val="5"/>
      <w:numFmt w:val="decimal"/>
      <w:pStyle w:val="130"/>
      <w:lvlText w:val="（%1）"/>
      <w:lvlJc w:val="left"/>
      <w:pPr>
        <w:tabs>
          <w:tab w:val="left" w:pos="1200"/>
        </w:tabs>
        <w:ind w:left="1200" w:hanging="720"/>
      </w:pPr>
      <w:rPr>
        <w:rFonts w:hint="default" w:asci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2DAB27D8"/>
    <w:multiLevelType w:val="singleLevel"/>
    <w:tmpl w:val="2DAB27D8"/>
    <w:lvl w:ilvl="0" w:tentative="0">
      <w:start w:val="5"/>
      <w:numFmt w:val="chineseCounting"/>
      <w:suff w:val="space"/>
      <w:lvlText w:val="第%1章"/>
      <w:lvlJc w:val="left"/>
      <w:rPr>
        <w:rFonts w:hint="eastAsia"/>
      </w:rPr>
    </w:lvl>
  </w:abstractNum>
  <w:abstractNum w:abstractNumId="6">
    <w:nsid w:val="510693D3"/>
    <w:multiLevelType w:val="singleLevel"/>
    <w:tmpl w:val="510693D3"/>
    <w:lvl w:ilvl="0" w:tentative="0">
      <w:start w:val="2"/>
      <w:numFmt w:val="decimal"/>
      <w:suff w:val="nothing"/>
      <w:lvlText w:val="%1、"/>
      <w:lvlJc w:val="left"/>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NGQ1MTMwNzY4MmU1NTVmMjczMDk4Y2JlY2E3MTIifQ=="/>
  </w:docVars>
  <w:rsids>
    <w:rsidRoot w:val="00624649"/>
    <w:rsid w:val="000164DA"/>
    <w:rsid w:val="000F2DDA"/>
    <w:rsid w:val="001019A9"/>
    <w:rsid w:val="00180748"/>
    <w:rsid w:val="001810BB"/>
    <w:rsid w:val="0018380D"/>
    <w:rsid w:val="001D7400"/>
    <w:rsid w:val="001F3F53"/>
    <w:rsid w:val="001F6C8D"/>
    <w:rsid w:val="00200DC3"/>
    <w:rsid w:val="00247A44"/>
    <w:rsid w:val="00274BC2"/>
    <w:rsid w:val="00277B7E"/>
    <w:rsid w:val="0028759F"/>
    <w:rsid w:val="002A2482"/>
    <w:rsid w:val="002E69DC"/>
    <w:rsid w:val="00332E4D"/>
    <w:rsid w:val="00356715"/>
    <w:rsid w:val="00394DF8"/>
    <w:rsid w:val="004371D4"/>
    <w:rsid w:val="00456BCD"/>
    <w:rsid w:val="00460C44"/>
    <w:rsid w:val="004B039E"/>
    <w:rsid w:val="004B3A49"/>
    <w:rsid w:val="004B58FD"/>
    <w:rsid w:val="005553DC"/>
    <w:rsid w:val="00577CD4"/>
    <w:rsid w:val="00593B96"/>
    <w:rsid w:val="005B356B"/>
    <w:rsid w:val="005C0DDB"/>
    <w:rsid w:val="005C657A"/>
    <w:rsid w:val="005D59DC"/>
    <w:rsid w:val="005E01E2"/>
    <w:rsid w:val="005F58CA"/>
    <w:rsid w:val="00624649"/>
    <w:rsid w:val="00633CDA"/>
    <w:rsid w:val="006644B9"/>
    <w:rsid w:val="00672A80"/>
    <w:rsid w:val="00734AF1"/>
    <w:rsid w:val="007463C7"/>
    <w:rsid w:val="007741F4"/>
    <w:rsid w:val="00777621"/>
    <w:rsid w:val="007B71FC"/>
    <w:rsid w:val="007D6DBF"/>
    <w:rsid w:val="0081160D"/>
    <w:rsid w:val="0082061E"/>
    <w:rsid w:val="00875B8C"/>
    <w:rsid w:val="00884998"/>
    <w:rsid w:val="008935D4"/>
    <w:rsid w:val="009047A7"/>
    <w:rsid w:val="00956A1A"/>
    <w:rsid w:val="00960800"/>
    <w:rsid w:val="009851AC"/>
    <w:rsid w:val="009C3825"/>
    <w:rsid w:val="009D7A9E"/>
    <w:rsid w:val="009E2F1D"/>
    <w:rsid w:val="009E4A83"/>
    <w:rsid w:val="00A12159"/>
    <w:rsid w:val="00A44DBD"/>
    <w:rsid w:val="00A820E4"/>
    <w:rsid w:val="00A95D40"/>
    <w:rsid w:val="00AB65E1"/>
    <w:rsid w:val="00AC4B56"/>
    <w:rsid w:val="00AD4611"/>
    <w:rsid w:val="00AD5023"/>
    <w:rsid w:val="00AF0CFF"/>
    <w:rsid w:val="00B03EED"/>
    <w:rsid w:val="00B13195"/>
    <w:rsid w:val="00B4253B"/>
    <w:rsid w:val="00BB2DE7"/>
    <w:rsid w:val="00BF577C"/>
    <w:rsid w:val="00BF5E14"/>
    <w:rsid w:val="00C41177"/>
    <w:rsid w:val="00C62695"/>
    <w:rsid w:val="00D225DC"/>
    <w:rsid w:val="00D46F61"/>
    <w:rsid w:val="00D7147D"/>
    <w:rsid w:val="00D95667"/>
    <w:rsid w:val="00DB3BAE"/>
    <w:rsid w:val="00DE573E"/>
    <w:rsid w:val="00E04C9E"/>
    <w:rsid w:val="00E103E4"/>
    <w:rsid w:val="00E3109E"/>
    <w:rsid w:val="00E46819"/>
    <w:rsid w:val="00EB03ED"/>
    <w:rsid w:val="00EC4FBF"/>
    <w:rsid w:val="00EC6742"/>
    <w:rsid w:val="00F236E1"/>
    <w:rsid w:val="00FE7803"/>
    <w:rsid w:val="052C6899"/>
    <w:rsid w:val="075B4CD5"/>
    <w:rsid w:val="0A8D6CDE"/>
    <w:rsid w:val="0BE36304"/>
    <w:rsid w:val="0C01678A"/>
    <w:rsid w:val="0C461E03"/>
    <w:rsid w:val="0DB7190D"/>
    <w:rsid w:val="0EB15E30"/>
    <w:rsid w:val="0EEA65F5"/>
    <w:rsid w:val="110A251D"/>
    <w:rsid w:val="12C76BC9"/>
    <w:rsid w:val="13876815"/>
    <w:rsid w:val="1B8D003A"/>
    <w:rsid w:val="1C570CDE"/>
    <w:rsid w:val="1D2D5631"/>
    <w:rsid w:val="1F130856"/>
    <w:rsid w:val="260720EF"/>
    <w:rsid w:val="2A9E62BC"/>
    <w:rsid w:val="34372E0C"/>
    <w:rsid w:val="365C52F7"/>
    <w:rsid w:val="37A46956"/>
    <w:rsid w:val="3BDE5DC4"/>
    <w:rsid w:val="3BFD47F4"/>
    <w:rsid w:val="404B3E9C"/>
    <w:rsid w:val="43FE1C4E"/>
    <w:rsid w:val="467C2DCA"/>
    <w:rsid w:val="48936F14"/>
    <w:rsid w:val="49242261"/>
    <w:rsid w:val="4BBE3774"/>
    <w:rsid w:val="4E2D32BE"/>
    <w:rsid w:val="4EB8094F"/>
    <w:rsid w:val="52103BF5"/>
    <w:rsid w:val="52D00F84"/>
    <w:rsid w:val="533970B8"/>
    <w:rsid w:val="56A329FB"/>
    <w:rsid w:val="5A46320A"/>
    <w:rsid w:val="5A584744"/>
    <w:rsid w:val="5C015C8E"/>
    <w:rsid w:val="5D7B0132"/>
    <w:rsid w:val="690E58E3"/>
    <w:rsid w:val="6A061BE4"/>
    <w:rsid w:val="6A270980"/>
    <w:rsid w:val="6B1A36EF"/>
    <w:rsid w:val="6C434FAE"/>
    <w:rsid w:val="6FB63EAD"/>
    <w:rsid w:val="7101188A"/>
    <w:rsid w:val="73EF00BF"/>
    <w:rsid w:val="747A477A"/>
    <w:rsid w:val="753C0B2F"/>
    <w:rsid w:val="7E911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5"/>
    <w:qFormat/>
    <w:uiPriority w:val="0"/>
    <w:pPr>
      <w:keepNext/>
      <w:spacing w:line="380" w:lineRule="exact"/>
      <w:jc w:val="center"/>
      <w:outlineLvl w:val="0"/>
    </w:pPr>
    <w:rPr>
      <w:b/>
      <w:bCs/>
      <w:kern w:val="44"/>
      <w:sz w:val="44"/>
      <w:szCs w:val="44"/>
    </w:rPr>
  </w:style>
  <w:style w:type="paragraph" w:styleId="4">
    <w:name w:val="heading 2"/>
    <w:basedOn w:val="1"/>
    <w:next w:val="1"/>
    <w:link w:val="56"/>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2">
    <w:name w:val="heading 3"/>
    <w:basedOn w:val="1"/>
    <w:next w:val="1"/>
    <w:link w:val="57"/>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5">
    <w:name w:val="heading 4"/>
    <w:basedOn w:val="1"/>
    <w:next w:val="1"/>
    <w:link w:val="58"/>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59"/>
    <w:qFormat/>
    <w:uiPriority w:val="0"/>
    <w:pPr>
      <w:keepNext/>
      <w:keepLines/>
      <w:tabs>
        <w:tab w:val="left" w:pos="1548"/>
      </w:tabs>
      <w:spacing w:before="280" w:after="290" w:line="376" w:lineRule="auto"/>
      <w:ind w:left="1548" w:hanging="1548"/>
      <w:outlineLvl w:val="4"/>
    </w:pPr>
    <w:rPr>
      <w:b/>
      <w:bCs/>
      <w:sz w:val="28"/>
      <w:szCs w:val="28"/>
    </w:rPr>
  </w:style>
  <w:style w:type="paragraph" w:styleId="7">
    <w:name w:val="heading 6"/>
    <w:basedOn w:val="1"/>
    <w:next w:val="1"/>
    <w:link w:val="60"/>
    <w:qFormat/>
    <w:uiPriority w:val="0"/>
    <w:pPr>
      <w:keepNext/>
      <w:keepLines/>
      <w:spacing w:before="240" w:after="64" w:line="320" w:lineRule="auto"/>
      <w:outlineLvl w:val="5"/>
    </w:pPr>
    <w:rPr>
      <w:rFonts w:ascii="Cambria" w:hAnsi="Cambria"/>
      <w:b/>
      <w:bCs/>
      <w:sz w:val="24"/>
      <w:szCs w:val="24"/>
    </w:rPr>
  </w:style>
  <w:style w:type="paragraph" w:styleId="8">
    <w:name w:val="heading 7"/>
    <w:basedOn w:val="1"/>
    <w:next w:val="1"/>
    <w:link w:val="61"/>
    <w:qFormat/>
    <w:uiPriority w:val="0"/>
    <w:pPr>
      <w:keepNext/>
      <w:keepLines/>
      <w:numPr>
        <w:ilvl w:val="6"/>
        <w:numId w:val="1"/>
      </w:numPr>
      <w:tabs>
        <w:tab w:val="left" w:pos="1296"/>
        <w:tab w:val="clear" w:pos="2940"/>
      </w:tabs>
      <w:spacing w:before="240" w:after="64" w:line="317" w:lineRule="auto"/>
      <w:outlineLvl w:val="6"/>
    </w:pPr>
    <w:rPr>
      <w:b/>
      <w:bCs/>
      <w:sz w:val="24"/>
      <w:szCs w:val="24"/>
    </w:rPr>
  </w:style>
  <w:style w:type="paragraph" w:styleId="9">
    <w:name w:val="heading 8"/>
    <w:basedOn w:val="1"/>
    <w:next w:val="1"/>
    <w:link w:val="62"/>
    <w:qFormat/>
    <w:uiPriority w:val="0"/>
    <w:pPr>
      <w:keepNext/>
      <w:keepLines/>
      <w:numPr>
        <w:ilvl w:val="7"/>
        <w:numId w:val="1"/>
      </w:numPr>
      <w:tabs>
        <w:tab w:val="left" w:pos="1440"/>
        <w:tab w:val="clear" w:pos="3360"/>
      </w:tabs>
      <w:spacing w:before="240" w:after="64" w:line="317" w:lineRule="auto"/>
      <w:outlineLvl w:val="7"/>
    </w:pPr>
    <w:rPr>
      <w:rFonts w:ascii="Arial" w:hAnsi="Arial" w:eastAsia="黑体"/>
      <w:sz w:val="24"/>
      <w:szCs w:val="24"/>
    </w:rPr>
  </w:style>
  <w:style w:type="paragraph" w:styleId="10">
    <w:name w:val="heading 9"/>
    <w:basedOn w:val="1"/>
    <w:next w:val="1"/>
    <w:link w:val="63"/>
    <w:qFormat/>
    <w:uiPriority w:val="0"/>
    <w:pPr>
      <w:keepNext/>
      <w:keepLines/>
      <w:numPr>
        <w:ilvl w:val="8"/>
        <w:numId w:val="1"/>
      </w:numPr>
      <w:tabs>
        <w:tab w:val="left" w:pos="1584"/>
        <w:tab w:val="clear" w:pos="3780"/>
      </w:tabs>
      <w:spacing w:before="240" w:after="64" w:line="317"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67"/>
    <w:qFormat/>
    <w:uiPriority w:val="0"/>
    <w:pPr>
      <w:ind w:firstLine="420" w:firstLineChars="200"/>
    </w:pPr>
    <w:rPr>
      <w:szCs w:val="24"/>
    </w:rPr>
  </w:style>
  <w:style w:type="paragraph" w:styleId="13">
    <w:name w:val="Document Map"/>
    <w:basedOn w:val="1"/>
    <w:link w:val="68"/>
    <w:qFormat/>
    <w:uiPriority w:val="0"/>
    <w:pPr>
      <w:shd w:val="clear" w:color="auto" w:fill="000080"/>
    </w:pPr>
  </w:style>
  <w:style w:type="paragraph" w:styleId="14">
    <w:name w:val="annotation text"/>
    <w:basedOn w:val="1"/>
    <w:link w:val="69"/>
    <w:qFormat/>
    <w:uiPriority w:val="0"/>
    <w:pPr>
      <w:jc w:val="left"/>
    </w:pPr>
  </w:style>
  <w:style w:type="paragraph" w:styleId="15">
    <w:name w:val="Body Text 3"/>
    <w:basedOn w:val="1"/>
    <w:link w:val="70"/>
    <w:qFormat/>
    <w:uiPriority w:val="0"/>
    <w:pPr>
      <w:spacing w:after="120" w:line="360" w:lineRule="auto"/>
    </w:pPr>
    <w:rPr>
      <w:kern w:val="0"/>
      <w:sz w:val="16"/>
      <w:szCs w:val="16"/>
    </w:rPr>
  </w:style>
  <w:style w:type="paragraph" w:styleId="16">
    <w:name w:val="Body Text"/>
    <w:basedOn w:val="1"/>
    <w:next w:val="17"/>
    <w:link w:val="71"/>
    <w:qFormat/>
    <w:uiPriority w:val="0"/>
    <w:rPr>
      <w:i/>
      <w:sz w:val="18"/>
    </w:rPr>
  </w:style>
  <w:style w:type="paragraph" w:styleId="17">
    <w:name w:val="Body Text First Indent"/>
    <w:basedOn w:val="16"/>
    <w:next w:val="18"/>
    <w:link w:val="72"/>
    <w:qFormat/>
    <w:uiPriority w:val="0"/>
    <w:pPr>
      <w:spacing w:after="120"/>
      <w:ind w:firstLine="420" w:firstLineChars="100"/>
    </w:pPr>
    <w:rPr>
      <w:sz w:val="21"/>
      <w:szCs w:val="24"/>
    </w:rPr>
  </w:style>
  <w:style w:type="paragraph" w:styleId="18">
    <w:name w:val="toc 6"/>
    <w:basedOn w:val="1"/>
    <w:next w:val="1"/>
    <w:qFormat/>
    <w:uiPriority w:val="0"/>
    <w:pPr>
      <w:ind w:left="1050"/>
      <w:jc w:val="left"/>
    </w:pPr>
    <w:rPr>
      <w:sz w:val="18"/>
      <w:szCs w:val="18"/>
    </w:rPr>
  </w:style>
  <w:style w:type="paragraph" w:styleId="19">
    <w:name w:val="Body Text Indent"/>
    <w:basedOn w:val="1"/>
    <w:link w:val="64"/>
    <w:unhideWhenUsed/>
    <w:qFormat/>
    <w:uiPriority w:val="0"/>
    <w:pPr>
      <w:spacing w:after="120"/>
      <w:ind w:left="420" w:leftChars="200"/>
    </w:pPr>
  </w:style>
  <w:style w:type="paragraph" w:styleId="20">
    <w:name w:val="List Number 3"/>
    <w:basedOn w:val="1"/>
    <w:qFormat/>
    <w:uiPriority w:val="0"/>
    <w:pPr>
      <w:widowControl/>
      <w:numPr>
        <w:ilvl w:val="0"/>
        <w:numId w:val="1"/>
      </w:numPr>
      <w:tabs>
        <w:tab w:val="left" w:pos="482"/>
        <w:tab w:val="clear" w:pos="510"/>
      </w:tabs>
      <w:spacing w:after="156" w:afterLines="50"/>
      <w:ind w:left="482" w:hanging="340"/>
      <w:jc w:val="left"/>
    </w:pPr>
    <w:rPr>
      <w:kern w:val="0"/>
      <w:sz w:val="24"/>
    </w:rPr>
  </w:style>
  <w:style w:type="paragraph" w:styleId="21">
    <w:name w:val="toc 5"/>
    <w:basedOn w:val="1"/>
    <w:next w:val="1"/>
    <w:qFormat/>
    <w:uiPriority w:val="0"/>
    <w:pPr>
      <w:ind w:left="840"/>
      <w:jc w:val="left"/>
    </w:pPr>
    <w:rPr>
      <w:sz w:val="18"/>
      <w:szCs w:val="18"/>
    </w:rPr>
  </w:style>
  <w:style w:type="paragraph" w:styleId="22">
    <w:name w:val="toc 3"/>
    <w:basedOn w:val="1"/>
    <w:qFormat/>
    <w:uiPriority w:val="0"/>
    <w:pPr>
      <w:ind w:left="420"/>
      <w:jc w:val="left"/>
    </w:pPr>
    <w:rPr>
      <w:i/>
      <w:iCs/>
      <w:sz w:val="20"/>
    </w:rPr>
  </w:style>
  <w:style w:type="paragraph" w:styleId="23">
    <w:name w:val="Plain Text"/>
    <w:basedOn w:val="1"/>
    <w:link w:val="73"/>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pPr>
      <w:adjustRightInd w:val="0"/>
      <w:spacing w:line="312" w:lineRule="atLeast"/>
      <w:jc w:val="right"/>
      <w:textAlignment w:val="baseline"/>
    </w:pPr>
    <w:rPr>
      <w:rFonts w:ascii="宋体"/>
      <w:kern w:val="0"/>
      <w:sz w:val="24"/>
    </w:rPr>
  </w:style>
  <w:style w:type="paragraph" w:styleId="26">
    <w:name w:val="Body Text Indent 2"/>
    <w:basedOn w:val="1"/>
    <w:link w:val="75"/>
    <w:qFormat/>
    <w:uiPriority w:val="0"/>
    <w:pPr>
      <w:spacing w:line="380" w:lineRule="exact"/>
      <w:ind w:left="840" w:hanging="45"/>
    </w:pPr>
    <w:rPr>
      <w:rFonts w:ascii="宋体"/>
      <w:sz w:val="24"/>
    </w:rPr>
  </w:style>
  <w:style w:type="paragraph" w:styleId="27">
    <w:name w:val="Balloon Text"/>
    <w:basedOn w:val="1"/>
    <w:link w:val="76"/>
    <w:qFormat/>
    <w:uiPriority w:val="0"/>
    <w:rPr>
      <w:sz w:val="18"/>
      <w:szCs w:val="18"/>
    </w:rPr>
  </w:style>
  <w:style w:type="paragraph" w:styleId="28">
    <w:name w:val="footer"/>
    <w:basedOn w:val="1"/>
    <w:link w:val="54"/>
    <w:unhideWhenUsed/>
    <w:qFormat/>
    <w:uiPriority w:val="0"/>
    <w:pPr>
      <w:tabs>
        <w:tab w:val="center" w:pos="4153"/>
        <w:tab w:val="right" w:pos="8306"/>
      </w:tabs>
      <w:snapToGrid w:val="0"/>
      <w:jc w:val="left"/>
    </w:pPr>
    <w:rPr>
      <w:sz w:val="18"/>
      <w:szCs w:val="18"/>
    </w:rPr>
  </w:style>
  <w:style w:type="paragraph" w:styleId="29">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721"/>
      </w:tabs>
      <w:spacing w:line="480" w:lineRule="auto"/>
    </w:pPr>
    <w:rPr>
      <w:rFonts w:ascii="宋体" w:hAnsi="宋体"/>
      <w:color w:val="000000"/>
      <w:sz w:val="32"/>
      <w:szCs w:val="32"/>
    </w:rPr>
  </w:style>
  <w:style w:type="paragraph" w:styleId="31">
    <w:name w:val="toc 4"/>
    <w:basedOn w:val="1"/>
    <w:next w:val="1"/>
    <w:qFormat/>
    <w:uiPriority w:val="0"/>
    <w:pPr>
      <w:ind w:left="630"/>
      <w:jc w:val="left"/>
    </w:pPr>
    <w:rPr>
      <w:sz w:val="18"/>
      <w:szCs w:val="18"/>
    </w:rPr>
  </w:style>
  <w:style w:type="paragraph" w:styleId="32">
    <w:name w:val="List Number 5"/>
    <w:basedOn w:val="1"/>
    <w:qFormat/>
    <w:uiPriority w:val="0"/>
    <w:pPr>
      <w:numPr>
        <w:ilvl w:val="0"/>
        <w:numId w:val="2"/>
      </w:numPr>
      <w:tabs>
        <w:tab w:val="left" w:pos="2608"/>
        <w:tab w:val="clear" w:pos="840"/>
      </w:tabs>
      <w:spacing w:line="360" w:lineRule="auto"/>
    </w:pPr>
    <w:rPr>
      <w:sz w:val="24"/>
      <w:szCs w:val="24"/>
    </w:rPr>
  </w:style>
  <w:style w:type="paragraph" w:styleId="33">
    <w:name w:val="Body Text Indent 3"/>
    <w:basedOn w:val="1"/>
    <w:link w:val="79"/>
    <w:qFormat/>
    <w:uiPriority w:val="0"/>
    <w:pPr>
      <w:spacing w:line="380" w:lineRule="exact"/>
      <w:ind w:left="525"/>
    </w:pPr>
    <w:rPr>
      <w:rFonts w:ascii="宋体"/>
      <w:sz w:val="24"/>
    </w:rPr>
  </w:style>
  <w:style w:type="paragraph" w:styleId="34">
    <w:name w:val="table of figures"/>
    <w:basedOn w:val="1"/>
    <w:next w:val="1"/>
    <w:qFormat/>
    <w:uiPriority w:val="0"/>
    <w:pPr>
      <w:ind w:left="420" w:hanging="420"/>
      <w:jc w:val="left"/>
    </w:pPr>
    <w:rPr>
      <w:smallCaps/>
      <w:sz w:val="20"/>
    </w:rPr>
  </w:style>
  <w:style w:type="paragraph" w:styleId="35">
    <w:name w:val="toc 2"/>
    <w:basedOn w:val="1"/>
    <w:qFormat/>
    <w:uiPriority w:val="0"/>
    <w:pPr>
      <w:ind w:left="210"/>
      <w:jc w:val="left"/>
    </w:pPr>
    <w:rPr>
      <w:smallCaps/>
      <w:sz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80"/>
    <w:qFormat/>
    <w:uiPriority w:val="0"/>
    <w:pPr>
      <w:spacing w:after="120" w:line="480" w:lineRule="auto"/>
    </w:pPr>
    <w:rPr>
      <w:kern w:val="0"/>
      <w:sz w:val="24"/>
      <w:szCs w:val="24"/>
    </w:rPr>
  </w:style>
  <w:style w:type="paragraph" w:styleId="38">
    <w:name w:val="HTML Preformatted"/>
    <w:basedOn w:val="1"/>
    <w:link w:val="81"/>
    <w:qFormat/>
    <w:uiPriority w:val="0"/>
    <w:rPr>
      <w:rFonts w:ascii="Courier New" w:hAnsi="Courier New" w:cs="Courier New"/>
      <w:sz w:val="20"/>
    </w:rPr>
  </w:style>
  <w:style w:type="paragraph" w:styleId="39">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0">
    <w:name w:val="index 1"/>
    <w:basedOn w:val="1"/>
    <w:next w:val="1"/>
    <w:qFormat/>
    <w:uiPriority w:val="0"/>
  </w:style>
  <w:style w:type="paragraph" w:styleId="41">
    <w:name w:val="Title"/>
    <w:basedOn w:val="1"/>
    <w:next w:val="1"/>
    <w:link w:val="82"/>
    <w:qFormat/>
    <w:uiPriority w:val="0"/>
    <w:pPr>
      <w:spacing w:before="240" w:after="60"/>
      <w:jc w:val="center"/>
      <w:outlineLvl w:val="0"/>
    </w:pPr>
    <w:rPr>
      <w:rFonts w:ascii="Cambria" w:hAnsi="Cambria"/>
      <w:b/>
      <w:bCs/>
      <w:sz w:val="32"/>
      <w:szCs w:val="32"/>
    </w:rPr>
  </w:style>
  <w:style w:type="paragraph" w:styleId="42">
    <w:name w:val="annotation subject"/>
    <w:basedOn w:val="14"/>
    <w:next w:val="14"/>
    <w:link w:val="83"/>
    <w:qFormat/>
    <w:uiPriority w:val="0"/>
    <w:rPr>
      <w:b/>
      <w:bCs/>
    </w:rPr>
  </w:style>
  <w:style w:type="paragraph" w:styleId="43">
    <w:name w:val="Body Text First Indent 2"/>
    <w:basedOn w:val="19"/>
    <w:link w:val="65"/>
    <w:qFormat/>
    <w:uiPriority w:val="0"/>
    <w:pPr>
      <w:spacing w:after="0" w:line="380" w:lineRule="exact"/>
      <w:ind w:left="0" w:leftChars="0" w:firstLine="420" w:firstLineChars="200"/>
    </w:pPr>
    <w:rPr>
      <w:rFonts w:hint="eastAsia" w:ascii="方正书宋简体" w:hAnsi="方正书宋简体" w:eastAsia="方正书宋简体"/>
      <w:sz w:val="24"/>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rPr>
      <w:lang w:eastAsia="en-US"/>
    </w:rPr>
  </w:style>
  <w:style w:type="character" w:styleId="49">
    <w:name w:val="FollowedHyperlink"/>
    <w:qFormat/>
    <w:uiPriority w:val="0"/>
    <w:rPr>
      <w:color w:val="800080"/>
      <w:u w:val="none"/>
    </w:rPr>
  </w:style>
  <w:style w:type="character" w:styleId="50">
    <w:name w:val="HTML Typewriter"/>
    <w:qFormat/>
    <w:uiPriority w:val="0"/>
    <w:rPr>
      <w:rFonts w:ascii="Courier New" w:hAnsi="Courier New" w:cs="Courier New"/>
      <w:sz w:val="20"/>
      <w:szCs w:val="20"/>
    </w:rPr>
  </w:style>
  <w:style w:type="character" w:styleId="51">
    <w:name w:val="Hyperlink"/>
    <w:qFormat/>
    <w:uiPriority w:val="0"/>
    <w:rPr>
      <w:color w:val="0000FF"/>
      <w:u w:val="none"/>
      <w:lang w:eastAsia="en-US"/>
    </w:rPr>
  </w:style>
  <w:style w:type="character" w:styleId="52">
    <w:name w:val="annotation reference"/>
    <w:qFormat/>
    <w:uiPriority w:val="0"/>
    <w:rPr>
      <w:sz w:val="21"/>
      <w:szCs w:val="21"/>
    </w:rPr>
  </w:style>
  <w:style w:type="character" w:customStyle="1" w:styleId="53">
    <w:name w:val="页眉 Char"/>
    <w:basedOn w:val="46"/>
    <w:link w:val="29"/>
    <w:qFormat/>
    <w:uiPriority w:val="0"/>
    <w:rPr>
      <w:sz w:val="18"/>
      <w:szCs w:val="18"/>
    </w:rPr>
  </w:style>
  <w:style w:type="character" w:customStyle="1" w:styleId="54">
    <w:name w:val="页脚 Char"/>
    <w:basedOn w:val="46"/>
    <w:link w:val="28"/>
    <w:qFormat/>
    <w:uiPriority w:val="0"/>
    <w:rPr>
      <w:sz w:val="18"/>
      <w:szCs w:val="18"/>
    </w:rPr>
  </w:style>
  <w:style w:type="character" w:customStyle="1" w:styleId="55">
    <w:name w:val="标题 1 Char"/>
    <w:basedOn w:val="46"/>
    <w:link w:val="3"/>
    <w:qFormat/>
    <w:uiPriority w:val="0"/>
    <w:rPr>
      <w:rFonts w:ascii="Times New Roman" w:hAnsi="Times New Roman" w:eastAsia="宋体" w:cs="Times New Roman"/>
      <w:b/>
      <w:bCs/>
      <w:kern w:val="44"/>
      <w:sz w:val="44"/>
      <w:szCs w:val="44"/>
    </w:rPr>
  </w:style>
  <w:style w:type="character" w:customStyle="1" w:styleId="56">
    <w:name w:val="标题 2 Char"/>
    <w:basedOn w:val="46"/>
    <w:link w:val="4"/>
    <w:qFormat/>
    <w:uiPriority w:val="0"/>
    <w:rPr>
      <w:rFonts w:ascii="Arial" w:hAnsi="Arial" w:eastAsia="黑体" w:cs="Times New Roman"/>
      <w:b/>
      <w:bCs/>
      <w:sz w:val="32"/>
      <w:szCs w:val="32"/>
    </w:rPr>
  </w:style>
  <w:style w:type="character" w:customStyle="1" w:styleId="57">
    <w:name w:val="标题 3 Char"/>
    <w:basedOn w:val="46"/>
    <w:link w:val="2"/>
    <w:qFormat/>
    <w:uiPriority w:val="0"/>
    <w:rPr>
      <w:rFonts w:ascii="Arial" w:hAnsi="Arial" w:eastAsia="黑体" w:cs="Arial"/>
      <w:b/>
      <w:bCs/>
      <w:sz w:val="30"/>
      <w:szCs w:val="32"/>
    </w:rPr>
  </w:style>
  <w:style w:type="character" w:customStyle="1" w:styleId="58">
    <w:name w:val="标题 4 Char"/>
    <w:basedOn w:val="46"/>
    <w:link w:val="5"/>
    <w:qFormat/>
    <w:uiPriority w:val="0"/>
    <w:rPr>
      <w:rFonts w:ascii="Arial" w:hAnsi="Arial" w:eastAsia="黑体" w:cs="Times New Roman"/>
      <w:b/>
      <w:bCs/>
      <w:sz w:val="28"/>
      <w:szCs w:val="28"/>
    </w:rPr>
  </w:style>
  <w:style w:type="character" w:customStyle="1" w:styleId="59">
    <w:name w:val="标题 5 Char"/>
    <w:basedOn w:val="46"/>
    <w:link w:val="6"/>
    <w:qFormat/>
    <w:uiPriority w:val="0"/>
    <w:rPr>
      <w:rFonts w:ascii="Times New Roman" w:hAnsi="Times New Roman" w:eastAsia="宋体" w:cs="Times New Roman"/>
      <w:b/>
      <w:bCs/>
      <w:sz w:val="28"/>
      <w:szCs w:val="28"/>
    </w:rPr>
  </w:style>
  <w:style w:type="character" w:customStyle="1" w:styleId="60">
    <w:name w:val="标题 6 Char"/>
    <w:basedOn w:val="46"/>
    <w:link w:val="7"/>
    <w:qFormat/>
    <w:uiPriority w:val="0"/>
    <w:rPr>
      <w:rFonts w:ascii="Cambria" w:hAnsi="Cambria" w:eastAsia="宋体" w:cs="Times New Roman"/>
      <w:b/>
      <w:bCs/>
      <w:sz w:val="24"/>
      <w:szCs w:val="24"/>
    </w:rPr>
  </w:style>
  <w:style w:type="character" w:customStyle="1" w:styleId="61">
    <w:name w:val="标题 7 Char"/>
    <w:basedOn w:val="46"/>
    <w:link w:val="8"/>
    <w:qFormat/>
    <w:uiPriority w:val="0"/>
    <w:rPr>
      <w:rFonts w:ascii="Times New Roman" w:hAnsi="Times New Roman" w:eastAsia="宋体" w:cs="Times New Roman"/>
      <w:b/>
      <w:bCs/>
      <w:sz w:val="24"/>
      <w:szCs w:val="24"/>
    </w:rPr>
  </w:style>
  <w:style w:type="character" w:customStyle="1" w:styleId="62">
    <w:name w:val="标题 8 Char"/>
    <w:basedOn w:val="46"/>
    <w:link w:val="9"/>
    <w:qFormat/>
    <w:uiPriority w:val="0"/>
    <w:rPr>
      <w:rFonts w:ascii="Arial" w:hAnsi="Arial" w:eastAsia="黑体" w:cs="Times New Roman"/>
      <w:sz w:val="24"/>
      <w:szCs w:val="24"/>
    </w:rPr>
  </w:style>
  <w:style w:type="character" w:customStyle="1" w:styleId="63">
    <w:name w:val="标题 9 Char"/>
    <w:basedOn w:val="46"/>
    <w:link w:val="10"/>
    <w:qFormat/>
    <w:uiPriority w:val="0"/>
    <w:rPr>
      <w:rFonts w:ascii="Arial" w:hAnsi="Arial" w:eastAsia="黑体" w:cs="Times New Roman"/>
      <w:szCs w:val="21"/>
    </w:rPr>
  </w:style>
  <w:style w:type="character" w:customStyle="1" w:styleId="64">
    <w:name w:val="正文文本缩进 Char"/>
    <w:basedOn w:val="46"/>
    <w:link w:val="19"/>
    <w:qFormat/>
    <w:uiPriority w:val="0"/>
    <w:rPr>
      <w:rFonts w:ascii="Times New Roman" w:hAnsi="Times New Roman" w:eastAsia="宋体" w:cs="Times New Roman"/>
      <w:szCs w:val="20"/>
    </w:rPr>
  </w:style>
  <w:style w:type="character" w:customStyle="1" w:styleId="65">
    <w:name w:val="正文首行缩进 2 Char"/>
    <w:basedOn w:val="64"/>
    <w:link w:val="43"/>
    <w:qFormat/>
    <w:uiPriority w:val="0"/>
    <w:rPr>
      <w:rFonts w:ascii="方正书宋简体" w:hAnsi="方正书宋简体" w:eastAsia="方正书宋简体" w:cs="Times New Roman"/>
      <w:sz w:val="24"/>
      <w:szCs w:val="20"/>
    </w:rPr>
  </w:style>
  <w:style w:type="character" w:customStyle="1" w:styleId="66">
    <w:name w:val="正文文本缩进 Char1"/>
    <w:qFormat/>
    <w:uiPriority w:val="0"/>
    <w:rPr>
      <w:rFonts w:hint="eastAsia" w:ascii="方正书宋简体" w:hAnsi="方正书宋简体" w:eastAsia="方正书宋简体" w:cs="方正书宋简体"/>
      <w:kern w:val="2"/>
      <w:sz w:val="24"/>
      <w:lang w:val="en-US" w:eastAsia="zh-CN" w:bidi="ar"/>
    </w:rPr>
  </w:style>
  <w:style w:type="character" w:customStyle="1" w:styleId="67">
    <w:name w:val="正文缩进 Char"/>
    <w:link w:val="12"/>
    <w:qFormat/>
    <w:uiPriority w:val="0"/>
    <w:rPr>
      <w:rFonts w:ascii="Times New Roman" w:hAnsi="Times New Roman" w:eastAsia="宋体" w:cs="Times New Roman"/>
      <w:szCs w:val="24"/>
    </w:rPr>
  </w:style>
  <w:style w:type="character" w:customStyle="1" w:styleId="68">
    <w:name w:val="文档结构图 Char"/>
    <w:basedOn w:val="46"/>
    <w:link w:val="13"/>
    <w:qFormat/>
    <w:uiPriority w:val="0"/>
    <w:rPr>
      <w:rFonts w:ascii="Times New Roman" w:hAnsi="Times New Roman" w:eastAsia="宋体" w:cs="Times New Roman"/>
      <w:szCs w:val="20"/>
      <w:shd w:val="clear" w:color="auto" w:fill="000080"/>
    </w:rPr>
  </w:style>
  <w:style w:type="character" w:customStyle="1" w:styleId="69">
    <w:name w:val="批注文字 Char"/>
    <w:basedOn w:val="46"/>
    <w:link w:val="14"/>
    <w:qFormat/>
    <w:uiPriority w:val="0"/>
    <w:rPr>
      <w:rFonts w:ascii="Times New Roman" w:hAnsi="Times New Roman" w:eastAsia="宋体" w:cs="Times New Roman"/>
      <w:szCs w:val="20"/>
    </w:rPr>
  </w:style>
  <w:style w:type="character" w:customStyle="1" w:styleId="70">
    <w:name w:val="正文文本 3 Char"/>
    <w:basedOn w:val="46"/>
    <w:link w:val="15"/>
    <w:qFormat/>
    <w:uiPriority w:val="0"/>
    <w:rPr>
      <w:rFonts w:ascii="Times New Roman" w:hAnsi="Times New Roman" w:eastAsia="宋体" w:cs="Times New Roman"/>
      <w:kern w:val="0"/>
      <w:sz w:val="16"/>
      <w:szCs w:val="16"/>
    </w:rPr>
  </w:style>
  <w:style w:type="character" w:customStyle="1" w:styleId="71">
    <w:name w:val="正文文本 Char"/>
    <w:basedOn w:val="46"/>
    <w:link w:val="16"/>
    <w:qFormat/>
    <w:uiPriority w:val="0"/>
    <w:rPr>
      <w:rFonts w:ascii="Times New Roman" w:hAnsi="Times New Roman" w:eastAsia="宋体" w:cs="Times New Roman"/>
      <w:i/>
      <w:sz w:val="18"/>
      <w:szCs w:val="20"/>
    </w:rPr>
  </w:style>
  <w:style w:type="character" w:customStyle="1" w:styleId="72">
    <w:name w:val="正文首行缩进 Char"/>
    <w:basedOn w:val="71"/>
    <w:link w:val="17"/>
    <w:qFormat/>
    <w:uiPriority w:val="0"/>
    <w:rPr>
      <w:rFonts w:ascii="Times New Roman" w:hAnsi="Times New Roman" w:eastAsia="宋体" w:cs="Times New Roman"/>
      <w:sz w:val="18"/>
      <w:szCs w:val="24"/>
    </w:rPr>
  </w:style>
  <w:style w:type="character" w:customStyle="1" w:styleId="73">
    <w:name w:val="纯文本 Char"/>
    <w:basedOn w:val="46"/>
    <w:link w:val="23"/>
    <w:qFormat/>
    <w:uiPriority w:val="0"/>
    <w:rPr>
      <w:rFonts w:ascii="宋体" w:hAnsi="宋体" w:eastAsia="宋体" w:cs="宋体"/>
      <w:color w:val="000000"/>
      <w:kern w:val="0"/>
      <w:sz w:val="24"/>
      <w:szCs w:val="24"/>
    </w:rPr>
  </w:style>
  <w:style w:type="character" w:customStyle="1" w:styleId="74">
    <w:name w:val="日期 Char"/>
    <w:basedOn w:val="46"/>
    <w:link w:val="25"/>
    <w:qFormat/>
    <w:uiPriority w:val="0"/>
    <w:rPr>
      <w:rFonts w:ascii="宋体" w:hAnsi="Times New Roman" w:eastAsia="宋体" w:cs="Times New Roman"/>
      <w:kern w:val="0"/>
      <w:sz w:val="24"/>
      <w:szCs w:val="20"/>
    </w:rPr>
  </w:style>
  <w:style w:type="character" w:customStyle="1" w:styleId="75">
    <w:name w:val="正文文本缩进 2 Char"/>
    <w:basedOn w:val="46"/>
    <w:link w:val="26"/>
    <w:qFormat/>
    <w:uiPriority w:val="0"/>
    <w:rPr>
      <w:rFonts w:ascii="宋体" w:hAnsi="Times New Roman" w:eastAsia="宋体" w:cs="Times New Roman"/>
      <w:sz w:val="24"/>
      <w:szCs w:val="20"/>
    </w:rPr>
  </w:style>
  <w:style w:type="character" w:customStyle="1" w:styleId="76">
    <w:name w:val="批注框文本 Char"/>
    <w:basedOn w:val="46"/>
    <w:link w:val="27"/>
    <w:qFormat/>
    <w:uiPriority w:val="0"/>
    <w:rPr>
      <w:rFonts w:ascii="Times New Roman" w:hAnsi="Times New Roman" w:eastAsia="宋体" w:cs="Times New Roman"/>
      <w:sz w:val="18"/>
      <w:szCs w:val="18"/>
    </w:rPr>
  </w:style>
  <w:style w:type="character" w:customStyle="1" w:styleId="77">
    <w:name w:val="页脚 Char2"/>
    <w:qFormat/>
    <w:uiPriority w:val="0"/>
    <w:rPr>
      <w:rFonts w:hint="eastAsia" w:ascii="宋体" w:hAnsi="宋体" w:eastAsia="宋体" w:cs="宋体"/>
      <w:kern w:val="2"/>
      <w:sz w:val="18"/>
      <w:lang w:val="en-US" w:eastAsia="zh-CN" w:bidi="ar"/>
    </w:rPr>
  </w:style>
  <w:style w:type="character" w:customStyle="1" w:styleId="78">
    <w:name w:val="页眉 Char1"/>
    <w:qFormat/>
    <w:uiPriority w:val="0"/>
    <w:rPr>
      <w:rFonts w:hint="eastAsia" w:ascii="宋体" w:hAnsi="宋体" w:eastAsia="宋体" w:cs="宋体"/>
      <w:kern w:val="2"/>
      <w:sz w:val="18"/>
      <w:lang w:val="en-US" w:eastAsia="zh-CN" w:bidi="ar"/>
    </w:rPr>
  </w:style>
  <w:style w:type="character" w:customStyle="1" w:styleId="79">
    <w:name w:val="正文文本缩进 3 Char"/>
    <w:basedOn w:val="46"/>
    <w:link w:val="33"/>
    <w:qFormat/>
    <w:uiPriority w:val="0"/>
    <w:rPr>
      <w:rFonts w:ascii="宋体" w:hAnsi="Times New Roman" w:eastAsia="宋体" w:cs="Times New Roman"/>
      <w:sz w:val="24"/>
      <w:szCs w:val="20"/>
    </w:rPr>
  </w:style>
  <w:style w:type="character" w:customStyle="1" w:styleId="80">
    <w:name w:val="正文文本 2 Char"/>
    <w:basedOn w:val="46"/>
    <w:link w:val="37"/>
    <w:qFormat/>
    <w:uiPriority w:val="0"/>
    <w:rPr>
      <w:rFonts w:ascii="Times New Roman" w:hAnsi="Times New Roman" w:eastAsia="宋体" w:cs="Times New Roman"/>
      <w:kern w:val="0"/>
      <w:sz w:val="24"/>
      <w:szCs w:val="24"/>
    </w:rPr>
  </w:style>
  <w:style w:type="character" w:customStyle="1" w:styleId="81">
    <w:name w:val="HTML 预设格式 Char"/>
    <w:basedOn w:val="46"/>
    <w:link w:val="38"/>
    <w:qFormat/>
    <w:uiPriority w:val="0"/>
    <w:rPr>
      <w:rFonts w:ascii="Courier New" w:hAnsi="Courier New" w:eastAsia="宋体" w:cs="Courier New"/>
      <w:sz w:val="20"/>
      <w:szCs w:val="20"/>
    </w:rPr>
  </w:style>
  <w:style w:type="character" w:customStyle="1" w:styleId="82">
    <w:name w:val="标题 Char"/>
    <w:basedOn w:val="46"/>
    <w:link w:val="41"/>
    <w:qFormat/>
    <w:uiPriority w:val="0"/>
    <w:rPr>
      <w:rFonts w:ascii="Cambria" w:hAnsi="Cambria" w:eastAsia="宋体" w:cs="Times New Roman"/>
      <w:b/>
      <w:bCs/>
      <w:sz w:val="32"/>
      <w:szCs w:val="32"/>
    </w:rPr>
  </w:style>
  <w:style w:type="character" w:customStyle="1" w:styleId="83">
    <w:name w:val="批注主题 Char"/>
    <w:basedOn w:val="69"/>
    <w:link w:val="42"/>
    <w:qFormat/>
    <w:uiPriority w:val="0"/>
    <w:rPr>
      <w:rFonts w:ascii="Times New Roman" w:hAnsi="Times New Roman" w:eastAsia="宋体" w:cs="Times New Roman"/>
      <w:b/>
      <w:bCs/>
      <w:szCs w:val="20"/>
    </w:rPr>
  </w:style>
  <w:style w:type="paragraph" w:customStyle="1" w:styleId="84">
    <w:name w:val="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85">
    <w:name w:val="样式2 Char Char"/>
    <w:link w:val="86"/>
    <w:qFormat/>
    <w:uiPriority w:val="0"/>
    <w:rPr>
      <w:rFonts w:ascii="黑体" w:hAnsi="黑体" w:eastAsia="黑体"/>
      <w:bCs/>
      <w:color w:val="FF0000"/>
      <w:sz w:val="28"/>
      <w:szCs w:val="32"/>
    </w:rPr>
  </w:style>
  <w:style w:type="paragraph" w:customStyle="1" w:styleId="86">
    <w:name w:val="样式2"/>
    <w:basedOn w:val="2"/>
    <w:link w:val="85"/>
    <w:qFormat/>
    <w:uiPriority w:val="0"/>
    <w:pPr>
      <w:adjustRightInd w:val="0"/>
      <w:spacing w:before="0" w:beforeLines="0" w:after="0" w:afterLines="0"/>
      <w:ind w:left="0" w:firstLine="0"/>
      <w:textAlignment w:val="baseline"/>
    </w:pPr>
    <w:rPr>
      <w:rFonts w:ascii="黑体" w:hAnsi="黑体" w:cstheme="minorBidi"/>
      <w:b w:val="0"/>
      <w:color w:val="FF0000"/>
      <w:sz w:val="28"/>
    </w:rPr>
  </w:style>
  <w:style w:type="character" w:customStyle="1" w:styleId="87">
    <w:name w:val="哈哈正文 Char Char"/>
    <w:link w:val="88"/>
    <w:qFormat/>
    <w:uiPriority w:val="0"/>
    <w:rPr>
      <w:rFonts w:ascii="宋体" w:hAnsi="宋体" w:eastAsia="宋体" w:cs="宋体"/>
      <w:sz w:val="24"/>
    </w:rPr>
  </w:style>
  <w:style w:type="paragraph" w:customStyle="1" w:styleId="88">
    <w:name w:val="哈哈正文"/>
    <w:basedOn w:val="1"/>
    <w:link w:val="87"/>
    <w:qFormat/>
    <w:uiPriority w:val="0"/>
    <w:pPr>
      <w:spacing w:line="360" w:lineRule="auto"/>
      <w:ind w:firstLine="200" w:firstLineChars="200"/>
    </w:pPr>
    <w:rPr>
      <w:rFonts w:ascii="宋体" w:hAnsi="宋体" w:cs="宋体"/>
      <w:sz w:val="24"/>
      <w:szCs w:val="22"/>
    </w:rPr>
  </w:style>
  <w:style w:type="character" w:customStyle="1" w:styleId="89">
    <w:name w:val="Char Char3"/>
    <w:qFormat/>
    <w:uiPriority w:val="0"/>
    <w:rPr>
      <w:kern w:val="2"/>
      <w:sz w:val="21"/>
      <w:szCs w:val="22"/>
      <w:lang w:eastAsia="en-US"/>
    </w:rPr>
  </w:style>
  <w:style w:type="character" w:customStyle="1" w:styleId="90">
    <w:name w:val="样式4 Char Char"/>
    <w:link w:val="91"/>
    <w:qFormat/>
    <w:uiPriority w:val="0"/>
    <w:rPr>
      <w:rFonts w:ascii="黑体" w:hAnsi="黑体" w:eastAsia="黑体"/>
      <w:bCs/>
      <w:kern w:val="44"/>
      <w:sz w:val="44"/>
      <w:szCs w:val="44"/>
    </w:rPr>
  </w:style>
  <w:style w:type="paragraph" w:customStyle="1" w:styleId="91">
    <w:name w:val="样式4"/>
    <w:basedOn w:val="3"/>
    <w:link w:val="90"/>
    <w:qFormat/>
    <w:uiPriority w:val="0"/>
    <w:pPr>
      <w:keepLines/>
      <w:spacing w:line="360" w:lineRule="auto"/>
    </w:pPr>
    <w:rPr>
      <w:rFonts w:ascii="黑体" w:hAnsi="黑体" w:eastAsia="黑体" w:cstheme="minorBidi"/>
      <w:b w:val="0"/>
    </w:rPr>
  </w:style>
  <w:style w:type="character" w:customStyle="1" w:styleId="92">
    <w:name w:val="方案－正文 Char Char"/>
    <w:link w:val="93"/>
    <w:qFormat/>
    <w:uiPriority w:val="0"/>
    <w:rPr>
      <w:rFonts w:ascii="仿宋_GB2312" w:hAnsi="宋体"/>
      <w:sz w:val="24"/>
    </w:rPr>
  </w:style>
  <w:style w:type="paragraph" w:customStyle="1" w:styleId="93">
    <w:name w:val="方案－正文"/>
    <w:basedOn w:val="1"/>
    <w:link w:val="92"/>
    <w:qFormat/>
    <w:uiPriority w:val="0"/>
    <w:pPr>
      <w:spacing w:line="360" w:lineRule="auto"/>
      <w:ind w:firstLine="480" w:firstLineChars="200"/>
    </w:pPr>
    <w:rPr>
      <w:rFonts w:ascii="仿宋_GB2312" w:hAnsi="宋体" w:eastAsiaTheme="minorEastAsia" w:cstheme="minorBidi"/>
      <w:sz w:val="24"/>
      <w:szCs w:val="22"/>
    </w:rPr>
  </w:style>
  <w:style w:type="character" w:customStyle="1" w:styleId="94">
    <w:name w:val="Char Char14"/>
    <w:qFormat/>
    <w:uiPriority w:val="0"/>
    <w:rPr>
      <w:b/>
      <w:bCs/>
      <w:kern w:val="44"/>
      <w:sz w:val="44"/>
      <w:szCs w:val="44"/>
      <w:lang w:eastAsia="en-US"/>
    </w:rPr>
  </w:style>
  <w:style w:type="character" w:customStyle="1" w:styleId="95">
    <w:name w:val="Char Char11"/>
    <w:qFormat/>
    <w:uiPriority w:val="0"/>
    <w:rPr>
      <w:rFonts w:ascii="Arial" w:hAnsi="Arial" w:eastAsia="黑体"/>
      <w:b/>
      <w:bCs/>
      <w:kern w:val="2"/>
      <w:sz w:val="28"/>
      <w:szCs w:val="28"/>
      <w:lang w:eastAsia="en-US"/>
    </w:rPr>
  </w:style>
  <w:style w:type="character" w:customStyle="1" w:styleId="96">
    <w:name w:val="Char Char12"/>
    <w:qFormat/>
    <w:uiPriority w:val="0"/>
    <w:rPr>
      <w:b/>
      <w:bCs/>
      <w:kern w:val="2"/>
      <w:sz w:val="32"/>
      <w:szCs w:val="32"/>
      <w:lang w:eastAsia="en-US"/>
    </w:rPr>
  </w:style>
  <w:style w:type="character" w:customStyle="1" w:styleId="97">
    <w:name w:val="页脚 Char1"/>
    <w:qFormat/>
    <w:uiPriority w:val="0"/>
    <w:rPr>
      <w:rFonts w:eastAsia="宋体"/>
      <w:kern w:val="2"/>
      <w:sz w:val="18"/>
      <w:lang w:val="en-US" w:eastAsia="zh-CN" w:bidi="ar-SA"/>
    </w:rPr>
  </w:style>
  <w:style w:type="character" w:customStyle="1" w:styleId="98">
    <w:name w:val="apple-style-span"/>
    <w:qFormat/>
    <w:uiPriority w:val="0"/>
    <w:rPr>
      <w:lang w:eastAsia="en-US"/>
    </w:rPr>
  </w:style>
  <w:style w:type="character" w:customStyle="1" w:styleId="99">
    <w:name w:val="h6 Char"/>
    <w:qFormat/>
    <w:uiPriority w:val="0"/>
    <w:rPr>
      <w:rFonts w:ascii="Arial" w:hAnsi="Arial" w:eastAsia="宋体"/>
      <w:b/>
      <w:bCs/>
      <w:kern w:val="2"/>
      <w:sz w:val="24"/>
      <w:szCs w:val="24"/>
      <w:lang w:val="en-US" w:eastAsia="zh-CN" w:bidi="ar-SA"/>
    </w:rPr>
  </w:style>
  <w:style w:type="character" w:customStyle="1" w:styleId="100">
    <w:name w:val="Char Char8"/>
    <w:qFormat/>
    <w:uiPriority w:val="0"/>
    <w:rPr>
      <w:b/>
      <w:bCs/>
      <w:kern w:val="2"/>
      <w:sz w:val="24"/>
      <w:szCs w:val="24"/>
      <w:lang w:eastAsia="en-US"/>
    </w:rPr>
  </w:style>
  <w:style w:type="character" w:customStyle="1" w:styleId="101">
    <w:name w:val="Char Char10"/>
    <w:qFormat/>
    <w:uiPriority w:val="0"/>
    <w:rPr>
      <w:b/>
      <w:bCs/>
      <w:kern w:val="2"/>
      <w:sz w:val="28"/>
      <w:szCs w:val="28"/>
      <w:lang w:val="zh-CN" w:eastAsia="en-US"/>
    </w:rPr>
  </w:style>
  <w:style w:type="character" w:customStyle="1" w:styleId="102">
    <w:name w:val="Char Char7"/>
    <w:qFormat/>
    <w:uiPriority w:val="0"/>
    <w:rPr>
      <w:rFonts w:ascii="Cambria" w:hAnsi="Cambria"/>
      <w:kern w:val="2"/>
      <w:sz w:val="24"/>
      <w:szCs w:val="24"/>
      <w:lang w:eastAsia="en-US"/>
    </w:rPr>
  </w:style>
  <w:style w:type="character" w:customStyle="1" w:styleId="103">
    <w:name w:val="Char Char4"/>
    <w:qFormat/>
    <w:uiPriority w:val="0"/>
    <w:rPr>
      <w:kern w:val="2"/>
      <w:sz w:val="18"/>
      <w:szCs w:val="18"/>
      <w:lang w:eastAsia="en-US"/>
    </w:rPr>
  </w:style>
  <w:style w:type="character" w:customStyle="1" w:styleId="104">
    <w:name w:val="Char Char9"/>
    <w:qFormat/>
    <w:uiPriority w:val="0"/>
    <w:rPr>
      <w:rFonts w:ascii="Arial" w:hAnsi="Arial" w:eastAsia="黑体"/>
      <w:b/>
      <w:bCs/>
      <w:kern w:val="2"/>
      <w:sz w:val="24"/>
      <w:szCs w:val="24"/>
      <w:lang w:eastAsia="en-US"/>
    </w:rPr>
  </w:style>
  <w:style w:type="character" w:customStyle="1" w:styleId="105">
    <w:name w:val="样式5 Char Char"/>
    <w:link w:val="106"/>
    <w:qFormat/>
    <w:uiPriority w:val="0"/>
    <w:rPr>
      <w:rFonts w:eastAsia="宋体"/>
      <w:b/>
      <w:bCs/>
      <w:sz w:val="28"/>
      <w:szCs w:val="28"/>
    </w:rPr>
  </w:style>
  <w:style w:type="paragraph" w:customStyle="1" w:styleId="106">
    <w:name w:val="样式5"/>
    <w:basedOn w:val="1"/>
    <w:link w:val="105"/>
    <w:qFormat/>
    <w:uiPriority w:val="0"/>
    <w:pPr>
      <w:keepNext/>
      <w:keepLines/>
      <w:spacing w:before="280" w:after="290" w:line="376" w:lineRule="auto"/>
      <w:ind w:left="210" w:leftChars="100" w:right="210" w:rightChars="100"/>
      <w:outlineLvl w:val="4"/>
    </w:pPr>
    <w:rPr>
      <w:rFonts w:asciiTheme="minorHAnsi" w:hAnsiTheme="minorHAnsi" w:cstheme="minorBidi"/>
      <w:b/>
      <w:bCs/>
      <w:sz w:val="28"/>
      <w:szCs w:val="28"/>
    </w:rPr>
  </w:style>
  <w:style w:type="character" w:customStyle="1" w:styleId="107">
    <w:name w:val="标题2正文 Char Char Char"/>
    <w:link w:val="108"/>
    <w:qFormat/>
    <w:uiPriority w:val="0"/>
    <w:rPr>
      <w:rFonts w:eastAsia="宋体"/>
      <w:sz w:val="24"/>
      <w:szCs w:val="24"/>
    </w:rPr>
  </w:style>
  <w:style w:type="paragraph" w:customStyle="1" w:styleId="108">
    <w:name w:val="标题2正文 Char"/>
    <w:basedOn w:val="1"/>
    <w:link w:val="107"/>
    <w:qFormat/>
    <w:uiPriority w:val="0"/>
    <w:pPr>
      <w:spacing w:before="156" w:beforeLines="50" w:after="156" w:afterLines="50"/>
      <w:ind w:right="38" w:rightChars="18" w:firstLine="420"/>
    </w:pPr>
    <w:rPr>
      <w:rFonts w:asciiTheme="minorHAnsi" w:hAnsiTheme="minorHAnsi" w:cstheme="minorBidi"/>
      <w:sz w:val="24"/>
      <w:szCs w:val="24"/>
    </w:rPr>
  </w:style>
  <w:style w:type="character" w:customStyle="1" w:styleId="109">
    <w:name w:val="Char Char21"/>
    <w:qFormat/>
    <w:uiPriority w:val="0"/>
    <w:rPr>
      <w:rFonts w:ascii="宋体" w:eastAsia="宋体"/>
      <w:b/>
      <w:bCs/>
      <w:kern w:val="2"/>
      <w:sz w:val="28"/>
      <w:lang w:val="en-US" w:eastAsia="zh-CN" w:bidi="ar-SA"/>
    </w:rPr>
  </w:style>
  <w:style w:type="character" w:customStyle="1" w:styleId="110">
    <w:name w:val="标题 Char1"/>
    <w:qFormat/>
    <w:uiPriority w:val="0"/>
    <w:rPr>
      <w:rFonts w:ascii="Cambria" w:hAnsi="Cambria" w:cs="Times New Roman"/>
      <w:b/>
      <w:bCs/>
      <w:kern w:val="2"/>
      <w:sz w:val="32"/>
      <w:szCs w:val="32"/>
      <w:lang w:eastAsia="en-US"/>
    </w:rPr>
  </w:style>
  <w:style w:type="character" w:customStyle="1" w:styleId="111">
    <w:name w:val="Char Char24"/>
    <w:qFormat/>
    <w:uiPriority w:val="0"/>
    <w:rPr>
      <w:rFonts w:eastAsia="宋体"/>
      <w:b/>
      <w:bCs/>
      <w:kern w:val="44"/>
      <w:sz w:val="44"/>
      <w:szCs w:val="44"/>
      <w:lang w:val="en-US" w:eastAsia="zh-CN" w:bidi="ar-SA"/>
    </w:rPr>
  </w:style>
  <w:style w:type="character" w:customStyle="1" w:styleId="112">
    <w:name w:val="NormalCharacter"/>
    <w:semiHidden/>
    <w:qFormat/>
    <w:uiPriority w:val="0"/>
  </w:style>
  <w:style w:type="character" w:customStyle="1" w:styleId="113">
    <w:name w:val="标题 2 Char1"/>
    <w:qFormat/>
    <w:uiPriority w:val="0"/>
    <w:rPr>
      <w:rFonts w:ascii="Arial" w:hAnsi="Arial" w:eastAsia="黑体"/>
      <w:b/>
      <w:bCs/>
      <w:kern w:val="2"/>
      <w:sz w:val="32"/>
      <w:szCs w:val="32"/>
      <w:lang w:val="en-US" w:eastAsia="zh-CN" w:bidi="ar-SA"/>
    </w:rPr>
  </w:style>
  <w:style w:type="character" w:customStyle="1" w:styleId="114">
    <w:name w:val="Char Char13"/>
    <w:qFormat/>
    <w:uiPriority w:val="0"/>
    <w:rPr>
      <w:rFonts w:ascii="Arial" w:hAnsi="Arial" w:eastAsia="黑体"/>
      <w:b/>
      <w:bCs/>
      <w:kern w:val="2"/>
      <w:sz w:val="32"/>
      <w:szCs w:val="32"/>
      <w:lang w:eastAsia="en-US"/>
    </w:rPr>
  </w:style>
  <w:style w:type="character" w:customStyle="1" w:styleId="115">
    <w:name w:val="纯文本 Char2"/>
    <w:qFormat/>
    <w:uiPriority w:val="0"/>
    <w:rPr>
      <w:rFonts w:hint="eastAsia" w:ascii="宋体" w:hAnsi="Courier New" w:eastAsia="宋体" w:cs="Courier New"/>
      <w:kern w:val="2"/>
      <w:sz w:val="21"/>
      <w:szCs w:val="21"/>
      <w:lang w:eastAsia="en-US"/>
    </w:rPr>
  </w:style>
  <w:style w:type="character" w:customStyle="1" w:styleId="116">
    <w:name w:val="标题 1 Char Char"/>
    <w:qFormat/>
    <w:uiPriority w:val="0"/>
    <w:rPr>
      <w:rFonts w:eastAsia="宋体"/>
      <w:b/>
      <w:spacing w:val="-2"/>
      <w:sz w:val="24"/>
      <w:lang w:val="en-US" w:eastAsia="zh-CN" w:bidi="ar-SA"/>
    </w:rPr>
  </w:style>
  <w:style w:type="character" w:customStyle="1" w:styleId="117">
    <w:name w:val="Char Char6"/>
    <w:qFormat/>
    <w:uiPriority w:val="0"/>
    <w:rPr>
      <w:rFonts w:eastAsia="方正书宋简体"/>
      <w:kern w:val="2"/>
      <w:sz w:val="24"/>
      <w:lang w:val="en-US" w:eastAsia="zh-CN" w:bidi="ar-SA"/>
    </w:rPr>
  </w:style>
  <w:style w:type="character" w:customStyle="1" w:styleId="118">
    <w:name w:val="Char Char5"/>
    <w:qFormat/>
    <w:uiPriority w:val="0"/>
    <w:rPr>
      <w:kern w:val="2"/>
      <w:sz w:val="18"/>
      <w:szCs w:val="18"/>
      <w:lang w:eastAsia="en-US"/>
    </w:rPr>
  </w:style>
  <w:style w:type="character" w:customStyle="1" w:styleId="119">
    <w:name w:val="ca-8"/>
    <w:qFormat/>
    <w:uiPriority w:val="0"/>
    <w:rPr>
      <w:lang w:eastAsia="en-US"/>
    </w:rPr>
  </w:style>
  <w:style w:type="character" w:customStyle="1" w:styleId="120">
    <w:name w:val="hui3"/>
    <w:qFormat/>
    <w:uiPriority w:val="0"/>
    <w:rPr>
      <w:color w:val="333333"/>
    </w:rPr>
  </w:style>
  <w:style w:type="character" w:customStyle="1" w:styleId="121">
    <w:name w:val="样式1 Char Char"/>
    <w:link w:val="122"/>
    <w:qFormat/>
    <w:uiPriority w:val="0"/>
    <w:rPr>
      <w:rFonts w:ascii="黑体" w:hAnsi="黑体" w:eastAsia="黑体"/>
      <w:b/>
      <w:bCs/>
      <w:sz w:val="32"/>
      <w:szCs w:val="32"/>
    </w:rPr>
  </w:style>
  <w:style w:type="paragraph" w:customStyle="1" w:styleId="122">
    <w:name w:val="样式1"/>
    <w:basedOn w:val="4"/>
    <w:link w:val="121"/>
    <w:qFormat/>
    <w:uiPriority w:val="0"/>
    <w:pPr>
      <w:tabs>
        <w:tab w:val="clear" w:pos="578"/>
      </w:tabs>
      <w:spacing w:before="0" w:beforeLines="0" w:after="0" w:afterLines="0"/>
      <w:ind w:left="0" w:firstLine="0"/>
    </w:pPr>
    <w:rPr>
      <w:rFonts w:ascii="黑体" w:hAnsi="黑体" w:cstheme="minorBidi"/>
    </w:rPr>
  </w:style>
  <w:style w:type="character" w:customStyle="1" w:styleId="123">
    <w:name w:val="Char Char1"/>
    <w:qFormat/>
    <w:uiPriority w:val="0"/>
    <w:rPr>
      <w:rFonts w:ascii="Arial" w:hAnsi="Arial" w:cs="Arial"/>
      <w:b/>
      <w:bCs/>
      <w:kern w:val="2"/>
      <w:sz w:val="32"/>
      <w:szCs w:val="32"/>
    </w:rPr>
  </w:style>
  <w:style w:type="paragraph" w:customStyle="1" w:styleId="12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25">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26">
    <w:name w:val="正文1"/>
    <w:qFormat/>
    <w:uiPriority w:val="0"/>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27">
    <w:name w:val="Char"/>
    <w:basedOn w:val="1"/>
    <w:qFormat/>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28">
    <w:name w:val="默认段落字体 Para Char Char Char Char Char Char Char Char Char1 Char Char Char Char"/>
    <w:basedOn w:val="1"/>
    <w:qFormat/>
    <w:uiPriority w:val="0"/>
    <w:rPr>
      <w:rFonts w:ascii="Tahoma" w:hAnsi="Tahoma"/>
      <w:sz w:val="24"/>
    </w:rPr>
  </w:style>
  <w:style w:type="paragraph" w:customStyle="1" w:styleId="129">
    <w:name w:val="p0"/>
    <w:basedOn w:val="1"/>
    <w:qFormat/>
    <w:uiPriority w:val="0"/>
    <w:pPr>
      <w:widowControl/>
    </w:pPr>
    <w:rPr>
      <w:kern w:val="0"/>
      <w:szCs w:val="21"/>
    </w:rPr>
  </w:style>
  <w:style w:type="paragraph" w:customStyle="1" w:styleId="130">
    <w:name w:val="Char11"/>
    <w:basedOn w:val="1"/>
    <w:qFormat/>
    <w:uiPriority w:val="0"/>
    <w:pPr>
      <w:numPr>
        <w:ilvl w:val="0"/>
        <w:numId w:val="3"/>
      </w:numPr>
    </w:pPr>
    <w:rPr>
      <w:sz w:val="24"/>
      <w:szCs w:val="24"/>
    </w:rPr>
  </w:style>
  <w:style w:type="paragraph" w:customStyle="1" w:styleId="131">
    <w:name w:val="标题1"/>
    <w:basedOn w:val="23"/>
    <w:qFormat/>
    <w:uiPriority w:val="0"/>
    <w:pPr>
      <w:keepLines/>
      <w:numPr>
        <w:ilvl w:val="0"/>
        <w:numId w:val="4"/>
      </w:numPr>
      <w:tabs>
        <w:tab w:val="left" w:pos="397"/>
        <w:tab w:val="clear" w:pos="700"/>
      </w:tabs>
      <w:spacing w:before="120" w:after="120" w:line="300" w:lineRule="auto"/>
      <w:ind w:firstLine="0"/>
    </w:pPr>
    <w:rPr>
      <w:rFonts w:ascii="黑体" w:eastAsia="黑体"/>
      <w:b/>
      <w:bCs/>
      <w:spacing w:val="6"/>
      <w:kern w:val="44"/>
      <w:sz w:val="36"/>
    </w:rPr>
  </w:style>
  <w:style w:type="paragraph" w:customStyle="1" w:styleId="132">
    <w:name w:val="Char1 Char Char Char Char Char Char Char Char Char Char Char Char Char Char Char"/>
    <w:basedOn w:val="1"/>
    <w:qFormat/>
    <w:uiPriority w:val="0"/>
    <w:rPr>
      <w:rFonts w:ascii="Verdana" w:hAnsi="Verdana" w:eastAsia="Times New Roman"/>
      <w:kern w:val="0"/>
      <w:sz w:val="20"/>
      <w:lang w:eastAsia="en-US"/>
    </w:rPr>
  </w:style>
  <w:style w:type="paragraph" w:customStyle="1" w:styleId="133">
    <w:name w:val="标题3"/>
    <w:basedOn w:val="2"/>
    <w:qFormat/>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styleId="134">
    <w:name w:val="List Paragraph"/>
    <w:basedOn w:val="1"/>
    <w:link w:val="135"/>
    <w:qFormat/>
    <w:uiPriority w:val="99"/>
    <w:pPr>
      <w:spacing w:line="360" w:lineRule="auto"/>
      <w:ind w:firstLine="420" w:firstLineChars="200"/>
    </w:pPr>
    <w:rPr>
      <w:sz w:val="24"/>
      <w:szCs w:val="24"/>
    </w:rPr>
  </w:style>
  <w:style w:type="character" w:customStyle="1" w:styleId="135">
    <w:name w:val="列出段落 Char"/>
    <w:link w:val="134"/>
    <w:qFormat/>
    <w:locked/>
    <w:uiPriority w:val="99"/>
    <w:rPr>
      <w:rFonts w:ascii="Times New Roman" w:hAnsi="Times New Roman" w:eastAsia="宋体" w:cs="Times New Roman"/>
      <w:sz w:val="24"/>
      <w:szCs w:val="24"/>
    </w:rPr>
  </w:style>
  <w:style w:type="paragraph" w:customStyle="1" w:styleId="136">
    <w:name w:val="标准小四"/>
    <w:basedOn w:val="1"/>
    <w:qFormat/>
    <w:uiPriority w:val="0"/>
    <w:pPr>
      <w:spacing w:line="360" w:lineRule="auto"/>
      <w:ind w:firstLine="480" w:firstLineChars="200"/>
    </w:pPr>
    <w:rPr>
      <w:rFonts w:ascii="Arial" w:hAnsi="Arial"/>
      <w:sz w:val="24"/>
      <w:szCs w:val="21"/>
    </w:rPr>
  </w:style>
  <w:style w:type="paragraph" w:customStyle="1" w:styleId="137">
    <w:name w:val="Char Char Char"/>
    <w:basedOn w:val="1"/>
    <w:qFormat/>
    <w:uiPriority w:val="0"/>
    <w:pPr>
      <w:spacing w:before="120" w:after="120" w:line="360" w:lineRule="auto"/>
      <w:ind w:firstLine="200" w:firstLineChars="200"/>
    </w:pPr>
    <w:rPr>
      <w:rFonts w:ascii="Tahoma" w:hAnsi="Tahoma"/>
      <w:sz w:val="24"/>
    </w:rPr>
  </w:style>
  <w:style w:type="paragraph" w:customStyle="1" w:styleId="138">
    <w:name w:val="正文 居中"/>
    <w:basedOn w:val="1"/>
    <w:qFormat/>
    <w:uiPriority w:val="0"/>
    <w:pPr>
      <w:spacing w:line="360" w:lineRule="auto"/>
      <w:jc w:val="center"/>
    </w:pPr>
    <w:rPr>
      <w:rFonts w:cs="宋体"/>
      <w:sz w:val="24"/>
    </w:rPr>
  </w:style>
  <w:style w:type="paragraph" w:customStyle="1" w:styleId="139">
    <w:name w:val="1"/>
    <w:basedOn w:val="1"/>
    <w:next w:val="134"/>
    <w:qFormat/>
    <w:uiPriority w:val="0"/>
    <w:pPr>
      <w:ind w:firstLine="420" w:firstLineChars="200"/>
    </w:pPr>
    <w:rPr>
      <w:szCs w:val="24"/>
    </w:rPr>
  </w:style>
  <w:style w:type="paragraph" w:customStyle="1" w:styleId="140">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41">
    <w:name w:val="1 正文"/>
    <w:basedOn w:val="1"/>
    <w:qFormat/>
    <w:uiPriority w:val="0"/>
    <w:pPr>
      <w:adjustRightInd w:val="0"/>
      <w:snapToGrid w:val="0"/>
      <w:spacing w:line="360" w:lineRule="auto"/>
      <w:ind w:firstLine="200" w:firstLineChars="200"/>
      <w:jc w:val="left"/>
    </w:pPr>
    <w:rPr>
      <w:sz w:val="24"/>
    </w:rPr>
  </w:style>
  <w:style w:type="paragraph" w:customStyle="1" w:styleId="142">
    <w:name w:val="WPSOffice手动目录 1"/>
    <w:qFormat/>
    <w:uiPriority w:val="0"/>
    <w:rPr>
      <w:rFonts w:ascii="Times New Roman" w:hAnsi="Times New Roman" w:eastAsia="宋体" w:cs="Times New Roman"/>
      <w:lang w:val="en-US" w:eastAsia="zh-CN" w:bidi="ar-SA"/>
    </w:rPr>
  </w:style>
  <w:style w:type="paragraph" w:customStyle="1" w:styleId="14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44">
    <w:name w:val="xl24"/>
    <w:basedOn w:val="1"/>
    <w:qFormat/>
    <w:uiPriority w:val="0"/>
    <w:pPr>
      <w:widowControl/>
      <w:spacing w:before="100" w:beforeAutospacing="1" w:after="100" w:afterAutospacing="1"/>
      <w:jc w:val="center"/>
    </w:pPr>
    <w:rPr>
      <w:rFonts w:ascii="仿宋_GB2312" w:hAnsi="宋体" w:eastAsia="仿宋_GB2312"/>
      <w:kern w:val="0"/>
      <w:sz w:val="24"/>
      <w:szCs w:val="24"/>
    </w:rPr>
  </w:style>
  <w:style w:type="paragraph" w:customStyle="1" w:styleId="145">
    <w:name w:val="符号 1"/>
    <w:basedOn w:val="19"/>
    <w:qFormat/>
    <w:uiPriority w:val="0"/>
    <w:pPr>
      <w:tabs>
        <w:tab w:val="left" w:pos="900"/>
      </w:tabs>
      <w:spacing w:after="0" w:line="360" w:lineRule="auto"/>
      <w:ind w:left="0" w:leftChars="0" w:hanging="720"/>
    </w:pPr>
    <w:rPr>
      <w:rFonts w:hint="eastAsia" w:ascii="方正书宋简体" w:hAnsi="方正书宋简体"/>
      <w:kern w:val="28"/>
      <w:sz w:val="24"/>
      <w:szCs w:val="24"/>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8">
    <w:name w:val="*正文"/>
    <w:basedOn w:val="12"/>
    <w:qFormat/>
    <w:uiPriority w:val="0"/>
    <w:pPr>
      <w:ind w:firstLine="567" w:firstLineChars="0"/>
    </w:pPr>
    <w:rPr>
      <w:rFonts w:ascii="Calibri" w:hAnsi="Calibri"/>
      <w:kern w:val="0"/>
      <w:szCs w:val="22"/>
    </w:rPr>
  </w:style>
  <w:style w:type="paragraph" w:customStyle="1" w:styleId="149">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5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正文文本缩进1"/>
    <w:qFormat/>
    <w:uiPriority w:val="0"/>
    <w:pPr>
      <w:widowControl w:val="0"/>
      <w:spacing w:line="480" w:lineRule="auto"/>
      <w:ind w:firstLine="60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152">
    <w:name w:val="正文2"/>
    <w:basedOn w:val="1"/>
    <w:qFormat/>
    <w:uiPriority w:val="0"/>
    <w:pPr>
      <w:spacing w:before="156" w:beforeLines="50" w:after="156" w:afterLines="50" w:line="360" w:lineRule="auto"/>
      <w:ind w:firstLine="480" w:firstLineChars="200"/>
    </w:pPr>
    <w:rPr>
      <w:rFonts w:ascii="宋体" w:hAnsi="宋体"/>
      <w:sz w:val="24"/>
      <w:szCs w:val="24"/>
    </w:rPr>
  </w:style>
  <w:style w:type="paragraph" w:customStyle="1" w:styleId="153">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54">
    <w:name w:val="List Paragraph1"/>
    <w:basedOn w:val="1"/>
    <w:qFormat/>
    <w:uiPriority w:val="0"/>
    <w:pPr>
      <w:ind w:firstLine="420" w:firstLineChars="200"/>
    </w:pPr>
    <w:rPr>
      <w:rFonts w:ascii="Calibri" w:hAnsi="Calibri"/>
      <w:kern w:val="0"/>
      <w:sz w:val="20"/>
    </w:rPr>
  </w:style>
  <w:style w:type="paragraph" w:customStyle="1" w:styleId="15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Char Char Char Char Char Char Char"/>
    <w:basedOn w:val="1"/>
    <w:qFormat/>
    <w:uiPriority w:val="0"/>
    <w:pPr>
      <w:tabs>
        <w:tab w:val="left" w:pos="432"/>
      </w:tabs>
      <w:ind w:left="432" w:hanging="432"/>
    </w:pPr>
    <w:rPr>
      <w:rFonts w:ascii="Tahoma" w:hAnsi="Tahoma"/>
      <w:sz w:val="24"/>
    </w:rPr>
  </w:style>
  <w:style w:type="paragraph" w:customStyle="1" w:styleId="157">
    <w:name w:val="表格文字"/>
    <w:basedOn w:val="1"/>
    <w:next w:val="16"/>
    <w:qFormat/>
    <w:uiPriority w:val="0"/>
    <w:pPr>
      <w:spacing w:before="25" w:after="25"/>
    </w:pPr>
    <w:rPr>
      <w:bCs/>
      <w:spacing w:val="10"/>
      <w:sz w:val="24"/>
    </w:rPr>
  </w:style>
  <w:style w:type="paragraph" w:customStyle="1" w:styleId="158">
    <w:name w:val="Char Char Char Char11"/>
    <w:basedOn w:val="1"/>
    <w:qFormat/>
    <w:uiPriority w:val="0"/>
    <w:pPr>
      <w:widowControl/>
      <w:spacing w:line="400" w:lineRule="exact"/>
      <w:jc w:val="center"/>
    </w:pPr>
    <w:rPr>
      <w:rFonts w:ascii="Verdana" w:hAnsi="Verdana"/>
      <w:kern w:val="0"/>
      <w:lang w:eastAsia="en-US"/>
    </w:rPr>
  </w:style>
  <w:style w:type="paragraph" w:customStyle="1" w:styleId="159">
    <w:name w:val="标准正文"/>
    <w:basedOn w:val="1"/>
    <w:qFormat/>
    <w:uiPriority w:val="0"/>
    <w:pPr>
      <w:adjustRightInd w:val="0"/>
      <w:spacing w:line="360" w:lineRule="auto"/>
      <w:ind w:firstLine="480" w:firstLineChars="200"/>
    </w:pPr>
    <w:rPr>
      <w:kern w:val="0"/>
      <w:sz w:val="24"/>
    </w:rPr>
  </w:style>
  <w:style w:type="paragraph" w:customStyle="1" w:styleId="160">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1">
    <w:name w:val="Char Char Char Char1"/>
    <w:basedOn w:val="1"/>
    <w:qFormat/>
    <w:uiPriority w:val="0"/>
    <w:rPr>
      <w:rFonts w:ascii="Tahoma" w:hAnsi="Tahoma"/>
      <w:sz w:val="24"/>
    </w:rPr>
  </w:style>
  <w:style w:type="paragraph" w:customStyle="1" w:styleId="162">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63">
    <w:name w:val="_Style 3"/>
    <w:qFormat/>
    <w:uiPriority w:val="0"/>
    <w:rPr>
      <w:rFonts w:ascii="Calibri" w:hAnsi="Calibri" w:eastAsia="宋体" w:cs="Times New Roman"/>
      <w:sz w:val="22"/>
      <w:szCs w:val="22"/>
      <w:lang w:val="en-US" w:eastAsia="zh-CN" w:bidi="ar-SA"/>
    </w:rPr>
  </w:style>
  <w:style w:type="paragraph" w:customStyle="1" w:styleId="164">
    <w:name w:val="正文文本缩进 + 四号"/>
    <w:basedOn w:val="19"/>
    <w:qFormat/>
    <w:uiPriority w:val="0"/>
    <w:pPr>
      <w:spacing w:after="0" w:line="360" w:lineRule="auto"/>
      <w:ind w:left="0" w:leftChars="0" w:firstLine="560" w:firstLineChars="200"/>
    </w:pPr>
    <w:rPr>
      <w:rFonts w:hint="eastAsia" w:ascii="仿宋_GB2312" w:hAnsi="方正书宋简体" w:eastAsia="仿宋_GB2312"/>
      <w:color w:val="000000"/>
      <w:sz w:val="28"/>
      <w:szCs w:val="28"/>
    </w:rPr>
  </w:style>
  <w:style w:type="paragraph" w:customStyle="1" w:styleId="165">
    <w:name w:val="Char Char Char1 Char"/>
    <w:basedOn w:val="1"/>
    <w:qFormat/>
    <w:uiPriority w:val="0"/>
    <w:pPr>
      <w:spacing w:line="360" w:lineRule="auto"/>
      <w:ind w:firstLine="200" w:firstLineChars="200"/>
    </w:pPr>
  </w:style>
  <w:style w:type="paragraph" w:customStyle="1" w:styleId="166">
    <w:name w:val="符号 2"/>
    <w:basedOn w:val="145"/>
    <w:qFormat/>
    <w:uiPriority w:val="0"/>
    <w:pPr>
      <w:tabs>
        <w:tab w:val="left" w:pos="1320"/>
        <w:tab w:val="clear" w:pos="900"/>
      </w:tabs>
    </w:pPr>
  </w:style>
  <w:style w:type="paragraph" w:customStyle="1" w:styleId="167">
    <w:name w:val="2 标题2"/>
    <w:basedOn w:val="141"/>
    <w:next w:val="141"/>
    <w:qFormat/>
    <w:uiPriority w:val="0"/>
    <w:pPr>
      <w:ind w:firstLine="0" w:firstLineChars="0"/>
      <w:outlineLvl w:val="1"/>
    </w:pPr>
    <w:rPr>
      <w:b/>
      <w:sz w:val="30"/>
    </w:rPr>
  </w:style>
  <w:style w:type="paragraph" w:customStyle="1" w:styleId="168">
    <w:name w:val="纯文本1"/>
    <w:basedOn w:val="1"/>
    <w:qFormat/>
    <w:uiPriority w:val="0"/>
    <w:rPr>
      <w:rFonts w:ascii="宋体" w:hAnsi="Courier New"/>
    </w:rPr>
  </w:style>
  <w:style w:type="paragraph" w:customStyle="1" w:styleId="169">
    <w:name w:val="正文段"/>
    <w:basedOn w:val="1"/>
    <w:qFormat/>
    <w:uiPriority w:val="0"/>
    <w:pPr>
      <w:widowControl/>
      <w:snapToGrid w:val="0"/>
      <w:spacing w:after="156" w:afterLines="50"/>
      <w:ind w:firstLine="200" w:firstLineChars="200"/>
    </w:pPr>
    <w:rPr>
      <w:kern w:val="0"/>
      <w:sz w:val="24"/>
    </w:rPr>
  </w:style>
  <w:style w:type="paragraph" w:styleId="17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默认段落字体 Para Char Char Char Char Char Char Char Char Char Char"/>
    <w:basedOn w:val="1"/>
    <w:qFormat/>
    <w:uiPriority w:val="0"/>
    <w:rPr>
      <w:rFonts w:ascii="Tahoma" w:hAnsi="Tahoma"/>
      <w:sz w:val="24"/>
    </w:rPr>
  </w:style>
  <w:style w:type="paragraph" w:customStyle="1" w:styleId="172">
    <w:name w:val="xl28"/>
    <w:basedOn w:val="1"/>
    <w:qFormat/>
    <w:uiPriority w:val="0"/>
    <w:pPr>
      <w:widowControl/>
      <w:pBdr>
        <w:left w:val="single" w:color="auto" w:sz="8" w:space="0"/>
        <w:bottom w:val="single" w:color="auto" w:sz="4" w:space="0"/>
        <w:right w:val="single" w:color="auto" w:sz="4" w:space="0"/>
      </w:pBdr>
      <w:jc w:val="center"/>
    </w:pPr>
    <w:rPr>
      <w:rFonts w:ascii="Arial Unicode MS" w:hAnsi="Arial Unicode MS" w:eastAsia="Arial Unicode MS"/>
      <w:kern w:val="0"/>
      <w:sz w:val="24"/>
    </w:rPr>
  </w:style>
  <w:style w:type="paragraph" w:customStyle="1" w:styleId="173">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74">
    <w:name w:val="xl33"/>
    <w:basedOn w:val="1"/>
    <w:qFormat/>
    <w:uiPriority w:val="0"/>
    <w:pPr>
      <w:widowControl/>
      <w:spacing w:before="100" w:beforeAutospacing="1" w:after="100" w:afterAutospacing="1"/>
      <w:jc w:val="center"/>
    </w:pPr>
    <w:rPr>
      <w:rFonts w:ascii="华文中宋" w:hAnsi="华文中宋" w:eastAsia="华文中宋"/>
      <w:b/>
      <w:bCs/>
      <w:kern w:val="0"/>
      <w:sz w:val="36"/>
      <w:szCs w:val="36"/>
    </w:rPr>
  </w:style>
  <w:style w:type="paragraph" w:customStyle="1" w:styleId="175">
    <w:name w:val="Char1"/>
    <w:basedOn w:val="1"/>
    <w:qFormat/>
    <w:uiPriority w:val="0"/>
    <w:rPr>
      <w:rFonts w:ascii="仿宋_GB2312" w:eastAsia="仿宋_GB2312"/>
      <w:b/>
      <w:sz w:val="32"/>
      <w:szCs w:val="32"/>
    </w:rPr>
  </w:style>
  <w:style w:type="paragraph" w:customStyle="1" w:styleId="17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7">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78">
    <w:name w:val="Char Char1 Char Char Char Char"/>
    <w:basedOn w:val="1"/>
    <w:qFormat/>
    <w:uiPriority w:val="0"/>
    <w:rPr>
      <w:rFonts w:ascii="Tahoma" w:hAnsi="Tahoma"/>
      <w:sz w:val="24"/>
    </w:rPr>
  </w:style>
  <w:style w:type="paragraph" w:customStyle="1" w:styleId="179">
    <w:name w:val="正文编码"/>
    <w:basedOn w:val="17"/>
    <w:qFormat/>
    <w:uiPriority w:val="0"/>
    <w:pPr>
      <w:tabs>
        <w:tab w:val="center" w:pos="2185"/>
      </w:tabs>
      <w:spacing w:after="0" w:line="360" w:lineRule="auto"/>
      <w:ind w:left="1200" w:firstLine="0" w:firstLineChars="0"/>
    </w:pPr>
    <w:rPr>
      <w:rFonts w:ascii="仿宋_GB2312" w:hAnsi="宋体" w:eastAsia="仿宋_GB2312"/>
      <w:kern w:val="0"/>
      <w:sz w:val="24"/>
      <w:szCs w:val="20"/>
    </w:rPr>
  </w:style>
  <w:style w:type="paragraph" w:customStyle="1" w:styleId="180">
    <w:name w:val="PlainText"/>
    <w:basedOn w:val="1"/>
    <w:qFormat/>
    <w:uiPriority w:val="0"/>
    <w:pPr>
      <w:jc w:val="left"/>
    </w:pPr>
    <w:rPr>
      <w:rFonts w:ascii="宋体" w:hAnsi="Courier New"/>
      <w:kern w:val="0"/>
    </w:rPr>
  </w:style>
  <w:style w:type="paragraph" w:customStyle="1" w:styleId="181">
    <w:name w:val="修订1"/>
    <w:unhideWhenUsed/>
    <w:qFormat/>
    <w:uiPriority w:val="99"/>
    <w:rPr>
      <w:rFonts w:ascii="Times New Roman" w:hAnsi="Times New Roman" w:eastAsia="宋体" w:cs="Times New Roman"/>
      <w:kern w:val="2"/>
      <w:sz w:val="21"/>
      <w:lang w:val="en-US" w:eastAsia="zh-CN" w:bidi="ar-SA"/>
    </w:rPr>
  </w:style>
  <w:style w:type="paragraph" w:customStyle="1" w:styleId="182">
    <w:name w:val="+标题1"/>
    <w:basedOn w:val="3"/>
    <w:link w:val="183"/>
    <w:qFormat/>
    <w:uiPriority w:val="0"/>
    <w:pPr>
      <w:keepNext w:val="0"/>
      <w:adjustRightInd w:val="0"/>
      <w:snapToGrid w:val="0"/>
      <w:spacing w:before="240" w:after="240" w:line="240" w:lineRule="auto"/>
      <w:ind w:left="431" w:hanging="431"/>
      <w:jc w:val="both"/>
      <w:outlineLvl w:val="1"/>
    </w:pPr>
    <w:rPr>
      <w:rFonts w:ascii="宋体" w:hAnsi="宋体"/>
      <w:bCs w:val="0"/>
      <w:kern w:val="0"/>
      <w:sz w:val="18"/>
      <w:szCs w:val="28"/>
    </w:rPr>
  </w:style>
  <w:style w:type="character" w:customStyle="1" w:styleId="183">
    <w:name w:val="+标题1 Char Char"/>
    <w:link w:val="182"/>
    <w:qFormat/>
    <w:uiPriority w:val="0"/>
    <w:rPr>
      <w:rFonts w:ascii="宋体" w:hAnsi="宋体" w:eastAsia="宋体" w:cs="Times New Roman"/>
      <w:b/>
      <w:kern w:val="0"/>
      <w:sz w:val="18"/>
      <w:szCs w:val="28"/>
    </w:rPr>
  </w:style>
  <w:style w:type="paragraph" w:customStyle="1" w:styleId="184">
    <w:name w:val="+标题3"/>
    <w:basedOn w:val="2"/>
    <w:link w:val="185"/>
    <w:qFormat/>
    <w:uiPriority w:val="0"/>
    <w:pPr>
      <w:tabs>
        <w:tab w:val="clear" w:pos="1620"/>
      </w:tabs>
      <w:spacing w:before="120" w:beforeLines="0" w:after="120" w:afterLines="0"/>
      <w:ind w:left="0" w:firstLine="0"/>
    </w:pPr>
    <w:rPr>
      <w:rFonts w:ascii="宋体" w:hAnsi="宋体" w:eastAsia="宋体" w:cs="Times New Roman"/>
      <w:sz w:val="21"/>
      <w:szCs w:val="28"/>
    </w:rPr>
  </w:style>
  <w:style w:type="character" w:customStyle="1" w:styleId="185">
    <w:name w:val="+标题3 Char1"/>
    <w:link w:val="184"/>
    <w:qFormat/>
    <w:uiPriority w:val="0"/>
    <w:rPr>
      <w:rFonts w:ascii="宋体" w:hAnsi="宋体" w:eastAsia="宋体" w:cs="Times New Roman"/>
      <w:b/>
      <w:bCs/>
      <w:szCs w:val="28"/>
    </w:rPr>
  </w:style>
  <w:style w:type="character" w:customStyle="1" w:styleId="186">
    <w:name w:val="纯文本 Char1"/>
    <w:qFormat/>
    <w:locked/>
    <w:uiPriority w:val="99"/>
    <w:rPr>
      <w:rFonts w:ascii="宋体" w:hAnsi="Courier New" w:eastAsia="宋体" w:cs="宋体"/>
      <w:lang w:val="en-US" w:eastAsia="zh-CN"/>
    </w:rPr>
  </w:style>
  <w:style w:type="paragraph" w:customStyle="1" w:styleId="187">
    <w:name w:val="+正文"/>
    <w:basedOn w:val="1"/>
    <w:qFormat/>
    <w:uiPriority w:val="0"/>
    <w:pPr>
      <w:spacing w:line="360" w:lineRule="auto"/>
      <w:ind w:firstLine="200" w:firstLineChars="200"/>
    </w:pPr>
    <w:rPr>
      <w:rFonts w:ascii="Calibri" w:hAnsi="Calibri"/>
      <w:sz w:val="24"/>
      <w:szCs w:val="28"/>
    </w:rPr>
  </w:style>
  <w:style w:type="table" w:customStyle="1" w:styleId="188">
    <w:name w:val="Table Normal"/>
    <w:basedOn w:val="44"/>
    <w:qFormat/>
    <w:uiPriority w:val="0"/>
    <w:rPr>
      <w:rFonts w:eastAsia="Times New Roman"/>
    </w:rPr>
    <w:tblPr>
      <w:tblCellMar>
        <w:top w:w="0" w:type="dxa"/>
        <w:left w:w="0" w:type="dxa"/>
        <w:bottom w:w="0" w:type="dxa"/>
        <w:right w:w="0" w:type="dxa"/>
      </w:tblCellMar>
    </w:tblPr>
  </w:style>
  <w:style w:type="paragraph" w:customStyle="1" w:styleId="189">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19"/>
      <w:szCs w:val="19"/>
    </w:rPr>
  </w:style>
  <w:style w:type="paragraph" w:customStyle="1" w:styleId="190">
    <w:name w:val="正文4"/>
    <w:qFormat/>
    <w:uiPriority w:val="0"/>
    <w:pPr>
      <w:jc w:val="both"/>
    </w:pPr>
    <w:rPr>
      <w:rFonts w:ascii="Arial" w:hAnsi="Arial" w:eastAsia="宋体" w:cs="Arial"/>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17314</Words>
  <Characters>18024</Characters>
  <Lines>169</Lines>
  <Paragraphs>47</Paragraphs>
  <TotalTime>33</TotalTime>
  <ScaleCrop>false</ScaleCrop>
  <LinksUpToDate>false</LinksUpToDate>
  <CharactersWithSpaces>18523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2025-05-29T04:27:00Z</dcterms:created>
  <dc:creator>浙江天成项目管理有限公司</dc:creator>
  <cp:lastModifiedBy>向阳而生-肩膀</cp:lastModifiedBy>
  <cp:lastPrinted>2025-06-05T05:27:00Z</cp:lastPrinted>
  <dcterms:modified xsi:type="dcterms:W3CDTF">2025-07-08T07:53:58Z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0CF55D4BB32C4DBF9149B0EEBA53A45A_13</vt:lpwstr>
  </property>
  <property fmtid="{D5CDD505-2E9C-101B-9397-08002B2CF9AE}" pid="4" name="KSOTemplateDocerSaveRecord">
    <vt:lpwstr>eyJoZGlkIjoiYzM1NGQ1MTMwNzY4MmU1NTVmMjczMDk4Y2JlY2E3MTIiLCJ1c2VySWQiOiIyNTQ4MTUzMjYifQ==</vt:lpwstr>
  </property>
</Properties>
</file>