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r>
        <w:rPr>
          <w:rFonts w:hint="eastAsia" w:ascii="仿宋" w:hAnsi="仿宋" w:eastAsia="仿宋" w:cs="仿宋_GB2312"/>
          <w:b/>
          <w:sz w:val="24"/>
        </w:rPr>
        <w:t xml:space="preserve">                                                     </w:t>
      </w:r>
    </w:p>
    <w:p>
      <w:pPr>
        <w:adjustRightInd/>
        <w:spacing w:line="360" w:lineRule="auto"/>
        <w:rPr>
          <w:rFonts w:ascii="仿宋" w:hAnsi="仿宋" w:eastAsia="仿宋" w:cs="仿宋_GB2312"/>
          <w:b/>
          <w:sz w:val="44"/>
          <w:szCs w:val="44"/>
        </w:rPr>
      </w:pPr>
    </w:p>
    <w:p>
      <w:pPr>
        <w:snapToGrid w:val="0"/>
        <w:spacing w:line="360" w:lineRule="auto"/>
        <w:jc w:val="center"/>
        <w:rPr>
          <w:rFonts w:hint="eastAsia" w:ascii="仿宋" w:hAnsi="仿宋" w:eastAsia="仿宋" w:cs="仿宋_GB2312"/>
          <w:sz w:val="30"/>
          <w:szCs w:val="30"/>
          <w:highlight w:val="none"/>
          <w:lang w:val="en-US" w:eastAsia="zh-CN"/>
        </w:rPr>
      </w:pPr>
      <w:r>
        <w:rPr>
          <w:rFonts w:hint="eastAsia" w:ascii="仿宋" w:hAnsi="仿宋" w:eastAsia="仿宋"/>
          <w:b/>
          <w:bCs/>
          <w:sz w:val="36"/>
          <w:szCs w:val="36"/>
          <w:lang w:eastAsia="zh-CN"/>
        </w:rPr>
        <w:t>中国轻纺城粮油冷链物流中心道路配套工程（一期）等4个项</w:t>
      </w:r>
      <w:r>
        <w:rPr>
          <w:rFonts w:hint="eastAsia" w:ascii="仿宋" w:hAnsi="仿宋" w:eastAsia="仿宋"/>
          <w:b/>
          <w:bCs/>
          <w:sz w:val="36"/>
          <w:szCs w:val="36"/>
          <w:highlight w:val="none"/>
          <w:lang w:eastAsia="zh-CN"/>
        </w:rPr>
        <w:t>目招标代理及造价咨询服务项目</w:t>
      </w:r>
    </w:p>
    <w:p>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项目编号:绍柯企</w:t>
      </w:r>
      <w:r>
        <w:rPr>
          <w:rFonts w:hint="eastAsia" w:ascii="仿宋" w:hAnsi="仿宋" w:eastAsia="仿宋" w:cs="仿宋_GB2312"/>
          <w:sz w:val="30"/>
          <w:szCs w:val="30"/>
          <w:highlight w:val="none"/>
          <w:lang w:val="en-US" w:eastAsia="zh-CN"/>
        </w:rPr>
        <w:t>[2024]121</w:t>
      </w:r>
      <w:r>
        <w:rPr>
          <w:rFonts w:hint="eastAsia" w:ascii="仿宋" w:hAnsi="仿宋" w:eastAsia="仿宋" w:cs="仿宋_GB2312"/>
          <w:sz w:val="30"/>
          <w:szCs w:val="30"/>
          <w:highlight w:val="none"/>
        </w:rPr>
        <w:t>号</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jc w:val="center"/>
        <w:outlineLvl w:val="0"/>
        <w:rPr>
          <w:rFonts w:ascii="仿宋" w:hAnsi="仿宋" w:eastAsia="仿宋" w:cs="Arial"/>
          <w:b/>
          <w:sz w:val="56"/>
          <w:szCs w:val="56"/>
        </w:rPr>
      </w:pPr>
      <w:r>
        <w:rPr>
          <w:rFonts w:hint="eastAsia" w:ascii="仿宋" w:hAnsi="仿宋" w:eastAsia="仿宋" w:cs="Arial"/>
          <w:b/>
          <w:sz w:val="56"/>
          <w:szCs w:val="56"/>
        </w:rPr>
        <w:t>公</w:t>
      </w:r>
    </w:p>
    <w:p>
      <w:pPr>
        <w:jc w:val="center"/>
        <w:outlineLvl w:val="0"/>
        <w:rPr>
          <w:rFonts w:ascii="仿宋" w:hAnsi="仿宋" w:eastAsia="仿宋" w:cs="Arial"/>
          <w:b/>
          <w:sz w:val="56"/>
          <w:szCs w:val="56"/>
        </w:rPr>
      </w:pPr>
      <w:r>
        <w:rPr>
          <w:rFonts w:hint="eastAsia" w:ascii="仿宋" w:hAnsi="仿宋" w:eastAsia="仿宋" w:cs="Arial"/>
          <w:b/>
          <w:sz w:val="56"/>
          <w:szCs w:val="56"/>
        </w:rPr>
        <w:t>开</w:t>
      </w:r>
    </w:p>
    <w:p>
      <w:pPr>
        <w:jc w:val="center"/>
        <w:outlineLvl w:val="0"/>
        <w:rPr>
          <w:rFonts w:ascii="仿宋" w:hAnsi="仿宋" w:eastAsia="仿宋" w:cs="Arial"/>
          <w:b/>
          <w:sz w:val="56"/>
          <w:szCs w:val="56"/>
        </w:rPr>
      </w:pPr>
      <w:r>
        <w:rPr>
          <w:rFonts w:hint="eastAsia" w:ascii="仿宋" w:hAnsi="仿宋" w:eastAsia="仿宋" w:cs="Arial"/>
          <w:b/>
          <w:sz w:val="56"/>
          <w:szCs w:val="56"/>
        </w:rPr>
        <w:t>招</w:t>
      </w:r>
    </w:p>
    <w:p>
      <w:pPr>
        <w:jc w:val="center"/>
        <w:outlineLvl w:val="0"/>
        <w:rPr>
          <w:rFonts w:ascii="仿宋" w:hAnsi="仿宋" w:eastAsia="仿宋" w:cs="Arial"/>
          <w:b/>
          <w:sz w:val="56"/>
          <w:szCs w:val="56"/>
        </w:rPr>
      </w:pPr>
      <w:r>
        <w:rPr>
          <w:rFonts w:hint="eastAsia" w:ascii="仿宋" w:hAnsi="仿宋" w:eastAsia="仿宋" w:cs="Arial"/>
          <w:b/>
          <w:sz w:val="56"/>
          <w:szCs w:val="56"/>
        </w:rPr>
        <w:t>标</w:t>
      </w:r>
    </w:p>
    <w:p>
      <w:pPr>
        <w:jc w:val="center"/>
        <w:outlineLvl w:val="0"/>
        <w:rPr>
          <w:rFonts w:ascii="仿宋" w:hAnsi="仿宋" w:eastAsia="仿宋"/>
          <w:b/>
          <w:sz w:val="56"/>
          <w:szCs w:val="56"/>
        </w:rPr>
      </w:pPr>
      <w:r>
        <w:rPr>
          <w:rFonts w:hint="eastAsia" w:ascii="仿宋" w:hAnsi="仿宋" w:eastAsia="仿宋"/>
          <w:b/>
          <w:sz w:val="56"/>
          <w:szCs w:val="56"/>
        </w:rPr>
        <w:t>文</w:t>
      </w:r>
    </w:p>
    <w:p>
      <w:pPr>
        <w:adjustRightInd/>
        <w:spacing w:line="360" w:lineRule="auto"/>
        <w:jc w:val="center"/>
        <w:rPr>
          <w:rFonts w:ascii="仿宋" w:hAnsi="仿宋" w:eastAsia="仿宋"/>
          <w:b/>
          <w:sz w:val="56"/>
          <w:szCs w:val="56"/>
        </w:rPr>
      </w:pPr>
      <w:r>
        <w:rPr>
          <w:rFonts w:hint="eastAsia" w:ascii="仿宋" w:hAnsi="仿宋" w:eastAsia="仿宋"/>
          <w:b/>
          <w:sz w:val="56"/>
          <w:szCs w:val="56"/>
        </w:rPr>
        <w:t>件</w:t>
      </w:r>
    </w:p>
    <w:p>
      <w:pPr>
        <w:spacing w:line="360" w:lineRule="auto"/>
        <w:jc w:val="center"/>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center"/>
        <w:rPr>
          <w:rFonts w:ascii="仿宋" w:hAnsi="仿宋" w:eastAsia="仿宋" w:cs="仿宋_GB2312"/>
          <w:b/>
          <w:sz w:val="24"/>
        </w:rPr>
      </w:pPr>
    </w:p>
    <w:p>
      <w:pPr>
        <w:snapToGrid w:val="0"/>
        <w:spacing w:line="360" w:lineRule="auto"/>
        <w:jc w:val="center"/>
        <w:rPr>
          <w:rFonts w:hint="eastAsia" w:ascii="仿宋" w:hAnsi="仿宋" w:eastAsia="仿宋" w:cs="仿宋_GB2312"/>
          <w:sz w:val="32"/>
          <w:szCs w:val="32"/>
          <w:highlight w:val="none"/>
          <w:lang w:eastAsia="zh-CN"/>
        </w:rPr>
      </w:pPr>
      <w:r>
        <w:rPr>
          <w:rFonts w:hint="eastAsia" w:ascii="仿宋" w:hAnsi="仿宋" w:eastAsia="仿宋" w:cs="仿宋_GB2312"/>
          <w:sz w:val="32"/>
          <w:szCs w:val="32"/>
        </w:rPr>
        <w:t>采</w:t>
      </w:r>
      <w:r>
        <w:rPr>
          <w:rFonts w:hint="eastAsia" w:ascii="仿宋" w:hAnsi="仿宋" w:eastAsia="仿宋" w:cs="仿宋_GB2312"/>
          <w:sz w:val="32"/>
          <w:szCs w:val="32"/>
          <w:highlight w:val="none"/>
        </w:rPr>
        <w:t>购单位：</w:t>
      </w:r>
      <w:r>
        <w:rPr>
          <w:rFonts w:hint="eastAsia" w:ascii="仿宋" w:hAnsi="仿宋" w:eastAsia="仿宋" w:cs="仿宋_GB2312"/>
          <w:sz w:val="32"/>
          <w:szCs w:val="32"/>
          <w:highlight w:val="none"/>
          <w:lang w:eastAsia="zh-CN"/>
        </w:rPr>
        <w:t>浙江绍兴杭绍临空示范区建设开发有限公司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w:t>
      </w:r>
      <w:r>
        <w:rPr>
          <w:rFonts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20</w:t>
      </w:r>
      <w:r>
        <w:rPr>
          <w:rFonts w:hint="eastAsia" w:ascii="仿宋_GB2312" w:hAnsi="仿宋_GB2312" w:eastAsia="仿宋_GB2312" w:cs="仿宋_GB2312"/>
          <w:bCs/>
          <w:sz w:val="32"/>
          <w:szCs w:val="32"/>
          <w:highlight w:val="none"/>
        </w:rPr>
        <w:t>日</w:t>
      </w:r>
    </w:p>
    <w:p>
      <w:pPr>
        <w:spacing w:line="360" w:lineRule="auto"/>
        <w:jc w:val="center"/>
        <w:rPr>
          <w:rFonts w:ascii="仿宋" w:hAnsi="仿宋" w:eastAsia="仿宋" w:cs="仿宋_GB2312"/>
          <w:b/>
          <w:sz w:val="48"/>
          <w:szCs w:val="48"/>
        </w:rPr>
      </w:pPr>
      <w:r>
        <w:rPr>
          <w:rFonts w:hint="eastAsia" w:ascii="仿宋" w:hAnsi="仿宋" w:eastAsia="仿宋" w:cs="仿宋_GB2312"/>
          <w:sz w:val="24"/>
        </w:rPr>
        <w:br w:type="page"/>
      </w:r>
      <w:bookmarkStart w:id="0" w:name="_Hlt67893495"/>
      <w:bookmarkEnd w:id="0"/>
      <w:r>
        <w:rPr>
          <w:rFonts w:hint="eastAsia" w:ascii="仿宋" w:hAnsi="仿宋" w:eastAsia="仿宋" w:cs="仿宋_GB2312"/>
          <w:b/>
          <w:sz w:val="48"/>
          <w:szCs w:val="48"/>
        </w:rPr>
        <w:t>目  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highlight w:val="none"/>
          <w:u w:val="single"/>
          <w:lang w:eastAsia="zh-CN"/>
        </w:rPr>
        <w:t>中国轻纺城粮油冷链物流中心道路配套工程（一期）等4个项目招标代理及造价咨询服务</w:t>
      </w:r>
      <w:r>
        <w:rPr>
          <w:rFonts w:hint="eastAsia" w:ascii="仿宋" w:hAnsi="仿宋" w:eastAsia="仿宋"/>
          <w:sz w:val="24"/>
          <w:szCs w:val="28"/>
        </w:rPr>
        <w:t>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ascii="仿宋" w:hAnsi="仿宋" w:eastAsia="仿宋"/>
          <w:sz w:val="24"/>
          <w:szCs w:val="28"/>
          <w:highlight w:val="none"/>
          <w:u w:val="single"/>
        </w:rPr>
        <w:t xml:space="preserve"> </w:t>
      </w:r>
      <w:r>
        <w:rPr>
          <w:rFonts w:hint="eastAsia" w:ascii="仿宋" w:hAnsi="仿宋" w:eastAsia="仿宋"/>
          <w:sz w:val="24"/>
          <w:szCs w:val="28"/>
          <w:highlight w:val="none"/>
          <w:u w:val="single"/>
        </w:rPr>
        <w:t>20</w:t>
      </w:r>
      <w:r>
        <w:rPr>
          <w:rFonts w:hint="eastAsia" w:ascii="仿宋" w:hAnsi="仿宋" w:eastAsia="仿宋"/>
          <w:sz w:val="24"/>
          <w:szCs w:val="28"/>
          <w:highlight w:val="none"/>
          <w:u w:val="single"/>
          <w:lang w:val="en-US" w:eastAsia="zh-CN"/>
        </w:rPr>
        <w:t>24</w:t>
      </w:r>
      <w:r>
        <w:rPr>
          <w:rFonts w:hint="eastAsia" w:ascii="仿宋" w:hAnsi="仿宋" w:eastAsia="仿宋"/>
          <w:bCs/>
          <w:sz w:val="24"/>
          <w:szCs w:val="28"/>
          <w:highlight w:val="none"/>
          <w:u w:val="single"/>
        </w:rPr>
        <w:t>年</w:t>
      </w:r>
      <w:r>
        <w:rPr>
          <w:rFonts w:hint="eastAsia" w:ascii="仿宋" w:hAnsi="仿宋" w:eastAsia="仿宋"/>
          <w:bCs/>
          <w:sz w:val="24"/>
          <w:szCs w:val="28"/>
          <w:highlight w:val="none"/>
          <w:u w:val="single"/>
          <w:lang w:val="en-US" w:eastAsia="zh-CN"/>
        </w:rPr>
        <w:t>3</w:t>
      </w:r>
      <w:r>
        <w:rPr>
          <w:rFonts w:hint="eastAsia" w:ascii="仿宋" w:hAnsi="仿宋" w:eastAsia="仿宋"/>
          <w:bCs/>
          <w:sz w:val="24"/>
          <w:szCs w:val="28"/>
          <w:highlight w:val="none"/>
          <w:u w:val="single"/>
        </w:rPr>
        <w:t>月</w:t>
      </w:r>
      <w:r>
        <w:rPr>
          <w:rFonts w:hint="eastAsia" w:ascii="仿宋" w:hAnsi="仿宋" w:eastAsia="仿宋"/>
          <w:bCs/>
          <w:sz w:val="24"/>
          <w:szCs w:val="28"/>
          <w:highlight w:val="none"/>
          <w:u w:val="single"/>
          <w:lang w:val="en-US" w:eastAsia="zh-CN"/>
        </w:rPr>
        <w:t>1</w:t>
      </w:r>
      <w:r>
        <w:rPr>
          <w:rFonts w:hint="eastAsia" w:ascii="仿宋" w:hAnsi="仿宋" w:eastAsia="仿宋"/>
          <w:bCs/>
          <w:sz w:val="24"/>
          <w:szCs w:val="28"/>
          <w:highlight w:val="none"/>
          <w:u w:val="single"/>
        </w:rPr>
        <w:t>日09点00分</w:t>
      </w:r>
      <w:r>
        <w:rPr>
          <w:rFonts w:hint="eastAsia" w:ascii="仿宋" w:hAnsi="仿宋" w:eastAsia="仿宋"/>
          <w:bCs/>
          <w:sz w:val="24"/>
          <w:szCs w:val="28"/>
          <w:u w:val="single"/>
        </w:rPr>
        <w:t>（</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4"/>
        <w:ind w:left="0" w:firstLine="0"/>
        <w:rPr>
          <w:rFonts w:ascii="黑体" w:hAnsi="黑体" w:cs="宋体"/>
          <w:sz w:val="24"/>
          <w:szCs w:val="28"/>
        </w:rPr>
      </w:pPr>
      <w:bookmarkStart w:id="11" w:name="_Toc28359002"/>
      <w:bookmarkStart w:id="12" w:name="_Toc35393790"/>
      <w:bookmarkStart w:id="13" w:name="_Toc28359079"/>
      <w:bookmarkStart w:id="14" w:name="_Toc35393621"/>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rPr>
        <w:t>项目编号：</w:t>
      </w:r>
      <w:r>
        <w:rPr>
          <w:rFonts w:hint="eastAsia" w:ascii="仿宋" w:hAnsi="仿宋" w:eastAsia="仿宋"/>
          <w:sz w:val="24"/>
          <w:szCs w:val="28"/>
          <w:highlight w:val="none"/>
        </w:rPr>
        <w:t>绍柯企[20</w:t>
      </w:r>
      <w:r>
        <w:rPr>
          <w:rFonts w:hint="eastAsia" w:ascii="仿宋" w:hAnsi="仿宋" w:eastAsia="仿宋"/>
          <w:sz w:val="24"/>
          <w:szCs w:val="28"/>
          <w:highlight w:val="none"/>
          <w:lang w:val="en-US" w:eastAsia="zh-CN"/>
        </w:rPr>
        <w:t>24</w:t>
      </w:r>
      <w:r>
        <w:rPr>
          <w:rFonts w:hint="eastAsia" w:ascii="仿宋" w:hAnsi="仿宋" w:eastAsia="仿宋"/>
          <w:sz w:val="24"/>
          <w:szCs w:val="28"/>
          <w:highlight w:val="none"/>
        </w:rPr>
        <w:t>]</w:t>
      </w:r>
      <w:r>
        <w:rPr>
          <w:rFonts w:hint="eastAsia" w:ascii="仿宋" w:hAnsi="仿宋" w:eastAsia="仿宋"/>
          <w:sz w:val="24"/>
          <w:szCs w:val="28"/>
          <w:highlight w:val="none"/>
          <w:lang w:val="en-US" w:eastAsia="zh-CN"/>
        </w:rPr>
        <w:t>121</w:t>
      </w:r>
      <w:r>
        <w:rPr>
          <w:rFonts w:hint="eastAsia" w:ascii="仿宋" w:hAnsi="仿宋" w:eastAsia="仿宋"/>
          <w:sz w:val="24"/>
          <w:szCs w:val="28"/>
          <w:highlight w:val="none"/>
        </w:rPr>
        <w:t xml:space="preserve">号 </w:t>
      </w:r>
    </w:p>
    <w:p>
      <w:pPr>
        <w:spacing w:line="360" w:lineRule="auto"/>
        <w:ind w:left="1620" w:leftChars="200" w:hanging="1200" w:hangingChars="500"/>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项目名称：</w:t>
      </w:r>
      <w:r>
        <w:rPr>
          <w:rFonts w:hint="eastAsia" w:ascii="仿宋" w:hAnsi="仿宋" w:eastAsia="仿宋"/>
          <w:sz w:val="24"/>
          <w:szCs w:val="28"/>
          <w:highlight w:val="none"/>
          <w:lang w:eastAsia="zh-CN"/>
        </w:rPr>
        <w:t>中国轻纺城粮油冷链物流中心道路配套工程（一期）等4个项目招标代理及造价咨询服务</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预算金额（元）：</w:t>
      </w:r>
      <w:r>
        <w:rPr>
          <w:rFonts w:hint="eastAsia" w:ascii="仿宋" w:hAnsi="仿宋" w:eastAsia="仿宋" w:cs="仿宋_GB2312"/>
          <w:b/>
          <w:bCs/>
          <w:kern w:val="0"/>
          <w:sz w:val="24"/>
          <w:highlight w:val="none"/>
          <w:u w:val="single"/>
          <w:lang w:val="en-US" w:eastAsia="zh-CN"/>
        </w:rPr>
        <w:t>996260</w:t>
      </w:r>
      <w:r>
        <w:rPr>
          <w:rFonts w:hint="eastAsia" w:ascii="仿宋" w:hAnsi="仿宋" w:eastAsia="仿宋"/>
          <w:sz w:val="24"/>
          <w:szCs w:val="28"/>
          <w:highlight w:val="none"/>
          <w:u w:val="single"/>
        </w:rPr>
        <w:t>元</w:t>
      </w:r>
    </w:p>
    <w:p>
      <w:pPr>
        <w:spacing w:line="360" w:lineRule="auto"/>
        <w:ind w:left="420" w:leftChars="200"/>
        <w:jc w:val="left"/>
        <w:rPr>
          <w:rFonts w:ascii="仿宋" w:hAnsi="仿宋" w:eastAsia="仿宋"/>
          <w:sz w:val="24"/>
          <w:szCs w:val="28"/>
          <w:highlight w:val="none"/>
          <w:u w:val="single"/>
        </w:rPr>
      </w:pPr>
      <w:r>
        <w:rPr>
          <w:rFonts w:hint="eastAsia" w:ascii="仿宋" w:hAnsi="仿宋" w:eastAsia="仿宋"/>
          <w:sz w:val="24"/>
          <w:szCs w:val="28"/>
          <w:highlight w:val="none"/>
        </w:rPr>
        <w:t>最高限价（元）：</w:t>
      </w:r>
      <w:r>
        <w:rPr>
          <w:rFonts w:hint="eastAsia" w:ascii="仿宋" w:hAnsi="仿宋" w:eastAsia="仿宋" w:cs="仿宋_GB2312"/>
          <w:b/>
          <w:bCs/>
          <w:kern w:val="0"/>
          <w:sz w:val="24"/>
          <w:highlight w:val="none"/>
          <w:u w:val="single"/>
          <w:lang w:val="en-US" w:eastAsia="zh-CN"/>
        </w:rPr>
        <w:t>996260</w:t>
      </w:r>
      <w:r>
        <w:rPr>
          <w:rFonts w:hint="eastAsia" w:ascii="仿宋" w:hAnsi="仿宋" w:eastAsia="仿宋"/>
          <w:sz w:val="24"/>
          <w:szCs w:val="28"/>
          <w:highlight w:val="none"/>
          <w:u w:val="single"/>
        </w:rPr>
        <w:t>元</w:t>
      </w:r>
    </w:p>
    <w:p>
      <w:pPr>
        <w:spacing w:line="360" w:lineRule="auto"/>
        <w:ind w:left="420" w:leftChars="200"/>
        <w:jc w:val="left"/>
        <w:rPr>
          <w:rFonts w:ascii="仿宋" w:hAnsi="仿宋" w:eastAsia="仿宋"/>
          <w:b/>
          <w:sz w:val="24"/>
          <w:szCs w:val="28"/>
          <w:highlight w:val="none"/>
        </w:rPr>
      </w:pPr>
      <w:r>
        <w:rPr>
          <w:rFonts w:hint="eastAsia" w:ascii="仿宋" w:hAnsi="仿宋" w:eastAsia="仿宋"/>
          <w:sz w:val="24"/>
          <w:szCs w:val="28"/>
          <w:highlight w:val="none"/>
        </w:rPr>
        <w:t xml:space="preserve">采购需求：详见招标文件 </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标项名称：</w:t>
      </w:r>
      <w:r>
        <w:rPr>
          <w:rFonts w:hint="eastAsia" w:ascii="仿宋" w:hAnsi="仿宋" w:eastAsia="仿宋"/>
          <w:sz w:val="24"/>
          <w:szCs w:val="28"/>
          <w:highlight w:val="none"/>
          <w:lang w:eastAsia="zh-CN"/>
        </w:rPr>
        <w:t>中国轻纺城粮油冷链物流中心道路配套工程（一期）等4个项目招标代理及造价咨询服务</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数量：1</w:t>
      </w:r>
    </w:p>
    <w:p>
      <w:pPr>
        <w:spacing w:line="360" w:lineRule="auto"/>
        <w:ind w:left="420" w:leftChars="200"/>
        <w:jc w:val="left"/>
        <w:rPr>
          <w:rFonts w:hint="default" w:ascii="仿宋" w:hAnsi="仿宋" w:eastAsia="仿宋"/>
          <w:sz w:val="24"/>
          <w:szCs w:val="28"/>
          <w:highlight w:val="yellow"/>
          <w:u w:val="single"/>
          <w:lang w:val="en-US"/>
        </w:rPr>
      </w:pPr>
      <w:r>
        <w:rPr>
          <w:rFonts w:hint="eastAsia" w:ascii="仿宋" w:hAnsi="仿宋" w:eastAsia="仿宋"/>
          <w:sz w:val="24"/>
          <w:szCs w:val="28"/>
          <w:highlight w:val="none"/>
        </w:rPr>
        <w:t>预算金额（元）:</w:t>
      </w:r>
      <w:r>
        <w:rPr>
          <w:rFonts w:hint="eastAsia" w:ascii="仿宋" w:hAnsi="仿宋" w:eastAsia="仿宋" w:cs="仿宋_GB2312"/>
          <w:b/>
          <w:bCs/>
          <w:kern w:val="0"/>
          <w:sz w:val="24"/>
          <w:highlight w:val="none"/>
          <w:u w:val="single"/>
          <w:lang w:val="en-US" w:eastAsia="zh-CN"/>
        </w:rPr>
        <w:t>996260</w:t>
      </w:r>
      <w:r>
        <w:rPr>
          <w:rFonts w:hint="eastAsia" w:ascii="仿宋" w:hAnsi="仿宋" w:eastAsia="仿宋" w:cs="仿宋_GB2312"/>
          <w:b/>
          <w:bCs/>
          <w:kern w:val="0"/>
          <w:sz w:val="24"/>
          <w:highlight w:val="none"/>
          <w:u w:val="none"/>
          <w:lang w:val="en-US" w:eastAsia="zh-CN"/>
        </w:rPr>
        <w:t>元</w:t>
      </w:r>
    </w:p>
    <w:p>
      <w:pPr>
        <w:spacing w:line="360" w:lineRule="auto"/>
        <w:ind w:left="420" w:leftChars="200"/>
        <w:jc w:val="left"/>
        <w:rPr>
          <w:rFonts w:ascii="仿宋" w:hAnsi="仿宋" w:eastAsia="仿宋"/>
          <w:sz w:val="24"/>
          <w:szCs w:val="28"/>
        </w:rPr>
      </w:pPr>
      <w:r>
        <w:rPr>
          <w:rFonts w:ascii="仿宋" w:hAnsi="仿宋" w:eastAsia="仿宋"/>
          <w:sz w:val="24"/>
          <w:szCs w:val="28"/>
        </w:rPr>
        <w:t>简要规格描述或项目基本概况介绍、用途：</w:t>
      </w:r>
    </w:p>
    <w:p>
      <w:pPr>
        <w:spacing w:line="560" w:lineRule="exact"/>
        <w:ind w:firstLine="480" w:firstLineChars="200"/>
        <w:rPr>
          <w:rFonts w:hint="eastAsia" w:ascii="仿宋" w:hAnsi="仿宋" w:eastAsia="仿宋"/>
          <w:sz w:val="24"/>
          <w:szCs w:val="28"/>
          <w:u w:val="none"/>
          <w:lang w:eastAsia="zh-CN"/>
        </w:rPr>
      </w:pPr>
      <w:r>
        <w:rPr>
          <w:rFonts w:hint="eastAsia" w:ascii="仿宋" w:hAnsi="仿宋" w:eastAsia="仿宋"/>
          <w:sz w:val="24"/>
          <w:szCs w:val="28"/>
          <w:u w:val="none"/>
        </w:rPr>
        <w:t>主要建设内容为</w:t>
      </w:r>
      <w:r>
        <w:rPr>
          <w:rFonts w:hint="eastAsia" w:ascii="仿宋" w:hAnsi="仿宋" w:eastAsia="仿宋"/>
          <w:sz w:val="24"/>
          <w:szCs w:val="28"/>
          <w:u w:val="none"/>
          <w:lang w:eastAsia="zh-CN"/>
        </w:rPr>
        <w:t>：</w:t>
      </w:r>
    </w:p>
    <w:p>
      <w:pPr>
        <w:spacing w:line="560" w:lineRule="exact"/>
        <w:ind w:firstLine="482" w:firstLineChars="200"/>
        <w:rPr>
          <w:rFonts w:hint="eastAsia" w:ascii="仿宋" w:hAnsi="仿宋" w:eastAsia="仿宋"/>
          <w:sz w:val="24"/>
          <w:szCs w:val="28"/>
          <w:highlight w:val="none"/>
          <w:u w:val="none"/>
        </w:rPr>
      </w:pPr>
      <w:r>
        <w:rPr>
          <w:rFonts w:hint="eastAsia" w:ascii="仿宋" w:hAnsi="仿宋" w:eastAsia="仿宋"/>
          <w:b/>
          <w:bCs/>
          <w:sz w:val="24"/>
          <w:szCs w:val="28"/>
          <w:highlight w:val="none"/>
          <w:u w:val="none"/>
        </w:rPr>
        <w:t>项目1：中国轻纺城粮油冷链物流中心道路配套工程（一期）</w:t>
      </w:r>
      <w:r>
        <w:rPr>
          <w:rFonts w:hint="eastAsia" w:ascii="仿宋" w:hAnsi="仿宋" w:eastAsia="仿宋"/>
          <w:b/>
          <w:bCs/>
          <w:sz w:val="24"/>
          <w:szCs w:val="28"/>
          <w:highlight w:val="none"/>
          <w:u w:val="none"/>
          <w:lang w:eastAsia="zh-CN"/>
        </w:rPr>
        <w:t>：</w:t>
      </w:r>
      <w:r>
        <w:rPr>
          <w:rFonts w:hint="eastAsia" w:ascii="仿宋" w:hAnsi="仿宋" w:eastAsia="仿宋"/>
          <w:b w:val="0"/>
          <w:bCs w:val="0"/>
          <w:sz w:val="24"/>
          <w:szCs w:val="28"/>
          <w:highlight w:val="none"/>
          <w:u w:val="none"/>
          <w:lang w:eastAsia="zh-CN"/>
        </w:rPr>
        <w:t>新建兴华路从钱陶公路至临杭大道，道路长约780米，宽约28米，其中桥梁一座约80米；及长度约500米的河道改道和周边绿化。</w:t>
      </w:r>
      <w:r>
        <w:rPr>
          <w:rFonts w:hint="eastAsia" w:ascii="仿宋" w:hAnsi="仿宋" w:eastAsia="仿宋"/>
          <w:sz w:val="24"/>
          <w:szCs w:val="28"/>
          <w:highlight w:val="none"/>
          <w:u w:val="none"/>
        </w:rPr>
        <w:t>建安费用约</w:t>
      </w:r>
      <w:r>
        <w:rPr>
          <w:rFonts w:hint="eastAsia" w:ascii="仿宋" w:hAnsi="仿宋" w:eastAsia="仿宋"/>
          <w:sz w:val="24"/>
          <w:szCs w:val="28"/>
          <w:highlight w:val="none"/>
          <w:u w:val="none"/>
          <w:lang w:val="en-US" w:eastAsia="zh-CN"/>
        </w:rPr>
        <w:t>13500</w:t>
      </w:r>
      <w:r>
        <w:rPr>
          <w:rFonts w:hint="eastAsia" w:ascii="仿宋" w:hAnsi="仿宋" w:eastAsia="仿宋"/>
          <w:sz w:val="24"/>
          <w:szCs w:val="28"/>
          <w:highlight w:val="none"/>
          <w:u w:val="none"/>
        </w:rPr>
        <w:t>万元。</w:t>
      </w:r>
    </w:p>
    <w:p>
      <w:pPr>
        <w:spacing w:line="560" w:lineRule="exact"/>
        <w:ind w:firstLine="482" w:firstLineChars="200"/>
        <w:rPr>
          <w:rFonts w:hint="eastAsia" w:ascii="仿宋" w:hAnsi="仿宋" w:eastAsia="仿宋"/>
          <w:sz w:val="24"/>
          <w:szCs w:val="28"/>
          <w:highlight w:val="yellow"/>
          <w:u w:val="none"/>
        </w:rPr>
      </w:pPr>
      <w:r>
        <w:rPr>
          <w:rFonts w:hint="eastAsia" w:ascii="仿宋" w:hAnsi="仿宋" w:eastAsia="仿宋"/>
          <w:b/>
          <w:bCs/>
          <w:sz w:val="24"/>
          <w:szCs w:val="28"/>
          <w:highlight w:val="none"/>
          <w:u w:val="none"/>
        </w:rPr>
        <w:t>项目2：临空智创城外环西路改扩建工程</w:t>
      </w:r>
      <w:r>
        <w:rPr>
          <w:rFonts w:hint="eastAsia" w:ascii="仿宋" w:hAnsi="仿宋" w:eastAsia="仿宋"/>
          <w:b/>
          <w:bCs/>
          <w:sz w:val="24"/>
          <w:szCs w:val="28"/>
          <w:highlight w:val="none"/>
          <w:u w:val="none"/>
          <w:lang w:eastAsia="zh-CN"/>
        </w:rPr>
        <w:t>：</w:t>
      </w:r>
      <w:r>
        <w:rPr>
          <w:rFonts w:hint="eastAsia" w:ascii="仿宋" w:hAnsi="仿宋" w:eastAsia="仿宋"/>
          <w:sz w:val="24"/>
          <w:szCs w:val="28"/>
          <w:highlight w:val="none"/>
          <w:u w:val="none"/>
        </w:rPr>
        <w:t>总长度约1800米，其中新建约900米，老路改建约900米，宽24米，双向四车道。建安费用约</w:t>
      </w:r>
      <w:r>
        <w:rPr>
          <w:rFonts w:hint="eastAsia" w:ascii="仿宋" w:hAnsi="仿宋" w:eastAsia="仿宋"/>
          <w:sz w:val="24"/>
          <w:szCs w:val="28"/>
          <w:highlight w:val="none"/>
          <w:u w:val="none"/>
          <w:lang w:val="en-US" w:eastAsia="zh-CN"/>
        </w:rPr>
        <w:t>5500</w:t>
      </w:r>
      <w:r>
        <w:rPr>
          <w:rFonts w:hint="eastAsia" w:ascii="仿宋" w:hAnsi="仿宋" w:eastAsia="仿宋"/>
          <w:sz w:val="24"/>
          <w:szCs w:val="28"/>
          <w:highlight w:val="none"/>
          <w:u w:val="none"/>
        </w:rPr>
        <w:t>万元。</w:t>
      </w:r>
    </w:p>
    <w:p>
      <w:pPr>
        <w:spacing w:line="560" w:lineRule="exact"/>
        <w:ind w:firstLine="482" w:firstLineChars="200"/>
        <w:rPr>
          <w:rFonts w:hint="eastAsia" w:ascii="仿宋" w:hAnsi="仿宋" w:eastAsia="仿宋"/>
          <w:sz w:val="24"/>
          <w:szCs w:val="28"/>
          <w:highlight w:val="yellow"/>
          <w:u w:val="none"/>
        </w:rPr>
      </w:pPr>
      <w:r>
        <w:rPr>
          <w:rFonts w:hint="eastAsia" w:ascii="仿宋" w:hAnsi="仿宋" w:eastAsia="仿宋"/>
          <w:b/>
          <w:bCs/>
          <w:sz w:val="24"/>
          <w:szCs w:val="28"/>
          <w:highlight w:val="none"/>
          <w:u w:val="none"/>
        </w:rPr>
        <w:t>项目3：临空智创城东岭路改扩建工程</w:t>
      </w:r>
      <w:r>
        <w:rPr>
          <w:rFonts w:hint="eastAsia" w:ascii="仿宋" w:hAnsi="仿宋" w:eastAsia="仿宋"/>
          <w:sz w:val="24"/>
          <w:szCs w:val="28"/>
          <w:highlight w:val="none"/>
          <w:u w:val="none"/>
          <w:lang w:eastAsia="zh-CN"/>
        </w:rPr>
        <w:t>：</w:t>
      </w:r>
      <w:r>
        <w:rPr>
          <w:rFonts w:hint="eastAsia" w:ascii="仿宋" w:hAnsi="仿宋" w:eastAsia="仿宋"/>
          <w:sz w:val="24"/>
          <w:szCs w:val="28"/>
          <w:highlight w:val="none"/>
          <w:u w:val="none"/>
        </w:rPr>
        <w:t>改扩建东岭路长约</w:t>
      </w:r>
      <w:r>
        <w:rPr>
          <w:rFonts w:hint="eastAsia" w:ascii="仿宋" w:hAnsi="仿宋" w:eastAsia="仿宋"/>
          <w:sz w:val="24"/>
          <w:szCs w:val="28"/>
          <w:highlight w:val="none"/>
          <w:u w:val="none"/>
          <w:lang w:val="en-US" w:eastAsia="zh-CN"/>
        </w:rPr>
        <w:t>13</w:t>
      </w:r>
      <w:r>
        <w:rPr>
          <w:rFonts w:hint="eastAsia" w:ascii="仿宋" w:hAnsi="仿宋" w:eastAsia="仿宋"/>
          <w:sz w:val="24"/>
          <w:szCs w:val="28"/>
          <w:highlight w:val="none"/>
          <w:u w:val="none"/>
        </w:rPr>
        <w:t>00米，宽度28米，双向四车道</w:t>
      </w:r>
      <w:r>
        <w:rPr>
          <w:rFonts w:hint="eastAsia" w:ascii="仿宋" w:hAnsi="仿宋" w:eastAsia="仿宋"/>
          <w:sz w:val="24"/>
          <w:szCs w:val="28"/>
          <w:highlight w:val="none"/>
          <w:u w:val="none"/>
          <w:lang w:eastAsia="zh-CN"/>
        </w:rPr>
        <w:t>。</w:t>
      </w:r>
      <w:r>
        <w:rPr>
          <w:rFonts w:hint="eastAsia" w:ascii="仿宋" w:hAnsi="仿宋" w:eastAsia="仿宋"/>
          <w:sz w:val="24"/>
          <w:szCs w:val="28"/>
          <w:highlight w:val="none"/>
          <w:u w:val="none"/>
        </w:rPr>
        <w:t>建安费用约</w:t>
      </w:r>
      <w:r>
        <w:rPr>
          <w:rFonts w:hint="eastAsia" w:ascii="仿宋" w:hAnsi="仿宋" w:eastAsia="仿宋"/>
          <w:sz w:val="24"/>
          <w:szCs w:val="28"/>
          <w:highlight w:val="none"/>
          <w:u w:val="none"/>
          <w:lang w:val="en-US" w:eastAsia="zh-CN"/>
        </w:rPr>
        <w:t>6300</w:t>
      </w:r>
      <w:r>
        <w:rPr>
          <w:rFonts w:hint="eastAsia" w:ascii="仿宋" w:hAnsi="仿宋" w:eastAsia="仿宋"/>
          <w:sz w:val="24"/>
          <w:szCs w:val="28"/>
          <w:highlight w:val="none"/>
          <w:u w:val="none"/>
        </w:rPr>
        <w:t>万元。</w:t>
      </w:r>
    </w:p>
    <w:p>
      <w:pPr>
        <w:spacing w:line="560" w:lineRule="exact"/>
        <w:ind w:firstLine="482" w:firstLineChars="200"/>
        <w:rPr>
          <w:rFonts w:hint="eastAsia" w:ascii="仿宋" w:hAnsi="仿宋" w:eastAsia="仿宋"/>
          <w:sz w:val="24"/>
          <w:szCs w:val="28"/>
          <w:highlight w:val="yellow"/>
          <w:u w:val="none"/>
        </w:rPr>
      </w:pPr>
      <w:r>
        <w:rPr>
          <w:rFonts w:hint="eastAsia" w:ascii="仿宋" w:hAnsi="仿宋" w:eastAsia="仿宋"/>
          <w:b/>
          <w:bCs/>
          <w:sz w:val="24"/>
          <w:szCs w:val="28"/>
          <w:highlight w:val="none"/>
          <w:u w:val="none"/>
        </w:rPr>
        <w:t>项目4：临空智创城东坂路、康乐路、文化路等道路改扩建工程</w:t>
      </w:r>
      <w:r>
        <w:rPr>
          <w:rFonts w:hint="eastAsia" w:ascii="仿宋" w:hAnsi="仿宋" w:eastAsia="仿宋"/>
          <w:sz w:val="24"/>
          <w:szCs w:val="28"/>
          <w:highlight w:val="none"/>
          <w:u w:val="none"/>
          <w:lang w:eastAsia="zh-CN"/>
        </w:rPr>
        <w:t>：</w:t>
      </w:r>
      <w:r>
        <w:rPr>
          <w:rFonts w:hint="eastAsia" w:ascii="仿宋" w:hAnsi="仿宋" w:eastAsia="仿宋"/>
          <w:sz w:val="24"/>
          <w:szCs w:val="28"/>
          <w:highlight w:val="none"/>
          <w:u w:val="none"/>
        </w:rPr>
        <w:t>对东坂路、康乐路、文化路等进行改造提升。建安费用约</w:t>
      </w:r>
      <w:r>
        <w:rPr>
          <w:rFonts w:hint="eastAsia" w:ascii="仿宋" w:hAnsi="仿宋" w:eastAsia="仿宋"/>
          <w:sz w:val="24"/>
          <w:szCs w:val="28"/>
          <w:highlight w:val="none"/>
          <w:u w:val="none"/>
          <w:lang w:val="en-US" w:eastAsia="zh-CN"/>
        </w:rPr>
        <w:t>5700</w:t>
      </w:r>
      <w:r>
        <w:rPr>
          <w:rFonts w:hint="eastAsia" w:ascii="仿宋" w:hAnsi="仿宋" w:eastAsia="仿宋"/>
          <w:sz w:val="24"/>
          <w:szCs w:val="28"/>
          <w:highlight w:val="none"/>
          <w:u w:val="none"/>
        </w:rPr>
        <w:t>万元。</w:t>
      </w:r>
    </w:p>
    <w:p>
      <w:pPr>
        <w:spacing w:line="560" w:lineRule="exact"/>
        <w:ind w:firstLine="480" w:firstLineChars="200"/>
        <w:rPr>
          <w:rFonts w:ascii="仿宋" w:hAnsi="仿宋" w:eastAsia="仿宋"/>
          <w:sz w:val="24"/>
          <w:szCs w:val="28"/>
          <w:highlight w:val="none"/>
        </w:rPr>
      </w:pPr>
      <w:r>
        <w:rPr>
          <w:rFonts w:hint="eastAsia" w:ascii="仿宋" w:hAnsi="仿宋" w:eastAsia="仿宋"/>
          <w:sz w:val="24"/>
          <w:szCs w:val="28"/>
          <w:u w:val="none"/>
        </w:rPr>
        <w:t xml:space="preserve"> 服务内容包括以上</w:t>
      </w:r>
      <w:r>
        <w:rPr>
          <w:rFonts w:hint="eastAsia" w:ascii="仿宋" w:hAnsi="仿宋" w:eastAsia="仿宋"/>
          <w:sz w:val="24"/>
          <w:szCs w:val="28"/>
          <w:u w:val="none"/>
          <w:lang w:val="en-US" w:eastAsia="zh-CN"/>
        </w:rPr>
        <w:t>4</w:t>
      </w:r>
      <w:r>
        <w:rPr>
          <w:rFonts w:hint="eastAsia" w:ascii="仿宋" w:hAnsi="仿宋" w:eastAsia="仿宋"/>
          <w:sz w:val="24"/>
          <w:szCs w:val="28"/>
          <w:u w:val="none"/>
        </w:rPr>
        <w:t>个项目施工、监理、材料设备采购等涉及的所有项目（已完成招标的项目除外）招标文件编制、预算清单标底编制及造价全过程咨询服务（不含结算审核）</w:t>
      </w:r>
      <w:r>
        <w:rPr>
          <w:rFonts w:hint="eastAsia" w:ascii="仿宋" w:hAnsi="仿宋" w:eastAsia="仿宋"/>
          <w:sz w:val="24"/>
          <w:szCs w:val="28"/>
          <w:highlight w:val="none"/>
          <w:u w:val="none"/>
        </w:rPr>
        <w:t>；估算建安工程投资额</w:t>
      </w:r>
      <w:r>
        <w:rPr>
          <w:rFonts w:hint="eastAsia" w:ascii="仿宋" w:hAnsi="仿宋" w:eastAsia="仿宋"/>
          <w:sz w:val="24"/>
          <w:szCs w:val="28"/>
          <w:highlight w:val="none"/>
          <w:u w:val="none"/>
          <w:lang w:val="en-US" w:eastAsia="zh-CN"/>
        </w:rPr>
        <w:t>31000</w:t>
      </w:r>
      <w:r>
        <w:rPr>
          <w:rFonts w:hint="eastAsia" w:ascii="仿宋" w:hAnsi="仿宋" w:eastAsia="仿宋"/>
          <w:sz w:val="24"/>
          <w:szCs w:val="28"/>
          <w:highlight w:val="none"/>
          <w:u w:val="none"/>
        </w:rPr>
        <w:t>万元。估算服务费约为</w:t>
      </w:r>
      <w:r>
        <w:rPr>
          <w:rFonts w:hint="eastAsia" w:ascii="仿宋" w:hAnsi="仿宋" w:eastAsia="仿宋"/>
          <w:sz w:val="24"/>
          <w:szCs w:val="28"/>
          <w:highlight w:val="none"/>
          <w:u w:val="none"/>
          <w:lang w:val="en-US" w:eastAsia="zh-CN"/>
        </w:rPr>
        <w:t>996260</w:t>
      </w:r>
      <w:r>
        <w:rPr>
          <w:rFonts w:hint="eastAsia" w:ascii="仿宋" w:hAnsi="仿宋" w:eastAsia="仿宋"/>
          <w:sz w:val="24"/>
          <w:szCs w:val="28"/>
          <w:highlight w:val="none"/>
          <w:u w:val="none"/>
        </w:rPr>
        <w:t>元。</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备注：/</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w:t>
      </w:r>
    </w:p>
    <w:p>
      <w:pPr>
        <w:pStyle w:val="4"/>
        <w:ind w:left="0" w:firstLine="0"/>
        <w:rPr>
          <w:rFonts w:ascii="黑体" w:hAnsi="黑体" w:cs="宋体"/>
          <w:sz w:val="24"/>
          <w:szCs w:val="28"/>
        </w:rPr>
      </w:pPr>
      <w:bookmarkStart w:id="16" w:name="_Toc28359080"/>
      <w:bookmarkStart w:id="17" w:name="_Toc28359003"/>
      <w:bookmarkStart w:id="18" w:name="_Toc35393791"/>
      <w:bookmarkStart w:id="19" w:name="_Toc35393622"/>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b/>
          <w:sz w:val="24"/>
          <w:szCs w:val="28"/>
          <w:u w:val="single"/>
          <w:lang w:val="en-US" w:eastAsia="zh-CN"/>
        </w:rPr>
      </w:pPr>
      <w:bookmarkStart w:id="20" w:name="_Toc28359081"/>
      <w:bookmarkStart w:id="21" w:name="_Toc28359004"/>
      <w:r>
        <w:rPr>
          <w:rFonts w:hint="eastAsia" w:ascii="仿宋" w:hAnsi="仿宋" w:eastAsia="仿宋"/>
          <w:sz w:val="24"/>
          <w:szCs w:val="28"/>
        </w:rPr>
        <w:t>本项目的特定资格要求：</w:t>
      </w:r>
      <w:r>
        <w:rPr>
          <w:rFonts w:hint="eastAsia" w:ascii="仿宋" w:hAnsi="仿宋" w:eastAsia="仿宋"/>
          <w:sz w:val="24"/>
          <w:szCs w:val="28"/>
          <w:lang w:val="en-US" w:eastAsia="zh-CN"/>
        </w:rPr>
        <w:t>/</w:t>
      </w:r>
    </w:p>
    <w:p>
      <w:pPr>
        <w:pStyle w:val="4"/>
        <w:ind w:left="0" w:firstLine="0"/>
        <w:rPr>
          <w:rFonts w:ascii="黑体" w:hAnsi="黑体" w:cs="宋体"/>
          <w:sz w:val="24"/>
          <w:szCs w:val="28"/>
        </w:rPr>
      </w:pPr>
      <w:bookmarkStart w:id="22" w:name="_Toc35393792"/>
      <w:bookmarkStart w:id="23" w:name="_Toc35393623"/>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w:t>
      </w:r>
      <w:r>
        <w:rPr>
          <w:rFonts w:hint="eastAsia" w:ascii="仿宋" w:hAnsi="仿宋" w:eastAsia="仿宋"/>
          <w:sz w:val="24"/>
          <w:szCs w:val="28"/>
          <w:highlight w:val="none"/>
        </w:rPr>
        <w:t>至</w:t>
      </w:r>
      <w:r>
        <w:rPr>
          <w:rFonts w:hint="eastAsia" w:ascii="仿宋" w:hAnsi="仿宋" w:eastAsia="仿宋"/>
          <w:bCs/>
          <w:sz w:val="24"/>
          <w:szCs w:val="28"/>
          <w:highlight w:val="none"/>
          <w:u w:val="single"/>
        </w:rPr>
        <w:t>20</w:t>
      </w:r>
      <w:r>
        <w:rPr>
          <w:rFonts w:hint="eastAsia" w:ascii="仿宋" w:hAnsi="仿宋" w:eastAsia="仿宋"/>
          <w:bCs/>
          <w:sz w:val="24"/>
          <w:szCs w:val="28"/>
          <w:highlight w:val="none"/>
          <w:u w:val="single"/>
          <w:lang w:val="en-US" w:eastAsia="zh-CN"/>
        </w:rPr>
        <w:t>24</w:t>
      </w:r>
      <w:r>
        <w:rPr>
          <w:rFonts w:hint="eastAsia" w:ascii="仿宋" w:hAnsi="仿宋" w:eastAsia="仿宋"/>
          <w:bCs/>
          <w:sz w:val="24"/>
          <w:szCs w:val="28"/>
          <w:highlight w:val="none"/>
          <w:u w:val="single"/>
        </w:rPr>
        <w:t>年</w:t>
      </w:r>
      <w:r>
        <w:rPr>
          <w:rFonts w:hint="eastAsia" w:ascii="仿宋" w:hAnsi="仿宋" w:eastAsia="仿宋"/>
          <w:bCs/>
          <w:sz w:val="24"/>
          <w:szCs w:val="28"/>
          <w:highlight w:val="none"/>
          <w:u w:val="single"/>
          <w:lang w:val="en-US" w:eastAsia="zh-CN"/>
        </w:rPr>
        <w:t>3</w:t>
      </w:r>
      <w:r>
        <w:rPr>
          <w:rFonts w:hint="eastAsia" w:ascii="仿宋" w:hAnsi="仿宋" w:eastAsia="仿宋"/>
          <w:bCs/>
          <w:sz w:val="24"/>
          <w:szCs w:val="28"/>
          <w:highlight w:val="none"/>
          <w:u w:val="single"/>
        </w:rPr>
        <w:t>月</w:t>
      </w:r>
      <w:r>
        <w:rPr>
          <w:rFonts w:hint="eastAsia" w:ascii="仿宋" w:hAnsi="仿宋" w:eastAsia="仿宋"/>
          <w:bCs/>
          <w:sz w:val="24"/>
          <w:szCs w:val="28"/>
          <w:highlight w:val="none"/>
          <w:u w:val="single"/>
          <w:lang w:val="en-US" w:eastAsia="zh-CN"/>
        </w:rPr>
        <w:t>1</w:t>
      </w:r>
      <w:r>
        <w:rPr>
          <w:rFonts w:hint="eastAsia" w:ascii="仿宋" w:hAnsi="仿宋" w:eastAsia="仿宋"/>
          <w:bCs/>
          <w:sz w:val="24"/>
          <w:szCs w:val="28"/>
          <w:highlight w:val="none"/>
          <w:u w:val="single"/>
        </w:rPr>
        <w:t>日</w:t>
      </w:r>
      <w:r>
        <w:rPr>
          <w:rFonts w:ascii="仿宋" w:hAnsi="仿宋" w:eastAsia="仿宋"/>
          <w:sz w:val="24"/>
          <w:szCs w:val="28"/>
          <w:highlight w:val="none"/>
        </w:rPr>
        <w:t>，每</w:t>
      </w:r>
      <w:r>
        <w:rPr>
          <w:rFonts w:ascii="仿宋" w:hAnsi="仿宋" w:eastAsia="仿宋"/>
          <w:sz w:val="24"/>
          <w:szCs w:val="28"/>
        </w:rPr>
        <w:t>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fldChar w:fldCharType="begin"/>
      </w:r>
      <w:r>
        <w:instrText xml:space="preserve"> HYPERLINK "http://zfcg.czt.zj.gov.cn/" </w:instrText>
      </w:r>
      <w:r>
        <w:fldChar w:fldCharType="separate"/>
      </w:r>
      <w:r>
        <w:rPr>
          <w:rStyle w:val="68"/>
          <w:rFonts w:ascii="仿宋" w:hAnsi="仿宋" w:eastAsia="仿宋" w:cs="宋体"/>
          <w:color w:val="auto"/>
          <w:kern w:val="2"/>
          <w:sz w:val="24"/>
          <w:szCs w:val="28"/>
        </w:rPr>
        <w:t>http://zfcg.czt.zj.gov.cn/</w:t>
      </w:r>
      <w:r>
        <w:rPr>
          <w:rStyle w:val="68"/>
          <w:rFonts w:ascii="仿宋" w:hAnsi="仿宋" w:eastAsia="仿宋" w:cs="宋体"/>
          <w:color w:val="auto"/>
          <w:kern w:val="2"/>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4"/>
        <w:ind w:left="0" w:firstLine="0"/>
        <w:rPr>
          <w:rFonts w:ascii="黑体" w:hAnsi="黑体" w:cs="宋体"/>
          <w:sz w:val="24"/>
          <w:szCs w:val="28"/>
        </w:rPr>
      </w:pPr>
      <w:bookmarkStart w:id="24" w:name="_Toc28359005"/>
      <w:bookmarkStart w:id="25" w:name="_Toc28359082"/>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提交投标文件截止时间：20</w:t>
      </w:r>
      <w:r>
        <w:rPr>
          <w:rFonts w:hint="eastAsia" w:ascii="仿宋" w:hAnsi="仿宋" w:eastAsia="仿宋" w:cs="宋体"/>
          <w:sz w:val="24"/>
          <w:szCs w:val="28"/>
          <w:highlight w:val="none"/>
          <w:lang w:val="en-US" w:eastAsia="zh-CN"/>
        </w:rPr>
        <w:t>24</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3</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1</w:t>
      </w:r>
      <w:r>
        <w:rPr>
          <w:rFonts w:ascii="仿宋" w:hAnsi="仿宋" w:eastAsia="仿宋" w:cs="宋体"/>
          <w:sz w:val="24"/>
          <w:szCs w:val="28"/>
          <w:highlight w:val="none"/>
        </w:rPr>
        <w:t xml:space="preserve">日 </w:t>
      </w:r>
      <w:r>
        <w:rPr>
          <w:rFonts w:hint="eastAsia" w:ascii="仿宋" w:hAnsi="仿宋" w:eastAsia="仿宋" w:cs="宋体"/>
          <w:sz w:val="24"/>
          <w:szCs w:val="28"/>
          <w:highlight w:val="none"/>
        </w:rPr>
        <w:t>09</w:t>
      </w:r>
      <w:r>
        <w:rPr>
          <w:rFonts w:ascii="仿宋" w:hAnsi="仿宋" w:eastAsia="仿宋" w:cs="宋体"/>
          <w:sz w:val="24"/>
          <w:szCs w:val="28"/>
          <w:highlight w:val="none"/>
        </w:rPr>
        <w:t>:</w:t>
      </w:r>
      <w:r>
        <w:rPr>
          <w:rFonts w:hint="eastAsia" w:ascii="仿宋" w:hAnsi="仿宋" w:eastAsia="仿宋" w:cs="宋体"/>
          <w:sz w:val="24"/>
          <w:szCs w:val="28"/>
          <w:highlight w:val="none"/>
        </w:rPr>
        <w:t>0</w:t>
      </w:r>
      <w:r>
        <w:rPr>
          <w:rFonts w:ascii="仿宋" w:hAnsi="仿宋" w:eastAsia="仿宋" w:cs="宋体"/>
          <w:sz w:val="24"/>
          <w:szCs w:val="28"/>
          <w:highlight w:val="none"/>
        </w:rPr>
        <w:t>0</w:t>
      </w:r>
      <w:r>
        <w:rPr>
          <w:rFonts w:hint="eastAsia" w:ascii="仿宋" w:hAnsi="仿宋" w:eastAsia="仿宋" w:cs="宋体"/>
          <w:sz w:val="24"/>
          <w:szCs w:val="28"/>
          <w:highlight w:val="none"/>
        </w:rPr>
        <w:t>（北京时间）</w:t>
      </w:r>
    </w:p>
    <w:p>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投标地点（网址）：政府采购云平台（https://www.zcygov.cn）</w:t>
      </w:r>
    </w:p>
    <w:p>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开标时间：</w:t>
      </w:r>
      <w:r>
        <w:rPr>
          <w:rFonts w:hint="eastAsia" w:ascii="仿宋" w:hAnsi="仿宋" w:eastAsia="仿宋" w:cs="宋体"/>
          <w:sz w:val="24"/>
          <w:szCs w:val="28"/>
          <w:highlight w:val="none"/>
          <w:lang w:val="en-US" w:eastAsia="zh-CN"/>
        </w:rPr>
        <w:t>2024</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3</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1</w:t>
      </w:r>
      <w:r>
        <w:rPr>
          <w:rFonts w:ascii="仿宋" w:hAnsi="仿宋" w:eastAsia="仿宋" w:cs="宋体"/>
          <w:sz w:val="24"/>
          <w:szCs w:val="28"/>
          <w:highlight w:val="none"/>
        </w:rPr>
        <w:t xml:space="preserve">日 </w:t>
      </w:r>
      <w:r>
        <w:rPr>
          <w:rFonts w:hint="eastAsia" w:ascii="仿宋" w:hAnsi="仿宋" w:eastAsia="仿宋" w:cs="宋体"/>
          <w:sz w:val="24"/>
          <w:szCs w:val="28"/>
          <w:highlight w:val="none"/>
        </w:rPr>
        <w:t>09</w:t>
      </w:r>
      <w:r>
        <w:rPr>
          <w:rFonts w:ascii="仿宋" w:hAnsi="仿宋" w:eastAsia="仿宋" w:cs="宋体"/>
          <w:sz w:val="24"/>
          <w:szCs w:val="28"/>
          <w:highlight w:val="none"/>
        </w:rPr>
        <w:t>:</w:t>
      </w:r>
      <w:r>
        <w:rPr>
          <w:rFonts w:hint="eastAsia" w:ascii="仿宋" w:hAnsi="仿宋" w:eastAsia="仿宋" w:cs="宋体"/>
          <w:sz w:val="24"/>
          <w:szCs w:val="28"/>
          <w:highlight w:val="none"/>
        </w:rPr>
        <w:t>0</w:t>
      </w:r>
      <w:r>
        <w:rPr>
          <w:rFonts w:ascii="仿宋" w:hAnsi="仿宋" w:eastAsia="仿宋" w:cs="宋体"/>
          <w:sz w:val="24"/>
          <w:szCs w:val="28"/>
          <w:highlight w:val="none"/>
        </w:rPr>
        <w:t>0</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开标地点（网址）：绍兴市柯桥区清风路轨道交通集团大楼1216室会议室</w:t>
      </w:r>
      <w:r>
        <w:rPr>
          <w:rFonts w:hint="eastAsia" w:ascii="仿宋" w:hAnsi="仿宋" w:eastAsia="仿宋" w:cs="宋体"/>
          <w:sz w:val="24"/>
          <w:szCs w:val="28"/>
        </w:rPr>
        <w:t>通过</w:t>
      </w:r>
      <w:r>
        <w:rPr>
          <w:rFonts w:ascii="仿宋" w:hAnsi="仿宋" w:eastAsia="仿宋" w:cs="宋体"/>
          <w:sz w:val="24"/>
          <w:szCs w:val="28"/>
        </w:rPr>
        <w:t>政府采购云平台（https://www.zcygov.cn）在线开标</w:t>
      </w:r>
    </w:p>
    <w:p>
      <w:pPr>
        <w:pStyle w:val="4"/>
        <w:ind w:left="0" w:firstLine="0"/>
        <w:rPr>
          <w:rFonts w:ascii="黑体" w:hAnsi="黑体" w:cs="宋体"/>
          <w:sz w:val="24"/>
          <w:szCs w:val="28"/>
        </w:rPr>
      </w:pPr>
      <w:bookmarkStart w:id="28" w:name="_Toc28359084"/>
      <w:bookmarkStart w:id="29" w:name="_Toc35393794"/>
      <w:bookmarkStart w:id="30" w:name="_Toc28359007"/>
      <w:bookmarkStart w:id="31" w:name="_Toc35393625"/>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ind w:left="0" w:firstLine="0"/>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仿宋" w:hAnsi="仿宋" w:eastAsia="仿宋"/>
          <w:sz w:val="24"/>
          <w:szCs w:val="28"/>
        </w:rPr>
        <w:t>国有企业采购</w:t>
      </w:r>
      <w:r>
        <w:rPr>
          <w:rFonts w:ascii="仿宋" w:hAnsi="仿宋" w:eastAsia="仿宋"/>
          <w:sz w:val="24"/>
          <w:szCs w:val="28"/>
        </w:rPr>
        <w:t>监督管理部门投诉。质疑函范本、投诉书范本请到浙江政府采购网下载专区下载。</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2.其他事项：无</w:t>
      </w:r>
    </w:p>
    <w:p>
      <w:pPr>
        <w:pStyle w:val="4"/>
        <w:ind w:left="0" w:firstLine="0"/>
        <w:rPr>
          <w:rFonts w:ascii="黑体" w:hAnsi="黑体" w:cs="宋体"/>
          <w:sz w:val="24"/>
          <w:szCs w:val="28"/>
        </w:rPr>
      </w:pPr>
      <w:bookmarkStart w:id="34" w:name="_Toc35393796"/>
      <w:bookmarkStart w:id="35" w:name="_Toc28359085"/>
      <w:bookmarkStart w:id="36" w:name="_Toc35393627"/>
      <w:bookmarkStart w:id="37" w:name="_Toc28359008"/>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hint="eastAsia" w:ascii="仿宋" w:hAnsi="仿宋" w:eastAsia="仿宋" w:cs="宋体"/>
          <w:sz w:val="24"/>
          <w:szCs w:val="28"/>
          <w:highlight w:val="none"/>
          <w:lang w:val="en-US"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highlight w:val="none"/>
          <w:lang w:val="en-US" w:eastAsia="zh-CN"/>
        </w:rPr>
        <w:t>浙江绍兴杭绍临空示范区建设开发有限公司</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绍兴市柯桥区钱清街道万绣路车辆基地培训中心</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 xml:space="preserve">沈工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0575-84111181</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 xml:space="preserve">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highlight w:val="none"/>
          <w:lang w:eastAsia="zh-CN"/>
        </w:rPr>
        <w:t>浙江绍兴杭绍临空示范区开发集团有限公司</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联系人 ：</w:t>
      </w:r>
      <w:r>
        <w:rPr>
          <w:rFonts w:hint="eastAsia" w:ascii="仿宋" w:hAnsi="仿宋" w:eastAsia="仿宋" w:cs="宋体"/>
          <w:snapToGrid w:val="0"/>
          <w:kern w:val="0"/>
          <w:sz w:val="24"/>
          <w:szCs w:val="28"/>
        </w:rPr>
        <w:t>金工</w:t>
      </w:r>
    </w:p>
    <w:p>
      <w:pPr>
        <w:spacing w:line="360" w:lineRule="auto"/>
        <w:jc w:val="left"/>
        <w:rPr>
          <w:rFonts w:ascii="仿宋" w:hAnsi="仿宋" w:eastAsia="仿宋" w:cs="宋体"/>
          <w:snapToGrid w:val="0"/>
          <w:kern w:val="0"/>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监督投诉电话：</w:t>
      </w:r>
      <w:r>
        <w:rPr>
          <w:rFonts w:ascii="仿宋" w:hAnsi="仿宋" w:eastAsia="仿宋" w:cs="宋体"/>
          <w:snapToGrid w:val="0"/>
          <w:kern w:val="0"/>
          <w:sz w:val="24"/>
          <w:szCs w:val="28"/>
        </w:rPr>
        <w:t>0575-</w:t>
      </w:r>
      <w:r>
        <w:rPr>
          <w:rFonts w:hint="eastAsia" w:ascii="仿宋" w:hAnsi="仿宋" w:eastAsia="仿宋" w:cs="宋体"/>
          <w:snapToGrid w:val="0"/>
          <w:kern w:val="0"/>
          <w:sz w:val="24"/>
          <w:szCs w:val="28"/>
        </w:rPr>
        <w:t>84117892</w:t>
      </w:r>
    </w:p>
    <w:p>
      <w:pPr>
        <w:spacing w:line="360" w:lineRule="auto"/>
        <w:jc w:val="left"/>
        <w:rPr>
          <w:rFonts w:ascii="仿宋" w:hAnsi="仿宋" w:eastAsia="仿宋" w:cs="宋体"/>
          <w:snapToGrid w:val="0"/>
          <w:kern w:val="0"/>
          <w:sz w:val="24"/>
          <w:szCs w:val="28"/>
        </w:rPr>
      </w:pP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7"/>
        <w:jc w:val="both"/>
        <w:rPr>
          <w:lang w:val="en-US"/>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pPr>
            <w:r>
              <w:rPr>
                <w:rFonts w:hint="eastAsia"/>
              </w:rPr>
              <w:t>有关本项目开展所需的人员工资、福利、工具、技术服务费、管理、利润、税金、保险及不可预见费用等费用均计入报价。《投标（开标）一览表》是报价的唯一载体。投标文件中价格全部采用人民币报价。招标文件未列明，而投标人认为必需的费用也需列入报价。</w:t>
            </w:r>
          </w:p>
          <w:p>
            <w:pPr>
              <w:snapToGrid w:val="0"/>
              <w:spacing w:line="360" w:lineRule="auto"/>
              <w:jc w:val="left"/>
              <w:rPr>
                <w:lang w:val="zh-CN"/>
              </w:rPr>
            </w:pPr>
            <w:r>
              <w:rPr>
                <w:rFonts w:hint="eastAsia"/>
                <w:lang w:val="zh-CN"/>
              </w:rPr>
              <w:t>投标报价出现下列情形的，投标无效：</w:t>
            </w:r>
          </w:p>
          <w:p>
            <w:pPr>
              <w:snapToGrid w:val="0"/>
              <w:spacing w:line="360" w:lineRule="auto"/>
              <w:jc w:val="left"/>
              <w:rPr>
                <w:lang w:val="zh-CN"/>
              </w:rPr>
            </w:pPr>
            <w:r>
              <w:rPr>
                <w:rFonts w:hint="eastAsia"/>
              </w:rPr>
              <w:t>▲</w:t>
            </w:r>
            <w:r>
              <w:rPr>
                <w:rFonts w:hint="eastAsia"/>
                <w:lang w:val="zh-CN"/>
              </w:rPr>
              <w:t>投标文件出现不是唯一的、有选择性投标报价的；</w:t>
            </w:r>
          </w:p>
          <w:p>
            <w:pPr>
              <w:snapToGrid w:val="0"/>
              <w:spacing w:line="360" w:lineRule="auto"/>
              <w:jc w:val="left"/>
              <w:rPr>
                <w:lang w:val="zh-CN"/>
              </w:rPr>
            </w:pPr>
            <w:r>
              <w:rPr>
                <w:rFonts w:hint="eastAsia"/>
              </w:rPr>
              <w:t>▲投标报价高于本项目采购预算或者最高限价的;</w:t>
            </w:r>
          </w:p>
          <w:p>
            <w:pPr>
              <w:spacing w:line="360" w:lineRule="auto"/>
            </w:pPr>
            <w:r>
              <w:rPr>
                <w:rFonts w:hint="eastAsia"/>
              </w:rPr>
              <w:t>▲报价明显低于其他通过符合性审查投标人的报价，有可能影响产品质量或者不能诚信履约的，未能按要求提供书面说明或者提交相关证明材料，不能证明其报价合理性的;</w:t>
            </w:r>
          </w:p>
          <w:p>
            <w:pPr>
              <w:spacing w:line="360" w:lineRule="auto"/>
            </w:pPr>
            <w:r>
              <w:rPr>
                <w:rFonts w:hint="eastAsia"/>
              </w:rPr>
              <w:t>▲《投标（开标）一览表》填写不完整或字迹不能辨认或有漏项的,经评标委员会认定属于重大偏差的；</w:t>
            </w:r>
          </w:p>
          <w:p>
            <w:pPr>
              <w:spacing w:line="360" w:lineRule="auto"/>
            </w:pPr>
            <w:r>
              <w:rPr>
                <w:rFonts w:hint="eastAsia"/>
              </w:rPr>
              <w:t>▲投标人对根据修正原则修正后的报价不确认的；</w:t>
            </w:r>
          </w:p>
          <w:p>
            <w:pPr>
              <w:spacing w:line="360" w:lineRule="auto"/>
              <w:rPr>
                <w:u w:val="single"/>
              </w:rPr>
            </w:pPr>
            <w:r>
              <w:rPr>
                <w:rFonts w:hint="eastAsia"/>
                <w:u w:val="single"/>
              </w:rPr>
              <w:t>▲投标人的投标报价与投标总价上限价的比率不在评标办法规定的期望比率区间的；</w:t>
            </w:r>
          </w:p>
          <w:p>
            <w:pPr>
              <w:pStyle w:val="2"/>
              <w:ind w:firstLine="0"/>
            </w:pPr>
            <w:r>
              <w:rPr>
                <w:rFonts w:hint="eastAsia"/>
                <w:u w:val="single"/>
              </w:rPr>
              <w:t>▲投标人的投标报价中常驻造价咨询人员补贴金额修改的。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项目采购类型</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分包或转包</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投标文件的份数</w:t>
            </w:r>
          </w:p>
        </w:tc>
        <w:tc>
          <w:tcPr>
            <w:tcW w:w="5953" w:type="dxa"/>
            <w:tcBorders>
              <w:top w:val="single" w:color="000000" w:sz="8" w:space="0"/>
              <w:left w:val="single" w:color="000000" w:sz="2" w:space="0"/>
              <w:bottom w:val="single" w:color="auto" w:sz="4" w:space="0"/>
              <w:right w:val="single" w:color="000000" w:sz="8" w:space="0"/>
            </w:tcBorders>
            <w:vAlign w:val="center"/>
          </w:tcPr>
          <w:p>
            <w:pPr>
              <w:pStyle w:val="32"/>
              <w:snapToGrid w:val="0"/>
              <w:spacing w:before="120" w:after="120" w:line="360" w:lineRule="auto"/>
              <w:rPr>
                <w:rFonts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43"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Times New Roman"/>
                <w:b/>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Times New Roman"/>
                <w:b/>
                <w:snapToGrid/>
                <w:sz w:val="24"/>
                <w:szCs w:val="20"/>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
                <w:kern w:val="28"/>
                <w:sz w:val="24"/>
              </w:rPr>
            </w:pPr>
            <w:r>
              <w:rPr>
                <w:rFonts w:hint="eastAsia" w:ascii="仿宋" w:hAnsi="仿宋" w:eastAsia="仿宋"/>
                <w:b/>
                <w:kern w:val="28"/>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w:t>
            </w:r>
            <w:r>
              <w:rPr>
                <w:rFonts w:hint="eastAsia" w:ascii="仿宋" w:hAnsi="仿宋" w:eastAsia="仿宋"/>
                <w:sz w:val="24"/>
                <w:szCs w:val="28"/>
                <w:lang w:val="en-US" w:eastAsia="zh-CN"/>
              </w:rPr>
              <w:t>半</w:t>
            </w:r>
            <w:r>
              <w:rPr>
                <w:rFonts w:hint="eastAsia" w:ascii="仿宋" w:hAnsi="仿宋" w:eastAsia="仿宋"/>
                <w:sz w:val="24"/>
                <w:szCs w:val="28"/>
              </w:rPr>
              <w:t>小时内完成在线解密。</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p>
      <w:pPr>
        <w:adjustRightInd/>
        <w:spacing w:line="360" w:lineRule="auto"/>
        <w:ind w:firstLine="3845" w:firstLineChars="1197"/>
        <w:outlineLvl w:val="0"/>
        <w:rPr>
          <w:rFonts w:ascii="仿宋" w:hAnsi="仿宋" w:eastAsia="仿宋" w:cs="仿宋_GB2312"/>
          <w:b/>
          <w:sz w:val="32"/>
          <w:szCs w:val="20"/>
        </w:rPr>
      </w:pPr>
      <w:r>
        <w:rPr>
          <w:rFonts w:ascii="仿宋" w:hAnsi="仿宋" w:eastAsia="仿宋" w:cs="仿宋_GB2312"/>
          <w:b/>
          <w:sz w:val="32"/>
          <w:szCs w:val="20"/>
        </w:rPr>
        <w:br w:type="page"/>
      </w:r>
      <w:bookmarkEnd w:id="10"/>
      <w:bookmarkStart w:id="38" w:name="_Toc164416483"/>
      <w:bookmarkStart w:id="39" w:name="第三部分"/>
      <w:r>
        <w:rPr>
          <w:rFonts w:hint="eastAsia" w:ascii="仿宋" w:hAnsi="仿宋" w:eastAsia="仿宋" w:cs="仿宋_GB2312"/>
          <w:b/>
          <w:sz w:val="32"/>
          <w:szCs w:val="20"/>
        </w:rPr>
        <w:t>一、总则</w:t>
      </w:r>
    </w:p>
    <w:p>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jc w:val="left"/>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jc w:val="left"/>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jc w:val="left"/>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jc w:val="left"/>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ind w:firstLine="482" w:firstLineChars="200"/>
        <w:jc w:val="left"/>
        <w:rPr>
          <w:rFonts w:ascii="仿宋" w:hAnsi="仿宋" w:eastAsia="仿宋"/>
          <w:b/>
          <w:sz w:val="24"/>
        </w:rPr>
      </w:pPr>
      <w:r>
        <w:rPr>
          <w:rFonts w:hint="eastAsia" w:ascii="仿宋" w:hAnsi="仿宋" w:eastAsia="仿宋"/>
          <w:b/>
          <w:sz w:val="24"/>
        </w:rPr>
        <w:t>3.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3.1供应商询问</w:t>
      </w:r>
    </w:p>
    <w:p>
      <w:pPr>
        <w:pStyle w:val="32"/>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3.2供应商质疑</w:t>
      </w:r>
    </w:p>
    <w:p>
      <w:pPr>
        <w:pStyle w:val="32"/>
        <w:spacing w:line="360" w:lineRule="auto"/>
        <w:ind w:firstLine="480" w:firstLineChars="200"/>
        <w:jc w:val="left"/>
        <w:rPr>
          <w:rFonts w:ascii="仿宋" w:hAnsi="仿宋" w:eastAsia="仿宋"/>
          <w:sz w:val="24"/>
        </w:rPr>
      </w:pPr>
      <w:r>
        <w:rPr>
          <w:rFonts w:hint="eastAsia" w:ascii="仿宋" w:hAnsi="仿宋" w:eastAsia="仿宋" w:cs="微软雅黑"/>
          <w:kern w:val="0"/>
          <w:sz w:val="24"/>
          <w:lang w:val="zh-CN"/>
        </w:rPr>
        <w:t>3.2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3.2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2"/>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2"/>
        <w:spacing w:line="360" w:lineRule="auto"/>
        <w:ind w:right="-512"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2"/>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3.2.3</w:t>
      </w:r>
      <w:r>
        <w:rPr>
          <w:rFonts w:ascii="仿宋" w:hAnsi="仿宋" w:eastAsia="仿宋"/>
          <w:sz w:val="24"/>
        </w:rPr>
        <w:t>供应商提出质疑应当提交质疑函和必要的证明材料。质疑函应当包括下列内容：</w:t>
      </w:r>
    </w:p>
    <w:p>
      <w:pPr>
        <w:pStyle w:val="327"/>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3.2.3.1</w:t>
      </w:r>
      <w:r>
        <w:rPr>
          <w:rFonts w:ascii="仿宋" w:hAnsi="仿宋" w:eastAsia="仿宋" w:cs="Arial"/>
          <w:snapToGrid w:val="0"/>
          <w:kern w:val="2"/>
          <w:szCs w:val="21"/>
        </w:rPr>
        <w:t>供应商的姓名或者名称、地址、邮编、联系人及联系电话；</w:t>
      </w:r>
    </w:p>
    <w:p>
      <w:pPr>
        <w:pStyle w:val="327"/>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3.2.3.2</w:t>
      </w:r>
      <w:r>
        <w:rPr>
          <w:rFonts w:ascii="仿宋" w:hAnsi="仿宋" w:eastAsia="仿宋" w:cs="Arial"/>
          <w:snapToGrid w:val="0"/>
          <w:kern w:val="2"/>
          <w:szCs w:val="21"/>
        </w:rPr>
        <w:t>质疑项目的名称、编号；</w:t>
      </w:r>
    </w:p>
    <w:p>
      <w:pPr>
        <w:pStyle w:val="327"/>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3.2.3.3</w:t>
      </w:r>
      <w:r>
        <w:rPr>
          <w:rFonts w:ascii="仿宋" w:hAnsi="仿宋" w:eastAsia="仿宋" w:cs="Arial"/>
          <w:snapToGrid w:val="0"/>
          <w:kern w:val="2"/>
          <w:szCs w:val="21"/>
        </w:rPr>
        <w:t>具体、明确的质疑事项和与质疑事项相关的请求；</w:t>
      </w:r>
    </w:p>
    <w:p>
      <w:pPr>
        <w:pStyle w:val="327"/>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3.2.3.4</w:t>
      </w:r>
      <w:r>
        <w:rPr>
          <w:rFonts w:ascii="仿宋" w:hAnsi="仿宋" w:eastAsia="仿宋" w:cs="Arial"/>
          <w:snapToGrid w:val="0"/>
          <w:kern w:val="2"/>
          <w:szCs w:val="21"/>
        </w:rPr>
        <w:t>事实依据；</w:t>
      </w:r>
    </w:p>
    <w:p>
      <w:pPr>
        <w:pStyle w:val="327"/>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3.2.3.5</w:t>
      </w:r>
      <w:r>
        <w:rPr>
          <w:rFonts w:ascii="仿宋" w:hAnsi="仿宋" w:eastAsia="仿宋" w:cs="Arial"/>
          <w:snapToGrid w:val="0"/>
          <w:kern w:val="2"/>
          <w:szCs w:val="21"/>
        </w:rPr>
        <w:t>必要的法律依据；</w:t>
      </w:r>
    </w:p>
    <w:p>
      <w:pPr>
        <w:pStyle w:val="327"/>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zh-CN"/>
        </w:rPr>
        <w:t>3.2.3.6</w:t>
      </w:r>
      <w:r>
        <w:rPr>
          <w:rFonts w:ascii="仿宋" w:hAnsi="仿宋" w:eastAsia="仿宋" w:cs="Arial"/>
          <w:snapToGrid w:val="0"/>
          <w:kern w:val="2"/>
          <w:szCs w:val="21"/>
        </w:rPr>
        <w:t>提出质疑的日期。</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.5询问或者质疑事项可能影响采购结果的，采购人应当暂停签订合同，已经签订合同的，应当中止履行合同。</w:t>
      </w:r>
    </w:p>
    <w:p>
      <w:pPr>
        <w:pStyle w:val="327"/>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3.2.6质疑接收人：详见前附表</w:t>
      </w:r>
    </w:p>
    <w:p>
      <w:pPr>
        <w:pStyle w:val="327"/>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3.3供应商投诉</w:t>
      </w:r>
    </w:p>
    <w:p>
      <w:pPr>
        <w:pStyle w:val="327"/>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rPr>
        <w:t>督管理部门提出投诉。</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.3供应商投诉应当有明确的请求和必要的证明材料。</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.4 以联合体形式参加国企采购活动的，其投诉应当由组成联合体的所有供应商共同提出。</w:t>
      </w:r>
    </w:p>
    <w:p>
      <w:pPr>
        <w:pStyle w:val="32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28"/>
        <w:snapToGrid w:val="0"/>
        <w:spacing w:before="0"/>
        <w:ind w:firstLine="36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bookmarkStart w:id="40" w:name="_Hlt68057669"/>
      <w:bookmarkEnd w:id="40"/>
      <w:bookmarkStart w:id="41" w:name="_Hlt75236290"/>
      <w:bookmarkEnd w:id="41"/>
      <w:bookmarkStart w:id="42" w:name="_Hlt74714665"/>
      <w:bookmarkEnd w:id="42"/>
      <w:bookmarkStart w:id="43" w:name="_Hlt74707468"/>
      <w:bookmarkEnd w:id="43"/>
      <w:bookmarkStart w:id="44" w:name="_Hlt74730295"/>
      <w:bookmarkEnd w:id="44"/>
      <w:bookmarkStart w:id="45" w:name="_Hlt74729768"/>
      <w:bookmarkEnd w:id="45"/>
      <w:bookmarkStart w:id="46" w:name="_Hlt68072990"/>
      <w:bookmarkEnd w:id="46"/>
      <w:bookmarkStart w:id="47" w:name="_Toc91899879"/>
      <w:r>
        <w:rPr>
          <w:rFonts w:hint="eastAsia" w:ascii="仿宋" w:hAnsi="仿宋" w:eastAsia="仿宋" w:cs="仿宋_GB2312"/>
          <w:b/>
          <w:sz w:val="32"/>
          <w:szCs w:val="20"/>
        </w:rPr>
        <w:t>二、招标文件</w:t>
      </w:r>
      <w:bookmarkEnd w:id="47"/>
      <w:r>
        <w:rPr>
          <w:rFonts w:hint="eastAsia" w:ascii="仿宋" w:hAnsi="仿宋" w:eastAsia="仿宋" w:cs="仿宋_GB2312"/>
          <w:b/>
          <w:sz w:val="32"/>
          <w:szCs w:val="20"/>
        </w:rPr>
        <w:t>的构成、澄清、修改</w:t>
      </w:r>
    </w:p>
    <w:p>
      <w:pPr>
        <w:pStyle w:val="32"/>
        <w:spacing w:line="360" w:lineRule="auto"/>
        <w:ind w:firstLine="482" w:firstLineChars="200"/>
        <w:rPr>
          <w:rFonts w:ascii="仿宋" w:hAnsi="仿宋" w:eastAsia="仿宋" w:cs="仿宋_GB2312"/>
          <w:b/>
          <w:sz w:val="24"/>
          <w:szCs w:val="24"/>
        </w:rPr>
      </w:pPr>
      <w:bookmarkStart w:id="48" w:name="_Toc91899880"/>
      <w:bookmarkStart w:id="49" w:name="_Hlt74730307"/>
      <w:r>
        <w:rPr>
          <w:rFonts w:hint="eastAsia" w:ascii="仿宋" w:hAnsi="仿宋" w:eastAsia="仿宋" w:cs="仿宋_GB2312"/>
          <w:b/>
          <w:sz w:val="24"/>
          <w:szCs w:val="24"/>
        </w:rPr>
        <w:t>4．招标文件的构成</w:t>
      </w:r>
      <w:bookmarkEnd w:id="48"/>
    </w:p>
    <w:bookmarkEnd w:id="49"/>
    <w:p>
      <w:pPr>
        <w:pStyle w:val="32"/>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4.1 招标文件包括下列文件及附件</w:t>
      </w:r>
    </w:p>
    <w:p>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jc w:val="left"/>
        <w:rPr>
          <w:rFonts w:ascii="仿宋" w:hAnsi="仿宋" w:eastAsia="仿宋"/>
          <w:bCs/>
          <w:sz w:val="24"/>
        </w:rPr>
      </w:pPr>
      <w:r>
        <w:rPr>
          <w:rFonts w:hint="eastAsia" w:ascii="仿宋" w:hAnsi="仿宋" w:eastAsia="仿宋"/>
          <w:sz w:val="24"/>
        </w:rPr>
        <w:t>4.2与本项目有关的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浙江政府采购网网址http://www.zjzfcg.gov.cn</w:t>
      </w:r>
      <w:r>
        <w:rPr>
          <w:rFonts w:ascii="仿宋" w:hAnsi="仿宋" w:eastAsia="仿宋"/>
          <w:bCs/>
          <w:sz w:val="24"/>
        </w:rPr>
        <w:t>）</w:t>
      </w:r>
      <w:r>
        <w:rPr>
          <w:rFonts w:hint="eastAsia" w:ascii="仿宋" w:hAnsi="仿宋" w:eastAsia="仿宋" w:cs="仿宋_GB2312"/>
          <w:sz w:val="24"/>
        </w:rPr>
        <w:t>。</w:t>
      </w:r>
    </w:p>
    <w:p>
      <w:pPr>
        <w:pStyle w:val="32"/>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5. 招标文件的澄清、修改</w:t>
      </w:r>
    </w:p>
    <w:p>
      <w:pPr>
        <w:pStyle w:val="228"/>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adjustRightInd/>
        <w:spacing w:line="360" w:lineRule="auto"/>
        <w:jc w:val="center"/>
        <w:outlineLvl w:val="0"/>
        <w:rPr>
          <w:rFonts w:ascii="仿宋" w:hAnsi="仿宋" w:eastAsia="仿宋" w:cs="仿宋_GB2312"/>
          <w:b/>
          <w:sz w:val="32"/>
          <w:szCs w:val="20"/>
        </w:rPr>
      </w:pPr>
      <w:bookmarkStart w:id="50" w:name="_Hlt75236011"/>
      <w:bookmarkEnd w:id="50"/>
      <w:bookmarkStart w:id="51" w:name="_Toc91899884"/>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三、投标</w:t>
      </w:r>
      <w:bookmarkEnd w:id="51"/>
    </w:p>
    <w:p>
      <w:pPr>
        <w:pStyle w:val="32"/>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6.招标文件的获取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7.开标前答疑会或现场考察</w:t>
      </w:r>
    </w:p>
    <w:p>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2"/>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8.投标保证金</w:t>
      </w:r>
    </w:p>
    <w:p>
      <w:pPr>
        <w:pStyle w:val="228"/>
        <w:snapToGrid w:val="0"/>
        <w:spacing w:before="0"/>
        <w:ind w:firstLine="480"/>
        <w:rPr>
          <w:rFonts w:ascii="仿宋" w:hAnsi="仿宋" w:eastAsia="仿宋" w:cs="仿宋_GB2312"/>
          <w:lang w:val="zh-CN"/>
        </w:rPr>
      </w:pPr>
      <w:r>
        <w:rPr>
          <w:rFonts w:hint="eastAsia" w:ascii="仿宋" w:hAnsi="仿宋" w:eastAsia="仿宋"/>
        </w:rPr>
        <w:t>本项目不收取投标保证金。</w:t>
      </w:r>
    </w:p>
    <w:p>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9.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投标文件的组成</w:t>
      </w:r>
    </w:p>
    <w:p>
      <w:pPr>
        <w:pStyle w:val="32"/>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10.1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（以联合体形式进行国企采购的，参加联合体的供应商均应当提供）</w:t>
      </w:r>
    </w:p>
    <w:p>
      <w:pPr>
        <w:pStyle w:val="32"/>
        <w:spacing w:line="360" w:lineRule="auto"/>
        <w:ind w:firstLine="480" w:firstLineChars="200"/>
        <w:rPr>
          <w:rFonts w:ascii="仿宋" w:hAnsi="仿宋" w:eastAsia="仿宋"/>
          <w:sz w:val="24"/>
        </w:rPr>
      </w:pPr>
      <w:bookmarkStart w:id="54" w:name="_Hlt68073093"/>
      <w:bookmarkEnd w:id="54"/>
      <w:bookmarkStart w:id="55" w:name="_Hlt68072998"/>
      <w:bookmarkEnd w:id="55"/>
      <w:bookmarkStart w:id="56" w:name="_Hlt68403820"/>
      <w:bookmarkEnd w:id="56"/>
      <w:r>
        <w:rPr>
          <w:rFonts w:hint="eastAsia" w:ascii="仿宋" w:hAnsi="仿宋" w:eastAsia="仿宋"/>
          <w:sz w:val="24"/>
        </w:rPr>
        <w:t>10.1.1营业执照(或事业法人登记证或其他工商等登记证明材料)复印件（投标人为自然人的，提供自然人的身份证明）</w:t>
      </w:r>
      <w:r>
        <w:rPr>
          <w:rFonts w:hint="eastAsia" w:ascii="仿宋" w:hAnsi="仿宋" w:eastAsia="仿宋"/>
          <w:b/>
          <w:sz w:val="24"/>
        </w:rPr>
        <w:t>；</w:t>
      </w:r>
    </w:p>
    <w:p>
      <w:pPr>
        <w:pStyle w:val="32"/>
        <w:spacing w:line="360" w:lineRule="auto"/>
        <w:ind w:firstLine="480" w:firstLineChars="200"/>
        <w:rPr>
          <w:rFonts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line="360" w:lineRule="auto"/>
        <w:ind w:firstLine="480" w:firstLineChars="200"/>
        <w:rPr>
          <w:rFonts w:ascii="仿宋" w:hAnsi="仿宋" w:eastAsia="仿宋" w:cs="仿宋_GB2312"/>
          <w:sz w:val="24"/>
        </w:rPr>
      </w:pPr>
      <w:r>
        <w:rPr>
          <w:rFonts w:hint="eastAsia" w:ascii="仿宋" w:hAnsi="仿宋" w:eastAsia="仿宋" w:cs="仿宋_GB2312"/>
          <w:sz w:val="24"/>
        </w:rPr>
        <w:t>10.1.2投标声明函；</w:t>
      </w:r>
    </w:p>
    <w:p>
      <w:pPr>
        <w:pStyle w:val="32"/>
        <w:adjustRightInd/>
        <w:spacing w:line="360" w:lineRule="auto"/>
        <w:ind w:firstLine="480" w:firstLineChars="200"/>
        <w:rPr>
          <w:rFonts w:ascii="仿宋" w:hAnsi="仿宋" w:eastAsia="仿宋" w:cs="仿宋_GB2312"/>
          <w:sz w:val="24"/>
        </w:rPr>
      </w:pPr>
      <w:r>
        <w:rPr>
          <w:rFonts w:hint="eastAsia" w:ascii="仿宋" w:hAnsi="仿宋" w:eastAsia="仿宋" w:cs="仿宋_GB2312"/>
          <w:sz w:val="24"/>
        </w:rPr>
        <w:t>10.1.3联合体协议书（如有）；</w:t>
      </w:r>
      <w:r>
        <w:rPr>
          <w:rFonts w:hint="eastAsia" w:ascii="仿宋" w:hAnsi="仿宋" w:eastAsia="仿宋"/>
          <w:sz w:val="24"/>
        </w:rPr>
        <w:t>如以联合体形式参加国企采购活动的，</w:t>
      </w:r>
      <w:r>
        <w:rPr>
          <w:rFonts w:hint="eastAsia" w:ascii="仿宋" w:hAnsi="仿宋" w:eastAsia="仿宋"/>
          <w:sz w:val="24"/>
          <w:szCs w:val="24"/>
        </w:rPr>
        <w:t>联合体各方应当指定牵头人，授权其代表所有联合体成员负责投标和合同实施阶段的主办、协调工作，并应当</w:t>
      </w:r>
      <w:r>
        <w:rPr>
          <w:rFonts w:hint="eastAsia" w:ascii="仿宋" w:hAnsi="仿宋" w:eastAsia="仿宋"/>
          <w:sz w:val="24"/>
        </w:rPr>
        <w:t>提交联合体协议书，载明联合体各方承担的工作和义务；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10.1.4法定代表人授权书；</w:t>
      </w:r>
      <w:r>
        <w:rPr>
          <w:rFonts w:hint="eastAsia" w:ascii="仿宋" w:hAnsi="仿宋" w:eastAsia="仿宋"/>
          <w:sz w:val="24"/>
        </w:rPr>
        <w:t>如以联合体形式参加国企采购活动的，只需提供联合体牵头人法定代表人授权委托书；</w:t>
      </w:r>
      <w:r>
        <w:rPr>
          <w:rFonts w:hint="eastAsia" w:ascii="仿宋" w:hAnsi="仿宋" w:eastAsia="仿宋" w:cs="仿宋_GB2312"/>
          <w:sz w:val="24"/>
        </w:rPr>
        <w:t>如投标人代表系法定代表人，无需提供法定代表人授权委托书；</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10.1.5法定代表人及其授权代表的身份证复印件（正反面复印件）；如投标人代表系法定代表人，只需提供其身份证复印件（正反面复印件）；</w:t>
      </w:r>
    </w:p>
    <w:p>
      <w:pPr>
        <w:snapToGrid w:val="0"/>
        <w:spacing w:line="360" w:lineRule="auto"/>
        <w:ind w:firstLine="480" w:firstLineChars="200"/>
        <w:rPr>
          <w:rFonts w:hint="eastAsia" w:ascii="仿宋" w:hAnsi="仿宋" w:eastAsia="仿宋" w:cs="仿宋_GB2312"/>
          <w:sz w:val="24"/>
          <w:highlight w:val="none"/>
          <w:lang w:eastAsia="zh-CN"/>
        </w:rPr>
      </w:pPr>
      <w:r>
        <w:rPr>
          <w:rFonts w:hint="eastAsia" w:ascii="仿宋" w:hAnsi="仿宋" w:eastAsia="仿宋" w:cs="仿宋_GB2312"/>
          <w:sz w:val="24"/>
          <w:highlight w:val="none"/>
        </w:rPr>
        <w:t>10.1.6符合特定资格条件的有关证明材料：</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如有</w:t>
      </w:r>
      <w:r>
        <w:rPr>
          <w:rFonts w:hint="eastAsia" w:ascii="仿宋" w:hAnsi="仿宋" w:eastAsia="仿宋" w:cs="仿宋_GB2312"/>
          <w:sz w:val="24"/>
          <w:highlight w:val="none"/>
          <w:lang w:eastAsia="zh-CN"/>
        </w:rPr>
        <w:t>）</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10.2 投标人的</w:t>
      </w:r>
      <w:r>
        <w:rPr>
          <w:rFonts w:hint="eastAsia" w:ascii="仿宋" w:hAnsi="仿宋" w:eastAsia="仿宋" w:cs="仿宋_GB2312"/>
          <w:b/>
          <w:sz w:val="24"/>
        </w:rPr>
        <w:t>商务技术</w:t>
      </w:r>
      <w:r>
        <w:rPr>
          <w:rFonts w:hint="eastAsia" w:ascii="仿宋" w:hAnsi="仿宋" w:eastAsia="仿宋" w:cs="仿宋_GB2312"/>
          <w:b/>
          <w:kern w:val="0"/>
          <w:sz w:val="24"/>
          <w:lang w:val="zh-CN"/>
        </w:rPr>
        <w:t>文件</w:t>
      </w:r>
      <w:r>
        <w:rPr>
          <w:rFonts w:hint="eastAsia" w:ascii="仿宋" w:hAnsi="仿宋" w:eastAsia="仿宋" w:cs="仿宋_GB2312"/>
          <w:kern w:val="0"/>
          <w:sz w:val="24"/>
          <w:lang w:val="zh-CN"/>
        </w:rPr>
        <w:t>应包括以下内容：</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10.2.1</w:t>
      </w:r>
      <w:r>
        <w:rPr>
          <w:rFonts w:hint="eastAsia" w:ascii="仿宋" w:hAnsi="仿宋" w:eastAsia="仿宋" w:cs="仿宋_GB2312"/>
          <w:snapToGrid w:val="0"/>
          <w:kern w:val="0"/>
          <w:sz w:val="24"/>
          <w:szCs w:val="21"/>
          <w:lang w:val="zh-CN"/>
        </w:rPr>
        <w:t>评分对应表；如果本项目评标办法采用综合评审法，投标人需在商务技术文件中提供此评分对应表，供评标委员会评审时使用。</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lang w:val="en-US" w:eastAsia="zh-CN"/>
        </w:rPr>
        <w:t>2</w:t>
      </w:r>
      <w:r>
        <w:rPr>
          <w:rFonts w:hint="eastAsia" w:ascii="仿宋" w:hAnsi="仿宋" w:eastAsia="仿宋" w:cs="仿宋_GB2312"/>
          <w:kern w:val="0"/>
          <w:sz w:val="24"/>
          <w:lang w:val="zh-CN"/>
        </w:rPr>
        <w:t>商务响应表；</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rPr>
        <w:t>10.2.</w:t>
      </w:r>
      <w:r>
        <w:rPr>
          <w:rFonts w:hint="eastAsia" w:ascii="仿宋" w:hAnsi="仿宋" w:eastAsia="仿宋" w:cs="仿宋_GB2312"/>
          <w:sz w:val="24"/>
          <w:lang w:val="en-US" w:eastAsia="zh-CN"/>
        </w:rPr>
        <w:t>3</w:t>
      </w:r>
      <w:r>
        <w:rPr>
          <w:rFonts w:hint="eastAsia" w:ascii="仿宋" w:hAnsi="仿宋" w:eastAsia="仿宋" w:cs="仿宋_GB2312"/>
          <w:kern w:val="0"/>
          <w:sz w:val="24"/>
          <w:lang w:val="zh-CN"/>
        </w:rPr>
        <w:t>项目组织实施方案;项目组织实施方案包括但不限于以下内容：组织机构、工作时间进度表、工作程序和步骤、管理和协调方法、关键步骤的思路和要点；</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lang w:val="en-US" w:eastAsia="zh-CN"/>
        </w:rPr>
        <w:t>4</w:t>
      </w:r>
      <w:r>
        <w:rPr>
          <w:rFonts w:hint="eastAsia" w:ascii="仿宋" w:hAnsi="仿宋" w:eastAsia="仿宋" w:cs="仿宋_GB2312"/>
          <w:kern w:val="0"/>
          <w:sz w:val="24"/>
          <w:lang w:val="zh-CN"/>
        </w:rPr>
        <w:t>项目负责人情况表；</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lang w:val="en-US" w:eastAsia="zh-CN"/>
        </w:rPr>
        <w:t>5</w:t>
      </w:r>
      <w:r>
        <w:rPr>
          <w:rFonts w:hint="eastAsia" w:ascii="仿宋" w:hAnsi="仿宋" w:eastAsia="仿宋" w:cs="仿宋_GB2312"/>
          <w:kern w:val="0"/>
          <w:sz w:val="24"/>
          <w:lang w:val="zh-CN"/>
        </w:rPr>
        <w:t>项目组人员名单；</w:t>
      </w:r>
    </w:p>
    <w:p>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w:t>
      </w:r>
      <w:r>
        <w:rPr>
          <w:rFonts w:hint="eastAsia" w:ascii="仿宋" w:hAnsi="仿宋" w:eastAsia="仿宋" w:cs="仿宋_GB2312"/>
          <w:sz w:val="24"/>
          <w:lang w:val="en-US" w:eastAsia="zh-CN"/>
        </w:rPr>
        <w:t>6</w:t>
      </w:r>
      <w:r>
        <w:rPr>
          <w:rFonts w:hint="eastAsia" w:ascii="仿宋" w:hAnsi="仿宋" w:eastAsia="仿宋" w:cs="仿宋_GB2312"/>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w:t>
      </w:r>
      <w:r>
        <w:rPr>
          <w:rFonts w:hint="eastAsia" w:ascii="仿宋" w:hAnsi="仿宋" w:eastAsia="仿宋" w:cs="仿宋_GB2312"/>
          <w:sz w:val="24"/>
          <w:lang w:val="en-US" w:eastAsia="zh-CN"/>
        </w:rPr>
        <w:t>7</w:t>
      </w:r>
      <w:r>
        <w:rPr>
          <w:rFonts w:hint="eastAsia" w:ascii="仿宋" w:hAnsi="仿宋" w:eastAsia="仿宋" w:cs="仿宋_GB2312"/>
          <w:kern w:val="0"/>
          <w:sz w:val="24"/>
          <w:lang w:val="zh-CN"/>
        </w:rPr>
        <w:t>优惠条件及特殊承诺（如有）；</w:t>
      </w:r>
    </w:p>
    <w:p>
      <w:pPr>
        <w:adjustRightInd/>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10.2.</w:t>
      </w:r>
      <w:r>
        <w:rPr>
          <w:rFonts w:hint="eastAsia" w:ascii="仿宋" w:hAnsi="仿宋" w:eastAsia="仿宋" w:cs="仿宋_GB2312"/>
          <w:sz w:val="24"/>
          <w:lang w:val="en-US" w:eastAsia="zh-CN"/>
        </w:rPr>
        <w:t>8</w:t>
      </w:r>
      <w:r>
        <w:rPr>
          <w:rFonts w:hint="eastAsia" w:ascii="仿宋" w:hAnsi="仿宋" w:eastAsia="仿宋" w:cs="仿宋_GB2312"/>
          <w:kern w:val="0"/>
          <w:sz w:val="24"/>
          <w:lang w:val="zh-CN"/>
        </w:rPr>
        <w:t>投标人认为需要的其他商务技术文件或说明</w:t>
      </w:r>
      <w:r>
        <w:rPr>
          <w:rFonts w:hint="eastAsia" w:ascii="仿宋" w:hAnsi="仿宋" w:eastAsia="仿宋" w:cs="仿宋_GB2312"/>
          <w:snapToGrid w:val="0"/>
          <w:kern w:val="0"/>
          <w:sz w:val="24"/>
          <w:lang w:val="zh-CN"/>
        </w:rPr>
        <w:t>。</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10.3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10.3.1投标(开标)一览表。</w:t>
      </w:r>
    </w:p>
    <w:p>
      <w:pPr>
        <w:pStyle w:val="228"/>
        <w:snapToGrid w:val="0"/>
        <w:spacing w:before="0"/>
        <w:ind w:firstLine="482"/>
        <w:outlineLvl w:val="0"/>
        <w:rPr>
          <w:rFonts w:ascii="仿宋" w:hAnsi="仿宋" w:eastAsia="仿宋" w:cs="仿宋_GB2312"/>
          <w:b/>
          <w:szCs w:val="24"/>
        </w:rPr>
      </w:pPr>
      <w:bookmarkStart w:id="57" w:name="_Toc91899887"/>
      <w:r>
        <w:rPr>
          <w:rFonts w:hint="eastAsia" w:ascii="仿宋" w:hAnsi="仿宋" w:eastAsia="仿宋" w:cs="仿宋_GB2312"/>
          <w:b/>
          <w:szCs w:val="24"/>
        </w:rPr>
        <w:t>11</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pPr>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12.投标文件的签署、盖章</w:t>
      </w:r>
    </w:p>
    <w:p>
      <w:pPr>
        <w:pStyle w:val="228"/>
        <w:snapToGrid w:val="0"/>
        <w:spacing w:before="0"/>
        <w:ind w:firstLine="480"/>
        <w:rPr>
          <w:rFonts w:ascii="仿宋" w:hAnsi="仿宋" w:eastAsia="仿宋" w:cs="仿宋_GB2312"/>
        </w:rPr>
      </w:pPr>
      <w:r>
        <w:rPr>
          <w:rFonts w:hint="eastAsia" w:ascii="仿宋" w:hAnsi="仿宋" w:eastAsia="仿宋" w:cs="仿宋_GB2312"/>
          <w:szCs w:val="24"/>
        </w:rPr>
        <w:t>12.1投标文件按照招标文件第六部分格式要</w:t>
      </w:r>
      <w:r>
        <w:rPr>
          <w:rFonts w:hint="eastAsia" w:ascii="仿宋" w:hAnsi="仿宋" w:eastAsia="仿宋" w:cs="仿宋_GB2312"/>
        </w:rPr>
        <w:t>求进行签署、盖章。</w:t>
      </w:r>
    </w:p>
    <w:p>
      <w:pPr>
        <w:pStyle w:val="228"/>
        <w:snapToGrid w:val="0"/>
        <w:spacing w:before="0"/>
        <w:ind w:firstLine="482"/>
        <w:rPr>
          <w:rFonts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28"/>
        <w:snapToGrid w:val="0"/>
        <w:spacing w:before="0"/>
        <w:ind w:firstLine="480"/>
        <w:rPr>
          <w:rFonts w:ascii="仿宋" w:hAnsi="仿宋" w:eastAsia="仿宋" w:cs="仿宋_GB2312"/>
          <w:szCs w:val="24"/>
        </w:rPr>
      </w:pPr>
      <w:r>
        <w:rPr>
          <w:rFonts w:hint="eastAsia" w:ascii="仿宋" w:hAnsi="仿宋" w:eastAsia="仿宋" w:cs="仿宋_GB2312"/>
        </w:rPr>
        <w:t>12.2为确保网上操作合法、有效和安全，投标人应当在投标截止时间前完成在“政府采购云平台”的身份认证，确保在电子投标过程中能够对相关数据电文进行加密和使用电子签名。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13. 投标文件的提交、补充、修改、撤回</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8"/>
        <w:spacing w:before="0"/>
        <w:ind w:firstLine="480"/>
        <w:rPr>
          <w:rFonts w:ascii="仿宋" w:hAnsi="仿宋" w:eastAsia="仿宋" w:cs="仿宋_GB2312"/>
          <w:szCs w:val="24"/>
        </w:rPr>
      </w:pPr>
      <w:r>
        <w:rPr>
          <w:rFonts w:hint="eastAsia" w:ascii="仿宋" w:hAnsi="仿宋" w:eastAsia="仿宋" w:cs="仿宋_GB2312"/>
          <w:szCs w:val="24"/>
        </w:rPr>
        <w:t>13.2在投标截止时间前，除供应商补充、修改或者撤回投标文件外，任何单位和个人不得解密或提取投标文件。</w:t>
      </w:r>
    </w:p>
    <w:p>
      <w:pPr>
        <w:pStyle w:val="228"/>
        <w:spacing w:before="0"/>
        <w:ind w:firstLine="480"/>
        <w:rPr>
          <w:rFonts w:ascii="仿宋" w:hAnsi="仿宋" w:eastAsia="仿宋" w:cs="仿宋_GB2312"/>
          <w:szCs w:val="24"/>
        </w:rPr>
      </w:pPr>
      <w:r>
        <w:rPr>
          <w:rFonts w:hint="eastAsia" w:ascii="仿宋" w:hAnsi="仿宋" w:eastAsia="仿宋" w:cs="仿宋_GB2312"/>
          <w:szCs w:val="24"/>
        </w:rPr>
        <w:t>13.3采购代理机构可以视情况延长投标文件提交的截止时间。在上述情况下，采购代理机构与投标人以前在投标截止期方面的全部权利、责任和义务，将适用于延长至新的投标截止期。</w:t>
      </w:r>
    </w:p>
    <w:p>
      <w:pPr>
        <w:pStyle w:val="228"/>
        <w:spacing w:before="0"/>
        <w:ind w:firstLine="482"/>
        <w:rPr>
          <w:rFonts w:ascii="仿宋" w:hAnsi="仿宋" w:eastAsia="仿宋" w:cs="仿宋_GB2312"/>
          <w:b/>
          <w:szCs w:val="24"/>
        </w:rPr>
      </w:pPr>
      <w:r>
        <w:rPr>
          <w:rFonts w:hint="eastAsia" w:ascii="仿宋" w:hAnsi="仿宋" w:eastAsia="仿宋" w:cs="仿宋_GB2312"/>
          <w:b/>
          <w:szCs w:val="24"/>
        </w:rPr>
        <w:t>14.投标文件的无效处理</w:t>
      </w:r>
    </w:p>
    <w:p>
      <w:pPr>
        <w:pStyle w:val="24"/>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28"/>
        <w:spacing w:before="0"/>
        <w:ind w:firstLine="482"/>
        <w:rPr>
          <w:rFonts w:ascii="仿宋" w:hAnsi="仿宋" w:eastAsia="仿宋" w:cs="仿宋_GB2312"/>
          <w:b/>
          <w:szCs w:val="24"/>
        </w:rPr>
      </w:pPr>
      <w:r>
        <w:rPr>
          <w:rFonts w:hint="eastAsia" w:ascii="仿宋" w:hAnsi="仿宋" w:eastAsia="仿宋" w:cs="仿宋_GB2312"/>
          <w:b/>
          <w:szCs w:val="24"/>
        </w:rPr>
        <w:t>15.投标有效期</w:t>
      </w:r>
    </w:p>
    <w:p>
      <w:pPr>
        <w:spacing w:line="360" w:lineRule="auto"/>
        <w:ind w:firstLine="480" w:firstLineChars="200"/>
        <w:rPr>
          <w:rFonts w:ascii="仿宋" w:hAnsi="仿宋" w:eastAsia="仿宋" w:cs="仿宋_GB2312"/>
          <w:sz w:val="24"/>
          <w:szCs w:val="20"/>
        </w:rPr>
      </w:pPr>
      <w:r>
        <w:rPr>
          <w:rFonts w:hint="eastAsia" w:ascii="仿宋" w:hAnsi="仿宋" w:eastAsia="仿宋" w:cs="仿宋_GB2312"/>
          <w:sz w:val="24"/>
          <w:szCs w:val="20"/>
        </w:rPr>
        <w:t>15.1投标有效期为从提交投标文件的截止之日起90天。</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28"/>
        <w:spacing w:before="0"/>
        <w:ind w:firstLine="480"/>
        <w:rPr>
          <w:rFonts w:ascii="仿宋" w:hAnsi="仿宋" w:eastAsia="仿宋" w:cs="仿宋_GB2312"/>
        </w:rPr>
      </w:pPr>
      <w:r>
        <w:rPr>
          <w:rFonts w:hint="eastAsia" w:ascii="仿宋" w:hAnsi="仿宋" w:eastAsia="仿宋" w:cs="仿宋_GB2312"/>
        </w:rPr>
        <w:t>15.2投标文件合格投递后，自投标截止日期起，在投标有效期内有效。投标有效期内，投标人不得撤销或更换投标文件。</w:t>
      </w:r>
    </w:p>
    <w:p>
      <w:pPr>
        <w:pStyle w:val="228"/>
        <w:spacing w:before="0"/>
        <w:ind w:firstLine="480"/>
        <w:rPr>
          <w:rFonts w:ascii="仿宋" w:hAnsi="仿宋" w:eastAsia="仿宋" w:cs="仿宋_GB2312"/>
        </w:rPr>
      </w:pPr>
      <w:r>
        <w:rPr>
          <w:rFonts w:hint="eastAsia" w:ascii="仿宋" w:hAnsi="仿宋" w:eastAsia="仿宋" w:cs="仿宋_GB2312"/>
        </w:rPr>
        <w:t>15.3在原定投标有效期满之前，如果出现特殊情况，采购代理机构可以以公告形式通知投标人延长投标有效期。投标人同意延长的，不得要求或被允许修改其投标文件，投标人拒绝延长的，其投标无效。</w:t>
      </w:r>
    </w:p>
    <w:p>
      <w:pPr>
        <w:pStyle w:val="228"/>
        <w:spacing w:before="0"/>
        <w:ind w:firstLine="643"/>
        <w:rPr>
          <w:rFonts w:ascii="仿宋" w:hAnsi="仿宋" w:eastAsia="仿宋" w:cs="仿宋_GB2312"/>
          <w:b/>
          <w:sz w:val="32"/>
        </w:rPr>
      </w:pPr>
      <w:bookmarkStart w:id="58" w:name="_Toc91899897"/>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四、开标</w:t>
      </w:r>
      <w:bookmarkEnd w:id="58"/>
      <w:r>
        <w:rPr>
          <w:rFonts w:hint="eastAsia" w:ascii="仿宋" w:hAnsi="仿宋" w:eastAsia="仿宋" w:cs="仿宋_GB2312"/>
          <w:b/>
          <w:sz w:val="32"/>
          <w:szCs w:val="20"/>
        </w:rPr>
        <w:t>、资格审查与信用信息查询</w:t>
      </w:r>
    </w:p>
    <w:p>
      <w:pPr>
        <w:pStyle w:val="344"/>
        <w:spacing w:before="0" w:line="360" w:lineRule="auto"/>
        <w:ind w:left="0" w:firstLine="482" w:firstLineChars="200"/>
        <w:contextualSpacing/>
        <w:rPr>
          <w:rFonts w:ascii="仿宋_GB2312" w:eastAsia="仿宋_GB2312"/>
          <w:sz w:val="24"/>
        </w:rPr>
      </w:pPr>
      <w:r>
        <w:rPr>
          <w:rFonts w:hint="eastAsia" w:ascii="仿宋" w:hAnsi="仿宋" w:eastAsia="仿宋" w:cs="仿宋_GB2312"/>
          <w:b/>
          <w:sz w:val="24"/>
          <w:szCs w:val="24"/>
        </w:rPr>
        <w:t>16.开标</w:t>
      </w:r>
      <w:r>
        <w:rPr>
          <w:rFonts w:hint="eastAsia" w:ascii="仿宋_GB2312" w:eastAsia="仿宋_GB2312"/>
          <w:sz w:val="24"/>
        </w:rPr>
        <w:t xml:space="preserve"> </w:t>
      </w:r>
    </w:p>
    <w:p>
      <w:pPr>
        <w:pStyle w:val="344"/>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16.1采购代理机构按照招标文件规定的时间通过电子交易平台组织开标，所有投标人均应当准时在线参加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344"/>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16.2开标时，电子交易平台按开标时间自动提取所有投标文件。采购代理机构依托电子交易平台发起开始解密指令，投标人按照平台提示和招标文件的规定在1小时内完成在线解密。</w:t>
      </w:r>
    </w:p>
    <w:p>
      <w:pPr>
        <w:pStyle w:val="344"/>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sz w:val="24"/>
        </w:rPr>
        <w:t>17、资格审查</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17.1开标后，采购人或采购代理机构将依法对投标人的资格进行审查。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17.2</w:t>
      </w:r>
      <w:r>
        <w:rPr>
          <w:rFonts w:hint="eastAsia" w:ascii="仿宋" w:hAnsi="仿宋" w:eastAsia="仿宋" w:cs="仿宋_GB2312"/>
          <w:sz w:val="24"/>
        </w:rPr>
        <w:t>采购人或采购代理机构依据法律法规和招标文件的规定，对投标人的基本资格条件、特定资格条件进行审查。</w:t>
      </w:r>
    </w:p>
    <w:p>
      <w:pPr>
        <w:pStyle w:val="228"/>
        <w:spacing w:before="0"/>
        <w:ind w:firstLine="480"/>
        <w:rPr>
          <w:rFonts w:ascii="仿宋" w:hAnsi="仿宋" w:eastAsia="仿宋" w:cs="仿宋_GB2312"/>
        </w:rPr>
      </w:pPr>
      <w:r>
        <w:rPr>
          <w:rFonts w:hint="eastAsia" w:ascii="仿宋" w:hAnsi="仿宋" w:eastAsia="仿宋" w:cs="Arial"/>
          <w:kern w:val="0"/>
          <w:szCs w:val="24"/>
        </w:rPr>
        <w:t>17.3投标人未按照招标文件要求提供与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228"/>
        <w:spacing w:before="0"/>
        <w:ind w:firstLine="480"/>
        <w:rPr>
          <w:rFonts w:ascii="仿宋" w:hAnsi="仿宋" w:eastAsia="仿宋" w:cs="仿宋_GB2312"/>
        </w:rPr>
      </w:pPr>
      <w:r>
        <w:rPr>
          <w:rFonts w:hint="eastAsia" w:ascii="仿宋" w:hAnsi="仿宋" w:eastAsia="仿宋" w:cs="仿宋_GB2312"/>
        </w:rPr>
        <w:t>17.4对未通过资格审查的投标人，采购人或采购代理机构告知其未通过的原因。</w:t>
      </w:r>
    </w:p>
    <w:p>
      <w:pPr>
        <w:pStyle w:val="228"/>
        <w:spacing w:before="0"/>
        <w:ind w:firstLine="480"/>
        <w:rPr>
          <w:rFonts w:ascii="仿宋" w:hAnsi="仿宋" w:eastAsia="仿宋" w:cs="仿宋_GB2312"/>
        </w:rPr>
      </w:pPr>
      <w:r>
        <w:rPr>
          <w:rFonts w:hint="eastAsia" w:ascii="仿宋" w:hAnsi="仿宋" w:eastAsia="仿宋" w:cs="仿宋_GB2312"/>
        </w:rPr>
        <w:t>17.5合格投标人不足3家的，不再评标。</w:t>
      </w:r>
    </w:p>
    <w:p>
      <w:pPr>
        <w:pStyle w:val="228"/>
        <w:spacing w:before="0"/>
        <w:ind w:firstLine="482"/>
        <w:rPr>
          <w:rFonts w:ascii="仿宋" w:hAnsi="仿宋" w:eastAsia="仿宋" w:cs="仿宋_GB2312"/>
          <w:b/>
          <w:szCs w:val="24"/>
        </w:rPr>
      </w:pPr>
      <w:r>
        <w:rPr>
          <w:rFonts w:hint="eastAsia" w:ascii="仿宋" w:hAnsi="仿宋" w:eastAsia="仿宋" w:cs="仿宋_GB2312"/>
          <w:b/>
          <w:szCs w:val="24"/>
        </w:rPr>
        <w:t>18、信用信息查询</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18.1信用信息查询渠道及截止时间：采购人或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18.2信用信息查询记录和证据留存的具体方式：现场查询的投标人的信用记录、查询结果经确认后将与采购文件一起存档。</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18.3信用信息的使用规则：经查询列入失信被执行人名单、重大税收违法案件当事人名单、政府采购严重违法失信行为记录名单的投标人将被拒绝参与国企采购活动。</w:t>
      </w:r>
    </w:p>
    <w:p>
      <w:pPr>
        <w:pStyle w:val="228"/>
        <w:spacing w:before="0"/>
        <w:ind w:firstLine="480"/>
        <w:rPr>
          <w:rFonts w:ascii="仿宋" w:hAnsi="仿宋" w:eastAsia="仿宋" w:cs="仿宋_GB2312"/>
        </w:rPr>
      </w:pPr>
      <w:r>
        <w:rPr>
          <w:rFonts w:hint="eastAsia" w:ascii="仿宋" w:hAnsi="仿宋" w:eastAsia="仿宋" w:cs="Arial"/>
          <w:kern w:val="0"/>
          <w:szCs w:val="24"/>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28"/>
        <w:spacing w:before="0"/>
        <w:ind w:firstLine="0" w:firstLineChars="0"/>
        <w:rPr>
          <w:rFonts w:ascii="仿宋" w:hAnsi="仿宋" w:eastAsia="仿宋" w:cs="Arial"/>
          <w:kern w:val="0"/>
          <w:szCs w:val="24"/>
        </w:rPr>
      </w:pPr>
    </w:p>
    <w:p>
      <w:pPr>
        <w:adjustRightInd/>
        <w:spacing w:line="360" w:lineRule="auto"/>
        <w:jc w:val="center"/>
        <w:outlineLvl w:val="0"/>
        <w:rPr>
          <w:rFonts w:ascii="仿宋" w:hAnsi="仿宋" w:eastAsia="仿宋" w:cs="仿宋_GB2312"/>
          <w:b/>
          <w:sz w:val="32"/>
          <w:szCs w:val="20"/>
        </w:rPr>
      </w:pPr>
      <w:bookmarkStart w:id="59" w:name="_Hlt75236101"/>
      <w:bookmarkEnd w:id="59"/>
      <w:bookmarkStart w:id="60" w:name="_Toc91899902"/>
      <w:r>
        <w:rPr>
          <w:rFonts w:hint="eastAsia" w:ascii="仿宋" w:hAnsi="仿宋" w:eastAsia="仿宋" w:cs="仿宋_GB2312"/>
          <w:b/>
          <w:sz w:val="32"/>
          <w:szCs w:val="20"/>
        </w:rPr>
        <w:t>五、评标</w:t>
      </w:r>
      <w:bookmarkEnd w:id="60"/>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19.</w:t>
      </w:r>
      <w:r>
        <w:rPr>
          <w:rFonts w:hint="eastAsia" w:ascii="仿宋" w:hAnsi="仿宋" w:eastAsia="仿宋" w:cs="仿宋_GB2312"/>
          <w:sz w:val="24"/>
        </w:rPr>
        <w:t>详见招标文件第四部分“评标方法及评分标准”。</w:t>
      </w:r>
    </w:p>
    <w:p>
      <w:pPr>
        <w:spacing w:line="360" w:lineRule="auto"/>
        <w:rPr>
          <w:rFonts w:ascii="仿宋" w:hAnsi="仿宋" w:eastAsia="仿宋" w:cs="仿宋_GB2312"/>
          <w:b/>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六、定标</w:t>
      </w:r>
    </w:p>
    <w:p>
      <w:pPr>
        <w:pStyle w:val="24"/>
        <w:spacing w:line="360" w:lineRule="auto"/>
        <w:ind w:firstLine="482"/>
        <w:rPr>
          <w:rFonts w:ascii="仿宋" w:hAnsi="仿宋" w:eastAsia="仿宋" w:cs="仿宋_GB2312"/>
          <w:b/>
        </w:rPr>
      </w:pPr>
      <w:r>
        <w:rPr>
          <w:rFonts w:hint="eastAsia" w:ascii="仿宋" w:hAnsi="仿宋" w:eastAsia="仿宋" w:cs="仿宋_GB2312"/>
          <w:b/>
        </w:rPr>
        <w:t>20. 确定中标供应商</w:t>
      </w:r>
    </w:p>
    <w:p>
      <w:pPr>
        <w:pStyle w:val="228"/>
        <w:snapToGrid w:val="0"/>
        <w:spacing w:before="0"/>
        <w:ind w:firstLine="480"/>
        <w:rPr>
          <w:rFonts w:ascii="仿宋" w:hAnsi="仿宋" w:eastAsia="仿宋" w:cs="仿宋_GB2312"/>
          <w:b/>
          <w:szCs w:val="24"/>
        </w:rPr>
      </w:pPr>
      <w:r>
        <w:rPr>
          <w:rFonts w:hint="eastAsia" w:ascii="仿宋" w:hAnsi="仿宋" w:eastAsia="仿宋" w:cs="仿宋_GB2312"/>
          <w:szCs w:val="24"/>
        </w:rPr>
        <w:t>采购代理机构将自评审结束之日起2个工作日内将评审报告送交采购人。采购人将自收到评审报告之日起5个工作日内在评审报告推荐的中标候选人中按顺序确定中标供应商。</w:t>
      </w:r>
    </w:p>
    <w:p>
      <w:pPr>
        <w:pStyle w:val="228"/>
        <w:snapToGrid w:val="0"/>
        <w:spacing w:before="0"/>
        <w:ind w:firstLine="482"/>
        <w:rPr>
          <w:rFonts w:ascii="仿宋" w:hAnsi="仿宋" w:eastAsia="仿宋" w:cs="仿宋_GB2312"/>
          <w:b/>
          <w:szCs w:val="24"/>
        </w:rPr>
      </w:pPr>
      <w:r>
        <w:rPr>
          <w:rFonts w:hint="eastAsia" w:ascii="仿宋" w:hAnsi="仿宋" w:eastAsia="仿宋" w:cs="仿宋_GB2312"/>
          <w:b/>
          <w:szCs w:val="24"/>
        </w:rPr>
        <w:t>21. 中标通知书与中标结果公告</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21.1采购代理机构将在自中标人确定之日起2个工作日内，发布招标公告的网站上公告中标结果，同时发出中标通知书。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21.3</w:t>
      </w:r>
      <w:r>
        <w:rPr>
          <w:rFonts w:ascii="仿宋" w:hAnsi="仿宋" w:eastAsia="仿宋" w:cs="仿宋_GB2312"/>
          <w:sz w:val="24"/>
        </w:rPr>
        <w:t>公告期限为1个工作日。</w:t>
      </w:r>
    </w:p>
    <w:p>
      <w:pPr>
        <w:tabs>
          <w:tab w:val="left" w:pos="0"/>
        </w:tabs>
        <w:spacing w:line="360" w:lineRule="auto"/>
        <w:rPr>
          <w:rFonts w:ascii="仿宋" w:hAnsi="仿宋" w:eastAsia="仿宋"/>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七、</w:t>
      </w:r>
      <w:r>
        <w:rPr>
          <w:rFonts w:ascii="仿宋" w:hAnsi="仿宋" w:eastAsia="仿宋" w:cs="仿宋_GB2312"/>
          <w:b/>
          <w:sz w:val="32"/>
          <w:szCs w:val="20"/>
        </w:rPr>
        <w:t>电子</w:t>
      </w:r>
      <w:r>
        <w:rPr>
          <w:rFonts w:hint="eastAsia" w:ascii="仿宋" w:hAnsi="仿宋" w:eastAsia="仿宋" w:cs="仿宋_GB2312"/>
          <w:b/>
          <w:sz w:val="32"/>
          <w:szCs w:val="20"/>
        </w:rPr>
        <w:t>交易活动的中止</w:t>
      </w:r>
    </w:p>
    <w:p>
      <w:pPr>
        <w:pStyle w:val="228"/>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2.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28"/>
        <w:snapToGrid w:val="0"/>
        <w:spacing w:before="0"/>
        <w:ind w:firstLine="480"/>
        <w:rPr>
          <w:rFonts w:ascii="仿宋" w:hAnsi="仿宋" w:eastAsia="仿宋" w:cs="仿宋_GB2312"/>
        </w:rPr>
      </w:pPr>
      <w:r>
        <w:rPr>
          <w:rFonts w:hint="eastAsia" w:ascii="仿宋" w:hAnsi="仿宋" w:eastAsia="仿宋" w:cs="仿宋_GB2312"/>
        </w:rPr>
        <w:t>22.1电子交易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28"/>
        <w:snapToGrid w:val="0"/>
        <w:spacing w:before="0"/>
        <w:ind w:firstLine="480"/>
        <w:rPr>
          <w:rFonts w:ascii="仿宋" w:hAnsi="仿宋" w:eastAsia="仿宋" w:cs="仿宋_GB2312"/>
        </w:rPr>
      </w:pPr>
      <w:r>
        <w:rPr>
          <w:rFonts w:hint="eastAsia" w:ascii="仿宋" w:hAnsi="仿宋" w:eastAsia="仿宋" w:cs="仿宋_GB2312"/>
        </w:rPr>
        <w:t>22.2电子交易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28"/>
        <w:snapToGrid w:val="0"/>
        <w:spacing w:before="0"/>
        <w:ind w:firstLine="480"/>
        <w:rPr>
          <w:rFonts w:ascii="仿宋" w:hAnsi="仿宋" w:eastAsia="仿宋" w:cs="仿宋_GB2312"/>
        </w:rPr>
      </w:pPr>
      <w:r>
        <w:rPr>
          <w:rFonts w:hint="eastAsia" w:ascii="仿宋" w:hAnsi="仿宋" w:eastAsia="仿宋" w:cs="仿宋_GB2312"/>
        </w:rPr>
        <w:t>22.3电子交易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28"/>
        <w:snapToGrid w:val="0"/>
        <w:spacing w:before="0"/>
        <w:ind w:firstLine="480"/>
        <w:rPr>
          <w:rFonts w:ascii="仿宋" w:hAnsi="仿宋" w:eastAsia="仿宋" w:cs="仿宋_GB2312"/>
        </w:rPr>
      </w:pPr>
      <w:r>
        <w:rPr>
          <w:rFonts w:hint="eastAsia" w:ascii="仿宋" w:hAnsi="仿宋" w:eastAsia="仿宋" w:cs="仿宋_GB2312"/>
        </w:rPr>
        <w:t>22.4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28"/>
        <w:snapToGrid w:val="0"/>
        <w:spacing w:before="0"/>
        <w:ind w:firstLine="480"/>
        <w:rPr>
          <w:rFonts w:ascii="仿宋" w:hAnsi="仿宋" w:eastAsia="仿宋" w:cs="仿宋_GB2312"/>
        </w:rPr>
      </w:pPr>
      <w:r>
        <w:rPr>
          <w:rFonts w:hint="eastAsia" w:ascii="仿宋" w:hAnsi="仿宋" w:eastAsia="仿宋" w:cs="仿宋_GB2312"/>
        </w:rPr>
        <w:t>22.5其他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28"/>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28"/>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八、合同授予</w:t>
      </w:r>
    </w:p>
    <w:p>
      <w:pPr>
        <w:pStyle w:val="24"/>
        <w:spacing w:line="360" w:lineRule="auto"/>
        <w:ind w:firstLine="482"/>
        <w:rPr>
          <w:rFonts w:ascii="仿宋" w:hAnsi="仿宋" w:eastAsia="仿宋" w:cs="仿宋_GB2312"/>
          <w:b/>
        </w:rPr>
      </w:pPr>
      <w:r>
        <w:rPr>
          <w:rFonts w:hint="eastAsia" w:ascii="仿宋" w:hAnsi="仿宋" w:eastAsia="仿宋" w:cs="仿宋_GB2312"/>
          <w:b/>
        </w:rPr>
        <w:t xml:space="preserve">23. </w:t>
      </w:r>
      <w:r>
        <w:rPr>
          <w:rFonts w:hint="eastAsia" w:ascii="仿宋" w:hAnsi="仿宋" w:eastAsia="仿宋" w:cs="仿宋_GB2312"/>
        </w:rPr>
        <w:t>合同主要条款详见第五部分拟签订的合同文本。</w:t>
      </w:r>
    </w:p>
    <w:p>
      <w:pPr>
        <w:pStyle w:val="24"/>
        <w:spacing w:line="360" w:lineRule="auto"/>
        <w:ind w:firstLine="482"/>
        <w:rPr>
          <w:rFonts w:ascii="仿宋" w:hAnsi="仿宋" w:eastAsia="仿宋" w:cs="仿宋_GB2312"/>
          <w:b/>
        </w:rPr>
      </w:pPr>
      <w:r>
        <w:rPr>
          <w:rFonts w:hint="eastAsia" w:ascii="仿宋" w:hAnsi="仿宋" w:eastAsia="仿宋" w:cs="仿宋_GB2312"/>
          <w:b/>
        </w:rPr>
        <w:t>24. 合同的签订</w:t>
      </w:r>
    </w:p>
    <w:p>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仿宋_GB2312"/>
          <w:sz w:val="24"/>
        </w:rPr>
        <w:t>24.1</w:t>
      </w:r>
      <w:r>
        <w:rPr>
          <w:rFonts w:hint="eastAsia" w:ascii="仿宋" w:eastAsia="仿宋"/>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28"/>
        <w:snapToGrid w:val="0"/>
        <w:spacing w:before="0"/>
        <w:ind w:firstLine="480"/>
        <w:rPr>
          <w:rFonts w:ascii="仿宋" w:hAnsi="仿宋" w:eastAsia="仿宋"/>
          <w:kern w:val="0"/>
        </w:rPr>
      </w:pPr>
      <w:r>
        <w:rPr>
          <w:rFonts w:hint="eastAsia" w:ascii="仿宋" w:hAnsi="仿宋" w:eastAsia="仿宋" w:cs="仿宋_GB2312"/>
          <w:kern w:val="0"/>
          <w:lang w:val="zh-CN"/>
        </w:rPr>
        <w:t>24.2</w:t>
      </w:r>
      <w:r>
        <w:rPr>
          <w:rFonts w:hint="eastAsia" w:ascii="仿宋" w:eastAsia="仿宋"/>
          <w:kern w:val="0"/>
        </w:rPr>
        <w:t>采购人和中标人不得向对方提出任何不合理的要求作为签订合同的条件。</w:t>
      </w:r>
    </w:p>
    <w:p>
      <w:pPr>
        <w:pStyle w:val="24"/>
        <w:spacing w:line="360" w:lineRule="auto"/>
        <w:ind w:firstLine="482"/>
        <w:rPr>
          <w:rFonts w:ascii="仿宋" w:hAnsi="仿宋" w:eastAsia="仿宋" w:cs="仿宋_GB2312"/>
          <w:b/>
        </w:rPr>
      </w:pPr>
      <w:r>
        <w:rPr>
          <w:rFonts w:hint="eastAsia" w:ascii="仿宋" w:hAnsi="仿宋" w:eastAsia="仿宋" w:cs="仿宋_GB2312"/>
          <w:b/>
        </w:rPr>
        <w:t>25. 履约保证金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w:t>
      </w: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九、履约验收</w:t>
      </w:r>
    </w:p>
    <w:p>
      <w:pPr>
        <w:pStyle w:val="24"/>
        <w:spacing w:line="360" w:lineRule="auto"/>
        <w:ind w:firstLine="482"/>
        <w:rPr>
          <w:rFonts w:ascii="仿宋" w:hAnsi="仿宋" w:eastAsia="仿宋" w:cs="仿宋_GB2312"/>
          <w:b/>
        </w:rPr>
      </w:pPr>
      <w:r>
        <w:rPr>
          <w:rFonts w:hint="eastAsia" w:ascii="仿宋" w:hAnsi="仿宋" w:eastAsia="仿宋" w:cs="仿宋_GB2312"/>
          <w:b/>
        </w:rPr>
        <w:t>26.履约验收</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26.4国有企业向社会公众提供的公共服务项目验收时应当邀请服务对象参与并出具意见，验收结果应当向社会公告。</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26.5 采购合同的履行、违约责任和解决争议的方式等适用《中华人民共和国合同法》。</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26.6供应商在履约过程中有法律法规规定的违法违规情形的，采购人应当及时报告本级国有企业采购监督管理部门。</w:t>
      </w:r>
    </w:p>
    <w:p>
      <w:pPr>
        <w:tabs>
          <w:tab w:val="left" w:pos="0"/>
        </w:tabs>
        <w:spacing w:line="360" w:lineRule="auto"/>
        <w:jc w:val="left"/>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ascii="仿宋" w:hAnsi="仿宋" w:eastAsia="仿宋" w:cs="仿宋_GB2312"/>
          <w:b/>
          <w:sz w:val="36"/>
          <w:szCs w:val="36"/>
        </w:rPr>
      </w:pPr>
      <w:bookmarkStart w:id="61" w:name="第四部分"/>
      <w:r>
        <w:rPr>
          <w:rFonts w:hint="eastAsia" w:ascii="仿宋" w:hAnsi="仿宋" w:eastAsia="仿宋" w:cs="仿宋_GB2312"/>
          <w:b/>
          <w:sz w:val="36"/>
          <w:szCs w:val="36"/>
        </w:rPr>
        <w:t>第三部分   采购需求</w:t>
      </w:r>
    </w:p>
    <w:p>
      <w:pPr>
        <w:snapToGrid w:val="0"/>
        <w:spacing w:line="360" w:lineRule="auto"/>
        <w:jc w:val="left"/>
        <w:rPr>
          <w:rFonts w:ascii="仿宋" w:hAnsi="仿宋" w:eastAsia="仿宋" w:cs="仿宋_GB2312"/>
          <w:b/>
          <w:i/>
          <w:sz w:val="22"/>
          <w:szCs w:val="36"/>
        </w:rPr>
      </w:pPr>
      <w:r>
        <w:rPr>
          <w:rFonts w:hint="eastAsia" w:ascii="仿宋" w:hAnsi="仿宋" w:eastAsia="仿宋"/>
          <w:sz w:val="28"/>
          <w:szCs w:val="28"/>
        </w:rPr>
        <w:t xml:space="preserve">        </w:t>
      </w:r>
      <w:r>
        <w:rPr>
          <w:rFonts w:hint="eastAsia" w:ascii="仿宋" w:hAnsi="仿宋" w:eastAsia="仿宋"/>
          <w:b/>
          <w:sz w:val="32"/>
          <w:szCs w:val="32"/>
        </w:rPr>
        <w:t xml:space="preserve">  </w:t>
      </w:r>
    </w:p>
    <w:p>
      <w:pPr>
        <w:snapToGrid w:val="0"/>
        <w:spacing w:beforeLines="50" w:afterLines="50"/>
        <w:rPr>
          <w:rFonts w:ascii="仿宋" w:hAnsi="仿宋" w:eastAsia="仿宋"/>
          <w:sz w:val="24"/>
        </w:rPr>
      </w:pPr>
      <w:r>
        <w:rPr>
          <w:rFonts w:hint="eastAsia" w:ascii="仿宋" w:hAnsi="仿宋" w:eastAsia="仿宋"/>
          <w:sz w:val="24"/>
        </w:rPr>
        <w:t>特别说明：</w:t>
      </w:r>
    </w:p>
    <w:p>
      <w:pPr>
        <w:spacing w:line="360" w:lineRule="auto"/>
        <w:ind w:firstLine="480" w:firstLineChars="200"/>
        <w:rPr>
          <w:rFonts w:ascii="仿宋" w:hAnsi="仿宋" w:eastAsia="仿宋"/>
          <w:sz w:val="24"/>
        </w:rPr>
      </w:pPr>
      <w:r>
        <w:rPr>
          <w:rFonts w:hint="eastAsia" w:ascii="仿宋" w:hAnsi="仿宋" w:eastAsia="仿宋"/>
          <w:sz w:val="24"/>
        </w:rPr>
        <w:t>1.需求中不允许偏离的实质性要求和条件，以“▲”号标明。</w:t>
      </w:r>
    </w:p>
    <w:p>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sz w:val="24"/>
        </w:rPr>
      </w:pPr>
      <w:r>
        <w:rPr>
          <w:rFonts w:hint="eastAsia" w:ascii="仿宋" w:hAnsi="仿宋" w:eastAsia="仿宋"/>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pStyle w:val="2"/>
        <w:ind w:firstLine="0"/>
      </w:pPr>
    </w:p>
    <w:p>
      <w:pPr>
        <w:pStyle w:val="2"/>
        <w:ind w:firstLine="0"/>
      </w:pPr>
    </w:p>
    <w:p>
      <w:pPr>
        <w:spacing w:line="360" w:lineRule="auto"/>
        <w:rPr>
          <w:rFonts w:ascii="仿宋" w:hAnsi="仿宋" w:eastAsia="仿宋"/>
          <w:sz w:val="24"/>
        </w:rPr>
      </w:pPr>
      <w:r>
        <w:rPr>
          <w:rFonts w:hint="eastAsia" w:ascii="仿宋" w:hAnsi="仿宋" w:eastAsia="仿宋" w:cs="Arial"/>
          <w:kern w:val="0"/>
          <w:sz w:val="24"/>
        </w:rPr>
        <w:t>（服务类）</w:t>
      </w:r>
    </w:p>
    <w:p>
      <w:pPr>
        <w:snapToGrid w:val="0"/>
        <w:spacing w:line="560" w:lineRule="exact"/>
        <w:ind w:firstLine="3052" w:firstLineChars="950"/>
        <w:rPr>
          <w:rFonts w:ascii="仿宋" w:hAnsi="仿宋" w:eastAsia="仿宋"/>
          <w:b/>
          <w:sz w:val="28"/>
          <w:szCs w:val="28"/>
        </w:rPr>
      </w:pPr>
      <w:r>
        <w:rPr>
          <w:rFonts w:hint="eastAsia" w:ascii="仿宋" w:hAnsi="仿宋" w:eastAsia="仿宋" w:cs="仿宋_GB2312"/>
          <w:b/>
          <w:sz w:val="32"/>
        </w:rPr>
        <w:t>一、服务清单及要求</w:t>
      </w:r>
    </w:p>
    <w:p>
      <w:pPr>
        <w:spacing w:line="560" w:lineRule="exact"/>
        <w:ind w:firstLine="480" w:firstLineChars="200"/>
        <w:rPr>
          <w:rFonts w:hint="eastAsia" w:ascii="仿宋" w:hAnsi="仿宋" w:eastAsia="仿宋"/>
          <w:b w:val="0"/>
          <w:bCs w:val="0"/>
          <w:sz w:val="24"/>
          <w:szCs w:val="28"/>
          <w:lang w:val="en-US" w:eastAsia="zh-CN"/>
        </w:rPr>
      </w:pPr>
      <w:r>
        <w:rPr>
          <w:rFonts w:hint="eastAsia" w:ascii="仿宋" w:hAnsi="仿宋" w:eastAsia="仿宋"/>
          <w:b w:val="0"/>
          <w:bCs w:val="0"/>
          <w:sz w:val="24"/>
          <w:szCs w:val="28"/>
          <w:lang w:eastAsia="zh-CN"/>
        </w:rPr>
        <w:t>主要建设内容为</w:t>
      </w:r>
      <w:r>
        <w:rPr>
          <w:rFonts w:hint="eastAsia" w:ascii="仿宋" w:hAnsi="仿宋" w:eastAsia="仿宋"/>
          <w:b w:val="0"/>
          <w:bCs w:val="0"/>
          <w:sz w:val="24"/>
          <w:szCs w:val="28"/>
          <w:lang w:val="en-US" w:eastAsia="zh-CN"/>
        </w:rPr>
        <w:t>;</w:t>
      </w:r>
    </w:p>
    <w:p>
      <w:pPr>
        <w:spacing w:line="560" w:lineRule="exact"/>
        <w:ind w:firstLine="482" w:firstLineChars="200"/>
        <w:rPr>
          <w:rFonts w:hint="eastAsia" w:ascii="仿宋" w:hAnsi="仿宋" w:eastAsia="仿宋"/>
          <w:b/>
          <w:bCs/>
          <w:sz w:val="24"/>
          <w:szCs w:val="28"/>
          <w:highlight w:val="none"/>
          <w:lang w:eastAsia="zh-CN"/>
        </w:rPr>
      </w:pPr>
      <w:r>
        <w:rPr>
          <w:rFonts w:hint="eastAsia" w:ascii="仿宋" w:hAnsi="仿宋" w:eastAsia="仿宋"/>
          <w:b/>
          <w:bCs/>
          <w:sz w:val="24"/>
          <w:szCs w:val="28"/>
          <w:highlight w:val="none"/>
          <w:lang w:eastAsia="zh-CN"/>
        </w:rPr>
        <w:t>项目1：中国轻纺城粮油冷链物流中心道路配套工程（一期）：新建兴华路从钱陶公路至临杭大道，道路长约780米，宽约28米，其中桥梁一座约80米；及长度约500米的河道改道和周边绿化。建安费用约13500万元。</w:t>
      </w:r>
    </w:p>
    <w:p>
      <w:pPr>
        <w:spacing w:line="560" w:lineRule="exact"/>
        <w:ind w:firstLine="482" w:firstLineChars="200"/>
        <w:rPr>
          <w:rFonts w:hint="eastAsia" w:ascii="仿宋" w:hAnsi="仿宋" w:eastAsia="仿宋"/>
          <w:b/>
          <w:bCs/>
          <w:sz w:val="24"/>
          <w:szCs w:val="28"/>
          <w:highlight w:val="none"/>
          <w:lang w:eastAsia="zh-CN"/>
        </w:rPr>
      </w:pPr>
      <w:r>
        <w:rPr>
          <w:rFonts w:hint="eastAsia" w:ascii="仿宋" w:hAnsi="仿宋" w:eastAsia="仿宋"/>
          <w:b/>
          <w:bCs/>
          <w:sz w:val="24"/>
          <w:szCs w:val="28"/>
          <w:highlight w:val="none"/>
          <w:lang w:eastAsia="zh-CN"/>
        </w:rPr>
        <w:t>项目2：临空智创城外环西路改扩建工程：总长度约1800米，其中新建约900米，老路改建约900米，宽24米，双向四车道。建安费用约5500万元。</w:t>
      </w:r>
    </w:p>
    <w:p>
      <w:pPr>
        <w:spacing w:line="560" w:lineRule="exact"/>
        <w:ind w:firstLine="482" w:firstLineChars="200"/>
        <w:rPr>
          <w:rFonts w:hint="eastAsia" w:ascii="仿宋" w:hAnsi="仿宋" w:eastAsia="仿宋"/>
          <w:b/>
          <w:bCs/>
          <w:sz w:val="24"/>
          <w:szCs w:val="28"/>
          <w:highlight w:val="none"/>
          <w:lang w:eastAsia="zh-CN"/>
        </w:rPr>
      </w:pPr>
      <w:r>
        <w:rPr>
          <w:rFonts w:hint="eastAsia" w:ascii="仿宋" w:hAnsi="仿宋" w:eastAsia="仿宋"/>
          <w:b/>
          <w:bCs/>
          <w:sz w:val="24"/>
          <w:szCs w:val="28"/>
          <w:highlight w:val="none"/>
          <w:lang w:eastAsia="zh-CN"/>
        </w:rPr>
        <w:t>项目3：临空智创城东岭路改扩建工程：改扩建东岭路长约1</w:t>
      </w:r>
      <w:r>
        <w:rPr>
          <w:rFonts w:hint="eastAsia" w:ascii="仿宋" w:hAnsi="仿宋" w:eastAsia="仿宋"/>
          <w:b/>
          <w:bCs/>
          <w:sz w:val="24"/>
          <w:szCs w:val="28"/>
          <w:highlight w:val="none"/>
          <w:lang w:val="en-US" w:eastAsia="zh-CN"/>
        </w:rPr>
        <w:t>3</w:t>
      </w:r>
      <w:r>
        <w:rPr>
          <w:rFonts w:hint="eastAsia" w:ascii="仿宋" w:hAnsi="仿宋" w:eastAsia="仿宋"/>
          <w:b/>
          <w:bCs/>
          <w:sz w:val="24"/>
          <w:szCs w:val="28"/>
          <w:highlight w:val="none"/>
          <w:lang w:eastAsia="zh-CN"/>
        </w:rPr>
        <w:t>00米，宽度28米，双向四车道。建安费用约6300万元。</w:t>
      </w:r>
    </w:p>
    <w:p>
      <w:pPr>
        <w:spacing w:line="560" w:lineRule="exact"/>
        <w:ind w:firstLine="482" w:firstLineChars="200"/>
        <w:rPr>
          <w:rFonts w:hint="eastAsia" w:ascii="仿宋" w:hAnsi="仿宋" w:eastAsia="仿宋"/>
          <w:b/>
          <w:bCs/>
          <w:sz w:val="24"/>
          <w:szCs w:val="28"/>
          <w:highlight w:val="none"/>
          <w:lang w:eastAsia="zh-CN"/>
        </w:rPr>
      </w:pPr>
      <w:r>
        <w:rPr>
          <w:rFonts w:hint="eastAsia" w:ascii="仿宋" w:hAnsi="仿宋" w:eastAsia="仿宋"/>
          <w:b/>
          <w:bCs/>
          <w:sz w:val="24"/>
          <w:szCs w:val="28"/>
          <w:highlight w:val="none"/>
          <w:lang w:eastAsia="zh-CN"/>
        </w:rPr>
        <w:t>项目4：临空智创城东坂路、康乐路、文化路等道路改扩建工程：对东坂路、康乐路、文化路等进行改造提升。建安费用约5700万元。</w:t>
      </w:r>
    </w:p>
    <w:p>
      <w:pPr>
        <w:spacing w:line="560" w:lineRule="exact"/>
        <w:ind w:firstLine="482" w:firstLineChars="200"/>
        <w:rPr>
          <w:rFonts w:hint="eastAsia" w:ascii="仿宋" w:hAnsi="仿宋" w:eastAsia="仿宋"/>
          <w:b/>
          <w:bCs/>
          <w:sz w:val="24"/>
          <w:szCs w:val="28"/>
          <w:highlight w:val="none"/>
          <w:lang w:eastAsia="zh-CN"/>
        </w:rPr>
      </w:pPr>
      <w:r>
        <w:rPr>
          <w:rFonts w:hint="eastAsia" w:ascii="仿宋" w:hAnsi="仿宋" w:eastAsia="仿宋"/>
          <w:b/>
          <w:bCs/>
          <w:sz w:val="24"/>
          <w:szCs w:val="28"/>
          <w:highlight w:val="none"/>
          <w:lang w:eastAsia="zh-CN"/>
        </w:rPr>
        <w:t xml:space="preserve"> 服务内容包括以上4个项目施工、监理、材料设备采购等涉及的所有项目（已完成招标的项目除外）招标文件编制、预算清单标底编制及造价全过程咨询服务（不含结算审核）；估算建安工程投资额31000万元。估算服务费约为</w:t>
      </w:r>
      <w:r>
        <w:rPr>
          <w:rFonts w:hint="eastAsia" w:ascii="仿宋" w:hAnsi="仿宋" w:eastAsia="仿宋"/>
          <w:b/>
          <w:bCs/>
          <w:sz w:val="24"/>
          <w:szCs w:val="28"/>
          <w:highlight w:val="none"/>
          <w:lang w:val="en-US" w:eastAsia="zh-CN"/>
        </w:rPr>
        <w:t>996260</w:t>
      </w:r>
      <w:r>
        <w:rPr>
          <w:rFonts w:hint="eastAsia" w:ascii="仿宋" w:hAnsi="仿宋" w:eastAsia="仿宋"/>
          <w:b/>
          <w:bCs/>
          <w:sz w:val="24"/>
          <w:szCs w:val="28"/>
          <w:highlight w:val="none"/>
          <w:lang w:eastAsia="zh-CN"/>
        </w:rPr>
        <w:t>元。</w:t>
      </w:r>
    </w:p>
    <w:p>
      <w:pPr>
        <w:spacing w:line="560" w:lineRule="exact"/>
        <w:ind w:firstLine="480" w:firstLineChars="200"/>
        <w:rPr>
          <w:rFonts w:hint="eastAsia" w:ascii="仿宋" w:hAnsi="仿宋" w:eastAsia="仿宋"/>
          <w:b w:val="0"/>
          <w:bCs w:val="0"/>
          <w:sz w:val="24"/>
          <w:szCs w:val="28"/>
          <w:highlight w:val="none"/>
          <w:lang w:eastAsia="zh-CN"/>
        </w:rPr>
      </w:pPr>
      <w:r>
        <w:rPr>
          <w:rFonts w:hint="eastAsia" w:ascii="仿宋" w:hAnsi="仿宋" w:eastAsia="仿宋"/>
          <w:b w:val="0"/>
          <w:bCs w:val="0"/>
          <w:sz w:val="24"/>
          <w:szCs w:val="28"/>
          <w:highlight w:val="none"/>
          <w:lang w:eastAsia="zh-CN"/>
        </w:rPr>
        <w:t>备注：本项目如因招标人原因引起后续招标代理及造价咨询服务成果中的发包人或委托人名称（浙江绍兴杭绍临空示范区开发集团（区轨道交通集团）及下属各级子公司）与本次招标人不一致的，另行签订三方协议明确；本项目如因招标人立项方案变化引起项目规模缩减（建安减少）或项目取消，中标人须无条件服从，涉及项目取消的双方自动解除合同，互相不追究责任。针对以上四个项目可能会出现项目拆分的情况，请各投标单位充分考虑。</w:t>
      </w:r>
    </w:p>
    <w:p>
      <w:pPr>
        <w:widowControl/>
        <w:snapToGrid w:val="0"/>
        <w:spacing w:line="560" w:lineRule="exact"/>
        <w:ind w:firstLine="482" w:firstLineChars="200"/>
        <w:rPr>
          <w:rFonts w:ascii="仿宋" w:eastAsia="仿宋"/>
          <w:kern w:val="0"/>
          <w:sz w:val="24"/>
        </w:rPr>
      </w:pPr>
      <w:r>
        <w:rPr>
          <w:rFonts w:hint="eastAsia" w:ascii="仿宋" w:eastAsia="仿宋"/>
          <w:b/>
          <w:bCs/>
          <w:kern w:val="0"/>
          <w:sz w:val="24"/>
        </w:rPr>
        <w:t>2、服务要求、服务范围：</w:t>
      </w:r>
    </w:p>
    <w:p>
      <w:pPr>
        <w:pStyle w:val="23"/>
        <w:spacing w:line="560" w:lineRule="exact"/>
        <w:ind w:firstLine="480"/>
        <w:rPr>
          <w:rFonts w:ascii="仿宋" w:hAnsi="仿宋" w:eastAsia="仿宋" w:cs="Times New Roman"/>
          <w:b/>
          <w:bCs/>
          <w:snapToGrid/>
          <w:color w:val="000000"/>
          <w:szCs w:val="24"/>
          <w:lang w:val="en-US"/>
        </w:rPr>
      </w:pPr>
      <w:r>
        <w:rPr>
          <w:rFonts w:hint="eastAsia" w:ascii="仿宋" w:hAnsi="仿宋" w:eastAsia="仿宋" w:cs="Times New Roman"/>
          <w:b/>
          <w:bCs/>
          <w:snapToGrid/>
          <w:color w:val="000000"/>
          <w:szCs w:val="24"/>
          <w:lang w:val="en-US"/>
        </w:rPr>
        <w:t>2.1招标代理主要事项：</w:t>
      </w:r>
    </w:p>
    <w:p>
      <w:pPr>
        <w:spacing w:line="560" w:lineRule="exact"/>
        <w:ind w:firstLine="480" w:firstLineChars="200"/>
        <w:rPr>
          <w:rFonts w:ascii="仿宋" w:hAnsi="仿宋" w:eastAsia="仿宋"/>
          <w:sz w:val="24"/>
          <w:szCs w:val="28"/>
        </w:rPr>
      </w:pPr>
      <w:r>
        <w:rPr>
          <w:rFonts w:hint="eastAsia" w:ascii="仿宋" w:hAnsi="仿宋" w:eastAsia="仿宋"/>
          <w:sz w:val="24"/>
          <w:szCs w:val="28"/>
        </w:rPr>
        <w:t>2.1.1</w:t>
      </w:r>
      <w:r>
        <w:rPr>
          <w:rFonts w:hint="eastAsia" w:ascii="仿宋" w:hAnsi="仿宋" w:eastAsia="仿宋"/>
          <w:sz w:val="24"/>
          <w:szCs w:val="28"/>
          <w:highlight w:val="none"/>
          <w:u w:val="none"/>
          <w:lang w:eastAsia="zh-CN"/>
        </w:rPr>
        <w:t>中国轻纺城粮油冷链物流中心道路配套工程（一期）等4个项目</w:t>
      </w:r>
      <w:r>
        <w:rPr>
          <w:rFonts w:hint="eastAsia" w:ascii="仿宋" w:hAnsi="仿宋" w:eastAsia="仿宋"/>
          <w:sz w:val="24"/>
          <w:szCs w:val="28"/>
        </w:rPr>
        <w:t>涉及的所有项目招标代理（已招标项目除外），包括但不限于施工、监理等内容；</w:t>
      </w:r>
    </w:p>
    <w:p>
      <w:pPr>
        <w:widowControl/>
        <w:spacing w:line="560" w:lineRule="exact"/>
        <w:ind w:firstLine="480"/>
        <w:jc w:val="left"/>
        <w:rPr>
          <w:rFonts w:ascii="仿宋" w:eastAsia="仿宋"/>
          <w:kern w:val="0"/>
          <w:sz w:val="24"/>
        </w:rPr>
      </w:pPr>
      <w:r>
        <w:rPr>
          <w:rFonts w:hint="eastAsia" w:ascii="仿宋" w:eastAsia="仿宋"/>
          <w:kern w:val="0"/>
          <w:sz w:val="24"/>
        </w:rPr>
        <w:t>2.1.2协助业主向招投标监督管理部门提出招标（采购）申请；提供招标安排实施计划（供审查）；代拟招标方案；编制及修改招标文件并报批；编制招标的预算(限价),并报有关管理部门的审查；发布招标公告(包括网上发布)；组织接收投标申请人报名；组织审查潜在投标人资格；负责对全部招标有关文件的编制；负责全部招标文件的校对、印刷、装订和出版（份数根据业主要求提供）；组织现场考察和投标预备会；负责招标文件补遗书的编制、发送、回执接收等一切有关工作；组织开标、评标；草拟工程合同、协助合同谈判等有关活动；编制招投标情况书面报告；全过程负责对标文、预算（上限价）、合同的解释；负责招标代理其他事宜。</w:t>
      </w:r>
    </w:p>
    <w:p>
      <w:pPr>
        <w:pStyle w:val="32"/>
        <w:spacing w:line="560" w:lineRule="exact"/>
        <w:ind w:firstLine="472" w:firstLineChars="196"/>
        <w:rPr>
          <w:rFonts w:ascii="仿宋" w:hAnsi="仿宋" w:eastAsia="仿宋" w:cs="Times New Roman"/>
          <w:b/>
          <w:bCs/>
          <w:snapToGrid/>
          <w:color w:val="000000"/>
          <w:sz w:val="24"/>
          <w:szCs w:val="24"/>
        </w:rPr>
      </w:pPr>
      <w:r>
        <w:rPr>
          <w:rFonts w:hint="eastAsia" w:ascii="仿宋" w:eastAsia="仿宋"/>
          <w:b/>
          <w:bCs/>
          <w:kern w:val="0"/>
          <w:sz w:val="24"/>
        </w:rPr>
        <w:t>2.2</w:t>
      </w:r>
      <w:r>
        <w:rPr>
          <w:rFonts w:hint="eastAsia" w:ascii="仿宋" w:hAnsi="仿宋" w:eastAsia="仿宋" w:cs="Times New Roman"/>
          <w:b/>
          <w:bCs/>
          <w:snapToGrid/>
          <w:color w:val="000000"/>
          <w:sz w:val="24"/>
          <w:szCs w:val="24"/>
        </w:rPr>
        <w:t>标底预算编制</w:t>
      </w:r>
    </w:p>
    <w:p>
      <w:pPr>
        <w:widowControl/>
        <w:spacing w:line="560" w:lineRule="exact"/>
        <w:ind w:firstLine="480"/>
        <w:jc w:val="left"/>
        <w:rPr>
          <w:rFonts w:ascii="仿宋" w:eastAsia="仿宋"/>
          <w:kern w:val="0"/>
          <w:sz w:val="24"/>
        </w:rPr>
      </w:pPr>
      <w:r>
        <w:rPr>
          <w:rFonts w:hint="eastAsia" w:ascii="仿宋" w:eastAsia="仿宋"/>
          <w:kern w:val="0"/>
          <w:sz w:val="24"/>
        </w:rPr>
        <w:t>2.2.1编制预算（标底或投标控制价）能满足本项目招标文件的有关规定和评标要求，符合招标标底和造价文件编制的有关规定，并通过有关管理部门的审查。</w:t>
      </w:r>
    </w:p>
    <w:p>
      <w:pPr>
        <w:widowControl/>
        <w:spacing w:line="560" w:lineRule="exact"/>
        <w:ind w:firstLine="480"/>
        <w:jc w:val="left"/>
        <w:rPr>
          <w:rFonts w:ascii="仿宋" w:eastAsia="仿宋"/>
          <w:kern w:val="0"/>
          <w:sz w:val="24"/>
        </w:rPr>
      </w:pPr>
      <w:r>
        <w:rPr>
          <w:rFonts w:hint="eastAsia" w:ascii="仿宋" w:eastAsia="仿宋"/>
          <w:kern w:val="0"/>
          <w:sz w:val="24"/>
        </w:rPr>
        <w:t>2.2.2编制单位应以确定的施工图为编制依据，严格根据规范进行定额套用及工程量的复核计算、工程量清单的编制，并在编制之前，应对施工现场进行踏看，并对施工图仔细会审；</w:t>
      </w:r>
    </w:p>
    <w:p>
      <w:pPr>
        <w:widowControl/>
        <w:spacing w:line="560" w:lineRule="exact"/>
        <w:ind w:firstLine="480"/>
        <w:jc w:val="left"/>
        <w:rPr>
          <w:rFonts w:ascii="仿宋" w:eastAsia="仿宋"/>
          <w:kern w:val="0"/>
          <w:sz w:val="24"/>
        </w:rPr>
      </w:pPr>
      <w:r>
        <w:rPr>
          <w:rFonts w:hint="eastAsia" w:ascii="仿宋" w:eastAsia="仿宋"/>
          <w:kern w:val="0"/>
          <w:sz w:val="24"/>
        </w:rPr>
        <w:t>2.2.3编制单位应对无价材料进行广泛可靠采价，确保准确性，并保留定价依据，同时应积极主动做好送审工作；</w:t>
      </w:r>
    </w:p>
    <w:p>
      <w:pPr>
        <w:widowControl/>
        <w:spacing w:line="560" w:lineRule="exact"/>
        <w:ind w:firstLine="480"/>
        <w:jc w:val="left"/>
        <w:rPr>
          <w:rFonts w:ascii="仿宋" w:eastAsia="仿宋"/>
          <w:kern w:val="0"/>
          <w:sz w:val="24"/>
        </w:rPr>
      </w:pPr>
      <w:r>
        <w:rPr>
          <w:rFonts w:hint="eastAsia" w:ascii="仿宋" w:eastAsia="仿宋"/>
          <w:kern w:val="0"/>
          <w:sz w:val="24"/>
        </w:rPr>
        <w:t>2.2.4送审时编制单位应提交标底、计算书给招标人、柯桥区财政部门各一套，同时及时配合柯桥区财政部门和审核单位做好标底审核工作。</w:t>
      </w:r>
    </w:p>
    <w:p>
      <w:pPr>
        <w:widowControl/>
        <w:spacing w:line="560" w:lineRule="exact"/>
        <w:ind w:firstLine="480"/>
        <w:jc w:val="left"/>
        <w:rPr>
          <w:rFonts w:ascii="仿宋" w:eastAsia="仿宋"/>
          <w:kern w:val="0"/>
          <w:sz w:val="24"/>
        </w:rPr>
      </w:pPr>
      <w:r>
        <w:rPr>
          <w:rFonts w:hint="eastAsia" w:ascii="仿宋" w:eastAsia="仿宋"/>
          <w:kern w:val="0"/>
          <w:sz w:val="24"/>
        </w:rPr>
        <w:t>2.2.5预算（标底或投标控制价）审核完毕后，提交标底及计算稿给招标人(电子文件）。</w:t>
      </w:r>
    </w:p>
    <w:p>
      <w:pPr>
        <w:widowControl/>
        <w:spacing w:line="560" w:lineRule="exact"/>
        <w:ind w:firstLine="480"/>
        <w:jc w:val="left"/>
        <w:rPr>
          <w:rFonts w:ascii="仿宋" w:eastAsia="仿宋"/>
          <w:kern w:val="0"/>
          <w:sz w:val="24"/>
        </w:rPr>
      </w:pPr>
      <w:r>
        <w:rPr>
          <w:rFonts w:hint="eastAsia" w:ascii="仿宋" w:eastAsia="仿宋"/>
          <w:kern w:val="0"/>
          <w:sz w:val="24"/>
        </w:rPr>
        <w:t>2.2.6若在施工过程中发现标底存在漏项或有疑问的，标底编制单位须负责全过程解释。若出现漏项,应免费进行审计并出报告。</w:t>
      </w:r>
    </w:p>
    <w:p>
      <w:pPr>
        <w:widowControl/>
        <w:spacing w:line="560" w:lineRule="exact"/>
        <w:ind w:firstLine="480"/>
        <w:jc w:val="left"/>
        <w:rPr>
          <w:rFonts w:ascii="仿宋" w:eastAsia="仿宋"/>
          <w:kern w:val="0"/>
          <w:sz w:val="24"/>
        </w:rPr>
      </w:pPr>
      <w:r>
        <w:rPr>
          <w:rFonts w:hint="eastAsia" w:ascii="仿宋" w:eastAsia="仿宋"/>
          <w:kern w:val="0"/>
          <w:sz w:val="24"/>
        </w:rPr>
        <w:t>2.2.7招标工作完成后</w:t>
      </w:r>
      <w:r>
        <w:rPr>
          <w:rFonts w:hint="eastAsia" w:ascii="仿宋" w:eastAsia="仿宋"/>
          <w:kern w:val="0"/>
          <w:sz w:val="24"/>
          <w:highlight w:val="none"/>
        </w:rPr>
        <w:t>整理</w:t>
      </w:r>
      <w:r>
        <w:rPr>
          <w:rFonts w:hint="eastAsia" w:ascii="仿宋" w:eastAsia="仿宋"/>
          <w:kern w:val="0"/>
          <w:sz w:val="24"/>
          <w:highlight w:val="none"/>
          <w:lang w:val="en-US" w:eastAsia="zh-CN"/>
        </w:rPr>
        <w:t>3</w:t>
      </w:r>
      <w:r>
        <w:rPr>
          <w:rFonts w:hint="eastAsia" w:ascii="仿宋" w:eastAsia="仿宋"/>
          <w:kern w:val="0"/>
          <w:sz w:val="24"/>
          <w:highlight w:val="none"/>
        </w:rPr>
        <w:t>套招</w:t>
      </w:r>
      <w:r>
        <w:rPr>
          <w:rFonts w:hint="eastAsia" w:ascii="仿宋" w:eastAsia="仿宋"/>
          <w:kern w:val="0"/>
          <w:sz w:val="24"/>
        </w:rPr>
        <w:t>投标资料（书式装订）及相关部门资料整理等。</w:t>
      </w:r>
    </w:p>
    <w:p>
      <w:pPr>
        <w:pStyle w:val="32"/>
        <w:spacing w:line="560" w:lineRule="exact"/>
        <w:ind w:firstLine="472" w:firstLineChars="196"/>
        <w:rPr>
          <w:rFonts w:ascii="仿宋" w:hAnsi="仿宋" w:eastAsia="仿宋" w:cs="Times New Roman"/>
          <w:b/>
          <w:bCs/>
          <w:snapToGrid/>
          <w:color w:val="000000"/>
          <w:sz w:val="24"/>
          <w:szCs w:val="24"/>
        </w:rPr>
      </w:pPr>
      <w:r>
        <w:rPr>
          <w:rFonts w:hint="eastAsia" w:ascii="仿宋" w:hAnsi="仿宋" w:eastAsia="仿宋" w:cs="Times New Roman"/>
          <w:b/>
          <w:bCs/>
          <w:snapToGrid/>
          <w:color w:val="000000"/>
          <w:sz w:val="24"/>
          <w:szCs w:val="24"/>
        </w:rPr>
        <w:t>2.3工程预算审核</w:t>
      </w:r>
    </w:p>
    <w:p>
      <w:pPr>
        <w:pStyle w:val="32"/>
        <w:spacing w:line="560" w:lineRule="exact"/>
        <w:ind w:firstLine="470" w:firstLineChars="196"/>
        <w:rPr>
          <w:rFonts w:hint="eastAsia" w:ascii="仿宋" w:hAnsi="仿宋" w:eastAsia="仿宋" w:cs="Times New Roman"/>
          <w:snapToGrid/>
          <w:color w:val="000000"/>
          <w:sz w:val="24"/>
          <w:szCs w:val="24"/>
          <w:highlight w:val="none"/>
          <w:lang w:eastAsia="zh-CN"/>
        </w:rPr>
      </w:pPr>
      <w:r>
        <w:rPr>
          <w:rFonts w:hint="eastAsia" w:ascii="仿宋" w:hAnsi="仿宋" w:eastAsia="仿宋" w:cs="Times New Roman"/>
          <w:snapToGrid/>
          <w:color w:val="000000"/>
          <w:sz w:val="24"/>
          <w:szCs w:val="24"/>
          <w:highlight w:val="none"/>
        </w:rPr>
        <w:t>2.3.1审核</w:t>
      </w:r>
      <w:r>
        <w:rPr>
          <w:rFonts w:hint="eastAsia" w:ascii="仿宋" w:hAnsi="仿宋" w:eastAsia="仿宋" w:cs="Times New Roman"/>
          <w:snapToGrid/>
          <w:color w:val="000000"/>
          <w:sz w:val="24"/>
          <w:szCs w:val="24"/>
          <w:highlight w:val="none"/>
          <w:lang w:eastAsia="zh-CN"/>
        </w:rPr>
        <w:t>各</w:t>
      </w:r>
      <w:r>
        <w:rPr>
          <w:rFonts w:hint="eastAsia" w:ascii="仿宋" w:hAnsi="仿宋" w:eastAsia="仿宋" w:cs="Times New Roman"/>
          <w:snapToGrid/>
          <w:color w:val="000000"/>
          <w:sz w:val="24"/>
          <w:szCs w:val="24"/>
          <w:highlight w:val="none"/>
        </w:rPr>
        <w:t>单位的预算（包括管线迁改、拆改、市政配套</w:t>
      </w:r>
      <w:r>
        <w:rPr>
          <w:rFonts w:hint="eastAsia" w:ascii="仿宋" w:hAnsi="仿宋" w:eastAsia="仿宋" w:cs="Times New Roman"/>
          <w:snapToGrid/>
          <w:color w:val="000000"/>
          <w:sz w:val="24"/>
          <w:szCs w:val="24"/>
          <w:highlight w:val="none"/>
          <w:lang w:eastAsia="zh-CN"/>
        </w:rPr>
        <w:t>、费用补偿、涉铁费用审核</w:t>
      </w:r>
      <w:r>
        <w:rPr>
          <w:rFonts w:hint="eastAsia" w:ascii="仿宋" w:hAnsi="仿宋" w:eastAsia="仿宋" w:cs="Times New Roman"/>
          <w:snapToGrid/>
          <w:color w:val="000000"/>
          <w:sz w:val="24"/>
          <w:szCs w:val="24"/>
          <w:highlight w:val="none"/>
        </w:rPr>
        <w:t>等）</w:t>
      </w:r>
      <w:r>
        <w:rPr>
          <w:rFonts w:hint="eastAsia" w:ascii="仿宋" w:hAnsi="仿宋" w:eastAsia="仿宋" w:cs="Times New Roman"/>
          <w:snapToGrid/>
          <w:color w:val="000000"/>
          <w:sz w:val="24"/>
          <w:szCs w:val="24"/>
          <w:highlight w:val="none"/>
          <w:lang w:eastAsia="zh-CN"/>
        </w:rPr>
        <w:t>。</w:t>
      </w:r>
    </w:p>
    <w:p>
      <w:pPr>
        <w:pStyle w:val="32"/>
        <w:spacing w:line="560" w:lineRule="exact"/>
        <w:ind w:firstLine="472" w:firstLineChars="196"/>
        <w:rPr>
          <w:rFonts w:ascii="仿宋" w:hAnsi="仿宋" w:eastAsia="仿宋" w:cs="Times New Roman"/>
          <w:b/>
          <w:bCs/>
          <w:snapToGrid/>
          <w:color w:val="000000"/>
          <w:sz w:val="24"/>
          <w:szCs w:val="24"/>
        </w:rPr>
      </w:pPr>
      <w:r>
        <w:rPr>
          <w:rFonts w:hint="eastAsia" w:ascii="仿宋" w:hAnsi="仿宋" w:eastAsia="仿宋" w:cs="Times New Roman"/>
          <w:b/>
          <w:bCs/>
          <w:snapToGrid/>
          <w:color w:val="000000"/>
          <w:sz w:val="24"/>
          <w:szCs w:val="24"/>
        </w:rPr>
        <w:t>2.4 全过程咨询服务</w:t>
      </w:r>
    </w:p>
    <w:p>
      <w:pPr>
        <w:spacing w:line="560" w:lineRule="exact"/>
        <w:ind w:firstLine="480" w:firstLineChars="200"/>
        <w:rPr>
          <w:rFonts w:ascii="仿宋" w:hAnsi="仿宋" w:eastAsia="仿宋"/>
          <w:sz w:val="24"/>
          <w:szCs w:val="28"/>
        </w:rPr>
      </w:pPr>
      <w:r>
        <w:rPr>
          <w:rFonts w:hint="eastAsia" w:ascii="仿宋" w:hAnsi="仿宋" w:eastAsia="仿宋"/>
          <w:color w:val="000000"/>
          <w:sz w:val="24"/>
        </w:rPr>
        <w:t>2.4.1全过程咨询服务</w:t>
      </w:r>
      <w:r>
        <w:rPr>
          <w:rFonts w:hint="eastAsia" w:ascii="仿宋" w:hAnsi="仿宋" w:eastAsia="仿宋"/>
          <w:sz w:val="24"/>
          <w:szCs w:val="28"/>
        </w:rPr>
        <w:t>：</w:t>
      </w:r>
      <w:r>
        <w:rPr>
          <w:rFonts w:hint="eastAsia" w:ascii="仿宋" w:hAnsi="仿宋" w:eastAsia="仿宋"/>
          <w:sz w:val="24"/>
          <w:szCs w:val="28"/>
          <w:highlight w:val="none"/>
          <w:lang w:eastAsia="zh-CN"/>
        </w:rPr>
        <w:t>项目</w:t>
      </w:r>
      <w:r>
        <w:rPr>
          <w:rFonts w:hint="eastAsia" w:ascii="仿宋" w:hAnsi="仿宋" w:eastAsia="仿宋"/>
          <w:sz w:val="24"/>
          <w:szCs w:val="28"/>
        </w:rPr>
        <w:t>涉及的所有造价咨询，包括但不限于本工程范围内的市政、土建、安装、装修等其他所有工程内容的前期造价咨询、工程量清单编制、招标控制价（标底）的编制（含钢筋翻样、材料价格的市场询价、差错复核调整等）、中标单位商务技术标的复核及审定、清图（如有）、工程计量审核、变更联系单的造价费用审核、工程量及签证资料的复核确认等（不含结算审</w:t>
      </w:r>
      <w:r>
        <w:rPr>
          <w:rFonts w:hint="eastAsia" w:ascii="仿宋" w:hAnsi="仿宋" w:eastAsia="仿宋"/>
          <w:sz w:val="24"/>
          <w:szCs w:val="28"/>
          <w:lang w:eastAsia="zh-CN"/>
        </w:rPr>
        <w:t>核</w:t>
      </w:r>
      <w:r>
        <w:rPr>
          <w:rFonts w:hint="eastAsia" w:ascii="仿宋" w:hAnsi="仿宋" w:eastAsia="仿宋"/>
          <w:sz w:val="24"/>
          <w:szCs w:val="28"/>
        </w:rPr>
        <w:t>）。</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组织建立工程造价控制及咨询机构，委派项目负责人，并授予其行使本工程造价控制及咨询合同范围内处理咨询业务的全部权力。</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3</w:t>
      </w:r>
      <w:r>
        <w:rPr>
          <w:rFonts w:ascii="仿宋" w:hAnsi="仿宋" w:eastAsia="仿宋" w:cs="Times New Roman"/>
          <w:snapToGrid/>
          <w:color w:val="000000"/>
          <w:sz w:val="24"/>
          <w:szCs w:val="24"/>
        </w:rPr>
        <w:t xml:space="preserve"> 未经招标人同意，投标人不得调换项目负责人和已派驻现场的造价咨询服务人员；若对服务人员因故调整，需经委托方确认。</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4</w:t>
      </w:r>
      <w:r>
        <w:rPr>
          <w:rFonts w:ascii="仿宋" w:hAnsi="仿宋" w:eastAsia="仿宋" w:cs="Times New Roman"/>
          <w:snapToGrid/>
          <w:color w:val="000000"/>
          <w:sz w:val="24"/>
          <w:szCs w:val="24"/>
        </w:rPr>
        <w:t>根据国家有关法律、法规、规定、工程建设批文、合同、规范、验收标准等对工程进行工程造价控制及咨询。</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5</w:t>
      </w:r>
      <w:r>
        <w:rPr>
          <w:rFonts w:ascii="仿宋" w:hAnsi="仿宋" w:eastAsia="仿宋" w:cs="Times New Roman"/>
          <w:snapToGrid/>
          <w:color w:val="000000"/>
          <w:sz w:val="24"/>
          <w:szCs w:val="24"/>
        </w:rPr>
        <w:t>及时调遣咨询人员、设备进入施工现场，完成咨询准备工作。</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6</w:t>
      </w:r>
      <w:r>
        <w:rPr>
          <w:rFonts w:ascii="仿宋" w:hAnsi="仿宋" w:eastAsia="仿宋" w:cs="Times New Roman"/>
          <w:snapToGrid/>
          <w:color w:val="000000"/>
          <w:sz w:val="24"/>
          <w:szCs w:val="24"/>
        </w:rPr>
        <w:t>参加施工图纸交底及设计图纸会审，并测算会审部分的费用。</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7</w:t>
      </w:r>
      <w:r>
        <w:rPr>
          <w:rFonts w:ascii="仿宋" w:hAnsi="仿宋" w:eastAsia="仿宋" w:cs="Times New Roman"/>
          <w:snapToGrid/>
          <w:color w:val="000000"/>
          <w:sz w:val="24"/>
          <w:szCs w:val="24"/>
        </w:rPr>
        <w:t>制定造价控制的实施流程，确定造价控制目标。</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8</w:t>
      </w:r>
      <w:r>
        <w:rPr>
          <w:rFonts w:ascii="仿宋" w:hAnsi="仿宋" w:eastAsia="仿宋" w:cs="Times New Roman"/>
          <w:snapToGrid/>
          <w:color w:val="000000"/>
          <w:sz w:val="24"/>
          <w:szCs w:val="24"/>
        </w:rPr>
        <w:t>负责对承包人报送的每月(期)完成进度款月报表进行审核。</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9</w:t>
      </w:r>
      <w:r>
        <w:rPr>
          <w:rFonts w:ascii="仿宋" w:hAnsi="仿宋" w:eastAsia="仿宋" w:cs="Times New Roman"/>
          <w:snapToGrid/>
          <w:color w:val="000000"/>
          <w:sz w:val="24"/>
          <w:szCs w:val="24"/>
        </w:rPr>
        <w:t>承发包方提出索赔时，依据合同和有关法律、法规，提供咨询意见。</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10</w:t>
      </w:r>
      <w:r>
        <w:rPr>
          <w:rFonts w:ascii="仿宋" w:hAnsi="仿宋" w:eastAsia="仿宋" w:cs="Times New Roman"/>
          <w:snapToGrid/>
          <w:color w:val="000000"/>
          <w:sz w:val="24"/>
          <w:szCs w:val="24"/>
        </w:rPr>
        <w:t>对设计变更、现场各类签证、过程计量等发生的工程数量进行现场复核</w:t>
      </w:r>
      <w:r>
        <w:rPr>
          <w:rFonts w:hint="eastAsia" w:ascii="仿宋" w:hAnsi="仿宋" w:eastAsia="仿宋" w:cs="Times New Roman"/>
          <w:snapToGrid/>
          <w:color w:val="000000"/>
          <w:sz w:val="24"/>
          <w:szCs w:val="24"/>
        </w:rPr>
        <w:t>及确认</w:t>
      </w:r>
      <w:r>
        <w:rPr>
          <w:rFonts w:ascii="仿宋" w:hAnsi="仿宋" w:eastAsia="仿宋" w:cs="Times New Roman"/>
          <w:snapToGrid/>
          <w:color w:val="000000"/>
          <w:sz w:val="24"/>
          <w:szCs w:val="24"/>
        </w:rPr>
        <w:t>，对承包人报送的工程费用进行审核，并提出审核的咨询意见。</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1</w:t>
      </w:r>
      <w:r>
        <w:rPr>
          <w:rFonts w:ascii="仿宋" w:hAnsi="仿宋" w:eastAsia="仿宋" w:cs="Times New Roman"/>
          <w:snapToGrid/>
          <w:color w:val="000000"/>
          <w:sz w:val="24"/>
          <w:szCs w:val="24"/>
        </w:rPr>
        <w:t>提供与造价控制相关的人工、材料、机械、设备等造价信息；协助招标人确定“甲供材料”、“甲定乙供材料”，并通过市场调查询价确定价格范围，提供咨询意见。</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协助招标人审核招标文件中有关投标报价方面的条款、对中标单位的投标文件进行核查，对不合理的报价应及时提出，配合招标人签订施工承包合同。</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3</w:t>
      </w:r>
      <w:r>
        <w:rPr>
          <w:rFonts w:ascii="仿宋" w:hAnsi="仿宋" w:eastAsia="仿宋" w:cs="Times New Roman"/>
          <w:snapToGrid/>
          <w:color w:val="000000"/>
          <w:sz w:val="24"/>
          <w:szCs w:val="24"/>
        </w:rPr>
        <w:t>参加对工程的各工序工程量进行现场检查验收，并按规定进行记录。</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4</w:t>
      </w:r>
      <w:r>
        <w:rPr>
          <w:rFonts w:ascii="仿宋" w:hAnsi="仿宋" w:eastAsia="仿宋" w:cs="Times New Roman"/>
          <w:snapToGrid/>
          <w:color w:val="000000"/>
          <w:sz w:val="24"/>
          <w:szCs w:val="24"/>
        </w:rPr>
        <w:t>根据设计图纸、施工合同、变更单及相关的招标文件，对变更后的工程量清单进行审核并提出审核意见。</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5</w:t>
      </w:r>
      <w:r>
        <w:rPr>
          <w:rFonts w:ascii="仿宋" w:hAnsi="仿宋" w:eastAsia="仿宋" w:cs="Times New Roman"/>
          <w:snapToGrid/>
          <w:color w:val="000000"/>
          <w:sz w:val="24"/>
          <w:szCs w:val="24"/>
        </w:rPr>
        <w:t>做好本工程全过程工程造价控制工作中对资料的收集、整理、汇编、归档等的工作，确保资料完整；协助招标人对各类工程（含设备）竣工结算资料的核查，以确保资料的完整性，同时又符合结算</w:t>
      </w:r>
      <w:r>
        <w:rPr>
          <w:rFonts w:hint="eastAsia" w:ascii="仿宋" w:hAnsi="仿宋" w:eastAsia="仿宋" w:cs="Times New Roman"/>
          <w:snapToGrid/>
          <w:color w:val="000000"/>
          <w:sz w:val="24"/>
          <w:szCs w:val="24"/>
          <w:lang w:eastAsia="zh-CN"/>
        </w:rPr>
        <w:t>审核</w:t>
      </w:r>
      <w:r>
        <w:rPr>
          <w:rFonts w:ascii="仿宋" w:hAnsi="仿宋" w:eastAsia="仿宋" w:cs="Times New Roman"/>
          <w:snapToGrid/>
          <w:color w:val="000000"/>
          <w:sz w:val="24"/>
          <w:szCs w:val="24"/>
        </w:rPr>
        <w:t>的要求。</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6</w:t>
      </w:r>
      <w:r>
        <w:rPr>
          <w:rFonts w:ascii="仿宋" w:hAnsi="仿宋" w:eastAsia="仿宋" w:cs="Times New Roman"/>
          <w:snapToGrid/>
          <w:color w:val="000000"/>
          <w:sz w:val="24"/>
          <w:szCs w:val="24"/>
        </w:rPr>
        <w:t>严格遵守与本工程有关的法律、法规和规章，保证甲方免于承担由于乙方违反上述法律、法规和规章而引起的的任何责任。</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7</w:t>
      </w:r>
      <w:r>
        <w:rPr>
          <w:rFonts w:ascii="仿宋" w:hAnsi="仿宋" w:eastAsia="仿宋" w:cs="Times New Roman"/>
          <w:snapToGrid/>
          <w:color w:val="000000"/>
          <w:sz w:val="24"/>
          <w:szCs w:val="24"/>
        </w:rPr>
        <w:t>在履行合同期间及本项目完成后，应对招标人提供的所有资料、审核工作内容具有保密义务，未经招标人事先许可认可，不得对除招标人以外的第三方披露。</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8</w:t>
      </w:r>
      <w:r>
        <w:rPr>
          <w:rFonts w:ascii="仿宋" w:hAnsi="仿宋" w:eastAsia="仿宋" w:cs="Times New Roman"/>
          <w:snapToGrid/>
          <w:color w:val="000000"/>
          <w:sz w:val="24"/>
          <w:szCs w:val="24"/>
        </w:rPr>
        <w:t>根据不同施工阶段的需要，参加有关工程会议，并根据招标人提供的施工单位与监理单位之间的有关工程造价的往来资料以及市场信息，及时向招标人提供咨询意见，须将所有审核、咨询服务内容作书面记录保存在案，以便甲方查阅。</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19</w:t>
      </w:r>
      <w:r>
        <w:rPr>
          <w:rFonts w:ascii="仿宋" w:hAnsi="仿宋" w:eastAsia="仿宋" w:cs="Times New Roman"/>
          <w:snapToGrid/>
          <w:color w:val="000000"/>
          <w:sz w:val="24"/>
          <w:szCs w:val="24"/>
        </w:rPr>
        <w:t>除现场驻场人数要求外，公司还须安排造价咨询的专家库成员协助完成施工阶工程造价控制及咨询服务内容的所有工作；</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20</w:t>
      </w:r>
      <w:r>
        <w:rPr>
          <w:rFonts w:ascii="仿宋" w:hAnsi="仿宋" w:eastAsia="仿宋" w:cs="Times New Roman"/>
          <w:snapToGrid/>
          <w:color w:val="000000"/>
          <w:sz w:val="24"/>
          <w:szCs w:val="24"/>
        </w:rPr>
        <w:t>招标人要求的</w:t>
      </w:r>
      <w:r>
        <w:rPr>
          <w:rFonts w:hint="eastAsia" w:ascii="仿宋" w:hAnsi="仿宋" w:eastAsia="仿宋" w:cs="Times New Roman"/>
          <w:snapToGrid/>
          <w:color w:val="000000"/>
          <w:sz w:val="24"/>
          <w:szCs w:val="24"/>
        </w:rPr>
        <w:t>其他与</w:t>
      </w:r>
      <w:r>
        <w:rPr>
          <w:rFonts w:ascii="仿宋" w:hAnsi="仿宋" w:eastAsia="仿宋" w:cs="Times New Roman"/>
          <w:snapToGrid/>
          <w:color w:val="000000"/>
          <w:sz w:val="24"/>
          <w:szCs w:val="24"/>
        </w:rPr>
        <w:t>工程相关的咨询服务。</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.4.2</w:t>
      </w:r>
      <w:r>
        <w:rPr>
          <w:rFonts w:hint="eastAsia" w:ascii="仿宋" w:hAnsi="仿宋" w:eastAsia="仿宋" w:cs="Times New Roman"/>
          <w:snapToGrid/>
          <w:color w:val="000000"/>
          <w:sz w:val="24"/>
          <w:szCs w:val="24"/>
        </w:rPr>
        <w:t>1</w:t>
      </w:r>
      <w:r>
        <w:rPr>
          <w:rFonts w:ascii="仿宋" w:hAnsi="仿宋" w:eastAsia="仿宋" w:cs="Times New Roman"/>
          <w:snapToGrid/>
          <w:color w:val="000000"/>
          <w:sz w:val="24"/>
          <w:szCs w:val="24"/>
        </w:rPr>
        <w:t>若因投标人过失，造成招标人经济损失的，投标人应全额赔偿。</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.4.2</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不得接受施工单位提供的折让、佣金或礼物等超越工作条件需要的利益，不得接受贵重礼品，不得参加相关单位的宴请和娱乐活动，严禁工作人员单独与承包方进行有碍独立执业和职业形象的接触。</w:t>
      </w:r>
    </w:p>
    <w:p>
      <w:pPr>
        <w:widowControl/>
        <w:snapToGrid w:val="0"/>
        <w:spacing w:line="560" w:lineRule="exact"/>
        <w:ind w:firstLine="482" w:firstLineChars="200"/>
        <w:rPr>
          <w:rFonts w:ascii="仿宋" w:eastAsia="仿宋"/>
          <w:b/>
          <w:bCs/>
          <w:kern w:val="0"/>
          <w:sz w:val="24"/>
        </w:rPr>
      </w:pPr>
      <w:r>
        <w:rPr>
          <w:rFonts w:hint="eastAsia" w:ascii="仿宋" w:eastAsia="仿宋"/>
          <w:b/>
          <w:bCs/>
          <w:kern w:val="0"/>
          <w:sz w:val="24"/>
        </w:rPr>
        <w:t>2.5、人员要求：</w:t>
      </w:r>
    </w:p>
    <w:p>
      <w:pPr>
        <w:widowControl/>
        <w:spacing w:line="560" w:lineRule="exact"/>
        <w:ind w:firstLine="480"/>
        <w:jc w:val="left"/>
        <w:rPr>
          <w:rFonts w:ascii="仿宋" w:eastAsia="仿宋"/>
          <w:kern w:val="0"/>
          <w:sz w:val="24"/>
          <w:highlight w:val="none"/>
        </w:rPr>
      </w:pPr>
      <w:r>
        <w:rPr>
          <w:rFonts w:hint="eastAsia" w:ascii="仿宋" w:eastAsia="仿宋"/>
          <w:kern w:val="0"/>
          <w:sz w:val="24"/>
          <w:highlight w:val="none"/>
        </w:rPr>
        <w:t>2.5.1除项目负责人以外，招标代理的服务人员不得少于3人；参与编制工程量清单及控制价服务人员不少于</w:t>
      </w:r>
      <w:r>
        <w:rPr>
          <w:rFonts w:hint="eastAsia" w:ascii="仿宋" w:eastAsia="仿宋"/>
          <w:kern w:val="0"/>
          <w:sz w:val="24"/>
          <w:highlight w:val="none"/>
          <w:lang w:val="en-US" w:eastAsia="zh-CN"/>
        </w:rPr>
        <w:t>7</w:t>
      </w:r>
      <w:r>
        <w:rPr>
          <w:rFonts w:hint="eastAsia" w:ascii="仿宋" w:eastAsia="仿宋"/>
          <w:kern w:val="0"/>
          <w:sz w:val="24"/>
          <w:highlight w:val="none"/>
        </w:rPr>
        <w:t>人，其中市政专业3人，安装专业 2人，园林专业2人。项目负责人须根据委托人指定地点办公直至编制工作结束。</w:t>
      </w:r>
    </w:p>
    <w:p>
      <w:pPr>
        <w:widowControl/>
        <w:spacing w:line="560" w:lineRule="exact"/>
        <w:ind w:firstLine="480"/>
        <w:jc w:val="left"/>
        <w:rPr>
          <w:rFonts w:ascii="仿宋" w:eastAsia="仿宋"/>
          <w:kern w:val="0"/>
          <w:sz w:val="24"/>
        </w:rPr>
      </w:pPr>
      <w:r>
        <w:rPr>
          <w:rFonts w:hint="eastAsia" w:ascii="仿宋" w:eastAsia="仿宋"/>
          <w:kern w:val="0"/>
          <w:sz w:val="24"/>
        </w:rPr>
        <w:t>2.5.2施工期间受托人必须派1名造价咨询人员常驻招标人指定地点办公，服务期从委托人通</w:t>
      </w:r>
      <w:r>
        <w:rPr>
          <w:rFonts w:hint="eastAsia" w:ascii="仿宋" w:eastAsia="仿宋"/>
          <w:kern w:val="0"/>
          <w:sz w:val="24"/>
          <w:highlight w:val="none"/>
        </w:rPr>
        <w:t>知次日起至工程竣工</w:t>
      </w:r>
      <w:r>
        <w:rPr>
          <w:rFonts w:hint="eastAsia" w:ascii="仿宋" w:eastAsia="仿宋"/>
          <w:kern w:val="0"/>
          <w:sz w:val="24"/>
          <w:highlight w:val="none"/>
          <w:lang w:eastAsia="zh-CN"/>
        </w:rPr>
        <w:t>（遇特殊情况经招标人确认可适当延长）</w:t>
      </w:r>
      <w:r>
        <w:rPr>
          <w:rFonts w:hint="eastAsia" w:ascii="仿宋" w:eastAsia="仿宋"/>
          <w:kern w:val="0"/>
          <w:sz w:val="24"/>
        </w:rPr>
        <w:t>，常驻人员办公期间所需办公设备、就餐等费用自理。常驻人员要求：毕业5年及以上且参与编审过类似项目清单控制价，派遣人员须经委托人认可。根据项目进展情况委托人有权利要求更换或增减派驻咨询服务人员的数量及专业类别的，咨询人不得拒绝。</w:t>
      </w:r>
    </w:p>
    <w:p>
      <w:pPr>
        <w:widowControl/>
        <w:spacing w:line="560" w:lineRule="exact"/>
        <w:ind w:firstLine="480"/>
        <w:jc w:val="left"/>
        <w:rPr>
          <w:rFonts w:hint="eastAsia" w:ascii="仿宋" w:eastAsia="仿宋"/>
          <w:kern w:val="0"/>
          <w:sz w:val="24"/>
          <w:lang w:val="en-US" w:eastAsia="zh-CN"/>
        </w:rPr>
      </w:pPr>
      <w:r>
        <w:rPr>
          <w:rFonts w:hint="eastAsia" w:ascii="仿宋" w:eastAsia="仿宋"/>
          <w:kern w:val="0"/>
          <w:sz w:val="24"/>
        </w:rPr>
        <w:t>2.5.3常驻人员须服从委托人的管理，每月到岗时间不少于 15 天，具体应配合项目开展情况及委托人要求到岗（包括不限于服务标段范围内的造价管理、合同管理、招投标档案管理）；委托人如发现该名造价咨询人员不能满足服务要求的，有权要求调换人员，所变更人员不低于原常驻人员的资格要求。具体服从委托人造价咨询单位考核管理实施细则的要求。</w:t>
      </w:r>
      <w:r>
        <w:rPr>
          <w:rFonts w:hint="eastAsia" w:ascii="仿宋" w:eastAsia="仿宋"/>
          <w:kern w:val="0"/>
          <w:sz w:val="24"/>
          <w:lang w:eastAsia="zh-CN"/>
        </w:rPr>
        <w:t>常驻人员须配备相应的交通工具以满足项目跟审需求。</w:t>
      </w:r>
    </w:p>
    <w:p>
      <w:pPr>
        <w:widowControl/>
        <w:spacing w:line="560" w:lineRule="exact"/>
        <w:ind w:firstLine="480"/>
        <w:jc w:val="left"/>
        <w:rPr>
          <w:rFonts w:ascii="仿宋" w:eastAsia="仿宋"/>
          <w:kern w:val="0"/>
          <w:sz w:val="24"/>
        </w:rPr>
      </w:pPr>
      <w:r>
        <w:rPr>
          <w:rFonts w:hint="eastAsia" w:ascii="仿宋" w:eastAsia="仿宋"/>
          <w:kern w:val="0"/>
          <w:sz w:val="24"/>
        </w:rPr>
        <w:t xml:space="preserve">2.5.4常驻造价咨询人员补贴 </w:t>
      </w:r>
    </w:p>
    <w:p>
      <w:pPr>
        <w:widowControl/>
        <w:spacing w:line="560" w:lineRule="exact"/>
        <w:ind w:firstLine="480"/>
        <w:jc w:val="left"/>
        <w:rPr>
          <w:rFonts w:hint="eastAsia" w:ascii="仿宋" w:eastAsia="仿宋"/>
          <w:kern w:val="0"/>
          <w:sz w:val="24"/>
          <w:highlight w:val="none"/>
        </w:rPr>
      </w:pPr>
      <w:r>
        <w:rPr>
          <w:rFonts w:hint="eastAsia" w:ascii="仿宋" w:eastAsia="仿宋"/>
          <w:kern w:val="0"/>
          <w:sz w:val="24"/>
          <w:highlight w:val="none"/>
        </w:rPr>
        <w:t>委托人支付</w:t>
      </w:r>
      <w:r>
        <w:rPr>
          <w:rFonts w:hint="eastAsia" w:ascii="仿宋" w:eastAsia="仿宋"/>
          <w:kern w:val="0"/>
          <w:sz w:val="24"/>
          <w:highlight w:val="none"/>
          <w:lang w:val="en-US" w:eastAsia="zh-CN"/>
        </w:rPr>
        <w:t>12</w:t>
      </w:r>
      <w:r>
        <w:rPr>
          <w:rFonts w:hint="eastAsia" w:ascii="仿宋" w:eastAsia="仿宋"/>
          <w:kern w:val="0"/>
          <w:sz w:val="24"/>
          <w:highlight w:val="none"/>
        </w:rPr>
        <w:t>万/年/人作为咨询人员的补贴费用（不满一年的按月折算；不满一个月的按</w:t>
      </w:r>
      <w:r>
        <w:rPr>
          <w:rFonts w:hint="eastAsia" w:ascii="仿宋" w:eastAsia="仿宋"/>
          <w:kern w:val="0"/>
          <w:sz w:val="24"/>
          <w:highlight w:val="none"/>
          <w:lang w:eastAsia="zh-CN"/>
        </w:rPr>
        <w:t>日折算</w:t>
      </w:r>
      <w:r>
        <w:rPr>
          <w:rFonts w:hint="eastAsia" w:ascii="仿宋" w:eastAsia="仿宋"/>
          <w:kern w:val="0"/>
          <w:sz w:val="24"/>
          <w:highlight w:val="none"/>
        </w:rPr>
        <w:t>）。咨询人员由于特殊原因需调换的，需经业主同意。如咨询人不配合的，剩余补贴不予支付。如中标方不配合的，尾款不予支付。如因项目需要，委托人要求增加或减少常驻人员的，按</w:t>
      </w:r>
      <w:r>
        <w:rPr>
          <w:rFonts w:hint="eastAsia" w:ascii="仿宋" w:eastAsia="仿宋"/>
          <w:kern w:val="0"/>
          <w:sz w:val="24"/>
          <w:highlight w:val="none"/>
          <w:lang w:val="en-US" w:eastAsia="zh-CN"/>
        </w:rPr>
        <w:t>12</w:t>
      </w:r>
      <w:r>
        <w:rPr>
          <w:rFonts w:hint="eastAsia" w:ascii="仿宋" w:eastAsia="仿宋"/>
          <w:kern w:val="0"/>
          <w:sz w:val="24"/>
          <w:highlight w:val="none"/>
        </w:rPr>
        <w:t>万元/年/人结算（不满一年的按月折算；不满一个月的按</w:t>
      </w:r>
      <w:r>
        <w:rPr>
          <w:rFonts w:hint="eastAsia" w:ascii="仿宋" w:eastAsia="仿宋"/>
          <w:kern w:val="0"/>
          <w:sz w:val="24"/>
          <w:highlight w:val="none"/>
          <w:lang w:eastAsia="zh-CN"/>
        </w:rPr>
        <w:t>日折算</w:t>
      </w:r>
      <w:r>
        <w:rPr>
          <w:rFonts w:hint="eastAsia" w:ascii="仿宋" w:eastAsia="仿宋"/>
          <w:kern w:val="0"/>
          <w:sz w:val="24"/>
          <w:highlight w:val="none"/>
        </w:rPr>
        <w:t>）。如常驻人员专业类别无法满足本项目实际造价咨询工作要求的，中标方需提供其他相关专业（如安装、装饰、市政等）现场服务（非常驻），其费用已经包含在咨询服务费用中，不单独计算费用。</w:t>
      </w:r>
    </w:p>
    <w:p>
      <w:pPr>
        <w:widowControl/>
        <w:spacing w:line="560" w:lineRule="exact"/>
        <w:ind w:firstLine="480"/>
        <w:jc w:val="left"/>
        <w:rPr>
          <w:rFonts w:ascii="仿宋" w:eastAsia="仿宋"/>
          <w:kern w:val="0"/>
          <w:sz w:val="24"/>
          <w:highlight w:val="none"/>
        </w:rPr>
      </w:pPr>
      <w:r>
        <w:rPr>
          <w:rFonts w:hint="eastAsia" w:ascii="仿宋" w:eastAsia="仿宋"/>
          <w:kern w:val="0"/>
          <w:sz w:val="24"/>
          <w:highlight w:val="none"/>
        </w:rPr>
        <w:t>2.5.5服务技术标准及要求（适用的法律法规与技术标准不限于以下）：</w:t>
      </w:r>
    </w:p>
    <w:p>
      <w:pPr>
        <w:widowControl/>
        <w:spacing w:line="560" w:lineRule="exact"/>
        <w:ind w:firstLine="480"/>
        <w:jc w:val="left"/>
        <w:rPr>
          <w:rFonts w:ascii="仿宋" w:eastAsia="仿宋"/>
          <w:kern w:val="0"/>
          <w:sz w:val="24"/>
          <w:highlight w:val="none"/>
        </w:rPr>
      </w:pPr>
      <w:r>
        <w:rPr>
          <w:rFonts w:hint="eastAsia" w:ascii="仿宋" w:eastAsia="仿宋"/>
          <w:kern w:val="0"/>
          <w:sz w:val="24"/>
          <w:highlight w:val="none"/>
        </w:rPr>
        <w:t>《中华人民共和国建筑法》（中华人民共和国主席令第 91 号）；</w:t>
      </w:r>
    </w:p>
    <w:p>
      <w:pPr>
        <w:widowControl/>
        <w:spacing w:line="560" w:lineRule="exact"/>
        <w:ind w:firstLine="480"/>
        <w:jc w:val="left"/>
        <w:rPr>
          <w:rFonts w:ascii="仿宋" w:eastAsia="仿宋"/>
          <w:kern w:val="0"/>
          <w:sz w:val="24"/>
        </w:rPr>
      </w:pPr>
      <w:r>
        <w:rPr>
          <w:rFonts w:hint="eastAsia" w:ascii="仿宋" w:eastAsia="仿宋"/>
          <w:kern w:val="0"/>
          <w:sz w:val="24"/>
        </w:rPr>
        <w:t>《中华人民共和国合同法》（中华人民共和国主席令第 15 号）；</w:t>
      </w:r>
    </w:p>
    <w:p>
      <w:pPr>
        <w:widowControl/>
        <w:spacing w:line="560" w:lineRule="exact"/>
        <w:ind w:firstLine="480"/>
        <w:jc w:val="left"/>
        <w:rPr>
          <w:rFonts w:ascii="仿宋" w:eastAsia="仿宋"/>
          <w:kern w:val="0"/>
          <w:sz w:val="24"/>
        </w:rPr>
      </w:pPr>
      <w:r>
        <w:rPr>
          <w:rFonts w:hint="eastAsia" w:ascii="仿宋" w:eastAsia="仿宋"/>
          <w:kern w:val="0"/>
          <w:sz w:val="24"/>
        </w:rPr>
        <w:t>《中华人民共和国招标投标法》（中华人民共和国主席令主第 21 号）；</w:t>
      </w:r>
    </w:p>
    <w:p>
      <w:pPr>
        <w:widowControl/>
        <w:spacing w:line="560" w:lineRule="exact"/>
        <w:ind w:firstLine="480"/>
        <w:jc w:val="left"/>
        <w:rPr>
          <w:rFonts w:ascii="仿宋" w:eastAsia="仿宋"/>
          <w:kern w:val="0"/>
          <w:sz w:val="24"/>
        </w:rPr>
      </w:pPr>
      <w:r>
        <w:rPr>
          <w:rFonts w:hint="eastAsia" w:ascii="仿宋" w:eastAsia="仿宋"/>
          <w:kern w:val="0"/>
          <w:sz w:val="24"/>
        </w:rPr>
        <w:t>《中华人民共和国安全生产法》（中华人民共和国主席令第 70 号）；</w:t>
      </w:r>
    </w:p>
    <w:p>
      <w:pPr>
        <w:widowControl/>
        <w:spacing w:line="560" w:lineRule="exact"/>
        <w:ind w:firstLine="480"/>
        <w:jc w:val="left"/>
        <w:rPr>
          <w:rFonts w:ascii="仿宋" w:eastAsia="仿宋"/>
          <w:kern w:val="0"/>
          <w:sz w:val="24"/>
        </w:rPr>
      </w:pPr>
      <w:r>
        <w:rPr>
          <w:rFonts w:hint="eastAsia" w:ascii="仿宋" w:eastAsia="仿宋"/>
          <w:kern w:val="0"/>
          <w:sz w:val="24"/>
        </w:rPr>
        <w:t>《建设工程安全生产管理条例》（中华人民共和国国务院令第 393 号）；</w:t>
      </w:r>
    </w:p>
    <w:p>
      <w:pPr>
        <w:widowControl/>
        <w:spacing w:line="560" w:lineRule="exact"/>
        <w:ind w:firstLine="480"/>
        <w:jc w:val="left"/>
        <w:rPr>
          <w:rFonts w:ascii="仿宋" w:eastAsia="仿宋"/>
          <w:kern w:val="0"/>
          <w:sz w:val="24"/>
        </w:rPr>
      </w:pPr>
      <w:r>
        <w:rPr>
          <w:rFonts w:hint="eastAsia" w:ascii="仿宋" w:eastAsia="仿宋"/>
          <w:kern w:val="0"/>
          <w:sz w:val="24"/>
        </w:rPr>
        <w:t>《建设工程质量管理条例》（中华人民共和国国务院第 279 号令）；</w:t>
      </w:r>
    </w:p>
    <w:p>
      <w:pPr>
        <w:widowControl/>
        <w:spacing w:line="560" w:lineRule="exact"/>
        <w:ind w:firstLine="480"/>
        <w:jc w:val="left"/>
        <w:rPr>
          <w:rFonts w:ascii="仿宋" w:eastAsia="仿宋"/>
          <w:kern w:val="0"/>
          <w:sz w:val="24"/>
        </w:rPr>
      </w:pPr>
      <w:r>
        <w:rPr>
          <w:rFonts w:hint="eastAsia" w:ascii="仿宋" w:eastAsia="仿宋"/>
          <w:kern w:val="0"/>
          <w:sz w:val="24"/>
        </w:rPr>
        <w:t>《民用建筑节能条例》（中华人民共和国国务院第 530 号令）；</w:t>
      </w:r>
    </w:p>
    <w:p>
      <w:pPr>
        <w:widowControl/>
        <w:spacing w:line="560" w:lineRule="exact"/>
        <w:ind w:firstLine="480"/>
        <w:jc w:val="left"/>
        <w:rPr>
          <w:rFonts w:ascii="仿宋" w:eastAsia="仿宋"/>
          <w:kern w:val="0"/>
          <w:sz w:val="24"/>
        </w:rPr>
      </w:pPr>
      <w:r>
        <w:rPr>
          <w:rFonts w:hint="eastAsia" w:ascii="仿宋" w:eastAsia="仿宋"/>
          <w:kern w:val="0"/>
          <w:sz w:val="24"/>
        </w:rPr>
        <w:t>《工程建设标准强制性条文》（建设部颁发）；</w:t>
      </w:r>
    </w:p>
    <w:p>
      <w:pPr>
        <w:widowControl/>
        <w:spacing w:line="560" w:lineRule="exact"/>
        <w:ind w:firstLine="480"/>
        <w:jc w:val="left"/>
        <w:rPr>
          <w:rFonts w:ascii="仿宋" w:eastAsia="仿宋"/>
          <w:kern w:val="0"/>
          <w:sz w:val="24"/>
        </w:rPr>
      </w:pPr>
      <w:r>
        <w:rPr>
          <w:rFonts w:hint="eastAsia" w:ascii="仿宋" w:eastAsia="仿宋"/>
          <w:kern w:val="0"/>
          <w:sz w:val="24"/>
        </w:rPr>
        <w:t>《城市建设档案管理规定》（建设部令第 61 号）；</w:t>
      </w:r>
    </w:p>
    <w:p>
      <w:pPr>
        <w:widowControl/>
        <w:spacing w:line="560" w:lineRule="exact"/>
        <w:ind w:firstLine="480"/>
        <w:jc w:val="left"/>
        <w:rPr>
          <w:rFonts w:ascii="仿宋" w:eastAsia="仿宋"/>
          <w:kern w:val="0"/>
          <w:sz w:val="24"/>
        </w:rPr>
      </w:pPr>
      <w:r>
        <w:rPr>
          <w:rFonts w:hint="eastAsia" w:ascii="仿宋" w:eastAsia="仿宋"/>
          <w:kern w:val="0"/>
          <w:sz w:val="24"/>
        </w:rPr>
        <w:t>《建设部关于修改《城市建设档案管理规定》的决定》（建设部令第 90 号）；</w:t>
      </w:r>
    </w:p>
    <w:p>
      <w:pPr>
        <w:widowControl/>
        <w:spacing w:line="560" w:lineRule="exact"/>
        <w:ind w:firstLine="480"/>
        <w:jc w:val="left"/>
        <w:rPr>
          <w:rFonts w:ascii="仿宋" w:eastAsia="仿宋"/>
          <w:kern w:val="0"/>
          <w:sz w:val="24"/>
        </w:rPr>
      </w:pPr>
      <w:r>
        <w:rPr>
          <w:rFonts w:hint="eastAsia" w:ascii="仿宋" w:eastAsia="仿宋"/>
          <w:kern w:val="0"/>
          <w:sz w:val="24"/>
        </w:rPr>
        <w:t>《实施工程建设强制性标准监督规定》（建设部令第 81 号）；</w:t>
      </w:r>
    </w:p>
    <w:p>
      <w:pPr>
        <w:widowControl/>
        <w:spacing w:line="560" w:lineRule="exact"/>
        <w:ind w:firstLine="480"/>
        <w:jc w:val="left"/>
        <w:rPr>
          <w:rFonts w:ascii="仿宋" w:eastAsia="仿宋"/>
          <w:kern w:val="0"/>
          <w:sz w:val="24"/>
        </w:rPr>
      </w:pPr>
      <w:r>
        <w:rPr>
          <w:rFonts w:hint="eastAsia" w:ascii="仿宋" w:eastAsia="仿宋"/>
          <w:kern w:val="0"/>
          <w:sz w:val="24"/>
        </w:rPr>
        <w:t>其他国家及省现行的相关规范要求</w:t>
      </w:r>
    </w:p>
    <w:p>
      <w:pPr>
        <w:widowControl/>
        <w:spacing w:line="560" w:lineRule="exact"/>
        <w:ind w:firstLine="480"/>
        <w:jc w:val="left"/>
        <w:rPr>
          <w:rFonts w:ascii="仿宋" w:eastAsia="仿宋"/>
          <w:kern w:val="0"/>
          <w:sz w:val="24"/>
        </w:rPr>
      </w:pPr>
      <w:r>
        <w:rPr>
          <w:rFonts w:hint="eastAsia" w:ascii="仿宋" w:eastAsia="仿宋"/>
          <w:kern w:val="0"/>
          <w:sz w:val="24"/>
        </w:rPr>
        <w:t>2.5.6其它要求：如其他主管理部门对项目招标有特殊要求的，招标人有权另选招标代理机构。</w:t>
      </w:r>
    </w:p>
    <w:p>
      <w:pPr>
        <w:widowControl/>
        <w:spacing w:line="560" w:lineRule="exact"/>
        <w:ind w:firstLine="480"/>
        <w:jc w:val="left"/>
        <w:rPr>
          <w:rFonts w:ascii="仿宋" w:eastAsia="仿宋"/>
          <w:kern w:val="0"/>
          <w:sz w:val="24"/>
        </w:rPr>
      </w:pPr>
      <w:r>
        <w:rPr>
          <w:rFonts w:hint="eastAsia" w:ascii="仿宋" w:eastAsia="仿宋"/>
          <w:kern w:val="0"/>
          <w:sz w:val="24"/>
        </w:rPr>
        <w:t>2.5.7造价咨询单位考核管理实施细则</w:t>
      </w:r>
    </w:p>
    <w:p>
      <w:pPr>
        <w:widowControl/>
        <w:spacing w:line="560" w:lineRule="exact"/>
        <w:ind w:firstLine="480"/>
        <w:jc w:val="left"/>
        <w:rPr>
          <w:rFonts w:ascii="仿宋" w:eastAsia="仿宋"/>
          <w:kern w:val="0"/>
          <w:sz w:val="24"/>
        </w:rPr>
      </w:pPr>
      <w:r>
        <w:rPr>
          <w:rFonts w:hint="eastAsia" w:ascii="仿宋" w:eastAsia="仿宋"/>
          <w:kern w:val="0"/>
          <w:sz w:val="24"/>
        </w:rPr>
        <w:t>2.5.7.1考核管理</w:t>
      </w:r>
    </w:p>
    <w:p>
      <w:pPr>
        <w:widowControl/>
        <w:spacing w:line="560" w:lineRule="exact"/>
        <w:ind w:firstLine="480"/>
        <w:jc w:val="left"/>
        <w:rPr>
          <w:rFonts w:ascii="仿宋" w:eastAsia="仿宋"/>
          <w:kern w:val="0"/>
          <w:sz w:val="24"/>
        </w:rPr>
      </w:pPr>
      <w:r>
        <w:rPr>
          <w:rFonts w:hint="eastAsia" w:ascii="仿宋" w:eastAsia="仿宋"/>
          <w:kern w:val="0"/>
          <w:sz w:val="24"/>
        </w:rPr>
        <w:t>①集团公司定期组织相关部室对造价咨询单位进行考核。考核实行等级积分制，以咨询单位成果质量、进度及职业行为作为考核内容。</w:t>
      </w:r>
    </w:p>
    <w:p>
      <w:pPr>
        <w:widowControl/>
        <w:spacing w:line="560" w:lineRule="exact"/>
        <w:ind w:firstLine="480"/>
        <w:jc w:val="left"/>
        <w:rPr>
          <w:rFonts w:ascii="仿宋" w:eastAsia="仿宋"/>
          <w:kern w:val="0"/>
          <w:sz w:val="24"/>
        </w:rPr>
      </w:pPr>
      <w:r>
        <w:rPr>
          <w:rFonts w:hint="eastAsia" w:ascii="仿宋" w:eastAsia="仿宋"/>
          <w:kern w:val="0"/>
          <w:sz w:val="24"/>
        </w:rPr>
        <w:t>②集团公司每年底对考核成绩进行汇总计算，所得分数为咨询单位年度考核得分。</w:t>
      </w:r>
    </w:p>
    <w:p>
      <w:pPr>
        <w:widowControl/>
        <w:spacing w:line="560" w:lineRule="exact"/>
        <w:ind w:firstLine="480"/>
        <w:jc w:val="left"/>
        <w:rPr>
          <w:rFonts w:ascii="仿宋" w:eastAsia="仿宋"/>
          <w:kern w:val="0"/>
          <w:sz w:val="24"/>
        </w:rPr>
      </w:pPr>
      <w:r>
        <w:rPr>
          <w:rFonts w:hint="eastAsia" w:ascii="仿宋" w:eastAsia="仿宋"/>
          <w:kern w:val="0"/>
          <w:sz w:val="24"/>
        </w:rPr>
        <w:t>③等级积分制是指按杭绍城际铁路工程咨询工作内容制定统一的考核标准（详见附表“咨询单位工作情况考核表”）。</w:t>
      </w:r>
    </w:p>
    <w:p>
      <w:pPr>
        <w:widowControl/>
        <w:spacing w:line="560" w:lineRule="exact"/>
        <w:ind w:firstLine="480"/>
        <w:jc w:val="left"/>
        <w:rPr>
          <w:rFonts w:ascii="仿宋" w:eastAsia="仿宋"/>
          <w:kern w:val="0"/>
          <w:sz w:val="24"/>
        </w:rPr>
      </w:pPr>
      <w:r>
        <w:rPr>
          <w:rFonts w:hint="eastAsia" w:ascii="仿宋" w:eastAsia="仿宋"/>
          <w:kern w:val="0"/>
          <w:sz w:val="24"/>
        </w:rPr>
        <w:t>④考核等级按积分总值分为：优秀（总分100-90分之间）、良好（90-80分之间）、合格（总分80-60分之间）、较差（总分60分以下），分值“以上”包括本数，“以下”不包括本数。</w:t>
      </w:r>
    </w:p>
    <w:p>
      <w:pPr>
        <w:widowControl/>
        <w:spacing w:line="560" w:lineRule="exact"/>
        <w:ind w:firstLine="480"/>
        <w:jc w:val="left"/>
        <w:rPr>
          <w:rFonts w:ascii="仿宋" w:eastAsia="仿宋"/>
          <w:kern w:val="0"/>
          <w:sz w:val="24"/>
        </w:rPr>
      </w:pPr>
      <w:r>
        <w:rPr>
          <w:rFonts w:hint="eastAsia" w:ascii="仿宋" w:eastAsia="仿宋"/>
          <w:kern w:val="0"/>
          <w:sz w:val="24"/>
        </w:rPr>
        <w:t>⑤集团公司对考核表分值进行汇总计算，确定质量等级。考核结果存档备案，考评结果作为咨询单位评优奖罚、立功竞赛、承揽项目等方面的重要参考依据。</w:t>
      </w:r>
    </w:p>
    <w:p>
      <w:pPr>
        <w:widowControl/>
        <w:spacing w:line="560" w:lineRule="exact"/>
        <w:ind w:firstLine="480"/>
        <w:jc w:val="left"/>
        <w:rPr>
          <w:rFonts w:ascii="仿宋" w:eastAsia="仿宋"/>
          <w:kern w:val="0"/>
          <w:sz w:val="24"/>
        </w:rPr>
      </w:pPr>
      <w:r>
        <w:rPr>
          <w:rFonts w:hint="eastAsia" w:ascii="仿宋" w:eastAsia="仿宋"/>
          <w:kern w:val="0"/>
          <w:sz w:val="24"/>
        </w:rPr>
        <w:t>2.5.7.2奖罚</w:t>
      </w:r>
    </w:p>
    <w:p>
      <w:pPr>
        <w:widowControl/>
        <w:spacing w:line="560" w:lineRule="exact"/>
        <w:ind w:firstLine="480"/>
        <w:jc w:val="left"/>
        <w:rPr>
          <w:rFonts w:ascii="仿宋" w:eastAsia="仿宋"/>
          <w:kern w:val="0"/>
          <w:sz w:val="24"/>
        </w:rPr>
      </w:pPr>
      <w:r>
        <w:rPr>
          <w:rFonts w:hint="eastAsia" w:ascii="仿宋" w:eastAsia="仿宋"/>
          <w:kern w:val="0"/>
          <w:sz w:val="24"/>
        </w:rPr>
        <w:t>①考核结果将作为集团公司信用评价的依据。</w:t>
      </w:r>
    </w:p>
    <w:p>
      <w:pPr>
        <w:widowControl/>
        <w:spacing w:line="560" w:lineRule="exact"/>
        <w:ind w:firstLine="480"/>
        <w:jc w:val="left"/>
        <w:rPr>
          <w:rFonts w:ascii="仿宋" w:eastAsia="仿宋"/>
          <w:kern w:val="0"/>
          <w:sz w:val="24"/>
        </w:rPr>
      </w:pPr>
      <w:r>
        <w:rPr>
          <w:rFonts w:hint="eastAsia" w:ascii="仿宋" w:eastAsia="仿宋"/>
          <w:kern w:val="0"/>
          <w:sz w:val="24"/>
        </w:rPr>
        <w:t>②每年考核惩罚标准：（1）年度考核为“较差”等级的咨询单位，扣除当年“常驻人员”费用的40%作为处罚；（2）年度考核为“合格”等级的咨询单位，扣除当年“常驻人员”费用的20%作为处罚；</w:t>
      </w:r>
    </w:p>
    <w:p>
      <w:pPr>
        <w:widowControl/>
        <w:spacing w:line="560" w:lineRule="exact"/>
        <w:ind w:firstLine="480"/>
        <w:jc w:val="left"/>
        <w:rPr>
          <w:rFonts w:ascii="仿宋" w:eastAsia="仿宋"/>
          <w:kern w:val="0"/>
          <w:sz w:val="24"/>
        </w:rPr>
      </w:pPr>
      <w:r>
        <w:rPr>
          <w:rFonts w:hint="eastAsia" w:ascii="仿宋" w:eastAsia="仿宋"/>
          <w:kern w:val="0"/>
          <w:sz w:val="24"/>
        </w:rPr>
        <w:t>③对于年度考核结果为“优秀”的咨询单位，按照集团公司立功竞赛办法给予适当奖励。</w:t>
      </w:r>
    </w:p>
    <w:p>
      <w:pPr>
        <w:widowControl/>
        <w:spacing w:line="560" w:lineRule="exact"/>
        <w:ind w:firstLine="480"/>
        <w:jc w:val="left"/>
        <w:rPr>
          <w:rFonts w:ascii="仿宋" w:eastAsia="仿宋"/>
          <w:kern w:val="0"/>
          <w:sz w:val="24"/>
        </w:rPr>
      </w:pPr>
      <w:r>
        <w:rPr>
          <w:rFonts w:hint="eastAsia" w:ascii="仿宋" w:eastAsia="仿宋"/>
          <w:kern w:val="0"/>
          <w:sz w:val="24"/>
        </w:rPr>
        <w:t>附表：咨询单位工作情况考核表</w:t>
      </w:r>
    </w:p>
    <w:p>
      <w:pPr>
        <w:widowControl/>
        <w:snapToGrid w:val="0"/>
        <w:spacing w:line="560" w:lineRule="exact"/>
        <w:ind w:firstLine="482" w:firstLineChars="200"/>
        <w:rPr>
          <w:rFonts w:ascii="仿宋" w:eastAsia="仿宋"/>
          <w:kern w:val="0"/>
          <w:sz w:val="24"/>
        </w:rPr>
      </w:pPr>
      <w:r>
        <w:rPr>
          <w:rFonts w:hint="eastAsia" w:ascii="仿宋" w:eastAsia="仿宋"/>
          <w:b/>
          <w:bCs/>
          <w:kern w:val="0"/>
          <w:sz w:val="24"/>
        </w:rPr>
        <w:t>2.6、时间要求：</w:t>
      </w:r>
    </w:p>
    <w:p>
      <w:pPr>
        <w:pStyle w:val="23"/>
        <w:spacing w:line="560" w:lineRule="exact"/>
        <w:rPr>
          <w:rFonts w:eastAsia="仿宋"/>
          <w:lang w:val="en-US"/>
        </w:rPr>
      </w:pPr>
      <w:r>
        <w:rPr>
          <w:rFonts w:hint="eastAsia" w:ascii="仿宋" w:eastAsia="仿宋"/>
          <w:kern w:val="0"/>
          <w:lang w:val="en-US"/>
        </w:rPr>
        <w:t xml:space="preserve">   2.6.1招标文件编制时间：要求在收到指令之日起5个日历天内出具招标文件初稿交于采购人。</w:t>
      </w:r>
    </w:p>
    <w:p>
      <w:pPr>
        <w:widowControl/>
        <w:snapToGrid w:val="0"/>
        <w:spacing w:line="560" w:lineRule="exact"/>
        <w:ind w:firstLine="480" w:firstLineChars="200"/>
        <w:rPr>
          <w:rFonts w:ascii="仿宋" w:eastAsia="仿宋"/>
          <w:kern w:val="0"/>
          <w:sz w:val="24"/>
        </w:rPr>
      </w:pPr>
      <w:r>
        <w:rPr>
          <w:rFonts w:hint="eastAsia" w:ascii="仿宋" w:eastAsia="仿宋"/>
          <w:kern w:val="0"/>
          <w:sz w:val="24"/>
        </w:rPr>
        <w:t>2.6.2标底编制时间：具体时间以招标人要求为准。</w:t>
      </w:r>
    </w:p>
    <w:tbl>
      <w:tblPr>
        <w:tblStyle w:val="60"/>
        <w:tblW w:w="101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2"/>
        <w:gridCol w:w="4666"/>
        <w:gridCol w:w="720"/>
        <w:gridCol w:w="720"/>
        <w:gridCol w:w="3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832"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序号</w:t>
            </w:r>
          </w:p>
        </w:tc>
        <w:tc>
          <w:tcPr>
            <w:tcW w:w="4666" w:type="dxa"/>
            <w:vAlign w:val="center"/>
          </w:tcPr>
          <w:p>
            <w:pPr>
              <w:autoSpaceDE w:val="0"/>
              <w:autoSpaceDN w:val="0"/>
              <w:jc w:val="center"/>
              <w:rPr>
                <w:rFonts w:ascii="仿宋" w:hAnsi="仿宋" w:eastAsia="仿宋" w:cs="宋体"/>
                <w:color w:val="000000"/>
                <w:kern w:val="0"/>
                <w:szCs w:val="21"/>
              </w:rPr>
            </w:pPr>
            <w:r>
              <w:rPr>
                <w:rFonts w:ascii="仿宋" w:hAnsi="仿宋" w:eastAsia="仿宋" w:cs="宋体"/>
                <w:color w:val="000000"/>
                <w:kern w:val="0"/>
                <w:szCs w:val="21"/>
              </w:rPr>
              <w:t>考核内容</w:t>
            </w:r>
          </w:p>
        </w:tc>
        <w:tc>
          <w:tcPr>
            <w:tcW w:w="720" w:type="dxa"/>
            <w:vAlign w:val="center"/>
          </w:tcPr>
          <w:p>
            <w:pPr>
              <w:autoSpaceDE w:val="0"/>
              <w:autoSpaceDN w:val="0"/>
              <w:jc w:val="center"/>
              <w:rPr>
                <w:rFonts w:ascii="仿宋" w:hAnsi="仿宋" w:eastAsia="仿宋" w:cs="宋体"/>
                <w:color w:val="000000"/>
                <w:kern w:val="0"/>
                <w:szCs w:val="21"/>
              </w:rPr>
            </w:pPr>
            <w:r>
              <w:rPr>
                <w:rFonts w:ascii="仿宋" w:hAnsi="仿宋" w:eastAsia="仿宋" w:cs="宋体"/>
                <w:color w:val="000000"/>
                <w:kern w:val="0"/>
                <w:szCs w:val="21"/>
              </w:rPr>
              <w:t>分值</w:t>
            </w:r>
          </w:p>
        </w:tc>
        <w:tc>
          <w:tcPr>
            <w:tcW w:w="720" w:type="dxa"/>
            <w:vAlign w:val="center"/>
          </w:tcPr>
          <w:p>
            <w:pPr>
              <w:autoSpaceDE w:val="0"/>
              <w:autoSpaceDN w:val="0"/>
              <w:jc w:val="center"/>
              <w:rPr>
                <w:rFonts w:ascii="仿宋" w:hAnsi="仿宋" w:eastAsia="仿宋" w:cs="宋体"/>
                <w:color w:val="000000"/>
                <w:kern w:val="0"/>
                <w:szCs w:val="21"/>
              </w:rPr>
            </w:pPr>
            <w:r>
              <w:rPr>
                <w:rFonts w:hint="eastAsia" w:ascii="仿宋" w:hAnsi="仿宋" w:eastAsia="仿宋" w:cs="宋体"/>
                <w:color w:val="000000"/>
                <w:kern w:val="0"/>
                <w:szCs w:val="21"/>
              </w:rPr>
              <w:t>得分</w:t>
            </w:r>
          </w:p>
        </w:tc>
        <w:tc>
          <w:tcPr>
            <w:tcW w:w="3255" w:type="dxa"/>
            <w:vAlign w:val="center"/>
          </w:tcPr>
          <w:p>
            <w:pPr>
              <w:autoSpaceDE w:val="0"/>
              <w:autoSpaceDN w:val="0"/>
              <w:jc w:val="center"/>
              <w:rPr>
                <w:rFonts w:ascii="仿宋" w:hAnsi="仿宋" w:eastAsia="仿宋" w:cs="宋体"/>
                <w:color w:val="000000"/>
                <w:kern w:val="0"/>
                <w:szCs w:val="21"/>
              </w:rPr>
            </w:pPr>
            <w:r>
              <w:rPr>
                <w:rFonts w:hint="eastAsia" w:ascii="仿宋" w:hAnsi="仿宋" w:eastAsia="仿宋" w:cs="宋体"/>
                <w:color w:val="000000"/>
                <w:kern w:val="0"/>
                <w:szCs w:val="21"/>
              </w:rPr>
              <w:t>扣分标准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32" w:type="dxa"/>
            <w:vAlign w:val="center"/>
          </w:tcPr>
          <w:p>
            <w:pPr>
              <w:autoSpaceDE w:val="0"/>
              <w:autoSpaceDN w:val="0"/>
              <w:jc w:val="center"/>
              <w:rPr>
                <w:rFonts w:ascii="仿宋" w:hAnsi="仿宋" w:eastAsia="仿宋" w:cs="宋体"/>
                <w:b/>
                <w:color w:val="000000"/>
                <w:kern w:val="0"/>
                <w:szCs w:val="21"/>
              </w:rPr>
            </w:pPr>
            <w:r>
              <w:rPr>
                <w:rFonts w:ascii="仿宋" w:hAnsi="仿宋" w:eastAsia="仿宋" w:cs="宋体"/>
                <w:b/>
                <w:color w:val="000000"/>
                <w:kern w:val="0"/>
                <w:szCs w:val="21"/>
              </w:rPr>
              <w:t>一</w:t>
            </w:r>
          </w:p>
        </w:tc>
        <w:tc>
          <w:tcPr>
            <w:tcW w:w="4666" w:type="dxa"/>
            <w:vAlign w:val="center"/>
          </w:tcPr>
          <w:p>
            <w:pPr>
              <w:autoSpaceDE w:val="0"/>
              <w:autoSpaceDN w:val="0"/>
              <w:jc w:val="left"/>
              <w:rPr>
                <w:rFonts w:ascii="仿宋" w:hAnsi="仿宋" w:eastAsia="仿宋" w:cs="宋体"/>
                <w:b/>
                <w:color w:val="000000"/>
                <w:kern w:val="0"/>
                <w:szCs w:val="21"/>
              </w:rPr>
            </w:pPr>
            <w:r>
              <w:rPr>
                <w:rFonts w:ascii="仿宋" w:hAnsi="仿宋" w:eastAsia="仿宋" w:cs="宋体"/>
                <w:b/>
                <w:color w:val="000000"/>
                <w:kern w:val="0"/>
                <w:szCs w:val="21"/>
              </w:rPr>
              <w:t>咨询成果质量</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47</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jc w:val="center"/>
              <w:rPr>
                <w:rFonts w:ascii="仿宋" w:hAnsi="仿宋" w:eastAsia="仿宋"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资料</w:t>
            </w:r>
            <w:r>
              <w:rPr>
                <w:rFonts w:hint="eastAsia" w:ascii="仿宋" w:hAnsi="仿宋" w:eastAsia="仿宋" w:cs="宋体"/>
                <w:color w:val="000000"/>
                <w:kern w:val="0"/>
                <w:szCs w:val="21"/>
              </w:rPr>
              <w:t>建档归档</w:t>
            </w:r>
            <w:r>
              <w:rPr>
                <w:rFonts w:ascii="仿宋" w:hAnsi="仿宋" w:eastAsia="仿宋" w:cs="宋体"/>
                <w:color w:val="000000"/>
                <w:kern w:val="0"/>
                <w:szCs w:val="21"/>
              </w:rPr>
              <w:t>情况：接收、检查、反馈资料情况及时，资料</w:t>
            </w:r>
            <w:r>
              <w:rPr>
                <w:rFonts w:hint="eastAsia" w:ascii="仿宋" w:hAnsi="仿宋" w:eastAsia="仿宋" w:cs="宋体"/>
                <w:color w:val="000000"/>
                <w:kern w:val="0"/>
                <w:szCs w:val="21"/>
              </w:rPr>
              <w:t>归档</w:t>
            </w:r>
            <w:r>
              <w:rPr>
                <w:rFonts w:ascii="仿宋" w:hAnsi="仿宋" w:eastAsia="仿宋" w:cs="宋体"/>
                <w:color w:val="000000"/>
                <w:kern w:val="0"/>
                <w:szCs w:val="21"/>
              </w:rPr>
              <w:t>完善、整齐。</w:t>
            </w:r>
          </w:p>
        </w:tc>
        <w:tc>
          <w:tcPr>
            <w:tcW w:w="720"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6</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每发现一次建档不全或资料未归档情况扣除1分。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2</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质量控制情况：建立内部质量复核体系，各级签字盖章手续齐全。</w:t>
            </w:r>
          </w:p>
        </w:tc>
        <w:tc>
          <w:tcPr>
            <w:tcW w:w="720"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6</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编标、清图、签证等提交资料未提供内部复核手续，每发现一次扣0.5分。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3</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编制或</w:t>
            </w:r>
            <w:r>
              <w:rPr>
                <w:rFonts w:ascii="仿宋" w:hAnsi="仿宋" w:eastAsia="仿宋" w:cs="宋体"/>
                <w:color w:val="000000"/>
                <w:kern w:val="0"/>
                <w:szCs w:val="21"/>
              </w:rPr>
              <w:t>审核质量：</w:t>
            </w:r>
            <w:r>
              <w:rPr>
                <w:rFonts w:hint="eastAsia" w:ascii="仿宋" w:hAnsi="仿宋" w:eastAsia="仿宋" w:cs="宋体"/>
                <w:color w:val="000000"/>
                <w:kern w:val="0"/>
                <w:szCs w:val="21"/>
              </w:rPr>
              <w:t>清单</w:t>
            </w:r>
            <w:r>
              <w:rPr>
                <w:rFonts w:ascii="仿宋" w:hAnsi="仿宋" w:eastAsia="仿宋" w:cs="宋体"/>
                <w:color w:val="000000"/>
                <w:kern w:val="0"/>
                <w:szCs w:val="21"/>
              </w:rPr>
              <w:t>工程量计算、定额套用</w:t>
            </w:r>
            <w:r>
              <w:rPr>
                <w:rFonts w:hint="eastAsia" w:ascii="仿宋" w:hAnsi="仿宋" w:eastAsia="仿宋" w:cs="宋体"/>
                <w:color w:val="000000"/>
                <w:kern w:val="0"/>
                <w:szCs w:val="21"/>
              </w:rPr>
              <w:t>、措施费计算、清单描述</w:t>
            </w:r>
            <w:r>
              <w:rPr>
                <w:rFonts w:ascii="仿宋" w:hAnsi="仿宋" w:eastAsia="仿宋" w:cs="宋体"/>
                <w:color w:val="000000"/>
                <w:kern w:val="0"/>
                <w:szCs w:val="21"/>
              </w:rPr>
              <w:t>准确，材料价格合理，费用计取有理有据，</w:t>
            </w:r>
            <w:r>
              <w:rPr>
                <w:rFonts w:hint="eastAsia" w:ascii="仿宋" w:hAnsi="仿宋" w:eastAsia="仿宋" w:cs="宋体"/>
                <w:color w:val="000000"/>
                <w:kern w:val="0"/>
                <w:szCs w:val="21"/>
              </w:rPr>
              <w:t>签证变更单、零号清单计算及时准确</w:t>
            </w:r>
            <w:r>
              <w:rPr>
                <w:rFonts w:ascii="仿宋" w:hAnsi="仿宋" w:eastAsia="仿宋" w:cs="宋体"/>
                <w:color w:val="000000"/>
                <w:kern w:val="0"/>
                <w:szCs w:val="21"/>
              </w:rPr>
              <w:t>。</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20</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每发现一次工程量或费用计算错误，扣除2分。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4</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工程计量情况：计量及合同交底及时充分；月度计量无明显差错，计量台账更新及时并准确无误。</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15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月度计量未能及时审核出超计、漏计或错误计量等，每发现一次扣1.5分，未及时建立并更新计量台账，每发现一次扣0.5分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宋体"/>
                <w:b/>
                <w:color w:val="000000"/>
                <w:kern w:val="0"/>
                <w:szCs w:val="21"/>
              </w:rPr>
            </w:pPr>
            <w:r>
              <w:rPr>
                <w:rFonts w:ascii="仿宋" w:hAnsi="仿宋" w:eastAsia="仿宋" w:cs="宋体"/>
                <w:b/>
                <w:color w:val="000000"/>
                <w:kern w:val="0"/>
                <w:szCs w:val="21"/>
              </w:rPr>
              <w:t>二</w:t>
            </w:r>
          </w:p>
        </w:tc>
        <w:tc>
          <w:tcPr>
            <w:tcW w:w="4666" w:type="dxa"/>
            <w:vAlign w:val="center"/>
          </w:tcPr>
          <w:p>
            <w:pPr>
              <w:autoSpaceDE w:val="0"/>
              <w:autoSpaceDN w:val="0"/>
              <w:jc w:val="left"/>
              <w:rPr>
                <w:rFonts w:ascii="仿宋" w:hAnsi="仿宋" w:eastAsia="仿宋" w:cs="宋体"/>
                <w:b/>
                <w:color w:val="000000"/>
                <w:kern w:val="0"/>
                <w:szCs w:val="21"/>
              </w:rPr>
            </w:pPr>
            <w:r>
              <w:rPr>
                <w:rFonts w:ascii="仿宋" w:hAnsi="仿宋" w:eastAsia="仿宋" w:cs="宋体"/>
                <w:b/>
                <w:color w:val="000000"/>
                <w:kern w:val="0"/>
                <w:szCs w:val="21"/>
              </w:rPr>
              <w:t>咨询进度</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33</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人员配备情况：</w:t>
            </w:r>
            <w:r>
              <w:rPr>
                <w:rFonts w:hint="eastAsia" w:ascii="仿宋" w:hAnsi="仿宋" w:eastAsia="仿宋" w:cs="宋体"/>
                <w:color w:val="000000"/>
                <w:kern w:val="0"/>
                <w:szCs w:val="21"/>
              </w:rPr>
              <w:t>编标咨询</w:t>
            </w:r>
            <w:r>
              <w:rPr>
                <w:rFonts w:ascii="仿宋" w:hAnsi="仿宋" w:eastAsia="仿宋" w:cs="宋体"/>
                <w:color w:val="000000"/>
                <w:kern w:val="0"/>
                <w:szCs w:val="21"/>
              </w:rPr>
              <w:t>人员配备适当合理，满足工作要求。</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编标人员配备未按甲方要求一次性扣5分；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2</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人员考勤情况：人员到岗率满足合同约定及工作要求。</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13</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人员到岗情况未达到合同约定及甲方工作要求，每发现一次扣1分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3</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工作进展情况：工作中能主动沟通、及时汇报，无无故拖延、消极怠工现象。</w:t>
            </w:r>
          </w:p>
        </w:tc>
        <w:tc>
          <w:tcPr>
            <w:tcW w:w="720"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出现</w:t>
            </w:r>
            <w:r>
              <w:rPr>
                <w:rFonts w:ascii="仿宋" w:hAnsi="仿宋" w:eastAsia="仿宋" w:cs="宋体"/>
                <w:color w:val="000000"/>
                <w:kern w:val="0"/>
                <w:szCs w:val="21"/>
              </w:rPr>
              <w:t>无故拖延、消极怠工现象</w:t>
            </w:r>
            <w:r>
              <w:rPr>
                <w:rFonts w:hint="eastAsia" w:ascii="仿宋" w:hAnsi="仿宋" w:eastAsia="仿宋" w:cs="宋体"/>
                <w:color w:val="000000"/>
                <w:kern w:val="0"/>
                <w:szCs w:val="21"/>
              </w:rPr>
              <w:t>，每发现一次扣1分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4</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任务完成情况：按规定时限完成咨询任务，提交成果报告。</w:t>
            </w:r>
          </w:p>
        </w:tc>
        <w:tc>
          <w:tcPr>
            <w:tcW w:w="720"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10</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由于咨询单位自身原因造成咨询成果未及时提交，每发现一次扣2分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宋体"/>
                <w:b/>
                <w:color w:val="000000"/>
                <w:kern w:val="0"/>
                <w:szCs w:val="21"/>
              </w:rPr>
            </w:pPr>
            <w:r>
              <w:rPr>
                <w:rFonts w:ascii="仿宋" w:hAnsi="仿宋" w:eastAsia="仿宋" w:cs="宋体"/>
                <w:b/>
                <w:color w:val="000000"/>
                <w:kern w:val="0"/>
                <w:szCs w:val="21"/>
              </w:rPr>
              <w:t>三</w:t>
            </w:r>
          </w:p>
        </w:tc>
        <w:tc>
          <w:tcPr>
            <w:tcW w:w="4666" w:type="dxa"/>
            <w:vAlign w:val="center"/>
          </w:tcPr>
          <w:p>
            <w:pPr>
              <w:autoSpaceDE w:val="0"/>
              <w:autoSpaceDN w:val="0"/>
              <w:jc w:val="left"/>
              <w:rPr>
                <w:rFonts w:ascii="仿宋" w:hAnsi="仿宋" w:eastAsia="仿宋" w:cs="宋体"/>
                <w:b/>
                <w:color w:val="000000"/>
                <w:kern w:val="0"/>
                <w:szCs w:val="21"/>
              </w:rPr>
            </w:pPr>
            <w:r>
              <w:rPr>
                <w:rFonts w:ascii="仿宋" w:hAnsi="仿宋" w:eastAsia="仿宋" w:cs="宋体"/>
                <w:b/>
                <w:color w:val="000000"/>
                <w:kern w:val="0"/>
                <w:szCs w:val="21"/>
              </w:rPr>
              <w:t>日常管理及执业行为</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20</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1</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常驻人员</w:t>
            </w:r>
            <w:r>
              <w:rPr>
                <w:rFonts w:ascii="仿宋" w:hAnsi="仿宋" w:eastAsia="仿宋" w:cs="宋体"/>
                <w:color w:val="000000"/>
                <w:kern w:val="0"/>
                <w:szCs w:val="21"/>
              </w:rPr>
              <w:t>的稳定性：人员稳定，更换经业主同意。</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10</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擅自更换人员，每发现一次扣5分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ascii="仿宋" w:hAnsi="仿宋" w:eastAsia="仿宋" w:cs="Calibri"/>
                <w:color w:val="000000"/>
                <w:kern w:val="0"/>
                <w:szCs w:val="21"/>
              </w:rPr>
              <w:t>2</w:t>
            </w:r>
          </w:p>
        </w:tc>
        <w:tc>
          <w:tcPr>
            <w:tcW w:w="4666" w:type="dxa"/>
            <w:vAlign w:val="center"/>
          </w:tcPr>
          <w:p>
            <w:pPr>
              <w:autoSpaceDE w:val="0"/>
              <w:autoSpaceDN w:val="0"/>
              <w:jc w:val="left"/>
              <w:rPr>
                <w:rFonts w:ascii="仿宋" w:hAnsi="仿宋" w:eastAsia="仿宋" w:cs="宋体"/>
                <w:color w:val="000000"/>
                <w:kern w:val="0"/>
                <w:szCs w:val="21"/>
              </w:rPr>
            </w:pPr>
            <w:r>
              <w:rPr>
                <w:rFonts w:hint="eastAsia" w:ascii="仿宋" w:hAnsi="仿宋" w:eastAsia="仿宋" w:cs="宋体"/>
                <w:color w:val="000000"/>
                <w:kern w:val="0"/>
                <w:szCs w:val="21"/>
              </w:rPr>
              <w:t>常驻人员</w:t>
            </w:r>
            <w:r>
              <w:rPr>
                <w:rFonts w:ascii="仿宋" w:hAnsi="仿宋" w:eastAsia="仿宋" w:cs="宋体"/>
                <w:color w:val="000000"/>
                <w:kern w:val="0"/>
                <w:szCs w:val="21"/>
              </w:rPr>
              <w:t>素质情况：具有专业技能和业务知识，能独立开展工作。</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能独立开展工作不扣分；部分工作需要在业主和其他咨询单位的指导下开展工作，扣2分；</w:t>
            </w:r>
          </w:p>
          <w:p>
            <w:pPr>
              <w:autoSpaceDE w:val="0"/>
              <w:autoSpaceDN w:val="0"/>
              <w:rPr>
                <w:rFonts w:ascii="仿宋" w:hAnsi="仿宋" w:eastAsia="仿宋" w:cs="Calibri"/>
                <w:color w:val="000000"/>
                <w:kern w:val="0"/>
                <w:szCs w:val="21"/>
              </w:rPr>
            </w:pPr>
            <w:r>
              <w:rPr>
                <w:rFonts w:hint="eastAsia" w:ascii="仿宋" w:hAnsi="仿宋" w:eastAsia="仿宋" w:cs="Calibri"/>
                <w:color w:val="000000"/>
                <w:kern w:val="0"/>
                <w:szCs w:val="21"/>
              </w:rPr>
              <w:t>绝大部分工作需要在业主和其他咨询单位的指导下开展，扣5分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32"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3</w:t>
            </w:r>
          </w:p>
        </w:tc>
        <w:tc>
          <w:tcPr>
            <w:tcW w:w="4666" w:type="dxa"/>
            <w:vAlign w:val="center"/>
          </w:tcPr>
          <w:p>
            <w:pPr>
              <w:autoSpaceDE w:val="0"/>
              <w:autoSpaceDN w:val="0"/>
              <w:jc w:val="left"/>
              <w:rPr>
                <w:rFonts w:ascii="仿宋" w:hAnsi="仿宋" w:eastAsia="仿宋" w:cs="宋体"/>
                <w:color w:val="000000"/>
                <w:kern w:val="0"/>
                <w:szCs w:val="21"/>
              </w:rPr>
            </w:pPr>
            <w:r>
              <w:rPr>
                <w:rFonts w:ascii="仿宋" w:hAnsi="仿宋" w:eastAsia="仿宋" w:cs="宋体"/>
                <w:color w:val="000000"/>
                <w:kern w:val="0"/>
                <w:szCs w:val="21"/>
              </w:rPr>
              <w:t>职业道德情况：遵守各项法律法规及规章制度，无不良反映和不良行为</w:t>
            </w:r>
            <w:r>
              <w:rPr>
                <w:rFonts w:hint="eastAsia" w:ascii="仿宋" w:hAnsi="仿宋" w:eastAsia="仿宋" w:cs="宋体"/>
                <w:color w:val="000000"/>
                <w:kern w:val="0"/>
                <w:szCs w:val="21"/>
              </w:rPr>
              <w:t>（该项无违规事件得基本分5分，发生违规事件扣分不设上限，扣完为止）</w:t>
            </w:r>
            <w:r>
              <w:rPr>
                <w:rFonts w:ascii="仿宋" w:hAnsi="仿宋" w:eastAsia="仿宋" w:cs="宋体"/>
                <w:color w:val="000000"/>
                <w:kern w:val="0"/>
                <w:szCs w:val="21"/>
              </w:rPr>
              <w:t>。</w:t>
            </w:r>
          </w:p>
        </w:tc>
        <w:tc>
          <w:tcPr>
            <w:tcW w:w="720" w:type="dxa"/>
            <w:vAlign w:val="center"/>
          </w:tcPr>
          <w:p>
            <w:pPr>
              <w:autoSpaceDE w:val="0"/>
              <w:autoSpaceDN w:val="0"/>
              <w:jc w:val="center"/>
              <w:rPr>
                <w:rFonts w:ascii="仿宋" w:hAnsi="仿宋" w:eastAsia="仿宋" w:cs="Calibri"/>
                <w:color w:val="000000"/>
                <w:kern w:val="0"/>
                <w:szCs w:val="21"/>
              </w:rPr>
            </w:pPr>
            <w:r>
              <w:rPr>
                <w:rFonts w:hint="eastAsia" w:ascii="仿宋" w:hAnsi="仿宋" w:eastAsia="仿宋" w:cs="Calibri"/>
                <w:color w:val="000000"/>
                <w:kern w:val="0"/>
                <w:szCs w:val="21"/>
              </w:rPr>
              <w:t>5</w:t>
            </w:r>
          </w:p>
        </w:tc>
        <w:tc>
          <w:tcPr>
            <w:tcW w:w="720" w:type="dxa"/>
            <w:tcBorders>
              <w:right w:val="single" w:color="auto" w:sz="4" w:space="0"/>
            </w:tcBorders>
            <w:vAlign w:val="center"/>
          </w:tcPr>
          <w:p>
            <w:pPr>
              <w:autoSpaceDE w:val="0"/>
              <w:autoSpaceDN w:val="0"/>
              <w:jc w:val="center"/>
              <w:rPr>
                <w:rFonts w:ascii="仿宋" w:hAnsi="仿宋" w:eastAsia="仿宋" w:cs="Calibri"/>
                <w:color w:val="000000"/>
                <w:kern w:val="0"/>
                <w:szCs w:val="21"/>
              </w:rPr>
            </w:pPr>
          </w:p>
        </w:tc>
        <w:tc>
          <w:tcPr>
            <w:tcW w:w="3255" w:type="dxa"/>
            <w:tcBorders>
              <w:left w:val="single" w:color="auto" w:sz="4" w:space="0"/>
              <w:right w:val="single" w:color="auto" w:sz="4" w:space="0"/>
            </w:tcBorders>
            <w:vAlign w:val="center"/>
          </w:tcPr>
          <w:p>
            <w:pPr>
              <w:autoSpaceDE w:val="0"/>
              <w:autoSpaceDN w:val="0"/>
              <w:rPr>
                <w:rFonts w:ascii="仿宋" w:hAnsi="仿宋" w:eastAsia="仿宋" w:cs="宋体"/>
                <w:color w:val="000000"/>
                <w:kern w:val="0"/>
                <w:szCs w:val="21"/>
              </w:rPr>
            </w:pPr>
            <w:r>
              <w:rPr>
                <w:rFonts w:ascii="仿宋" w:hAnsi="仿宋" w:eastAsia="仿宋" w:cs="宋体"/>
                <w:color w:val="000000"/>
                <w:kern w:val="0"/>
                <w:szCs w:val="21"/>
              </w:rPr>
              <w:t>咨询单位人员不得接受施工单位的钱、物、宴请，不得参与可能与业主利益相冲突的任何活动，每违反一次扣</w:t>
            </w:r>
            <w:r>
              <w:rPr>
                <w:rFonts w:hint="eastAsia" w:ascii="仿宋" w:hAnsi="仿宋" w:eastAsia="仿宋" w:cs="Calibri"/>
                <w:color w:val="000000"/>
                <w:kern w:val="0"/>
                <w:szCs w:val="21"/>
              </w:rPr>
              <w:t>3</w:t>
            </w:r>
            <w:r>
              <w:rPr>
                <w:rFonts w:ascii="仿宋" w:hAnsi="仿宋" w:eastAsia="仿宋" w:cs="宋体"/>
                <w:color w:val="000000"/>
                <w:kern w:val="0"/>
                <w:szCs w:val="21"/>
              </w:rPr>
              <w:t>分；</w:t>
            </w:r>
          </w:p>
          <w:p>
            <w:pPr>
              <w:autoSpaceDE w:val="0"/>
              <w:autoSpaceDN w:val="0"/>
              <w:jc w:val="center"/>
              <w:rPr>
                <w:rFonts w:ascii="仿宋" w:hAnsi="仿宋" w:eastAsia="仿宋" w:cs="Calibri"/>
                <w:color w:val="000000"/>
                <w:kern w:val="0"/>
                <w:szCs w:val="21"/>
              </w:rPr>
            </w:pPr>
            <w:r>
              <w:rPr>
                <w:rFonts w:ascii="仿宋" w:hAnsi="仿宋" w:eastAsia="仿宋" w:cs="宋体"/>
                <w:color w:val="000000"/>
                <w:kern w:val="0"/>
                <w:szCs w:val="21"/>
              </w:rPr>
              <w:t>咨询单位不得泄露与本工程有关的保密资料，每违反一次扣</w:t>
            </w:r>
            <w:r>
              <w:rPr>
                <w:rFonts w:ascii="仿宋" w:hAnsi="仿宋" w:eastAsia="仿宋" w:cs="Calibri"/>
                <w:color w:val="000000"/>
                <w:kern w:val="0"/>
                <w:szCs w:val="21"/>
              </w:rPr>
              <w:t>3</w:t>
            </w:r>
            <w:r>
              <w:rPr>
                <w:rFonts w:ascii="仿宋" w:hAnsi="仿宋" w:eastAsia="仿宋" w:cs="宋体"/>
                <w:color w:val="000000"/>
                <w:kern w:val="0"/>
                <w:szCs w:val="21"/>
              </w:rPr>
              <w:t>分。</w:t>
            </w:r>
          </w:p>
        </w:tc>
      </w:tr>
    </w:tbl>
    <w:p>
      <w:pPr>
        <w:pStyle w:val="23"/>
      </w:pPr>
    </w:p>
    <w:p>
      <w:pPr>
        <w:snapToGrid w:val="0"/>
        <w:spacing w:line="360" w:lineRule="auto"/>
        <w:jc w:val="center"/>
        <w:rPr>
          <w:rFonts w:ascii="仿宋" w:hAnsi="仿宋" w:eastAsia="仿宋"/>
          <w:b/>
          <w:sz w:val="28"/>
          <w:szCs w:val="28"/>
        </w:rPr>
      </w:pPr>
      <w:r>
        <w:rPr>
          <w:rFonts w:hint="eastAsia" w:ascii="仿宋" w:hAnsi="仿宋" w:eastAsia="仿宋" w:cs="仿宋_GB2312"/>
          <w:b/>
          <w:sz w:val="32"/>
        </w:rPr>
        <w:t>二、商务要求</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2.1服务期限</w:t>
      </w:r>
    </w:p>
    <w:p>
      <w:pPr>
        <w:widowControl/>
        <w:snapToGrid w:val="0"/>
        <w:spacing w:line="360" w:lineRule="auto"/>
        <w:ind w:firstLine="480" w:firstLineChars="200"/>
        <w:rPr>
          <w:rFonts w:ascii="仿宋" w:eastAsia="仿宋"/>
          <w:kern w:val="0"/>
          <w:sz w:val="24"/>
        </w:rPr>
      </w:pPr>
      <w:r>
        <w:rPr>
          <w:rFonts w:hint="eastAsia" w:ascii="仿宋" w:eastAsia="仿宋"/>
          <w:kern w:val="0"/>
          <w:sz w:val="24"/>
        </w:rPr>
        <w:t>合同签订之日起计算至服务结束为止。</w:t>
      </w:r>
    </w:p>
    <w:p>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2.3数量调整</w:t>
      </w:r>
    </w:p>
    <w:p>
      <w:pPr>
        <w:widowControl/>
        <w:spacing w:line="480" w:lineRule="exact"/>
        <w:ind w:firstLine="480"/>
        <w:jc w:val="left"/>
        <w:rPr>
          <w:rFonts w:ascii="仿宋" w:hAnsi="仿宋" w:eastAsia="仿宋"/>
          <w:sz w:val="24"/>
        </w:rPr>
      </w:pPr>
      <w:r>
        <w:rPr>
          <w:rFonts w:hint="eastAsia" w:ascii="仿宋" w:hAnsi="仿宋" w:eastAsia="仿宋"/>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pacing w:line="480" w:lineRule="exact"/>
        <w:jc w:val="left"/>
        <w:rPr>
          <w:rFonts w:ascii="仿宋" w:hAnsi="仿宋" w:eastAsia="仿宋"/>
          <w:sz w:val="24"/>
        </w:rPr>
      </w:pPr>
      <w:r>
        <w:rPr>
          <w:rFonts w:hint="eastAsia" w:ascii="仿宋" w:hAnsi="仿宋" w:eastAsia="仿宋"/>
          <w:sz w:val="24"/>
        </w:rPr>
        <w:t>▲</w:t>
      </w:r>
      <w:r>
        <w:rPr>
          <w:rFonts w:hint="eastAsia" w:ascii="仿宋" w:eastAsia="仿宋"/>
          <w:b/>
          <w:bCs/>
          <w:sz w:val="24"/>
        </w:rPr>
        <w:t>2.4付款方式</w:t>
      </w:r>
    </w:p>
    <w:p>
      <w:pPr>
        <w:widowControl/>
        <w:spacing w:line="560" w:lineRule="exact"/>
        <w:ind w:firstLine="482"/>
        <w:jc w:val="left"/>
        <w:rPr>
          <w:rFonts w:ascii="仿宋" w:hAnsi="仿宋" w:eastAsia="仿宋"/>
          <w:sz w:val="24"/>
        </w:rPr>
      </w:pPr>
      <w:r>
        <w:rPr>
          <w:rFonts w:hint="eastAsia" w:ascii="仿宋" w:hAnsi="仿宋" w:eastAsia="仿宋"/>
          <w:sz w:val="24"/>
        </w:rPr>
        <w:t>2.4.1工程施工招标代理服务费支付方式：完成每个（项目）标段工程施工招标工作，资料齐全且政府相关单位要求的资料上传完毕后一次性付清；</w:t>
      </w:r>
    </w:p>
    <w:p>
      <w:pPr>
        <w:widowControl/>
        <w:spacing w:line="560" w:lineRule="exact"/>
        <w:ind w:firstLine="482"/>
        <w:jc w:val="left"/>
        <w:rPr>
          <w:rFonts w:ascii="仿宋" w:hAnsi="仿宋" w:eastAsia="仿宋"/>
          <w:sz w:val="24"/>
        </w:rPr>
      </w:pPr>
      <w:r>
        <w:rPr>
          <w:rFonts w:hint="eastAsia" w:ascii="仿宋" w:hAnsi="仿宋" w:eastAsia="仿宋"/>
          <w:sz w:val="24"/>
        </w:rPr>
        <w:t>2.4.2完成服务类（包括但不限于监理、设计等）、工程设备/材料物资采购每个（项目）标段招标代理工作、资料齐全且政府相关单位要求的资料上传完毕后付清。</w:t>
      </w:r>
    </w:p>
    <w:p>
      <w:pPr>
        <w:widowControl/>
        <w:spacing w:line="560" w:lineRule="exact"/>
        <w:ind w:firstLine="482"/>
        <w:jc w:val="left"/>
        <w:rPr>
          <w:rFonts w:hint="eastAsia" w:ascii="仿宋" w:hAnsi="仿宋" w:eastAsia="仿宋"/>
          <w:sz w:val="24"/>
        </w:rPr>
      </w:pPr>
      <w:r>
        <w:rPr>
          <w:rFonts w:hint="eastAsia" w:ascii="仿宋" w:hAnsi="仿宋" w:eastAsia="仿宋"/>
          <w:sz w:val="24"/>
        </w:rPr>
        <w:t>2.4.3工程量清单及控制价编制费用：每个（项目）标段招标工作结束，支付本（项目）标段服务价款的70%；工程竣工验收合格后支付至最终结算款的90%；竣工结算完成（非中标人工作内容）后支付结算款的100%。</w:t>
      </w:r>
    </w:p>
    <w:p>
      <w:pPr>
        <w:widowControl/>
        <w:snapToGrid w:val="0"/>
        <w:spacing w:line="480" w:lineRule="exact"/>
        <w:ind w:firstLine="480" w:firstLineChars="200"/>
        <w:rPr>
          <w:rFonts w:hint="eastAsia" w:ascii="仿宋" w:hAnsi="仿宋" w:eastAsia="仿宋"/>
          <w:sz w:val="24"/>
          <w:highlight w:val="none"/>
        </w:rPr>
      </w:pPr>
      <w:r>
        <w:rPr>
          <w:rFonts w:hint="eastAsia" w:ascii="仿宋" w:hAnsi="仿宋" w:eastAsia="仿宋"/>
          <w:sz w:val="24"/>
          <w:highlight w:val="none"/>
          <w:lang w:val="en-US" w:eastAsia="zh-CN"/>
        </w:rPr>
        <w:t xml:space="preserve">2.4.4 </w:t>
      </w:r>
      <w:r>
        <w:rPr>
          <w:rFonts w:hint="eastAsia" w:ascii="仿宋" w:hAnsi="仿宋" w:eastAsia="仿宋" w:cs="Times New Roman"/>
          <w:snapToGrid/>
          <w:color w:val="000000"/>
          <w:sz w:val="24"/>
          <w:szCs w:val="24"/>
          <w:highlight w:val="none"/>
        </w:rPr>
        <w:t>管线迁改、拆改、市政配套</w:t>
      </w:r>
      <w:r>
        <w:rPr>
          <w:rFonts w:hint="eastAsia" w:ascii="仿宋" w:hAnsi="仿宋" w:eastAsia="仿宋" w:cs="Times New Roman"/>
          <w:snapToGrid/>
          <w:color w:val="000000"/>
          <w:sz w:val="24"/>
          <w:szCs w:val="24"/>
          <w:highlight w:val="none"/>
          <w:lang w:eastAsia="zh-CN"/>
        </w:rPr>
        <w:t>、费用补偿项目、涉铁费用审核造价咨询费在项目编制或审核完成，</w:t>
      </w:r>
      <w:r>
        <w:rPr>
          <w:rFonts w:hint="eastAsia" w:ascii="仿宋" w:hAnsi="仿宋" w:eastAsia="仿宋"/>
          <w:sz w:val="24"/>
          <w:highlight w:val="none"/>
        </w:rPr>
        <w:t>在收到中标人申请付款单，并将纸质和电子档案资料移交采购人</w:t>
      </w:r>
      <w:r>
        <w:rPr>
          <w:rFonts w:hint="eastAsia" w:ascii="仿宋" w:hAnsi="仿宋" w:eastAsia="仿宋"/>
          <w:sz w:val="24"/>
          <w:highlight w:val="none"/>
          <w:lang w:eastAsia="zh-CN"/>
        </w:rPr>
        <w:t>后</w:t>
      </w:r>
      <w:r>
        <w:rPr>
          <w:rFonts w:hint="eastAsia" w:ascii="仿宋" w:hAnsi="仿宋" w:eastAsia="仿宋"/>
          <w:sz w:val="24"/>
          <w:highlight w:val="none"/>
        </w:rPr>
        <w:t>付清。</w:t>
      </w:r>
    </w:p>
    <w:p>
      <w:pPr>
        <w:widowControl/>
        <w:spacing w:line="560" w:lineRule="exact"/>
        <w:ind w:firstLine="482"/>
        <w:jc w:val="left"/>
        <w:rPr>
          <w:rFonts w:hint="eastAsia" w:ascii="仿宋" w:hAnsi="仿宋" w:eastAsia="仿宋"/>
          <w:sz w:val="24"/>
          <w:lang w:eastAsia="zh-CN"/>
        </w:rPr>
      </w:pPr>
      <w:r>
        <w:rPr>
          <w:rFonts w:hint="eastAsia" w:ascii="仿宋" w:hAnsi="仿宋" w:eastAsia="仿宋"/>
          <w:sz w:val="24"/>
        </w:rPr>
        <w:t>2.4.</w:t>
      </w:r>
      <w:r>
        <w:rPr>
          <w:rFonts w:hint="eastAsia" w:ascii="仿宋" w:hAnsi="仿宋" w:eastAsia="仿宋"/>
          <w:sz w:val="24"/>
          <w:lang w:val="en-US" w:eastAsia="zh-CN"/>
        </w:rPr>
        <w:t>5</w:t>
      </w:r>
      <w:r>
        <w:rPr>
          <w:rFonts w:hint="eastAsia" w:ascii="仿宋" w:hAnsi="仿宋" w:eastAsia="仿宋"/>
          <w:sz w:val="24"/>
        </w:rPr>
        <w:t>施工过程中的常驻人员补贴费每一年结算一次</w:t>
      </w:r>
      <w:r>
        <w:rPr>
          <w:rFonts w:hint="eastAsia" w:ascii="仿宋" w:hAnsi="仿宋" w:eastAsia="仿宋"/>
          <w:sz w:val="24"/>
          <w:lang w:eastAsia="zh-CN"/>
        </w:rPr>
        <w:t>。</w:t>
      </w:r>
    </w:p>
    <w:p>
      <w:pPr>
        <w:widowControl/>
        <w:spacing w:line="560" w:lineRule="exact"/>
        <w:ind w:firstLine="482"/>
        <w:jc w:val="left"/>
        <w:rPr>
          <w:rFonts w:ascii="仿宋" w:hAnsi="仿宋" w:eastAsia="仿宋"/>
          <w:sz w:val="24"/>
        </w:rPr>
      </w:pPr>
      <w:r>
        <w:rPr>
          <w:rFonts w:hint="eastAsia" w:ascii="仿宋" w:hAnsi="仿宋" w:eastAsia="仿宋"/>
          <w:sz w:val="24"/>
        </w:rPr>
        <w:t>2.4.</w:t>
      </w:r>
      <w:r>
        <w:rPr>
          <w:rFonts w:hint="eastAsia" w:ascii="仿宋" w:hAnsi="仿宋" w:eastAsia="仿宋"/>
          <w:sz w:val="24"/>
          <w:lang w:val="en-US" w:eastAsia="zh-CN"/>
        </w:rPr>
        <w:t>6</w:t>
      </w:r>
      <w:r>
        <w:rPr>
          <w:rFonts w:hint="eastAsia" w:ascii="仿宋" w:hAnsi="仿宋" w:eastAsia="仿宋"/>
          <w:sz w:val="24"/>
        </w:rPr>
        <w:t>中标单位需要提供符合业主要求的增值税发票。</w:t>
      </w:r>
    </w:p>
    <w:p>
      <w:pPr>
        <w:widowControl/>
        <w:spacing w:line="560" w:lineRule="exact"/>
        <w:ind w:firstLine="482"/>
        <w:jc w:val="left"/>
        <w:rPr>
          <w:rFonts w:ascii="仿宋" w:hAnsi="仿宋" w:eastAsia="仿宋"/>
          <w:sz w:val="24"/>
        </w:rPr>
      </w:pPr>
      <w:r>
        <w:rPr>
          <w:rFonts w:hint="eastAsia" w:ascii="仿宋" w:hAnsi="仿宋" w:eastAsia="仿宋"/>
          <w:sz w:val="24"/>
        </w:rPr>
        <w:t>2.4.</w:t>
      </w:r>
      <w:r>
        <w:rPr>
          <w:rFonts w:hint="eastAsia" w:ascii="仿宋" w:hAnsi="仿宋" w:eastAsia="仿宋"/>
          <w:sz w:val="24"/>
          <w:lang w:val="en-US" w:eastAsia="zh-CN"/>
        </w:rPr>
        <w:t>7</w:t>
      </w:r>
      <w:r>
        <w:rPr>
          <w:rFonts w:hint="eastAsia" w:ascii="仿宋" w:hAnsi="仿宋" w:eastAsia="仿宋"/>
          <w:sz w:val="24"/>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440" w:lineRule="exact"/>
        <w:jc w:val="left"/>
        <w:rPr>
          <w:rFonts w:ascii="仿宋" w:hAnsi="仿宋" w:eastAsia="仿宋"/>
          <w:b/>
          <w:bCs/>
          <w:kern w:val="0"/>
          <w:sz w:val="24"/>
        </w:rPr>
      </w:pPr>
      <w:r>
        <w:rPr>
          <w:rFonts w:hint="eastAsia" w:ascii="仿宋" w:hAnsi="仿宋" w:eastAsia="仿宋"/>
          <w:b/>
          <w:bCs/>
          <w:kern w:val="0"/>
          <w:sz w:val="24"/>
        </w:rPr>
        <w:t>▲2.5质量要求</w:t>
      </w:r>
    </w:p>
    <w:p>
      <w:pPr>
        <w:adjustRightInd/>
        <w:spacing w:line="440" w:lineRule="exact"/>
        <w:ind w:firstLine="480" w:firstLineChars="200"/>
        <w:jc w:val="left"/>
        <w:rPr>
          <w:rFonts w:ascii="仿宋" w:hAnsi="仿宋" w:eastAsia="仿宋"/>
          <w:bCs/>
          <w:sz w:val="24"/>
          <w:szCs w:val="20"/>
        </w:rPr>
      </w:pPr>
      <w:r>
        <w:rPr>
          <w:rFonts w:hint="eastAsia" w:ascii="仿宋" w:hAnsi="仿宋" w:eastAsia="仿宋"/>
          <w:bCs/>
          <w:sz w:val="24"/>
          <w:szCs w:val="20"/>
          <w:u w:val="single"/>
        </w:rPr>
        <w:t xml:space="preserve"> 优质服务 </w:t>
      </w:r>
      <w:r>
        <w:rPr>
          <w:rFonts w:hint="eastAsia" w:ascii="仿宋" w:hAnsi="仿宋" w:eastAsia="仿宋"/>
          <w:bCs/>
          <w:sz w:val="24"/>
          <w:szCs w:val="20"/>
        </w:rPr>
        <w:t>且必须符合国家法律法规和行业标准为准。</w:t>
      </w:r>
    </w:p>
    <w:p>
      <w:pPr>
        <w:spacing w:line="440" w:lineRule="exact"/>
        <w:jc w:val="left"/>
        <w:rPr>
          <w:rFonts w:ascii="仿宋" w:hAnsi="仿宋" w:eastAsia="仿宋"/>
          <w:bCs/>
          <w:sz w:val="24"/>
          <w:szCs w:val="20"/>
        </w:rPr>
      </w:pPr>
      <w:r>
        <w:rPr>
          <w:rFonts w:hint="eastAsia" w:ascii="仿宋" w:hAnsi="仿宋" w:eastAsia="仿宋"/>
          <w:b/>
          <w:bCs/>
          <w:kern w:val="0"/>
          <w:sz w:val="24"/>
        </w:rPr>
        <w:t xml:space="preserve">▲2.6结算原则   </w:t>
      </w:r>
      <w:r>
        <w:rPr>
          <w:rFonts w:hint="eastAsia" w:ascii="仿宋" w:hAnsi="仿宋" w:eastAsia="仿宋"/>
          <w:bCs/>
          <w:sz w:val="24"/>
          <w:szCs w:val="20"/>
        </w:rPr>
        <w:t xml:space="preserve"> </w:t>
      </w:r>
    </w:p>
    <w:p>
      <w:pPr>
        <w:widowControl/>
        <w:spacing w:line="560" w:lineRule="exact"/>
        <w:ind w:firstLine="482"/>
        <w:jc w:val="left"/>
        <w:rPr>
          <w:rFonts w:ascii="仿宋" w:hAnsi="仿宋" w:eastAsia="仿宋"/>
          <w:sz w:val="24"/>
        </w:rPr>
      </w:pPr>
      <w:r>
        <w:rPr>
          <w:rFonts w:hint="eastAsia" w:ascii="仿宋" w:hAnsi="仿宋" w:eastAsia="仿宋"/>
          <w:sz w:val="24"/>
        </w:rPr>
        <w:t>2.6.1招标文件、招标答疑会纪要、中标投标人的中标报价等作为结算依据。</w:t>
      </w:r>
    </w:p>
    <w:p>
      <w:pPr>
        <w:widowControl/>
        <w:spacing w:line="480" w:lineRule="exact"/>
        <w:ind w:firstLine="482"/>
        <w:jc w:val="left"/>
        <w:rPr>
          <w:rFonts w:ascii="仿宋" w:hAnsi="仿宋" w:eastAsia="仿宋"/>
          <w:sz w:val="24"/>
          <w:highlight w:val="none"/>
        </w:rPr>
      </w:pPr>
      <w:r>
        <w:rPr>
          <w:rFonts w:hint="eastAsia" w:ascii="仿宋" w:hAnsi="仿宋" w:eastAsia="仿宋"/>
          <w:sz w:val="24"/>
          <w:highlight w:val="none"/>
        </w:rPr>
        <w:t>2.6.2施工类招标代理费以招标项目的中标金额为计算基础，按招标代理中标费率一次性包死，不再调整，经计算后不足5000元，按5000元/每次（如有专家评审费发生的</w:t>
      </w:r>
      <w:r>
        <w:rPr>
          <w:rFonts w:hint="eastAsia" w:ascii="仿宋" w:hAnsi="仿宋" w:eastAsia="仿宋"/>
          <w:sz w:val="24"/>
          <w:highlight w:val="none"/>
          <w:lang w:eastAsia="zh-CN"/>
        </w:rPr>
        <w:t>保底</w:t>
      </w:r>
      <w:r>
        <w:rPr>
          <w:rFonts w:hint="eastAsia" w:ascii="仿宋" w:hAnsi="仿宋" w:eastAsia="仿宋"/>
          <w:sz w:val="24"/>
          <w:highlight w:val="none"/>
        </w:rPr>
        <w:t>按8000元/次，如抽取省库专家的</w:t>
      </w:r>
      <w:r>
        <w:rPr>
          <w:rFonts w:hint="eastAsia" w:ascii="仿宋" w:hAnsi="仿宋" w:eastAsia="仿宋"/>
          <w:sz w:val="24"/>
          <w:highlight w:val="none"/>
          <w:lang w:eastAsia="zh-CN"/>
        </w:rPr>
        <w:t>保底</w:t>
      </w:r>
      <w:r>
        <w:rPr>
          <w:rFonts w:hint="eastAsia" w:ascii="仿宋" w:hAnsi="仿宋" w:eastAsia="仿宋"/>
          <w:sz w:val="24"/>
          <w:highlight w:val="none"/>
        </w:rPr>
        <w:t>按1</w:t>
      </w:r>
      <w:r>
        <w:rPr>
          <w:rFonts w:hint="eastAsia" w:ascii="仿宋" w:hAnsi="仿宋" w:eastAsia="仿宋"/>
          <w:sz w:val="24"/>
          <w:highlight w:val="none"/>
          <w:lang w:val="en-US" w:eastAsia="zh-CN"/>
        </w:rPr>
        <w:t>8</w:t>
      </w:r>
      <w:r>
        <w:rPr>
          <w:rFonts w:hint="eastAsia" w:ascii="仿宋" w:hAnsi="仿宋" w:eastAsia="仿宋"/>
          <w:sz w:val="24"/>
          <w:highlight w:val="none"/>
        </w:rPr>
        <w:t>000元/次）计取；施工类造价咨询费（不含常驻人员补贴费）以审定的标底价（如有财政审核以财政审定价为准）或预算价为计算基数，按造价咨询中标费率一次性包死，若经计算后费用低于2000元的按2000元计取。</w:t>
      </w:r>
    </w:p>
    <w:p>
      <w:pPr>
        <w:widowControl/>
        <w:spacing w:line="480" w:lineRule="exact"/>
        <w:ind w:firstLine="482"/>
        <w:jc w:val="left"/>
        <w:rPr>
          <w:rFonts w:hint="eastAsia" w:ascii="仿宋" w:hAnsi="仿宋" w:eastAsia="仿宋"/>
          <w:sz w:val="24"/>
          <w:highlight w:val="none"/>
        </w:rPr>
      </w:pPr>
      <w:r>
        <w:rPr>
          <w:rFonts w:hint="eastAsia" w:ascii="仿宋" w:hAnsi="仿宋" w:eastAsia="仿宋"/>
          <w:sz w:val="24"/>
          <w:highlight w:val="none"/>
        </w:rPr>
        <w:t>2.6.3服务类（包括不限于监理、设计等）、工程设备/材料物资采购招标代理不再按照中标费率结算，费用结算原则如下：若经计算后费用不足5000元，按照5000元/每次（如有专家评审费发生的按8000元/次，如抽取省库专家的按1</w:t>
      </w:r>
      <w:r>
        <w:rPr>
          <w:rFonts w:hint="eastAsia" w:ascii="仿宋" w:hAnsi="仿宋" w:eastAsia="仿宋"/>
          <w:sz w:val="24"/>
          <w:highlight w:val="none"/>
          <w:lang w:val="en-US" w:eastAsia="zh-CN"/>
        </w:rPr>
        <w:t>8</w:t>
      </w:r>
      <w:r>
        <w:rPr>
          <w:rFonts w:hint="eastAsia" w:ascii="仿宋" w:hAnsi="仿宋" w:eastAsia="仿宋"/>
          <w:sz w:val="24"/>
          <w:highlight w:val="none"/>
        </w:rPr>
        <w:t>000元/次）计取。服务类/工程设备/材料物资采购等非工程施工类的控制价编制均已包含在工程设备/材料物资采购招标代理费中，不再单独计取。</w:t>
      </w:r>
      <w:r>
        <w:rPr>
          <w:rFonts w:hint="eastAsia" w:ascii="仿宋" w:hAnsi="仿宋" w:eastAsia="仿宋"/>
          <w:sz w:val="24"/>
          <w:highlight w:val="none"/>
          <w:lang w:eastAsia="zh-CN"/>
        </w:rPr>
        <w:t>如工程施工类项目按采购项目进行招标的，</w:t>
      </w:r>
      <w:r>
        <w:rPr>
          <w:rFonts w:hint="eastAsia" w:ascii="仿宋" w:hAnsi="仿宋" w:eastAsia="仿宋"/>
          <w:sz w:val="24"/>
          <w:highlight w:val="none"/>
          <w:lang w:val="en-US" w:eastAsia="zh-CN"/>
        </w:rPr>
        <w:t>根据业主要求</w:t>
      </w:r>
      <w:r>
        <w:rPr>
          <w:rFonts w:hint="eastAsia" w:ascii="仿宋" w:hAnsi="仿宋" w:eastAsia="仿宋"/>
          <w:sz w:val="24"/>
          <w:highlight w:val="none"/>
        </w:rPr>
        <w:t>须要标底编制</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出具预算报告</w:t>
      </w:r>
      <w:r>
        <w:rPr>
          <w:rFonts w:hint="eastAsia" w:ascii="仿宋" w:hAnsi="仿宋" w:eastAsia="仿宋"/>
          <w:sz w:val="24"/>
          <w:highlight w:val="none"/>
          <w:lang w:eastAsia="zh-CN"/>
        </w:rPr>
        <w:t>）</w:t>
      </w:r>
      <w:r>
        <w:rPr>
          <w:rFonts w:hint="eastAsia" w:ascii="仿宋" w:hAnsi="仿宋" w:eastAsia="仿宋"/>
          <w:sz w:val="24"/>
          <w:highlight w:val="none"/>
        </w:rPr>
        <w:t>，相</w:t>
      </w:r>
      <w:r>
        <w:rPr>
          <w:rFonts w:hint="eastAsia" w:ascii="仿宋" w:hAnsi="仿宋" w:eastAsia="仿宋"/>
          <w:sz w:val="24"/>
          <w:highlight w:val="none"/>
          <w:lang w:val="en-US" w:eastAsia="zh-CN"/>
        </w:rPr>
        <w:t>应</w:t>
      </w:r>
      <w:r>
        <w:rPr>
          <w:rFonts w:hint="eastAsia" w:ascii="仿宋" w:hAnsi="仿宋" w:eastAsia="仿宋"/>
          <w:sz w:val="24"/>
          <w:highlight w:val="none"/>
        </w:rPr>
        <w:t>的费用</w:t>
      </w:r>
      <w:r>
        <w:rPr>
          <w:rFonts w:hint="eastAsia" w:ascii="仿宋" w:hAnsi="仿宋" w:eastAsia="仿宋"/>
          <w:sz w:val="24"/>
          <w:highlight w:val="none"/>
          <w:lang w:val="en-US" w:eastAsia="zh-CN"/>
        </w:rPr>
        <w:t>参照2.6.2造价咨询费计算标准的基础上打五折计取（</w:t>
      </w:r>
      <w:r>
        <w:rPr>
          <w:rFonts w:hint="eastAsia" w:ascii="仿宋" w:hAnsi="仿宋" w:eastAsia="仿宋"/>
          <w:sz w:val="24"/>
          <w:highlight w:val="none"/>
        </w:rPr>
        <w:t>若经计算后费用低于2000元的按2000元计取</w:t>
      </w:r>
      <w:r>
        <w:rPr>
          <w:rFonts w:hint="eastAsia" w:ascii="仿宋" w:hAnsi="仿宋" w:eastAsia="仿宋"/>
          <w:sz w:val="24"/>
          <w:highlight w:val="none"/>
          <w:lang w:val="en-US" w:eastAsia="zh-CN"/>
        </w:rPr>
        <w:t>）</w:t>
      </w:r>
      <w:r>
        <w:rPr>
          <w:rFonts w:hint="eastAsia" w:ascii="仿宋" w:hAnsi="仿宋" w:eastAsia="仿宋"/>
          <w:sz w:val="24"/>
          <w:highlight w:val="none"/>
        </w:rPr>
        <w:t>。</w:t>
      </w:r>
    </w:p>
    <w:p>
      <w:pPr>
        <w:widowControl/>
        <w:spacing w:line="480" w:lineRule="exact"/>
        <w:ind w:firstLine="482"/>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2.6.4如项目完成标底编制初稿，经业主通知不再进行下一步工作，造价咨询收费按照原收费标准的六折计取，在标底初稿提供后一次性支付。</w:t>
      </w:r>
    </w:p>
    <w:p>
      <w:pPr>
        <w:widowControl/>
        <w:spacing w:line="480" w:lineRule="exact"/>
        <w:ind w:firstLine="482"/>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2.6.5</w:t>
      </w:r>
      <w:r>
        <w:rPr>
          <w:rFonts w:hint="eastAsia" w:ascii="仿宋" w:hAnsi="仿宋" w:eastAsia="仿宋"/>
          <w:sz w:val="24"/>
          <w:highlight w:val="none"/>
        </w:rPr>
        <w:t>如项目完成标底审核，经业主通知不再进行下一步工作，标底审核收费</w:t>
      </w:r>
      <w:r>
        <w:rPr>
          <w:rFonts w:hint="eastAsia" w:ascii="仿宋" w:hAnsi="仿宋" w:eastAsia="仿宋"/>
          <w:sz w:val="24"/>
          <w:highlight w:val="none"/>
          <w:lang w:val="en-US" w:eastAsia="zh-CN"/>
        </w:rPr>
        <w:t>按照原收费标准的九折计取。</w:t>
      </w:r>
    </w:p>
    <w:p>
      <w:pPr>
        <w:widowControl/>
        <w:spacing w:line="480" w:lineRule="exact"/>
        <w:ind w:firstLine="482"/>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2.6.6如限额以下项目已完成招标文件编制并已发布公告，经业主通知不再进行下一步工作，代理费用按照2000元/只计取；</w:t>
      </w:r>
    </w:p>
    <w:p>
      <w:pPr>
        <w:widowControl/>
        <w:spacing w:line="480" w:lineRule="exact"/>
        <w:ind w:firstLine="482"/>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2.6.7如限额以上项目已完成招标文件编制并已发布公告，经业主通知不再进行下一步工作，代理费用按照按照3000元/只计取；</w:t>
      </w:r>
    </w:p>
    <w:p>
      <w:pPr>
        <w:widowControl/>
        <w:spacing w:line="480" w:lineRule="exact"/>
        <w:ind w:firstLine="482"/>
        <w:jc w:val="left"/>
        <w:rPr>
          <w:rFonts w:ascii="仿宋" w:hAnsi="仿宋" w:eastAsia="仿宋"/>
          <w:sz w:val="24"/>
          <w:highlight w:val="none"/>
        </w:rPr>
      </w:pPr>
      <w:r>
        <w:rPr>
          <w:rFonts w:hint="eastAsia" w:ascii="仿宋" w:hAnsi="仿宋" w:eastAsia="仿宋"/>
          <w:sz w:val="24"/>
          <w:highlight w:val="none"/>
        </w:rPr>
        <w:t>2.6.</w:t>
      </w:r>
      <w:r>
        <w:rPr>
          <w:rFonts w:hint="eastAsia" w:ascii="仿宋" w:hAnsi="仿宋" w:eastAsia="仿宋"/>
          <w:sz w:val="24"/>
          <w:highlight w:val="none"/>
          <w:lang w:val="en-US" w:eastAsia="zh-CN"/>
        </w:rPr>
        <w:t>8</w:t>
      </w:r>
      <w:r>
        <w:rPr>
          <w:rFonts w:hint="eastAsia" w:ascii="仿宋" w:hAnsi="仿宋" w:eastAsia="仿宋"/>
          <w:sz w:val="24"/>
          <w:highlight w:val="none"/>
        </w:rPr>
        <w:t>招标代理服务范围内所发生的费用按以下原则处理：除招标代理活动中的场地费、公证费由招标人支付，其余费用均由本项目中标单位承担。</w:t>
      </w:r>
    </w:p>
    <w:p>
      <w:pPr>
        <w:widowControl/>
        <w:spacing w:line="560" w:lineRule="exact"/>
        <w:ind w:firstLine="482"/>
        <w:jc w:val="left"/>
        <w:rPr>
          <w:rFonts w:hint="eastAsia" w:ascii="仿宋" w:hAnsi="仿宋" w:eastAsia="仿宋"/>
          <w:sz w:val="24"/>
          <w:highlight w:val="none"/>
        </w:rPr>
      </w:pPr>
      <w:r>
        <w:rPr>
          <w:rFonts w:hint="eastAsia" w:ascii="仿宋" w:hAnsi="仿宋" w:eastAsia="仿宋"/>
          <w:sz w:val="24"/>
        </w:rPr>
        <w:t>2.6.</w:t>
      </w:r>
      <w:r>
        <w:rPr>
          <w:rFonts w:hint="eastAsia" w:ascii="仿宋" w:hAnsi="仿宋" w:eastAsia="仿宋"/>
          <w:sz w:val="24"/>
          <w:lang w:val="en-US" w:eastAsia="zh-CN"/>
        </w:rPr>
        <w:t>9</w:t>
      </w:r>
      <w:r>
        <w:rPr>
          <w:rFonts w:hint="eastAsia" w:ascii="仿宋" w:hAnsi="仿宋" w:eastAsia="仿宋"/>
          <w:sz w:val="24"/>
        </w:rPr>
        <w:t>施工过程中的变更联系单编制或审核、过程计价中的编制或审核费已经包含在合同价款内不再另行计取费用。常驻人员补贴仅指驻勤人员补贴费用，招标文件明确的服务内容不因常驻人员的数量增减或</w:t>
      </w:r>
      <w:r>
        <w:rPr>
          <w:rFonts w:hint="eastAsia" w:ascii="仿宋" w:hAnsi="仿宋" w:eastAsia="仿宋"/>
          <w:sz w:val="24"/>
          <w:highlight w:val="none"/>
        </w:rPr>
        <w:t>取消而改变。如需另行编制/审核预算的管线迁改项目</w:t>
      </w:r>
      <w:r>
        <w:rPr>
          <w:rFonts w:hint="eastAsia" w:ascii="仿宋" w:hAnsi="仿宋" w:eastAsia="仿宋"/>
          <w:sz w:val="24"/>
          <w:highlight w:val="none"/>
          <w:lang w:eastAsia="zh-CN"/>
        </w:rPr>
        <w:t>、涉铁费用审核、市政配套项目</w:t>
      </w:r>
      <w:r>
        <w:rPr>
          <w:rFonts w:hint="eastAsia" w:ascii="仿宋" w:hAnsi="仿宋" w:eastAsia="仿宋"/>
          <w:sz w:val="24"/>
          <w:highlight w:val="none"/>
        </w:rPr>
        <w:t>或</w:t>
      </w:r>
      <w:r>
        <w:rPr>
          <w:rFonts w:hint="eastAsia" w:ascii="仿宋" w:hAnsi="仿宋" w:eastAsia="仿宋"/>
          <w:sz w:val="24"/>
          <w:highlight w:val="none"/>
          <w:lang w:eastAsia="zh-CN"/>
        </w:rPr>
        <w:t>拆改、</w:t>
      </w:r>
      <w:r>
        <w:rPr>
          <w:rFonts w:hint="eastAsia" w:ascii="仿宋" w:hAnsi="仿宋" w:eastAsia="仿宋"/>
          <w:sz w:val="24"/>
          <w:highlight w:val="none"/>
        </w:rPr>
        <w:t>费用补偿项目，相</w:t>
      </w:r>
      <w:r>
        <w:rPr>
          <w:rFonts w:hint="eastAsia" w:ascii="仿宋" w:hAnsi="仿宋" w:eastAsia="仿宋"/>
          <w:sz w:val="24"/>
          <w:highlight w:val="none"/>
          <w:lang w:val="en-US" w:eastAsia="zh-CN"/>
        </w:rPr>
        <w:t>应</w:t>
      </w:r>
      <w:r>
        <w:rPr>
          <w:rFonts w:hint="eastAsia" w:ascii="仿宋" w:hAnsi="仿宋" w:eastAsia="仿宋"/>
          <w:sz w:val="24"/>
          <w:highlight w:val="none"/>
        </w:rPr>
        <w:t>的费用</w:t>
      </w:r>
      <w:r>
        <w:rPr>
          <w:rFonts w:hint="eastAsia" w:ascii="仿宋" w:hAnsi="仿宋" w:eastAsia="仿宋"/>
          <w:sz w:val="24"/>
          <w:highlight w:val="none"/>
          <w:lang w:val="en-US" w:eastAsia="zh-CN"/>
        </w:rPr>
        <w:t>参照2.6.2造价咨询费计算标准的基础上打五折计取（</w:t>
      </w:r>
      <w:r>
        <w:rPr>
          <w:rFonts w:hint="eastAsia" w:ascii="仿宋" w:hAnsi="仿宋" w:eastAsia="仿宋"/>
          <w:sz w:val="24"/>
          <w:highlight w:val="none"/>
        </w:rPr>
        <w:t>若经计算后费用低于2000元的按2000元计取</w:t>
      </w:r>
      <w:r>
        <w:rPr>
          <w:rFonts w:hint="eastAsia" w:ascii="仿宋" w:hAnsi="仿宋" w:eastAsia="仿宋"/>
          <w:sz w:val="24"/>
          <w:highlight w:val="none"/>
          <w:lang w:val="en-US" w:eastAsia="zh-CN"/>
        </w:rPr>
        <w:t>）</w:t>
      </w:r>
      <w:r>
        <w:rPr>
          <w:rFonts w:hint="eastAsia" w:ascii="仿宋" w:hAnsi="仿宋" w:eastAsia="仿宋"/>
          <w:sz w:val="24"/>
          <w:highlight w:val="none"/>
        </w:rPr>
        <w:t>（不参与报价）。</w:t>
      </w:r>
    </w:p>
    <w:p>
      <w:pPr>
        <w:widowControl/>
        <w:spacing w:line="560" w:lineRule="exact"/>
        <w:ind w:firstLine="482"/>
        <w:jc w:val="left"/>
        <w:rPr>
          <w:rFonts w:hint="eastAsia"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10</w:t>
      </w:r>
      <w:r>
        <w:rPr>
          <w:rFonts w:hint="eastAsia" w:ascii="仿宋" w:hAnsi="仿宋" w:eastAsia="仿宋"/>
          <w:sz w:val="24"/>
          <w:highlight w:val="none"/>
        </w:rPr>
        <w:t>其他：非中标单位的原因引起的招标项目第一次招标失败的，采购人如需后期再次进行招标的，服务费不再计取，专家费按实计取。</w:t>
      </w:r>
    </w:p>
    <w:p>
      <w:pPr>
        <w:widowControl/>
        <w:spacing w:line="560" w:lineRule="exact"/>
        <w:ind w:firstLine="482"/>
        <w:jc w:val="left"/>
        <w:rPr>
          <w:rFonts w:hint="eastAsia"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11</w:t>
      </w:r>
      <w:r>
        <w:rPr>
          <w:rFonts w:hint="eastAsia" w:ascii="仿宋" w:hAnsi="仿宋" w:eastAsia="仿宋"/>
          <w:sz w:val="24"/>
          <w:highlight w:val="none"/>
        </w:rPr>
        <w:t>以上涉及到的招标代理费用均包含评标专家费用。采购人不再另行支付评标专家费，除2.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10</w:t>
      </w:r>
      <w:r>
        <w:rPr>
          <w:rFonts w:hint="eastAsia" w:ascii="仿宋" w:hAnsi="仿宋" w:eastAsia="仿宋"/>
          <w:sz w:val="24"/>
          <w:highlight w:val="none"/>
        </w:rPr>
        <w:t>之外。</w:t>
      </w:r>
    </w:p>
    <w:p>
      <w:pPr>
        <w:widowControl/>
        <w:spacing w:line="560" w:lineRule="exact"/>
        <w:ind w:firstLine="482"/>
        <w:jc w:val="left"/>
        <w:rPr>
          <w:rFonts w:hint="default" w:ascii="仿宋" w:hAnsi="仿宋" w:eastAsia="仿宋"/>
          <w:b/>
          <w:bCs/>
          <w:sz w:val="24"/>
          <w:highlight w:val="none"/>
          <w:u w:val="single"/>
          <w:lang w:val="en-US" w:eastAsia="zh-CN"/>
        </w:rPr>
      </w:pPr>
      <w:r>
        <w:rPr>
          <w:rFonts w:hint="eastAsia" w:ascii="仿宋" w:hAnsi="仿宋" w:eastAsia="仿宋"/>
          <w:b/>
          <w:bCs/>
          <w:sz w:val="24"/>
          <w:highlight w:val="none"/>
          <w:u w:val="single"/>
          <w:lang w:val="en-US" w:eastAsia="zh-CN"/>
        </w:rPr>
        <w:t>2.6.8 经计算后如结算金额如超过中标金额10%的，结算金额按中标金额的110%计取，超过10%部分不再计取，请投标人在投标报价时考虑该风险因素。</w:t>
      </w:r>
    </w:p>
    <w:p>
      <w:pPr>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▲2.7 违约责任：</w:t>
      </w:r>
    </w:p>
    <w:p>
      <w:pPr>
        <w:widowControl/>
        <w:snapToGrid w:val="0"/>
        <w:spacing w:line="480" w:lineRule="exact"/>
        <w:ind w:firstLine="480" w:firstLineChars="200"/>
        <w:rPr>
          <w:rFonts w:ascii="仿宋" w:hAnsi="仿宋" w:eastAsia="仿宋"/>
          <w:sz w:val="24"/>
        </w:rPr>
      </w:pPr>
      <w:r>
        <w:rPr>
          <w:rFonts w:hint="eastAsia" w:ascii="仿宋" w:hAnsi="仿宋" w:eastAsia="仿宋"/>
          <w:sz w:val="24"/>
        </w:rPr>
        <w:t>2.7.1进度控制</w:t>
      </w:r>
    </w:p>
    <w:p>
      <w:pPr>
        <w:widowControl/>
        <w:snapToGrid w:val="0"/>
        <w:spacing w:line="480" w:lineRule="exact"/>
        <w:ind w:firstLine="480" w:firstLineChars="200"/>
        <w:rPr>
          <w:rFonts w:ascii="仿宋" w:hAnsi="仿宋" w:eastAsia="仿宋"/>
          <w:sz w:val="24"/>
        </w:rPr>
      </w:pPr>
      <w:r>
        <w:rPr>
          <w:rFonts w:hint="eastAsia" w:ascii="仿宋" w:hAnsi="仿宋" w:eastAsia="仿宋"/>
          <w:sz w:val="24"/>
        </w:rPr>
        <w:t>因中标单位自身责任超过规定时间未能完成标底编制或审核工作的，每延迟一天扣1000元；超过规定时间未能完成招标工作的，每延迟一天扣1000元。</w:t>
      </w:r>
    </w:p>
    <w:p>
      <w:pPr>
        <w:pStyle w:val="23"/>
        <w:spacing w:line="480" w:lineRule="exact"/>
        <w:ind w:firstLine="480" w:firstLineChars="200"/>
        <w:rPr>
          <w:rFonts w:ascii="仿宋" w:hAnsi="仿宋" w:eastAsia="仿宋" w:cs="Times New Roman"/>
          <w:szCs w:val="24"/>
          <w:lang w:val="en-US"/>
        </w:rPr>
      </w:pPr>
      <w:r>
        <w:rPr>
          <w:rFonts w:hint="eastAsia" w:ascii="仿宋" w:hAnsi="仿宋" w:eastAsia="仿宋" w:cs="Times New Roman"/>
          <w:szCs w:val="24"/>
          <w:lang w:val="en-US"/>
        </w:rPr>
        <w:t>2.7.2质量控制：</w:t>
      </w:r>
    </w:p>
    <w:p>
      <w:pPr>
        <w:widowControl/>
        <w:spacing w:line="480" w:lineRule="exact"/>
        <w:ind w:firstLine="480"/>
        <w:jc w:val="left"/>
        <w:rPr>
          <w:rFonts w:ascii="仿宋" w:hAnsi="仿宋" w:eastAsia="仿宋" w:cs="Arial"/>
          <w:snapToGrid w:val="0"/>
          <w:sz w:val="24"/>
          <w:szCs w:val="21"/>
        </w:rPr>
      </w:pPr>
      <w:r>
        <w:rPr>
          <w:rFonts w:hint="eastAsia" w:ascii="仿宋" w:hAnsi="仿宋" w:eastAsia="仿宋" w:cs="Arial"/>
          <w:sz w:val="24"/>
        </w:rPr>
        <w:t>2.7.2.</w:t>
      </w:r>
      <w:r>
        <w:rPr>
          <w:rFonts w:hint="eastAsia" w:ascii="仿宋" w:hAnsi="仿宋" w:eastAsia="仿宋" w:cs="Arial"/>
          <w:snapToGrid w:val="0"/>
          <w:sz w:val="24"/>
          <w:szCs w:val="21"/>
        </w:rPr>
        <w:t>1联系单业主要求4小时内到现场踏勘，自通知之时3天内编制完成，图纸会审7天内完成。做不到每次扣200元。</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rPr>
        <w:t>2.7.2.</w:t>
      </w:r>
      <w:r>
        <w:rPr>
          <w:rFonts w:hint="eastAsia" w:ascii="仿宋" w:hAnsi="仿宋" w:eastAsia="仿宋" w:cs="Arial"/>
          <w:snapToGrid w:val="0"/>
          <w:sz w:val="24"/>
          <w:szCs w:val="21"/>
        </w:rPr>
        <w:t>2联系单编审出现重大差错，取消其在浙江绍兴杭绍临空示范区开发集团有限公司</w:t>
      </w:r>
      <w:r>
        <w:rPr>
          <w:rFonts w:hint="eastAsia" w:ascii="仿宋" w:hAnsi="仿宋" w:eastAsia="仿宋" w:cs="Arial"/>
          <w:snapToGrid w:val="0"/>
          <w:sz w:val="24"/>
          <w:szCs w:val="21"/>
          <w:highlight w:val="none"/>
        </w:rPr>
        <w:t>（区轨道集团）及下属子公司各项目工程中1年的投标资格。</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highlight w:val="none"/>
        </w:rPr>
        <w:t>2.7.2.</w:t>
      </w:r>
      <w:r>
        <w:rPr>
          <w:rFonts w:hint="eastAsia" w:ascii="仿宋" w:hAnsi="仿宋" w:eastAsia="仿宋" w:cs="Arial"/>
          <w:snapToGrid w:val="0"/>
          <w:sz w:val="24"/>
          <w:szCs w:val="21"/>
          <w:highlight w:val="none"/>
        </w:rPr>
        <w:t>3由于服务单位的过错</w:t>
      </w:r>
      <w:r>
        <w:rPr>
          <w:rFonts w:hint="eastAsia" w:ascii="仿宋" w:hAnsi="仿宋" w:eastAsia="仿宋" w:cs="Arial"/>
          <w:snapToGrid w:val="0"/>
          <w:sz w:val="24"/>
          <w:szCs w:val="21"/>
          <w:highlight w:val="none"/>
          <w:lang w:eastAsia="zh-CN"/>
        </w:rPr>
        <w:t>造成采购人</w:t>
      </w:r>
      <w:r>
        <w:rPr>
          <w:rFonts w:hint="eastAsia" w:ascii="仿宋" w:hAnsi="仿宋" w:eastAsia="仿宋" w:cs="Arial"/>
          <w:snapToGrid w:val="0"/>
          <w:sz w:val="24"/>
          <w:szCs w:val="21"/>
          <w:highlight w:val="none"/>
        </w:rPr>
        <w:t>被财政、审计、建设等相关部门书面批评或扣分的，每发生一次扣10000元</w:t>
      </w:r>
      <w:r>
        <w:rPr>
          <w:rFonts w:hint="eastAsia" w:ascii="仿宋" w:hAnsi="仿宋" w:eastAsia="仿宋" w:cs="Arial"/>
          <w:snapToGrid w:val="0"/>
          <w:sz w:val="24"/>
          <w:szCs w:val="21"/>
          <w:highlight w:val="none"/>
          <w:lang w:eastAsia="zh-CN"/>
        </w:rPr>
        <w:t>。</w:t>
      </w:r>
      <w:r>
        <w:rPr>
          <w:rFonts w:hint="eastAsia" w:ascii="仿宋" w:hAnsi="仿宋" w:eastAsia="仿宋" w:cs="Arial"/>
          <w:snapToGrid w:val="0"/>
          <w:sz w:val="24"/>
          <w:szCs w:val="21"/>
          <w:highlight w:val="none"/>
        </w:rPr>
        <w:t>情节特别严重的，采购人有权直接</w:t>
      </w:r>
      <w:r>
        <w:rPr>
          <w:rFonts w:hint="eastAsia" w:ascii="仿宋" w:hAnsi="仿宋" w:eastAsia="仿宋" w:cs="Arial"/>
          <w:snapToGrid w:val="0"/>
          <w:sz w:val="24"/>
          <w:szCs w:val="21"/>
          <w:highlight w:val="none"/>
          <w:lang w:val="en-US" w:eastAsia="zh-CN"/>
        </w:rPr>
        <w:t>终止</w:t>
      </w:r>
      <w:r>
        <w:rPr>
          <w:rFonts w:hint="eastAsia" w:ascii="仿宋" w:hAnsi="仿宋" w:eastAsia="仿宋" w:cs="Arial"/>
          <w:snapToGrid w:val="0"/>
          <w:sz w:val="24"/>
          <w:szCs w:val="21"/>
          <w:highlight w:val="none"/>
        </w:rPr>
        <w:t>合同，取消其在浙江绍兴杭绍临空示范区开发集团有限公司（区轨道集团）及下属子公司各项目工程中1年的投标资格。</w:t>
      </w:r>
    </w:p>
    <w:p>
      <w:pPr>
        <w:widowControl/>
        <w:spacing w:line="480" w:lineRule="exact"/>
        <w:ind w:firstLine="480"/>
        <w:jc w:val="center"/>
        <w:rPr>
          <w:rFonts w:ascii="仿宋" w:hAnsi="仿宋" w:eastAsia="仿宋" w:cs="Arial"/>
          <w:b/>
          <w:bCs/>
          <w:snapToGrid w:val="0"/>
          <w:sz w:val="30"/>
          <w:szCs w:val="30"/>
        </w:rPr>
      </w:pPr>
    </w:p>
    <w:p>
      <w:pPr>
        <w:rPr>
          <w:rFonts w:ascii="仿宋" w:hAnsi="仿宋" w:eastAsia="仿宋" w:cs="仿宋_GB2312"/>
          <w:b/>
          <w:sz w:val="36"/>
          <w:szCs w:val="36"/>
        </w:rPr>
      </w:pPr>
      <w:r>
        <w:rPr>
          <w:rFonts w:hint="eastAsia" w:ascii="仿宋" w:hAnsi="仿宋" w:eastAsia="仿宋" w:cs="仿宋_GB2312"/>
          <w:b/>
          <w:sz w:val="36"/>
          <w:szCs w:val="36"/>
        </w:rPr>
        <w:br w:type="page"/>
      </w:r>
    </w:p>
    <w:p>
      <w:pPr>
        <w:pStyle w:val="2"/>
      </w:pPr>
    </w:p>
    <w:p>
      <w:pPr>
        <w:spacing w:line="440" w:lineRule="exact"/>
        <w:jc w:val="center"/>
        <w:rPr>
          <w:rFonts w:ascii="仿宋" w:hAnsi="仿宋" w:eastAsia="仿宋" w:cs="仿宋_GB2312"/>
          <w:b/>
          <w:sz w:val="36"/>
          <w:szCs w:val="36"/>
        </w:rPr>
      </w:pPr>
      <w:r>
        <w:rPr>
          <w:rFonts w:hint="eastAsia" w:ascii="仿宋" w:hAnsi="仿宋" w:eastAsia="仿宋" w:cs="仿宋_GB2312"/>
          <w:b/>
          <w:sz w:val="36"/>
          <w:szCs w:val="36"/>
        </w:rPr>
        <w:t xml:space="preserve">第四部分   </w:t>
      </w:r>
      <w:bookmarkStart w:id="62" w:name="_Toc184313307"/>
      <w:bookmarkEnd w:id="62"/>
      <w:bookmarkStart w:id="63" w:name="_Toc184314459"/>
      <w:bookmarkEnd w:id="63"/>
      <w:bookmarkStart w:id="64" w:name="_Toc184310280"/>
      <w:bookmarkEnd w:id="64"/>
      <w:bookmarkStart w:id="65" w:name="_Toc184308087"/>
      <w:bookmarkEnd w:id="65"/>
      <w:bookmarkStart w:id="66" w:name="_Toc184310338"/>
      <w:bookmarkEnd w:id="66"/>
      <w:bookmarkStart w:id="67" w:name="_Toc184310317"/>
      <w:bookmarkEnd w:id="67"/>
      <w:bookmarkStart w:id="68" w:name="_Toc184310295"/>
      <w:bookmarkEnd w:id="68"/>
      <w:bookmarkStart w:id="69" w:name="_Toc184313274"/>
      <w:bookmarkEnd w:id="69"/>
      <w:bookmarkStart w:id="70" w:name="_Toc184312107"/>
      <w:bookmarkEnd w:id="70"/>
      <w:bookmarkStart w:id="71" w:name="_Toc184312123"/>
      <w:bookmarkEnd w:id="71"/>
      <w:bookmarkStart w:id="72" w:name="_Toc184312079"/>
      <w:bookmarkEnd w:id="72"/>
      <w:bookmarkStart w:id="73" w:name="_Toc184314422"/>
      <w:bookmarkEnd w:id="73"/>
      <w:bookmarkStart w:id="74" w:name="_Toc184313305"/>
      <w:bookmarkEnd w:id="74"/>
      <w:bookmarkStart w:id="75" w:name="_Toc184308071"/>
      <w:bookmarkEnd w:id="75"/>
      <w:bookmarkStart w:id="76" w:name="_Toc184314448"/>
      <w:bookmarkEnd w:id="76"/>
      <w:bookmarkStart w:id="77" w:name="_Toc184310337"/>
      <w:bookmarkEnd w:id="77"/>
      <w:bookmarkStart w:id="78" w:name="_Toc184310332"/>
      <w:bookmarkEnd w:id="78"/>
      <w:bookmarkStart w:id="79" w:name="_Toc184308083"/>
      <w:bookmarkEnd w:id="79"/>
      <w:bookmarkStart w:id="80" w:name="_Toc184314463"/>
      <w:bookmarkEnd w:id="80"/>
      <w:bookmarkStart w:id="81" w:name="_Toc184313273"/>
      <w:bookmarkEnd w:id="81"/>
      <w:bookmarkStart w:id="82" w:name="_Toc184312075"/>
      <w:bookmarkEnd w:id="82"/>
      <w:bookmarkStart w:id="83" w:name="_Toc184314411"/>
      <w:bookmarkEnd w:id="83"/>
      <w:bookmarkStart w:id="84" w:name="_Toc184310285"/>
      <w:bookmarkEnd w:id="84"/>
      <w:bookmarkStart w:id="85" w:name="_Toc184312074"/>
      <w:bookmarkEnd w:id="85"/>
      <w:bookmarkStart w:id="86" w:name="_Toc184313245"/>
      <w:bookmarkEnd w:id="86"/>
      <w:bookmarkStart w:id="87" w:name="_Toc184312122"/>
      <w:bookmarkEnd w:id="87"/>
      <w:bookmarkStart w:id="88" w:name="_Toc184314467"/>
      <w:bookmarkEnd w:id="88"/>
      <w:bookmarkStart w:id="89" w:name="_Toc184314470"/>
      <w:bookmarkEnd w:id="89"/>
      <w:bookmarkStart w:id="90" w:name="_Toc184308102"/>
      <w:bookmarkEnd w:id="90"/>
      <w:bookmarkStart w:id="91" w:name="_Toc184308108"/>
      <w:bookmarkEnd w:id="91"/>
      <w:bookmarkStart w:id="92" w:name="_Toc184308073"/>
      <w:bookmarkEnd w:id="92"/>
      <w:bookmarkStart w:id="93" w:name="_Toc184310279"/>
      <w:bookmarkEnd w:id="93"/>
      <w:bookmarkStart w:id="94" w:name="_Toc184314461"/>
      <w:bookmarkEnd w:id="94"/>
      <w:bookmarkStart w:id="95" w:name="_Toc184314433"/>
      <w:bookmarkEnd w:id="95"/>
      <w:bookmarkStart w:id="96" w:name="_Toc184312128"/>
      <w:bookmarkEnd w:id="96"/>
      <w:bookmarkStart w:id="97" w:name="_Toc184313284"/>
      <w:bookmarkEnd w:id="97"/>
      <w:bookmarkStart w:id="98" w:name="_Toc184312080"/>
      <w:bookmarkEnd w:id="98"/>
      <w:bookmarkStart w:id="99" w:name="_Toc184308061"/>
      <w:bookmarkEnd w:id="99"/>
      <w:bookmarkStart w:id="100" w:name="_Toc184312118"/>
      <w:bookmarkEnd w:id="100"/>
      <w:bookmarkStart w:id="101" w:name="_Toc184310327"/>
      <w:bookmarkEnd w:id="101"/>
      <w:bookmarkStart w:id="102" w:name="_Toc184312136"/>
      <w:bookmarkEnd w:id="102"/>
      <w:bookmarkStart w:id="103" w:name="_Toc184312126"/>
      <w:bookmarkEnd w:id="103"/>
      <w:bookmarkStart w:id="104" w:name="_Toc184314453"/>
      <w:bookmarkEnd w:id="104"/>
      <w:bookmarkStart w:id="105" w:name="_Toc184308074"/>
      <w:bookmarkEnd w:id="105"/>
      <w:bookmarkStart w:id="106" w:name="_Toc184312120"/>
      <w:bookmarkEnd w:id="106"/>
      <w:bookmarkStart w:id="107" w:name="_Toc184308099"/>
      <w:bookmarkEnd w:id="107"/>
      <w:bookmarkStart w:id="108" w:name="_Toc184313243"/>
      <w:bookmarkEnd w:id="108"/>
      <w:bookmarkStart w:id="109" w:name="_Toc184308049"/>
      <w:bookmarkEnd w:id="109"/>
      <w:bookmarkStart w:id="110" w:name="_Toc184310308"/>
      <w:bookmarkEnd w:id="110"/>
      <w:bookmarkStart w:id="111" w:name="_Toc184308058"/>
      <w:bookmarkEnd w:id="111"/>
      <w:bookmarkStart w:id="112" w:name="_Toc184310289"/>
      <w:bookmarkEnd w:id="112"/>
      <w:bookmarkStart w:id="113" w:name="_Toc184314471"/>
      <w:bookmarkEnd w:id="113"/>
      <w:bookmarkStart w:id="114" w:name="_Toc184314446"/>
      <w:bookmarkEnd w:id="114"/>
      <w:bookmarkStart w:id="115" w:name="_Toc184310311"/>
      <w:bookmarkEnd w:id="115"/>
      <w:bookmarkStart w:id="116" w:name="_Toc184314451"/>
      <w:bookmarkEnd w:id="116"/>
      <w:bookmarkStart w:id="117" w:name="_Toc184308057"/>
      <w:bookmarkEnd w:id="117"/>
      <w:bookmarkStart w:id="118" w:name="_Toc184310274"/>
      <w:bookmarkEnd w:id="118"/>
      <w:bookmarkStart w:id="119" w:name="_Toc184310287"/>
      <w:bookmarkEnd w:id="119"/>
      <w:bookmarkStart w:id="120" w:name="_Toc184313302"/>
      <w:bookmarkEnd w:id="120"/>
      <w:bookmarkStart w:id="121" w:name="_Toc184308088"/>
      <w:bookmarkEnd w:id="121"/>
      <w:bookmarkStart w:id="122" w:name="_Toc184308056"/>
      <w:bookmarkEnd w:id="122"/>
      <w:bookmarkStart w:id="123" w:name="_Toc184312106"/>
      <w:bookmarkEnd w:id="123"/>
      <w:bookmarkStart w:id="124" w:name="_Toc184313279"/>
      <w:bookmarkEnd w:id="124"/>
      <w:bookmarkStart w:id="125" w:name="_Toc184308079"/>
      <w:bookmarkEnd w:id="125"/>
      <w:bookmarkStart w:id="126" w:name="_Toc184310275"/>
      <w:bookmarkEnd w:id="126"/>
      <w:bookmarkStart w:id="127" w:name="_Toc184310334"/>
      <w:bookmarkEnd w:id="127"/>
      <w:bookmarkStart w:id="128" w:name="_Toc184310293"/>
      <w:bookmarkEnd w:id="128"/>
      <w:bookmarkStart w:id="129" w:name="_Toc184313261"/>
      <w:bookmarkEnd w:id="129"/>
      <w:bookmarkStart w:id="130" w:name="_Toc184314465"/>
      <w:bookmarkEnd w:id="130"/>
      <w:bookmarkStart w:id="131" w:name="_Toc184313269"/>
      <w:bookmarkEnd w:id="131"/>
      <w:bookmarkStart w:id="132" w:name="_Toc184310309"/>
      <w:bookmarkEnd w:id="132"/>
      <w:bookmarkStart w:id="133" w:name="_Toc184314418"/>
      <w:bookmarkEnd w:id="133"/>
      <w:bookmarkStart w:id="134" w:name="_Toc184308067"/>
      <w:bookmarkEnd w:id="134"/>
      <w:bookmarkStart w:id="135" w:name="_Toc184313299"/>
      <w:bookmarkEnd w:id="135"/>
      <w:bookmarkStart w:id="136" w:name="_Toc184314466"/>
      <w:bookmarkEnd w:id="136"/>
      <w:bookmarkStart w:id="137" w:name="_Toc184314450"/>
      <w:bookmarkEnd w:id="137"/>
      <w:bookmarkStart w:id="138" w:name="_Toc184313239"/>
      <w:bookmarkEnd w:id="138"/>
      <w:bookmarkStart w:id="139" w:name="_Toc184314462"/>
      <w:bookmarkEnd w:id="139"/>
      <w:bookmarkStart w:id="140" w:name="_Toc184312129"/>
      <w:bookmarkEnd w:id="140"/>
      <w:bookmarkStart w:id="141" w:name="_Toc184314457"/>
      <w:bookmarkEnd w:id="141"/>
      <w:bookmarkStart w:id="142" w:name="_Toc184308055"/>
      <w:bookmarkEnd w:id="142"/>
      <w:bookmarkStart w:id="143" w:name="_Toc184308065"/>
      <w:bookmarkEnd w:id="143"/>
      <w:bookmarkStart w:id="144" w:name="_Toc184312084"/>
      <w:bookmarkEnd w:id="144"/>
      <w:bookmarkStart w:id="145" w:name="_Toc184313266"/>
      <w:bookmarkEnd w:id="145"/>
      <w:bookmarkStart w:id="146" w:name="_Toc184310277"/>
      <w:bookmarkEnd w:id="146"/>
      <w:bookmarkStart w:id="147" w:name="_Toc184310286"/>
      <w:bookmarkEnd w:id="147"/>
      <w:bookmarkStart w:id="148" w:name="_Toc184314458"/>
      <w:bookmarkEnd w:id="148"/>
      <w:bookmarkStart w:id="149" w:name="_Toc184313293"/>
      <w:bookmarkEnd w:id="149"/>
      <w:bookmarkStart w:id="150" w:name="_Toc184313272"/>
      <w:bookmarkEnd w:id="150"/>
      <w:bookmarkStart w:id="151" w:name="_Toc184314454"/>
      <w:bookmarkEnd w:id="151"/>
      <w:bookmarkStart w:id="152" w:name="_Toc184312100"/>
      <w:bookmarkEnd w:id="152"/>
      <w:bookmarkStart w:id="153" w:name="_Toc184313259"/>
      <w:bookmarkEnd w:id="153"/>
      <w:bookmarkStart w:id="154" w:name="_Toc184313240"/>
      <w:bookmarkEnd w:id="154"/>
      <w:bookmarkStart w:id="155" w:name="_Toc184310322"/>
      <w:bookmarkEnd w:id="155"/>
      <w:bookmarkStart w:id="156" w:name="_Toc184314437"/>
      <w:bookmarkEnd w:id="156"/>
      <w:bookmarkStart w:id="157" w:name="_Toc184313247"/>
      <w:bookmarkEnd w:id="157"/>
      <w:bookmarkStart w:id="158" w:name="_Toc184313271"/>
      <w:bookmarkEnd w:id="158"/>
      <w:bookmarkStart w:id="159" w:name="_Toc184312131"/>
      <w:bookmarkEnd w:id="159"/>
      <w:bookmarkStart w:id="160" w:name="_Toc184312121"/>
      <w:bookmarkEnd w:id="160"/>
      <w:bookmarkStart w:id="161" w:name="_Toc184314416"/>
      <w:bookmarkEnd w:id="161"/>
      <w:bookmarkStart w:id="162" w:name="_Toc184310282"/>
      <w:bookmarkEnd w:id="162"/>
      <w:bookmarkStart w:id="163" w:name="_Toc184312071"/>
      <w:bookmarkEnd w:id="163"/>
      <w:bookmarkStart w:id="164" w:name="_Toc184310284"/>
      <w:bookmarkEnd w:id="164"/>
      <w:bookmarkStart w:id="165" w:name="_Toc184313295"/>
      <w:bookmarkEnd w:id="165"/>
      <w:bookmarkStart w:id="166" w:name="_Toc184313275"/>
      <w:bookmarkEnd w:id="166"/>
      <w:bookmarkStart w:id="167" w:name="_Toc184313298"/>
      <w:bookmarkEnd w:id="167"/>
      <w:bookmarkStart w:id="168" w:name="_Toc184312077"/>
      <w:bookmarkEnd w:id="168"/>
      <w:bookmarkStart w:id="169" w:name="_Toc184313287"/>
      <w:bookmarkEnd w:id="169"/>
      <w:bookmarkStart w:id="170" w:name="_Toc184313297"/>
      <w:bookmarkEnd w:id="170"/>
      <w:bookmarkStart w:id="171" w:name="_Toc184310296"/>
      <w:bookmarkEnd w:id="171"/>
      <w:bookmarkStart w:id="172" w:name="_Toc184314442"/>
      <w:bookmarkEnd w:id="172"/>
      <w:bookmarkStart w:id="173" w:name="_Toc184313238"/>
      <w:bookmarkEnd w:id="173"/>
      <w:bookmarkStart w:id="174" w:name="_Toc184314469"/>
      <w:bookmarkEnd w:id="174"/>
      <w:bookmarkStart w:id="175" w:name="_Toc184308048"/>
      <w:bookmarkEnd w:id="175"/>
      <w:bookmarkStart w:id="176" w:name="_Toc184312092"/>
      <w:bookmarkEnd w:id="176"/>
      <w:bookmarkStart w:id="177" w:name="_Toc184310299"/>
      <w:bookmarkEnd w:id="177"/>
      <w:bookmarkStart w:id="178" w:name="_Toc184312098"/>
      <w:bookmarkEnd w:id="178"/>
      <w:bookmarkStart w:id="179" w:name="_Toc184312119"/>
      <w:bookmarkEnd w:id="179"/>
      <w:bookmarkStart w:id="180" w:name="_Toc184312095"/>
      <w:bookmarkEnd w:id="180"/>
      <w:bookmarkStart w:id="181" w:name="_Toc184314481"/>
      <w:bookmarkEnd w:id="181"/>
      <w:bookmarkStart w:id="182" w:name="_Toc184312115"/>
      <w:bookmarkEnd w:id="182"/>
      <w:bookmarkStart w:id="183" w:name="_Toc184313268"/>
      <w:bookmarkEnd w:id="183"/>
      <w:bookmarkStart w:id="184" w:name="_Toc184312090"/>
      <w:bookmarkEnd w:id="184"/>
      <w:bookmarkStart w:id="185" w:name="_Toc184313310"/>
      <w:bookmarkEnd w:id="185"/>
      <w:bookmarkStart w:id="186" w:name="_Toc184312070"/>
      <w:bookmarkEnd w:id="186"/>
      <w:bookmarkStart w:id="187" w:name="_Toc184312089"/>
      <w:bookmarkEnd w:id="187"/>
      <w:bookmarkStart w:id="188" w:name="_Toc184314417"/>
      <w:bookmarkEnd w:id="188"/>
      <w:bookmarkStart w:id="189" w:name="_Toc184310302"/>
      <w:bookmarkEnd w:id="189"/>
      <w:bookmarkStart w:id="190" w:name="_Toc184313296"/>
      <w:bookmarkEnd w:id="190"/>
      <w:bookmarkStart w:id="191" w:name="_Toc184314424"/>
      <w:bookmarkEnd w:id="191"/>
      <w:bookmarkStart w:id="192" w:name="_Toc184310329"/>
      <w:bookmarkEnd w:id="192"/>
      <w:bookmarkStart w:id="193" w:name="_Toc184313257"/>
      <w:bookmarkEnd w:id="193"/>
      <w:bookmarkStart w:id="194" w:name="_Toc184312104"/>
      <w:bookmarkEnd w:id="194"/>
      <w:bookmarkStart w:id="195" w:name="_Toc184308063"/>
      <w:bookmarkEnd w:id="195"/>
      <w:bookmarkStart w:id="196" w:name="_Toc184308086"/>
      <w:bookmarkEnd w:id="196"/>
      <w:bookmarkStart w:id="197" w:name="_Toc184314420"/>
      <w:bookmarkEnd w:id="197"/>
      <w:bookmarkStart w:id="198" w:name="_Toc184314460"/>
      <w:bookmarkEnd w:id="198"/>
      <w:bookmarkStart w:id="199" w:name="_Toc184308076"/>
      <w:bookmarkEnd w:id="199"/>
      <w:bookmarkStart w:id="200" w:name="_Toc184313251"/>
      <w:bookmarkEnd w:id="200"/>
      <w:bookmarkStart w:id="201" w:name="_Toc184310273"/>
      <w:bookmarkEnd w:id="201"/>
      <w:bookmarkStart w:id="202" w:name="_Toc184310335"/>
      <w:bookmarkEnd w:id="202"/>
      <w:bookmarkStart w:id="203" w:name="_Toc184310339"/>
      <w:bookmarkEnd w:id="203"/>
      <w:bookmarkStart w:id="204" w:name="_Toc184314429"/>
      <w:bookmarkEnd w:id="204"/>
      <w:bookmarkStart w:id="205" w:name="_Toc184308036"/>
      <w:bookmarkEnd w:id="205"/>
      <w:bookmarkStart w:id="206" w:name="_Toc184312124"/>
      <w:bookmarkEnd w:id="206"/>
      <w:bookmarkStart w:id="207" w:name="_Toc184310300"/>
      <w:bookmarkEnd w:id="207"/>
      <w:bookmarkStart w:id="208" w:name="_Toc184312125"/>
      <w:bookmarkEnd w:id="208"/>
      <w:bookmarkStart w:id="209" w:name="_Toc184310298"/>
      <w:bookmarkEnd w:id="209"/>
      <w:bookmarkStart w:id="210" w:name="_Toc184312105"/>
      <w:bookmarkEnd w:id="210"/>
      <w:bookmarkStart w:id="211" w:name="_Toc184314473"/>
      <w:bookmarkEnd w:id="211"/>
      <w:bookmarkStart w:id="212" w:name="_Toc184313252"/>
      <w:bookmarkEnd w:id="212"/>
      <w:bookmarkStart w:id="213" w:name="_Toc184312082"/>
      <w:bookmarkEnd w:id="213"/>
      <w:bookmarkStart w:id="214" w:name="_Toc184314479"/>
      <w:bookmarkEnd w:id="214"/>
      <w:bookmarkStart w:id="215" w:name="_Toc184308082"/>
      <w:bookmarkEnd w:id="215"/>
      <w:bookmarkStart w:id="216" w:name="_Toc184308100"/>
      <w:bookmarkEnd w:id="216"/>
      <w:bookmarkStart w:id="217" w:name="_Toc184314472"/>
      <w:bookmarkEnd w:id="217"/>
      <w:bookmarkStart w:id="218" w:name="_Toc184308101"/>
      <w:bookmarkEnd w:id="218"/>
      <w:bookmarkStart w:id="219" w:name="_Toc184314482"/>
      <w:bookmarkEnd w:id="219"/>
      <w:bookmarkStart w:id="220" w:name="_Toc184310297"/>
      <w:bookmarkEnd w:id="220"/>
      <w:bookmarkStart w:id="221" w:name="_Toc184314449"/>
      <w:bookmarkEnd w:id="221"/>
      <w:bookmarkStart w:id="222" w:name="_Toc184308042"/>
      <w:bookmarkEnd w:id="222"/>
      <w:bookmarkStart w:id="223" w:name="_Toc184312085"/>
      <w:bookmarkEnd w:id="223"/>
      <w:bookmarkStart w:id="224" w:name="_Toc184308094"/>
      <w:bookmarkEnd w:id="224"/>
      <w:bookmarkStart w:id="225" w:name="_Toc184312138"/>
      <w:bookmarkEnd w:id="225"/>
      <w:bookmarkStart w:id="226" w:name="_Toc184310324"/>
      <w:bookmarkEnd w:id="226"/>
      <w:bookmarkStart w:id="227" w:name="_Toc184312110"/>
      <w:bookmarkEnd w:id="227"/>
      <w:bookmarkStart w:id="228" w:name="_Toc184308096"/>
      <w:bookmarkEnd w:id="228"/>
      <w:bookmarkStart w:id="229" w:name="_Toc184314428"/>
      <w:bookmarkEnd w:id="229"/>
      <w:bookmarkStart w:id="230" w:name="_Toc184314445"/>
      <w:bookmarkEnd w:id="230"/>
      <w:bookmarkStart w:id="231" w:name="_Toc184314435"/>
      <w:bookmarkEnd w:id="231"/>
      <w:bookmarkStart w:id="232" w:name="_Toc184314426"/>
      <w:bookmarkEnd w:id="232"/>
      <w:bookmarkStart w:id="233" w:name="_Toc184313309"/>
      <w:bookmarkEnd w:id="233"/>
      <w:bookmarkStart w:id="234" w:name="_Toc184308093"/>
      <w:bookmarkEnd w:id="234"/>
      <w:bookmarkStart w:id="235" w:name="_Toc184312096"/>
      <w:bookmarkEnd w:id="235"/>
      <w:bookmarkStart w:id="236" w:name="_Toc184308070"/>
      <w:bookmarkEnd w:id="236"/>
      <w:bookmarkStart w:id="237" w:name="_Toc184314443"/>
      <w:bookmarkEnd w:id="237"/>
      <w:bookmarkStart w:id="238" w:name="_Toc184313248"/>
      <w:bookmarkEnd w:id="238"/>
      <w:bookmarkStart w:id="239" w:name="_Toc184310325"/>
      <w:bookmarkEnd w:id="239"/>
      <w:bookmarkStart w:id="240" w:name="_Toc184308085"/>
      <w:bookmarkEnd w:id="240"/>
      <w:bookmarkStart w:id="241" w:name="_Toc184310303"/>
      <w:bookmarkEnd w:id="241"/>
      <w:bookmarkStart w:id="242" w:name="_Toc184312112"/>
      <w:bookmarkEnd w:id="242"/>
      <w:bookmarkStart w:id="243" w:name="_Toc184314478"/>
      <w:bookmarkEnd w:id="243"/>
      <w:bookmarkStart w:id="244" w:name="_Toc184310333"/>
      <w:bookmarkEnd w:id="244"/>
      <w:bookmarkStart w:id="245" w:name="_Toc184310272"/>
      <w:bookmarkEnd w:id="245"/>
      <w:bookmarkStart w:id="246" w:name="_Toc184310340"/>
      <w:bookmarkEnd w:id="246"/>
      <w:bookmarkStart w:id="247" w:name="_Toc184313301"/>
      <w:bookmarkEnd w:id="247"/>
      <w:bookmarkStart w:id="248" w:name="_Toc184312067"/>
      <w:bookmarkEnd w:id="248"/>
      <w:bookmarkStart w:id="249" w:name="_Toc184308089"/>
      <w:bookmarkEnd w:id="249"/>
      <w:bookmarkStart w:id="250" w:name="_Toc184308072"/>
      <w:bookmarkEnd w:id="250"/>
      <w:bookmarkStart w:id="251" w:name="_Toc184312127"/>
      <w:bookmarkEnd w:id="251"/>
      <w:bookmarkStart w:id="252" w:name="_Toc184313267"/>
      <w:bookmarkEnd w:id="252"/>
      <w:bookmarkStart w:id="253" w:name="_Toc184310344"/>
      <w:bookmarkEnd w:id="253"/>
      <w:bookmarkStart w:id="254" w:name="_Toc184314438"/>
      <w:bookmarkEnd w:id="254"/>
      <w:bookmarkStart w:id="255" w:name="_Toc184313278"/>
      <w:bookmarkEnd w:id="255"/>
      <w:bookmarkStart w:id="256" w:name="_Toc184310310"/>
      <w:bookmarkEnd w:id="256"/>
      <w:bookmarkStart w:id="257" w:name="_Toc184314475"/>
      <w:bookmarkEnd w:id="257"/>
      <w:bookmarkStart w:id="258" w:name="_Toc184308060"/>
      <w:bookmarkEnd w:id="258"/>
      <w:bookmarkStart w:id="259" w:name="_Toc184310315"/>
      <w:bookmarkEnd w:id="259"/>
      <w:bookmarkStart w:id="260" w:name="_Toc184312103"/>
      <w:bookmarkEnd w:id="260"/>
      <w:bookmarkStart w:id="261" w:name="_Toc184313283"/>
      <w:bookmarkEnd w:id="261"/>
      <w:bookmarkStart w:id="262" w:name="_Toc184310306"/>
      <w:bookmarkEnd w:id="262"/>
      <w:bookmarkStart w:id="263" w:name="_Toc184312132"/>
      <w:bookmarkEnd w:id="263"/>
      <w:bookmarkStart w:id="264" w:name="_Toc184313291"/>
      <w:bookmarkEnd w:id="264"/>
      <w:bookmarkStart w:id="265" w:name="_Toc184310330"/>
      <w:bookmarkEnd w:id="265"/>
      <w:bookmarkStart w:id="266" w:name="_Toc184312094"/>
      <w:bookmarkEnd w:id="266"/>
      <w:bookmarkStart w:id="267" w:name="_Toc184308069"/>
      <w:bookmarkEnd w:id="267"/>
      <w:bookmarkStart w:id="268" w:name="_Toc184312069"/>
      <w:bookmarkEnd w:id="268"/>
      <w:bookmarkStart w:id="269" w:name="_Toc184308077"/>
      <w:bookmarkEnd w:id="269"/>
      <w:bookmarkStart w:id="270" w:name="_Toc184313262"/>
      <w:bookmarkEnd w:id="270"/>
      <w:bookmarkStart w:id="271" w:name="_Toc184313306"/>
      <w:bookmarkEnd w:id="271"/>
      <w:bookmarkStart w:id="272" w:name="_Toc184312130"/>
      <w:bookmarkEnd w:id="272"/>
      <w:bookmarkStart w:id="273" w:name="_Toc184308037"/>
      <w:bookmarkEnd w:id="273"/>
      <w:bookmarkStart w:id="274" w:name="_Toc184308045"/>
      <w:bookmarkEnd w:id="274"/>
      <w:bookmarkStart w:id="275" w:name="_Toc184313289"/>
      <w:bookmarkEnd w:id="275"/>
      <w:bookmarkStart w:id="276" w:name="_Toc184312087"/>
      <w:bookmarkEnd w:id="276"/>
      <w:bookmarkStart w:id="277" w:name="_Toc184314430"/>
      <w:bookmarkEnd w:id="277"/>
      <w:bookmarkStart w:id="278" w:name="_Toc184314456"/>
      <w:bookmarkEnd w:id="278"/>
      <w:bookmarkStart w:id="279" w:name="_Toc184308054"/>
      <w:bookmarkEnd w:id="279"/>
      <w:bookmarkStart w:id="280" w:name="_Toc184310313"/>
      <w:bookmarkEnd w:id="280"/>
      <w:bookmarkStart w:id="281" w:name="_Toc184308041"/>
      <w:bookmarkEnd w:id="281"/>
      <w:bookmarkStart w:id="282" w:name="_Toc184312076"/>
      <w:bookmarkEnd w:id="282"/>
      <w:bookmarkStart w:id="283" w:name="_Toc184312133"/>
      <w:bookmarkEnd w:id="283"/>
      <w:bookmarkStart w:id="284" w:name="_Toc184313282"/>
      <w:bookmarkEnd w:id="284"/>
      <w:bookmarkStart w:id="285" w:name="_Toc184308043"/>
      <w:bookmarkEnd w:id="285"/>
      <w:bookmarkStart w:id="286" w:name="_Toc184310283"/>
      <w:bookmarkEnd w:id="286"/>
      <w:bookmarkStart w:id="287" w:name="_Toc184313258"/>
      <w:bookmarkEnd w:id="287"/>
      <w:bookmarkStart w:id="288" w:name="_Toc184314480"/>
      <w:bookmarkEnd w:id="288"/>
      <w:bookmarkStart w:id="289" w:name="_Toc184310326"/>
      <w:bookmarkEnd w:id="289"/>
      <w:bookmarkStart w:id="290" w:name="_Toc184312101"/>
      <w:bookmarkEnd w:id="290"/>
      <w:bookmarkStart w:id="291" w:name="_Toc184314455"/>
      <w:bookmarkEnd w:id="291"/>
      <w:bookmarkStart w:id="292" w:name="_Toc184313308"/>
      <w:bookmarkEnd w:id="292"/>
      <w:bookmarkStart w:id="293" w:name="_Toc184314423"/>
      <w:bookmarkEnd w:id="293"/>
      <w:bookmarkStart w:id="294" w:name="_Toc184310294"/>
      <w:bookmarkEnd w:id="294"/>
      <w:bookmarkStart w:id="295" w:name="_Toc184313285"/>
      <w:bookmarkEnd w:id="295"/>
      <w:bookmarkStart w:id="296" w:name="_Toc184312088"/>
      <w:bookmarkEnd w:id="296"/>
      <w:bookmarkStart w:id="297" w:name="_Toc184313242"/>
      <w:bookmarkEnd w:id="297"/>
      <w:bookmarkStart w:id="298" w:name="_Toc184310318"/>
      <w:bookmarkEnd w:id="298"/>
      <w:bookmarkStart w:id="299" w:name="_Toc184313286"/>
      <w:bookmarkEnd w:id="299"/>
      <w:bookmarkStart w:id="300" w:name="_Toc184310307"/>
      <w:bookmarkEnd w:id="300"/>
      <w:bookmarkStart w:id="301" w:name="_Toc184308052"/>
      <w:bookmarkEnd w:id="301"/>
      <w:bookmarkStart w:id="302" w:name="_Toc184313256"/>
      <w:bookmarkEnd w:id="302"/>
      <w:bookmarkStart w:id="303" w:name="_Toc184308050"/>
      <w:bookmarkEnd w:id="303"/>
      <w:bookmarkStart w:id="304" w:name="_Toc184313288"/>
      <w:bookmarkEnd w:id="304"/>
      <w:bookmarkStart w:id="305" w:name="_Toc184310323"/>
      <w:bookmarkEnd w:id="305"/>
      <w:bookmarkStart w:id="306" w:name="_Toc184308078"/>
      <w:bookmarkEnd w:id="306"/>
      <w:bookmarkStart w:id="307" w:name="_Toc184308103"/>
      <w:bookmarkEnd w:id="307"/>
      <w:bookmarkStart w:id="308" w:name="_Toc184314436"/>
      <w:bookmarkEnd w:id="308"/>
      <w:bookmarkStart w:id="309" w:name="_Toc184314427"/>
      <w:bookmarkEnd w:id="309"/>
      <w:bookmarkStart w:id="310" w:name="_Toc184312114"/>
      <w:bookmarkEnd w:id="310"/>
      <w:bookmarkStart w:id="311" w:name="_Toc184308090"/>
      <w:bookmarkEnd w:id="311"/>
      <w:bookmarkStart w:id="312" w:name="_Toc184314476"/>
      <w:bookmarkEnd w:id="312"/>
      <w:bookmarkStart w:id="313" w:name="_Toc184308107"/>
      <w:bookmarkEnd w:id="313"/>
      <w:bookmarkStart w:id="314" w:name="_Toc184313244"/>
      <w:bookmarkEnd w:id="314"/>
      <w:bookmarkStart w:id="315" w:name="_Toc184308092"/>
      <w:bookmarkEnd w:id="315"/>
      <w:bookmarkStart w:id="316" w:name="_Toc184314412"/>
      <w:bookmarkEnd w:id="316"/>
      <w:bookmarkStart w:id="317" w:name="_Toc184313264"/>
      <w:bookmarkEnd w:id="317"/>
      <w:bookmarkStart w:id="318" w:name="_Toc184308091"/>
      <w:bookmarkEnd w:id="318"/>
      <w:bookmarkStart w:id="319" w:name="_Toc184310331"/>
      <w:bookmarkEnd w:id="319"/>
      <w:bookmarkStart w:id="320" w:name="_Toc184310278"/>
      <w:bookmarkEnd w:id="320"/>
      <w:bookmarkStart w:id="321" w:name="_Toc184312117"/>
      <w:bookmarkEnd w:id="321"/>
      <w:bookmarkStart w:id="322" w:name="_Toc184313300"/>
      <w:bookmarkEnd w:id="322"/>
      <w:bookmarkStart w:id="323" w:name="_Toc184310312"/>
      <w:bookmarkEnd w:id="323"/>
      <w:bookmarkStart w:id="324" w:name="_Toc184313265"/>
      <w:bookmarkEnd w:id="324"/>
      <w:bookmarkStart w:id="325" w:name="_Toc184314447"/>
      <w:bookmarkEnd w:id="325"/>
      <w:bookmarkStart w:id="326" w:name="_Toc184308075"/>
      <w:bookmarkEnd w:id="326"/>
      <w:bookmarkStart w:id="327" w:name="_Toc184314425"/>
      <w:bookmarkEnd w:id="327"/>
      <w:bookmarkStart w:id="328" w:name="_Toc184314464"/>
      <w:bookmarkEnd w:id="328"/>
      <w:bookmarkStart w:id="329" w:name="_Toc184313260"/>
      <w:bookmarkEnd w:id="329"/>
      <w:bookmarkStart w:id="330" w:name="_Toc184308038"/>
      <w:bookmarkEnd w:id="330"/>
      <w:bookmarkStart w:id="331" w:name="_Toc184312116"/>
      <w:bookmarkEnd w:id="331"/>
      <w:bookmarkStart w:id="332" w:name="_Toc184314440"/>
      <w:bookmarkEnd w:id="332"/>
      <w:bookmarkStart w:id="333" w:name="_Toc184310281"/>
      <w:bookmarkEnd w:id="333"/>
      <w:bookmarkStart w:id="334" w:name="_Toc184312086"/>
      <w:bookmarkEnd w:id="334"/>
      <w:bookmarkStart w:id="335" w:name="_Toc184312072"/>
      <w:bookmarkEnd w:id="335"/>
      <w:bookmarkStart w:id="336" w:name="_Toc184310314"/>
      <w:bookmarkEnd w:id="336"/>
      <w:bookmarkStart w:id="337" w:name="_Toc184314444"/>
      <w:bookmarkEnd w:id="337"/>
      <w:bookmarkStart w:id="338" w:name="_Toc184313281"/>
      <w:bookmarkEnd w:id="338"/>
      <w:bookmarkStart w:id="339" w:name="_Toc184313246"/>
      <w:bookmarkEnd w:id="339"/>
      <w:bookmarkStart w:id="340" w:name="_Toc184312083"/>
      <w:bookmarkEnd w:id="340"/>
      <w:bookmarkStart w:id="341" w:name="_Toc184312139"/>
      <w:bookmarkEnd w:id="341"/>
      <w:bookmarkStart w:id="342" w:name="_Toc184312134"/>
      <w:bookmarkEnd w:id="342"/>
      <w:bookmarkStart w:id="343" w:name="_Toc184310336"/>
      <w:bookmarkEnd w:id="343"/>
      <w:bookmarkStart w:id="344" w:name="_Toc184310304"/>
      <w:bookmarkEnd w:id="344"/>
      <w:bookmarkStart w:id="345" w:name="_Toc184314419"/>
      <w:bookmarkEnd w:id="345"/>
      <w:bookmarkStart w:id="346" w:name="_Toc184310288"/>
      <w:bookmarkEnd w:id="346"/>
      <w:bookmarkStart w:id="347" w:name="_Toc184310341"/>
      <w:bookmarkEnd w:id="347"/>
      <w:bookmarkStart w:id="348" w:name="_Toc184308039"/>
      <w:bookmarkEnd w:id="348"/>
      <w:bookmarkStart w:id="349" w:name="_Toc184314432"/>
      <w:bookmarkEnd w:id="349"/>
      <w:bookmarkStart w:id="350" w:name="_Toc184308047"/>
      <w:bookmarkEnd w:id="350"/>
      <w:bookmarkStart w:id="351" w:name="_Toc184310320"/>
      <w:bookmarkEnd w:id="351"/>
      <w:bookmarkStart w:id="352" w:name="_Toc184310343"/>
      <w:bookmarkEnd w:id="352"/>
      <w:bookmarkStart w:id="353" w:name="_Toc184314415"/>
      <w:bookmarkEnd w:id="353"/>
      <w:bookmarkStart w:id="354" w:name="_Toc184314474"/>
      <w:bookmarkEnd w:id="354"/>
      <w:bookmarkStart w:id="355" w:name="_Toc184314413"/>
      <w:bookmarkEnd w:id="355"/>
      <w:bookmarkStart w:id="356" w:name="_Toc184312081"/>
      <w:bookmarkEnd w:id="356"/>
      <w:bookmarkStart w:id="357" w:name="_Toc184314439"/>
      <w:bookmarkEnd w:id="357"/>
      <w:bookmarkStart w:id="358" w:name="_Toc184314441"/>
      <w:bookmarkEnd w:id="358"/>
      <w:bookmarkStart w:id="359" w:name="_Toc184313294"/>
      <w:bookmarkEnd w:id="359"/>
      <w:bookmarkStart w:id="360" w:name="_Toc184313253"/>
      <w:bookmarkEnd w:id="360"/>
      <w:bookmarkStart w:id="361" w:name="_Toc184312068"/>
      <w:bookmarkEnd w:id="361"/>
      <w:bookmarkStart w:id="362" w:name="_Toc184312111"/>
      <w:bookmarkEnd w:id="362"/>
      <w:bookmarkStart w:id="363" w:name="_Toc184310301"/>
      <w:bookmarkEnd w:id="363"/>
      <w:bookmarkStart w:id="364" w:name="_Toc184308051"/>
      <w:bookmarkEnd w:id="364"/>
      <w:bookmarkStart w:id="365" w:name="_Toc184310291"/>
      <w:bookmarkEnd w:id="365"/>
      <w:bookmarkStart w:id="366" w:name="_Toc184313277"/>
      <w:bookmarkEnd w:id="366"/>
      <w:bookmarkStart w:id="367" w:name="_Toc184310319"/>
      <w:bookmarkEnd w:id="367"/>
      <w:bookmarkStart w:id="368" w:name="_Toc184308106"/>
      <w:bookmarkEnd w:id="368"/>
      <w:bookmarkStart w:id="369" w:name="_Toc184310321"/>
      <w:bookmarkEnd w:id="369"/>
      <w:bookmarkStart w:id="370" w:name="_Toc184312108"/>
      <w:bookmarkEnd w:id="370"/>
      <w:bookmarkStart w:id="371" w:name="_Toc184313292"/>
      <w:bookmarkEnd w:id="371"/>
      <w:bookmarkStart w:id="372" w:name="_Toc184313303"/>
      <w:bookmarkEnd w:id="372"/>
      <w:bookmarkStart w:id="373" w:name="_Toc184313276"/>
      <w:bookmarkEnd w:id="373"/>
      <w:bookmarkStart w:id="374" w:name="_Toc184313270"/>
      <w:bookmarkEnd w:id="374"/>
      <w:bookmarkStart w:id="375" w:name="_Toc184310292"/>
      <w:bookmarkEnd w:id="375"/>
      <w:bookmarkStart w:id="376" w:name="_Toc184308053"/>
      <w:bookmarkEnd w:id="376"/>
      <w:bookmarkStart w:id="377" w:name="_Toc184310328"/>
      <w:bookmarkEnd w:id="377"/>
      <w:bookmarkStart w:id="378" w:name="_Toc184310316"/>
      <w:bookmarkEnd w:id="378"/>
      <w:bookmarkStart w:id="379" w:name="_Toc184313304"/>
      <w:bookmarkEnd w:id="379"/>
      <w:bookmarkStart w:id="380" w:name="_Toc184312078"/>
      <w:bookmarkEnd w:id="380"/>
      <w:bookmarkStart w:id="381" w:name="_Toc184313255"/>
      <w:bookmarkEnd w:id="381"/>
      <w:bookmarkStart w:id="382" w:name="_Toc184313263"/>
      <w:bookmarkEnd w:id="382"/>
      <w:bookmarkStart w:id="383" w:name="_Toc184312113"/>
      <w:bookmarkEnd w:id="383"/>
      <w:bookmarkStart w:id="384" w:name="_Toc184312135"/>
      <w:bookmarkEnd w:id="384"/>
      <w:bookmarkStart w:id="385" w:name="_Toc184314477"/>
      <w:bookmarkEnd w:id="385"/>
      <w:bookmarkStart w:id="386" w:name="_Toc184312093"/>
      <w:bookmarkEnd w:id="386"/>
      <w:bookmarkStart w:id="387" w:name="_Toc184308095"/>
      <w:bookmarkEnd w:id="387"/>
      <w:bookmarkStart w:id="388" w:name="_Toc184313241"/>
      <w:bookmarkEnd w:id="388"/>
      <w:bookmarkStart w:id="389" w:name="_Toc184308044"/>
      <w:bookmarkEnd w:id="389"/>
      <w:bookmarkStart w:id="390" w:name="_Toc184308098"/>
      <w:bookmarkEnd w:id="390"/>
      <w:bookmarkStart w:id="391" w:name="_Toc184308068"/>
      <w:bookmarkEnd w:id="391"/>
      <w:bookmarkStart w:id="392" w:name="_Toc184314421"/>
      <w:bookmarkEnd w:id="392"/>
      <w:bookmarkStart w:id="393" w:name="_Toc184313249"/>
      <w:bookmarkEnd w:id="393"/>
      <w:bookmarkStart w:id="394" w:name="_Toc184313280"/>
      <w:bookmarkEnd w:id="394"/>
      <w:bookmarkStart w:id="395" w:name="_Toc184312102"/>
      <w:bookmarkEnd w:id="395"/>
      <w:bookmarkStart w:id="396" w:name="_Toc184310305"/>
      <w:bookmarkEnd w:id="396"/>
      <w:bookmarkStart w:id="397" w:name="_Toc184308080"/>
      <w:bookmarkEnd w:id="397"/>
      <w:bookmarkStart w:id="398" w:name="_Toc184308105"/>
      <w:bookmarkEnd w:id="398"/>
      <w:bookmarkStart w:id="399" w:name="_Toc184308104"/>
      <w:bookmarkEnd w:id="399"/>
      <w:bookmarkStart w:id="400" w:name="_Toc184308059"/>
      <w:bookmarkEnd w:id="400"/>
      <w:bookmarkStart w:id="401" w:name="_Toc184314452"/>
      <w:bookmarkEnd w:id="401"/>
      <w:bookmarkStart w:id="402" w:name="_Toc184308066"/>
      <w:bookmarkEnd w:id="402"/>
      <w:bookmarkStart w:id="403" w:name="_Toc184308081"/>
      <w:bookmarkEnd w:id="403"/>
      <w:bookmarkStart w:id="404" w:name="_Toc184314434"/>
      <w:bookmarkEnd w:id="404"/>
      <w:bookmarkStart w:id="405" w:name="_Toc184312109"/>
      <w:bookmarkEnd w:id="405"/>
      <w:bookmarkStart w:id="406" w:name="_Toc184308062"/>
      <w:bookmarkEnd w:id="406"/>
      <w:bookmarkStart w:id="407" w:name="_Toc184312091"/>
      <w:bookmarkEnd w:id="407"/>
      <w:bookmarkStart w:id="408" w:name="_Toc184308097"/>
      <w:bookmarkEnd w:id="408"/>
      <w:bookmarkStart w:id="409" w:name="_Toc184308046"/>
      <w:bookmarkEnd w:id="409"/>
      <w:bookmarkStart w:id="410" w:name="_Toc184312097"/>
      <w:bookmarkEnd w:id="410"/>
      <w:bookmarkStart w:id="411" w:name="_Toc184312099"/>
      <w:bookmarkEnd w:id="411"/>
      <w:bookmarkStart w:id="412" w:name="_Toc184314410"/>
      <w:bookmarkEnd w:id="412"/>
      <w:bookmarkStart w:id="413" w:name="_Toc184312137"/>
      <w:bookmarkEnd w:id="413"/>
      <w:bookmarkStart w:id="414" w:name="_Toc184314468"/>
      <w:bookmarkEnd w:id="414"/>
      <w:bookmarkStart w:id="415" w:name="_Toc184310290"/>
      <w:bookmarkEnd w:id="415"/>
      <w:bookmarkStart w:id="416" w:name="_Toc184314431"/>
      <w:bookmarkEnd w:id="416"/>
      <w:bookmarkStart w:id="417" w:name="_Toc184313290"/>
      <w:bookmarkEnd w:id="417"/>
      <w:bookmarkStart w:id="418" w:name="_Toc184314414"/>
      <w:bookmarkEnd w:id="418"/>
      <w:bookmarkStart w:id="419" w:name="_Toc184312073"/>
      <w:bookmarkEnd w:id="419"/>
      <w:bookmarkStart w:id="420" w:name="_Toc184313254"/>
      <w:bookmarkEnd w:id="420"/>
      <w:bookmarkStart w:id="421" w:name="_Toc184310342"/>
      <w:bookmarkEnd w:id="421"/>
      <w:bookmarkStart w:id="422" w:name="_Toc184308064"/>
      <w:bookmarkEnd w:id="422"/>
      <w:bookmarkStart w:id="423" w:name="_Toc184308084"/>
      <w:bookmarkEnd w:id="423"/>
      <w:bookmarkStart w:id="424" w:name="_Toc184308040"/>
      <w:bookmarkEnd w:id="424"/>
      <w:bookmarkStart w:id="425" w:name="_Toc184313250"/>
      <w:bookmarkEnd w:id="425"/>
      <w:bookmarkStart w:id="426" w:name="_Toc184310276"/>
      <w:bookmarkEnd w:id="426"/>
      <w:r>
        <w:rPr>
          <w:rFonts w:hint="eastAsia" w:ascii="仿宋" w:hAnsi="仿宋" w:eastAsia="仿宋" w:cs="仿宋_GB2312"/>
          <w:b/>
          <w:sz w:val="36"/>
          <w:szCs w:val="36"/>
        </w:rPr>
        <w:t>评标方法及评分标准</w:t>
      </w:r>
    </w:p>
    <w:p>
      <w:pPr>
        <w:snapToGrid w:val="0"/>
        <w:spacing w:line="360" w:lineRule="auto"/>
        <w:jc w:val="center"/>
        <w:rPr>
          <w:rFonts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w:t>
      </w:r>
      <w:r>
        <w:rPr>
          <w:rFonts w:hint="eastAsia" w:ascii="仿宋" w:hAnsi="仿宋" w:eastAsia="仿宋"/>
          <w:b/>
          <w:sz w:val="24"/>
          <w:szCs w:val="20"/>
        </w:rPr>
        <w:t>综合评标价法。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napToGrid w:val="0"/>
        <w:spacing w:line="360" w:lineRule="auto"/>
        <w:ind w:firstLine="360" w:firstLineChars="150"/>
        <w:rPr>
          <w:rFonts w:ascii="仿宋" w:hAnsi="仿宋" w:eastAsia="仿宋" w:cs="Arial"/>
          <w:kern w:val="0"/>
          <w:sz w:val="24"/>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228"/>
        <w:spacing w:before="0"/>
        <w:ind w:firstLine="482"/>
        <w:rPr>
          <w:rFonts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在国企采购活动中，评标委员会的组成人员与供应商有下列利害关系之一的，应当回避：</w:t>
      </w:r>
    </w:p>
    <w:p>
      <w:pPr>
        <w:pStyle w:val="228"/>
        <w:spacing w:before="0"/>
        <w:ind w:firstLine="480"/>
        <w:jc w:val="left"/>
        <w:rPr>
          <w:rFonts w:ascii="仿宋" w:hAnsi="仿宋" w:eastAsia="仿宋" w:cs="Arial"/>
          <w:kern w:val="0"/>
        </w:rPr>
      </w:pPr>
      <w:r>
        <w:rPr>
          <w:rFonts w:hint="eastAsia" w:ascii="仿宋" w:hAnsi="仿宋" w:eastAsia="仿宋" w:cs="Arial"/>
          <w:kern w:val="0"/>
        </w:rPr>
        <w:t>3.1参加采购活动前3年内与供应商存在劳动关系；</w:t>
      </w:r>
    </w:p>
    <w:p>
      <w:pPr>
        <w:pStyle w:val="228"/>
        <w:spacing w:before="0"/>
        <w:ind w:firstLine="480"/>
        <w:jc w:val="left"/>
        <w:rPr>
          <w:rFonts w:ascii="仿宋" w:hAnsi="仿宋" w:eastAsia="仿宋" w:cs="Arial"/>
          <w:kern w:val="0"/>
        </w:rPr>
      </w:pPr>
      <w:r>
        <w:rPr>
          <w:rFonts w:hint="eastAsia" w:ascii="仿宋" w:hAnsi="仿宋" w:eastAsia="仿宋" w:cs="Arial"/>
          <w:kern w:val="0"/>
        </w:rPr>
        <w:t>3.2参加采购活动前3年内担任供应商的董事、监事；</w:t>
      </w:r>
    </w:p>
    <w:p>
      <w:pPr>
        <w:pStyle w:val="228"/>
        <w:spacing w:before="0"/>
        <w:ind w:firstLine="480"/>
        <w:jc w:val="left"/>
        <w:rPr>
          <w:rFonts w:ascii="仿宋" w:hAnsi="仿宋" w:eastAsia="仿宋" w:cs="Arial"/>
          <w:kern w:val="0"/>
        </w:rPr>
      </w:pPr>
      <w:r>
        <w:rPr>
          <w:rFonts w:hint="eastAsia" w:ascii="仿宋" w:hAnsi="仿宋" w:eastAsia="仿宋" w:cs="Arial"/>
          <w:kern w:val="0"/>
        </w:rPr>
        <w:t>3.3参加采购活动前3年内是供应商的控股股东或者实际控制人；</w:t>
      </w:r>
    </w:p>
    <w:p>
      <w:pPr>
        <w:pStyle w:val="228"/>
        <w:spacing w:before="0"/>
        <w:ind w:firstLine="480"/>
        <w:jc w:val="left"/>
        <w:rPr>
          <w:rFonts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pPr>
        <w:pStyle w:val="228"/>
        <w:spacing w:before="0"/>
        <w:ind w:firstLine="480"/>
        <w:jc w:val="left"/>
        <w:rPr>
          <w:rFonts w:ascii="仿宋" w:hAnsi="仿宋" w:eastAsia="仿宋" w:cs="Arial"/>
          <w:kern w:val="0"/>
        </w:rPr>
      </w:pPr>
      <w:r>
        <w:rPr>
          <w:rFonts w:hint="eastAsia" w:ascii="仿宋" w:hAnsi="仿宋" w:eastAsia="仿宋" w:cs="Arial"/>
          <w:kern w:val="0"/>
        </w:rPr>
        <w:t>3.5与供应商有其他可能影响国企采购活动公平、公正进行的关系。</w:t>
      </w:r>
    </w:p>
    <w:p>
      <w:pPr>
        <w:snapToGrid w:val="0"/>
        <w:spacing w:line="360" w:lineRule="auto"/>
        <w:ind w:left="120" w:leftChars="57" w:firstLine="482" w:firstLineChars="150"/>
        <w:jc w:val="center"/>
        <w:rPr>
          <w:rFonts w:ascii="仿宋" w:hAnsi="仿宋" w:eastAsia="仿宋"/>
          <w:b/>
          <w:sz w:val="32"/>
          <w:szCs w:val="32"/>
        </w:rPr>
      </w:pPr>
    </w:p>
    <w:p>
      <w:pPr>
        <w:snapToGrid w:val="0"/>
        <w:spacing w:line="360" w:lineRule="auto"/>
        <w:jc w:val="center"/>
        <w:rPr>
          <w:rFonts w:ascii="仿宋" w:hAnsi="仿宋" w:eastAsia="仿宋"/>
          <w:b/>
          <w:sz w:val="32"/>
          <w:szCs w:val="32"/>
        </w:rPr>
      </w:pPr>
      <w:r>
        <w:rPr>
          <w:rFonts w:hint="eastAsia" w:ascii="仿宋" w:hAnsi="仿宋" w:eastAsia="仿宋" w:cs="仿宋_GB2312"/>
          <w:b/>
          <w:sz w:val="32"/>
        </w:rPr>
        <w:t>三、评标委员会的职责</w:t>
      </w:r>
    </w:p>
    <w:p>
      <w:pPr>
        <w:pStyle w:val="228"/>
        <w:spacing w:before="0"/>
        <w:ind w:firstLine="482"/>
        <w:jc w:val="left"/>
        <w:rPr>
          <w:rFonts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228"/>
        <w:spacing w:before="0"/>
        <w:ind w:firstLine="480"/>
        <w:jc w:val="left"/>
        <w:rPr>
          <w:rFonts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228"/>
        <w:spacing w:before="0"/>
        <w:ind w:firstLine="480"/>
        <w:jc w:val="left"/>
        <w:rPr>
          <w:rFonts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228"/>
        <w:spacing w:before="0"/>
        <w:ind w:firstLine="480"/>
        <w:jc w:val="left"/>
        <w:rPr>
          <w:rFonts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228"/>
        <w:spacing w:before="0"/>
        <w:ind w:firstLine="480"/>
        <w:jc w:val="left"/>
        <w:rPr>
          <w:rFonts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228"/>
        <w:spacing w:before="0"/>
        <w:ind w:firstLine="480"/>
        <w:jc w:val="left"/>
        <w:rPr>
          <w:rFonts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向采购人、采购代理机构或者有关部门报告评标中发现的违法行为</w:t>
      </w:r>
      <w:r>
        <w:rPr>
          <w:rFonts w:hint="eastAsia" w:ascii="仿宋" w:hAnsi="仿宋" w:eastAsia="仿宋" w:cs="Arial"/>
          <w:kern w:val="0"/>
        </w:rPr>
        <w:t>；</w:t>
      </w:r>
    </w:p>
    <w:p>
      <w:pPr>
        <w:pStyle w:val="228"/>
        <w:spacing w:before="0"/>
        <w:ind w:firstLine="480"/>
        <w:jc w:val="left"/>
        <w:rPr>
          <w:rFonts w:ascii="仿宋" w:hAnsi="仿宋" w:eastAsia="仿宋" w:cs="Arial"/>
          <w:kern w:val="0"/>
        </w:rPr>
      </w:pPr>
      <w:r>
        <w:rPr>
          <w:rFonts w:hint="eastAsia" w:ascii="仿宋" w:hAnsi="仿宋" w:eastAsia="仿宋" w:cs="Arial"/>
          <w:kern w:val="0"/>
        </w:rPr>
        <w:t>4.6法律、法规、规章、招标文件等规定的其它事项。</w:t>
      </w:r>
    </w:p>
    <w:p>
      <w:pPr>
        <w:pStyle w:val="228"/>
        <w:spacing w:before="0"/>
        <w:ind w:firstLine="482"/>
        <w:jc w:val="left"/>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228"/>
        <w:spacing w:before="0"/>
        <w:ind w:firstLine="480"/>
        <w:jc w:val="left"/>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228"/>
        <w:spacing w:before="0"/>
        <w:ind w:firstLine="480"/>
        <w:jc w:val="left"/>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 w:hAnsi="仿宋" w:eastAsia="仿宋" w:cs="Arial"/>
          <w:kern w:val="0"/>
        </w:rPr>
        <w:t>财政部87号《政府采购货物和服务招投标管理办法令</w:t>
      </w:r>
      <w:r>
        <w:rPr>
          <w:rFonts w:ascii="仿宋" w:hAnsi="仿宋" w:eastAsia="仿宋" w:cs="Arial"/>
          <w:kern w:val="0"/>
        </w:rPr>
        <w:t>第五十一条规定的情形除外）；</w:t>
      </w:r>
    </w:p>
    <w:p>
      <w:pPr>
        <w:pStyle w:val="228"/>
        <w:spacing w:before="0"/>
        <w:ind w:firstLine="480"/>
        <w:jc w:val="left"/>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228"/>
        <w:spacing w:before="0"/>
        <w:ind w:firstLine="480"/>
        <w:jc w:val="left"/>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pPr>
        <w:pStyle w:val="228"/>
        <w:spacing w:before="0"/>
        <w:ind w:firstLine="480"/>
        <w:jc w:val="left"/>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228"/>
        <w:spacing w:before="0"/>
        <w:ind w:firstLine="480"/>
        <w:jc w:val="left"/>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228"/>
        <w:spacing w:before="0"/>
        <w:ind w:firstLine="480"/>
        <w:jc w:val="left"/>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pPr>
        <w:pStyle w:val="228"/>
        <w:spacing w:before="0"/>
        <w:ind w:firstLine="480"/>
        <w:rPr>
          <w:rFonts w:ascii="仿宋" w:hAnsi="仿宋" w:eastAsia="仿宋" w:cs="Arial"/>
          <w:kern w:val="0"/>
        </w:rPr>
      </w:pPr>
      <w:r>
        <w:rPr>
          <w:rFonts w:ascii="仿宋" w:hAnsi="仿宋" w:eastAsia="仿宋" w:cs="Arial"/>
          <w:kern w:val="0"/>
        </w:rPr>
        <w:t>评标委员会成员有</w:t>
      </w:r>
      <w:r>
        <w:rPr>
          <w:rFonts w:hint="eastAsia" w:ascii="仿宋" w:hAnsi="仿宋" w:eastAsia="仿宋" w:cs="Arial"/>
          <w:kern w:val="0"/>
        </w:rPr>
        <w:t>5.1-5.7</w:t>
      </w:r>
      <w:r>
        <w:rPr>
          <w:rFonts w:ascii="仿宋" w:hAnsi="仿宋" w:eastAsia="仿宋" w:cs="Arial"/>
          <w:kern w:val="0"/>
        </w:rPr>
        <w:t>行为之一的，其评审意见无效，并不得获取评审劳务报酬和报销异地评审差旅费。</w:t>
      </w:r>
    </w:p>
    <w:p>
      <w:pPr>
        <w:pStyle w:val="228"/>
        <w:spacing w:before="0"/>
        <w:ind w:firstLine="0" w:firstLineChars="0"/>
        <w:rPr>
          <w:rFonts w:ascii="仿宋" w:hAnsi="仿宋" w:eastAsia="仿宋" w:cs="Arial"/>
          <w:kern w:val="0"/>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四、评审程序</w:t>
      </w:r>
    </w:p>
    <w:p>
      <w:pPr>
        <w:pStyle w:val="228"/>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28"/>
        <w:spacing w:before="0"/>
        <w:ind w:firstLine="482"/>
        <w:rPr>
          <w:rFonts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28"/>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28"/>
        <w:spacing w:before="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28"/>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10.2政采云投标客户端开标一览表内容与投标文件开标一览表(报价表)相应内容不一致的，以投标文件开标一览表(报价表)为准。</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10.3投标价格的修正原则。投标文件报价出现前后不一致的，按照下列规定修正：</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10.3.1投标文件中开标一览表(报价表)内容与投标文件中相应内容不一致的，以开标一览表(报价表)为准;</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10.3.2大写金额和小写金额不一致的，以大写金额为准;</w:t>
      </w:r>
    </w:p>
    <w:p>
      <w:pPr>
        <w:pStyle w:val="228"/>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10.3.3单价金额小数点或者百分比有明显错位的，以开标一览表的总价为准，并修改单价;</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228"/>
        <w:spacing w:before="0"/>
        <w:ind w:firstLine="480"/>
        <w:rPr>
          <w:rFonts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12.1评审后按综合得分从高到低的顺序依次选定1名中标候选人。总得分相同的，若有并列排名，则由采购人现场抽签确定。</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4"/>
        <w:spacing w:line="360" w:lineRule="auto"/>
        <w:ind w:firstLine="562"/>
        <w:rPr>
          <w:rFonts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单位负责人为同一人或者存在直接控股、管理关系的不同供应商参加同一合同项下的国企采购活动的（均无效）；</w:t>
      </w:r>
    </w:p>
    <w:p>
      <w:pPr>
        <w:spacing w:line="360" w:lineRule="auto"/>
        <w:ind w:firstLine="480" w:firstLineChars="200"/>
        <w:rPr>
          <w:rFonts w:ascii="仿宋" w:hAnsi="仿宋" w:eastAsia="仿宋" w:cs="仿宋_GB2312"/>
          <w:color w:val="000000"/>
          <w:sz w:val="24"/>
        </w:rPr>
      </w:pPr>
      <w:r>
        <w:rPr>
          <w:rFonts w:hint="eastAsia" w:ascii="仿宋" w:hAnsi="仿宋" w:eastAsia="仿宋"/>
          <w:sz w:val="24"/>
        </w:rPr>
        <w:t>13.2</w:t>
      </w:r>
      <w:r>
        <w:rPr>
          <w:rFonts w:hint="eastAsia" w:ascii="仿宋" w:hAnsi="仿宋" w:eastAsia="仿宋" w:cs="仿宋_GB2312"/>
          <w:sz w:val="24"/>
        </w:rPr>
        <w:t>为采购项目提供整体设计、规范</w:t>
      </w:r>
      <w:r>
        <w:rPr>
          <w:rFonts w:hint="eastAsia" w:ascii="仿宋" w:hAnsi="仿宋" w:eastAsia="仿宋" w:cs="仿宋_GB2312"/>
          <w:color w:val="000000"/>
          <w:sz w:val="24"/>
        </w:rPr>
        <w:t>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13.12投标文件出现不是唯一的、有选择性投标报价的;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13.13</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sz w:val="24"/>
        </w:rPr>
      </w:pPr>
      <w:r>
        <w:rPr>
          <w:rFonts w:hint="eastAsia" w:ascii="仿宋" w:hAnsi="仿宋" w:eastAsia="仿宋"/>
          <w:sz w:val="24"/>
        </w:rPr>
        <w:t>13.15</w:t>
      </w:r>
      <w:r>
        <w:rPr>
          <w:rFonts w:hint="eastAsia" w:ascii="仿宋" w:hAnsi="仿宋" w:eastAsia="仿宋" w:cs="仿宋_GB2312"/>
          <w:sz w:val="24"/>
        </w:rPr>
        <w:t>《投标（开标）一览表》填写不完整或字迹不能辨认或有漏项的，经评标委员会认定属于重大偏差的；</w:t>
      </w:r>
    </w:p>
    <w:p>
      <w:pPr>
        <w:spacing w:line="360" w:lineRule="auto"/>
        <w:ind w:firstLine="480" w:firstLineChars="200"/>
        <w:rPr>
          <w:rFonts w:ascii="仿宋" w:hAnsi="仿宋" w:eastAsia="仿宋" w:cs="仿宋_GB2312"/>
          <w:sz w:val="24"/>
        </w:rPr>
      </w:pPr>
      <w:r>
        <w:rPr>
          <w:rFonts w:hint="eastAsia" w:ascii="仿宋" w:hAnsi="仿宋" w:eastAsia="仿宋"/>
          <w:sz w:val="24"/>
        </w:rPr>
        <w:t>13.16</w:t>
      </w:r>
      <w:r>
        <w:rPr>
          <w:rFonts w:hint="eastAsia" w:ascii="仿宋" w:hAnsi="仿宋" w:eastAsia="仿宋" w:cs="仿宋_GB2312"/>
          <w:sz w:val="24"/>
        </w:rPr>
        <w:t>投标人对根据修正原则修正后的报价不确认的；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13.17投标人提供虚假材料投标的（包括但不限于以下情节）；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13.17.1使用伪造、变造的许可证件；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13.17.2提供虚假的财务状况或者业绩；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13.17.3提供虚假的项目负责人或者主要技术人员简历、劳动关系证明；</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13.17.4提供虚假的信用状况；</w:t>
      </w:r>
    </w:p>
    <w:p>
      <w:pPr>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17</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13.18投标人有恶意串通、妨碍其他投标人的竞争行为、损害采购人或者其他投标人的合法权益情形的；有下列情形之一的，属于或视为恶意串通，其投标无效：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13.18.1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13.18.2供应商按照采购人或者采购代理机构的授意撤换、修改投标文件或者响应文件；</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13.18.3供应商之间协商报价、技术方案等投标文件或者响应文件的实质性内容；</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13.18.4属于同一集团、协会、商会等组织成员的供应商按照该组织要求协同参加国企采购活动；</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13.18.5供应商之间事先约定由某一特定供应商中标、成交；</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13.18.6供应商之间商定部分供应商放弃参加国企采购活动或者放弃中标、成交；</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13.18.8不同投标人的投标文件由同一单位或者个人编制；</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13.18.9不同投标人委托同一单位或者个人办理投标事宜；</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13.18.10不同投标人的投标文件载明的项目管理成员或者联系人员为同一人；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13.18.11不同投标人的投标文件异常一致或者投标报价呈规律性差异；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13.18.12不同投标人的投标文件相互混装；</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13.19违反法律、法律及本招标文件规定的其它无效投标情形。 </w:t>
      </w:r>
    </w:p>
    <w:p>
      <w:pPr>
        <w:spacing w:line="360" w:lineRule="auto"/>
        <w:ind w:firstLine="240" w:firstLineChars="100"/>
        <w:rPr>
          <w:rFonts w:ascii="仿宋" w:hAnsi="仿宋" w:eastAsia="仿宋" w:cs="仿宋_GB2312"/>
          <w:sz w:val="24"/>
          <w:szCs w:val="21"/>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五、评标报告</w:t>
      </w:r>
    </w:p>
    <w:p>
      <w:pPr>
        <w:pStyle w:val="228"/>
        <w:spacing w:before="0"/>
        <w:ind w:firstLine="482"/>
        <w:jc w:val="left"/>
        <w:rPr>
          <w:rFonts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pPr>
        <w:widowControl/>
        <w:adjustRightInd/>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jc w:val="left"/>
        <w:rPr>
          <w:rFonts w:ascii="仿宋" w:hAnsi="仿宋" w:eastAsia="仿宋" w:cs="仿宋_GB2312"/>
          <w:sz w:val="24"/>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六、 废标</w:t>
      </w:r>
    </w:p>
    <w:p>
      <w:pPr>
        <w:pStyle w:val="24"/>
        <w:snapToGrid w:val="0"/>
        <w:spacing w:line="360" w:lineRule="auto"/>
        <w:ind w:firstLine="482"/>
        <w:jc w:val="left"/>
        <w:rPr>
          <w:rFonts w:ascii="仿宋" w:hAnsi="仿宋" w:eastAsia="仿宋" w:cs="仿宋_GB2312"/>
        </w:rPr>
      </w:pPr>
      <w:r>
        <w:rPr>
          <w:rFonts w:hint="eastAsia" w:ascii="仿宋" w:hAnsi="仿宋" w:eastAsia="仿宋" w:cs="仿宋_GB2312"/>
          <w:b/>
        </w:rPr>
        <w:t>16.废标。</w:t>
      </w:r>
      <w:r>
        <w:rPr>
          <w:rFonts w:hint="eastAsia" w:ascii="仿宋" w:hAnsi="仿宋" w:eastAsia="仿宋" w:cs="仿宋_GB2312"/>
        </w:rPr>
        <w:t>在采购中，出现下列情形之一的，应予废标：</w:t>
      </w:r>
    </w:p>
    <w:p>
      <w:pPr>
        <w:pStyle w:val="24"/>
        <w:snapToGrid w:val="0"/>
        <w:spacing w:line="360" w:lineRule="auto"/>
        <w:jc w:val="left"/>
        <w:rPr>
          <w:rFonts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24"/>
        <w:snapToGrid w:val="0"/>
        <w:spacing w:line="360" w:lineRule="auto"/>
        <w:jc w:val="left"/>
        <w:rPr>
          <w:rFonts w:ascii="仿宋" w:hAnsi="仿宋" w:eastAsia="仿宋" w:cs="仿宋_GB2312"/>
        </w:rPr>
      </w:pPr>
      <w:r>
        <w:rPr>
          <w:rFonts w:hint="eastAsia" w:ascii="仿宋" w:hAnsi="仿宋" w:eastAsia="仿宋" w:cs="仿宋_GB2312"/>
        </w:rPr>
        <w:t>16.2出现影响采购公正的违法、违规行为的；</w:t>
      </w:r>
    </w:p>
    <w:p>
      <w:pPr>
        <w:pStyle w:val="24"/>
        <w:snapToGrid w:val="0"/>
        <w:spacing w:line="360" w:lineRule="auto"/>
        <w:jc w:val="left"/>
        <w:rPr>
          <w:rFonts w:ascii="仿宋" w:hAnsi="仿宋" w:eastAsia="仿宋" w:cs="仿宋_GB2312"/>
        </w:rPr>
      </w:pPr>
      <w:r>
        <w:rPr>
          <w:rFonts w:hint="eastAsia" w:ascii="仿宋" w:hAnsi="仿宋" w:eastAsia="仿宋" w:cs="仿宋_GB2312"/>
        </w:rPr>
        <w:t>16.3投标人的报价均超过了采购预算，采购人不能支付的；</w:t>
      </w:r>
    </w:p>
    <w:p>
      <w:pPr>
        <w:pStyle w:val="24"/>
        <w:snapToGrid w:val="0"/>
        <w:spacing w:line="360" w:lineRule="auto"/>
        <w:jc w:val="left"/>
        <w:rPr>
          <w:rFonts w:ascii="仿宋" w:hAnsi="仿宋" w:eastAsia="仿宋" w:cs="仿宋_GB2312"/>
        </w:rPr>
      </w:pPr>
      <w:r>
        <w:rPr>
          <w:rFonts w:hint="eastAsia" w:ascii="仿宋" w:hAnsi="仿宋" w:eastAsia="仿宋" w:cs="仿宋_GB2312"/>
        </w:rPr>
        <w:t>16.4因重大变故，采购任务取消的。</w:t>
      </w:r>
    </w:p>
    <w:p>
      <w:pPr>
        <w:pStyle w:val="24"/>
        <w:snapToGrid w:val="0"/>
        <w:spacing w:line="360" w:lineRule="auto"/>
        <w:jc w:val="left"/>
        <w:rPr>
          <w:rFonts w:ascii="仿宋" w:hAnsi="仿宋" w:eastAsia="仿宋" w:cs="仿宋_GB2312"/>
        </w:rPr>
      </w:pPr>
      <w:r>
        <w:rPr>
          <w:rFonts w:hint="eastAsia" w:ascii="仿宋" w:hAnsi="仿宋" w:eastAsia="仿宋" w:cs="仿宋_GB2312"/>
        </w:rPr>
        <w:t>废标后，采购代理机构应当将废标理由通知所有投标人。</w:t>
      </w:r>
    </w:p>
    <w:p>
      <w:pPr>
        <w:pStyle w:val="24"/>
        <w:snapToGrid w:val="0"/>
        <w:spacing w:line="360" w:lineRule="auto"/>
        <w:rPr>
          <w:rFonts w:ascii="仿宋" w:hAnsi="仿宋" w:eastAsia="仿宋" w:cs="仿宋_GB2312"/>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七、评审过程的保密与录像</w:t>
      </w:r>
    </w:p>
    <w:p>
      <w:pPr>
        <w:widowControl/>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17.保密。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jc w:val="left"/>
      </w:pPr>
      <w:r>
        <w:rPr>
          <w:rFonts w:hint="eastAsia" w:ascii="仿宋" w:hAnsi="仿宋" w:eastAsia="仿宋" w:cs="仿宋_GB2312"/>
          <w:b/>
          <w:sz w:val="24"/>
        </w:rPr>
        <w:t>18.录音录像。</w:t>
      </w:r>
      <w:r>
        <w:rPr>
          <w:rFonts w:hint="eastAsia" w:ascii="仿宋" w:hAnsi="仿宋" w:eastAsia="仿宋" w:cs="仿宋_GB2312"/>
          <w:sz w:val="24"/>
        </w:rPr>
        <w:t>采购代理机构对评审工作现场进行全过程录音录像，录音录像资料作为采购项目文件随其他文件一并存档。</w:t>
      </w:r>
    </w:p>
    <w:p>
      <w:pPr>
        <w:pStyle w:val="2"/>
      </w:pPr>
    </w:p>
    <w:p>
      <w:pPr>
        <w:pStyle w:val="2"/>
        <w:ind w:firstLine="0"/>
      </w:pPr>
    </w:p>
    <w:p>
      <w:pPr>
        <w:pStyle w:val="2"/>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color w:val="000000"/>
          <w:sz w:val="32"/>
        </w:rPr>
        <w:t>八、具体评标标准</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color w:val="000000"/>
          <w:sz w:val="24"/>
        </w:rPr>
        <w:t>21.商务技术分</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30</w:t>
      </w:r>
      <w:r>
        <w:rPr>
          <w:rFonts w:hint="eastAsia" w:ascii="仿宋" w:hAnsi="仿宋" w:eastAsia="仿宋" w:cs="仿宋_GB2312"/>
          <w:sz w:val="24"/>
          <w:highlight w:val="none"/>
        </w:rPr>
        <w:t>分）</w:t>
      </w:r>
    </w:p>
    <w:tbl>
      <w:tblPr>
        <w:tblStyle w:val="60"/>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821"/>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64" w:type="dxa"/>
            <w:vAlign w:val="center"/>
          </w:tcPr>
          <w:p>
            <w:pPr>
              <w:widowControl/>
              <w:jc w:val="center"/>
              <w:rPr>
                <w:rFonts w:ascii="仿宋" w:hAnsi="仿宋" w:eastAsia="仿宋" w:cs="仿宋_GB2312"/>
                <w:sz w:val="24"/>
              </w:rPr>
            </w:pPr>
            <w:r>
              <w:rPr>
                <w:rFonts w:hint="eastAsia" w:ascii="仿宋" w:hAnsi="仿宋" w:eastAsia="仿宋" w:cs="仿宋_GB2312"/>
                <w:sz w:val="24"/>
              </w:rPr>
              <w:t>类别</w:t>
            </w:r>
          </w:p>
        </w:tc>
        <w:tc>
          <w:tcPr>
            <w:tcW w:w="1056" w:type="dxa"/>
            <w:vAlign w:val="center"/>
          </w:tcPr>
          <w:p>
            <w:pPr>
              <w:jc w:val="center"/>
              <w:rPr>
                <w:rFonts w:ascii="仿宋" w:hAnsi="仿宋" w:eastAsia="仿宋" w:cs="仿宋_GB2312"/>
                <w:sz w:val="24"/>
              </w:rPr>
            </w:pPr>
            <w:r>
              <w:rPr>
                <w:rFonts w:hint="eastAsia" w:ascii="仿宋" w:hAnsi="仿宋" w:eastAsia="仿宋" w:cs="仿宋_GB2312"/>
                <w:sz w:val="24"/>
              </w:rPr>
              <w:t>项目</w:t>
            </w:r>
          </w:p>
        </w:tc>
        <w:tc>
          <w:tcPr>
            <w:tcW w:w="6821" w:type="dxa"/>
            <w:vAlign w:val="center"/>
          </w:tcPr>
          <w:p>
            <w:pPr>
              <w:ind w:firstLine="480" w:firstLineChars="200"/>
              <w:jc w:val="center"/>
              <w:rPr>
                <w:rFonts w:ascii="仿宋" w:hAnsi="仿宋" w:eastAsia="仿宋" w:cs="仿宋_GB2312"/>
                <w:sz w:val="24"/>
              </w:rPr>
            </w:pPr>
            <w:r>
              <w:rPr>
                <w:rFonts w:hint="eastAsia" w:ascii="仿宋" w:hAnsi="仿宋" w:eastAsia="仿宋" w:cs="仿宋_GB2312"/>
                <w:sz w:val="24"/>
              </w:rPr>
              <w:t>评分细则</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64" w:type="dxa"/>
            <w:vMerge w:val="restart"/>
            <w:vAlign w:val="center"/>
          </w:tcPr>
          <w:p>
            <w:pPr>
              <w:widowControl/>
              <w:jc w:val="center"/>
              <w:rPr>
                <w:rFonts w:ascii="仿宋" w:hAnsi="仿宋" w:eastAsia="仿宋" w:cs="仿宋_GB2312"/>
                <w:sz w:val="24"/>
              </w:rPr>
            </w:pPr>
            <w:r>
              <w:rPr>
                <w:rFonts w:hint="eastAsia" w:ascii="仿宋" w:hAnsi="仿宋" w:eastAsia="仿宋" w:cs="仿宋_GB2312"/>
                <w:sz w:val="24"/>
              </w:rPr>
              <w:t>商务技术</w:t>
            </w: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企业  信用</w:t>
            </w:r>
          </w:p>
        </w:tc>
        <w:tc>
          <w:tcPr>
            <w:tcW w:w="6821" w:type="dxa"/>
            <w:vAlign w:val="center"/>
          </w:tcPr>
          <w:p>
            <w:pPr>
              <w:pStyle w:val="2"/>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1月1日以来（以获奖证书或文件落款日期为准）获得过省级及以上造价管理部门评定的造价咨询企业动态信用等级AAAA级及以上的得2分，AAA的得1分，其余不得分；（提供信用等级证书或文件扫描件并加盖投标人公章）</w:t>
            </w:r>
          </w:p>
          <w:p>
            <w:pPr>
              <w:widowControl/>
              <w:numPr>
                <w:ilvl w:val="0"/>
                <w:numId w:val="0"/>
              </w:numPr>
              <w:spacing w:line="360" w:lineRule="auto"/>
              <w:rPr>
                <w:rFonts w:ascii="仿宋" w:hAnsi="仿宋" w:eastAsia="仿宋" w:cs="仿宋_GB2312"/>
                <w:sz w:val="24"/>
              </w:rPr>
            </w:pPr>
            <w:r>
              <w:rPr>
                <w:rFonts w:hint="eastAsia" w:ascii="仿宋" w:hAnsi="仿宋" w:eastAsia="仿宋" w:cs="仿宋"/>
                <w:b/>
                <w:bCs/>
                <w:sz w:val="24"/>
                <w:szCs w:val="24"/>
                <w:highlight w:val="none"/>
              </w:rPr>
              <w:t>注</w:t>
            </w:r>
            <w:r>
              <w:rPr>
                <w:rFonts w:hint="eastAsia" w:ascii="仿宋" w:hAnsi="仿宋" w:eastAsia="仿宋" w:cs="仿宋"/>
                <w:sz w:val="24"/>
                <w:szCs w:val="24"/>
                <w:highlight w:val="none"/>
              </w:rPr>
              <w:t>：若造价咨询企业动态信用等级为A、B、C、D，其中信用A为最高级的，B为次高级，A、B对应本次招投标活动中的AAAA级及以上，C对应本次招投标活动中的AAA，依次类推。如投标单位所在地动态信用评价等级以其他形式表示的，各等级从高到低依次对应。（如投标人为浙江省内单位，须提供投标截止日当月的浙江省造价咨询企业动态信用等级，否则不予认可；如投标人为浙江省外单位，提供的造价咨询企业动态信用等级若与浙江省内评定等级不一致的，需提供相关评定等级划分的证明材料并加盖公章，否则不予认可）</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pPr>
              <w:widowControl/>
              <w:ind w:firstLine="480" w:firstLineChars="200"/>
              <w:rPr>
                <w:rFonts w:ascii="仿宋" w:hAnsi="仿宋" w:eastAsia="仿宋" w:cs="仿宋_GB2312"/>
                <w:sz w:val="24"/>
              </w:rPr>
            </w:pP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项目负责人业绩</w:t>
            </w:r>
          </w:p>
        </w:tc>
        <w:tc>
          <w:tcPr>
            <w:tcW w:w="6821" w:type="dxa"/>
            <w:vAlign w:val="center"/>
          </w:tcPr>
          <w:p>
            <w:pPr>
              <w:widowControl/>
              <w:numPr>
                <w:ilvl w:val="0"/>
                <w:numId w:val="0"/>
              </w:numPr>
              <w:jc w:val="left"/>
              <w:rPr>
                <w:rFonts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本项目负责人具有一级注册造价工程师及高级职称的，得2分；</w:t>
            </w:r>
            <w:r>
              <w:rPr>
                <w:rFonts w:hint="eastAsia" w:ascii="仿宋" w:hAnsi="仿宋" w:eastAsia="仿宋" w:cs="仿宋_GB2312"/>
                <w:b/>
                <w:bCs/>
                <w:sz w:val="24"/>
                <w:highlight w:val="none"/>
              </w:rPr>
              <w:t>（提供相关证书复印件加盖单位公章。）</w:t>
            </w:r>
          </w:p>
          <w:p>
            <w:pPr>
              <w:widowControl/>
              <w:jc w:val="left"/>
              <w:rPr>
                <w:rFonts w:hint="default" w:ascii="仿宋" w:hAnsi="仿宋" w:eastAsia="仿宋" w:cs="仿宋_GB2312"/>
                <w:b/>
                <w:bCs/>
                <w:sz w:val="24"/>
                <w:highlight w:val="none"/>
                <w:lang w:val="en-US" w:eastAsia="zh-CN"/>
              </w:rPr>
            </w:pPr>
            <w:r>
              <w:rPr>
                <w:rFonts w:hint="eastAsia" w:ascii="仿宋" w:hAnsi="仿宋" w:eastAsia="仿宋" w:cs="仿宋_GB2312"/>
                <w:sz w:val="24"/>
                <w:highlight w:val="none"/>
                <w:lang w:val="en-US" w:eastAsia="zh-CN"/>
              </w:rPr>
              <w:t>2</w:t>
            </w:r>
            <w:r>
              <w:rPr>
                <w:rFonts w:hint="eastAsia" w:ascii="仿宋" w:hAnsi="仿宋" w:eastAsia="仿宋" w:cs="仿宋_GB2312"/>
                <w:b/>
                <w:bCs/>
                <w:sz w:val="24"/>
                <w:highlight w:val="none"/>
                <w:lang w:val="en-US" w:eastAsia="zh-CN"/>
              </w:rPr>
              <w:t>、</w:t>
            </w:r>
            <w:r>
              <w:rPr>
                <w:rFonts w:hint="eastAsia" w:ascii="仿宋" w:hAnsi="仿宋" w:eastAsia="仿宋" w:cs="仿宋_GB2312"/>
                <w:sz w:val="24"/>
                <w:highlight w:val="none"/>
              </w:rPr>
              <w:t>本项目负责人</w:t>
            </w:r>
            <w:r>
              <w:rPr>
                <w:rFonts w:hint="eastAsia" w:ascii="仿宋" w:hAnsi="仿宋" w:eastAsia="仿宋" w:cs="仿宋_GB2312"/>
                <w:sz w:val="24"/>
                <w:highlight w:val="none"/>
                <w:lang w:eastAsia="zh-CN"/>
              </w:rPr>
              <w:t>自</w:t>
            </w:r>
            <w:r>
              <w:rPr>
                <w:rFonts w:hint="eastAsia" w:ascii="仿宋" w:hAnsi="仿宋" w:eastAsia="仿宋" w:cs="仿宋_GB2312"/>
                <w:sz w:val="24"/>
                <w:highlight w:val="none"/>
              </w:rPr>
              <w:t>20</w:t>
            </w:r>
            <w:r>
              <w:rPr>
                <w:rFonts w:hint="eastAsia" w:ascii="仿宋" w:hAnsi="仿宋" w:eastAsia="仿宋" w:cs="仿宋_GB2312"/>
                <w:sz w:val="24"/>
                <w:highlight w:val="none"/>
                <w:lang w:val="en-US" w:eastAsia="zh-CN"/>
              </w:rPr>
              <w:t>21</w:t>
            </w:r>
            <w:r>
              <w:rPr>
                <w:rFonts w:hint="eastAsia" w:ascii="仿宋" w:hAnsi="仿宋" w:eastAsia="仿宋" w:cs="仿宋_GB2312"/>
                <w:sz w:val="24"/>
                <w:highlight w:val="none"/>
              </w:rPr>
              <w:t>年1月1日以来（时间</w:t>
            </w:r>
            <w:r>
              <w:rPr>
                <w:rFonts w:hint="eastAsia" w:ascii="仿宋" w:hAnsi="仿宋" w:eastAsia="仿宋" w:cs="仿宋_GB2312"/>
                <w:sz w:val="24"/>
                <w:highlight w:val="none"/>
                <w:lang w:eastAsia="zh-CN"/>
              </w:rPr>
              <w:t>、造价金额</w:t>
            </w:r>
            <w:r>
              <w:rPr>
                <w:rFonts w:hint="eastAsia" w:ascii="仿宋" w:hAnsi="仿宋" w:eastAsia="仿宋" w:cs="仿宋_GB2312"/>
                <w:sz w:val="24"/>
                <w:highlight w:val="none"/>
              </w:rPr>
              <w:t>以造价咨询报告为准）</w:t>
            </w:r>
            <w:r>
              <w:rPr>
                <w:rFonts w:hint="eastAsia" w:ascii="仿宋" w:hAnsi="仿宋" w:eastAsia="仿宋" w:cs="仿宋_GB2312"/>
                <w:sz w:val="24"/>
                <w:highlight w:val="none"/>
                <w:lang w:eastAsia="zh-CN"/>
              </w:rPr>
              <w:t>参与</w:t>
            </w:r>
            <w:r>
              <w:rPr>
                <w:rFonts w:hint="eastAsia" w:ascii="仿宋" w:hAnsi="仿宋" w:eastAsia="仿宋" w:cs="仿宋_GB2312"/>
                <w:sz w:val="24"/>
                <w:highlight w:val="none"/>
              </w:rPr>
              <w:t>完成</w:t>
            </w:r>
            <w:r>
              <w:rPr>
                <w:rFonts w:hint="eastAsia" w:ascii="仿宋" w:hAnsi="仿宋" w:eastAsia="仿宋" w:cs="仿宋_GB2312"/>
                <w:sz w:val="24"/>
                <w:highlight w:val="none"/>
                <w:lang w:eastAsia="zh-CN"/>
              </w:rPr>
              <w:t>过</w:t>
            </w:r>
            <w:r>
              <w:rPr>
                <w:rFonts w:hint="eastAsia" w:ascii="仿宋" w:hAnsi="仿宋" w:eastAsia="仿宋" w:cs="仿宋_GB2312"/>
                <w:sz w:val="24"/>
                <w:highlight w:val="none"/>
                <w:lang w:val="en-US" w:eastAsia="zh-CN"/>
              </w:rPr>
              <w:t>单个标段工程造价10000万及以上</w:t>
            </w:r>
            <w:r>
              <w:rPr>
                <w:rFonts w:hint="eastAsia" w:ascii="仿宋" w:hAnsi="仿宋" w:eastAsia="仿宋" w:cs="仿宋_GB2312"/>
                <w:sz w:val="24"/>
                <w:highlight w:val="none"/>
              </w:rPr>
              <w:t>市政工程</w:t>
            </w:r>
            <w:r>
              <w:rPr>
                <w:rFonts w:hint="eastAsia" w:ascii="仿宋" w:hAnsi="仿宋" w:eastAsia="仿宋" w:cs="仿宋_GB2312"/>
                <w:sz w:val="24"/>
                <w:highlight w:val="none"/>
                <w:lang w:eastAsia="zh-CN"/>
              </w:rPr>
              <w:t>项目（</w:t>
            </w:r>
            <w:r>
              <w:rPr>
                <w:rFonts w:hint="eastAsia" w:ascii="仿宋" w:hAnsi="仿宋" w:eastAsia="仿宋" w:cs="仿宋_GB2312"/>
                <w:b/>
                <w:bCs/>
                <w:sz w:val="24"/>
                <w:highlight w:val="none"/>
                <w:lang w:eastAsia="zh-CN"/>
              </w:rPr>
              <w:t>所提供的业绩中须包含道路、桥梁施工内容</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标底编制业绩的，得</w:t>
            </w:r>
            <w:r>
              <w:rPr>
                <w:rFonts w:hint="eastAsia" w:ascii="仿宋" w:hAnsi="仿宋" w:eastAsia="仿宋" w:cs="仿宋_GB2312"/>
                <w:sz w:val="24"/>
                <w:highlight w:val="none"/>
                <w:lang w:val="en-US" w:eastAsia="zh-CN"/>
              </w:rPr>
              <w:t>4</w:t>
            </w:r>
            <w:r>
              <w:rPr>
                <w:rFonts w:hint="eastAsia" w:ascii="仿宋" w:hAnsi="仿宋" w:eastAsia="仿宋" w:cs="仿宋_GB2312"/>
                <w:sz w:val="24"/>
                <w:highlight w:val="none"/>
              </w:rPr>
              <w:t>分。</w:t>
            </w:r>
          </w:p>
          <w:p>
            <w:pPr>
              <w:widowControl/>
              <w:jc w:val="left"/>
              <w:rPr>
                <w:rFonts w:ascii="仿宋" w:hAnsi="仿宋" w:eastAsia="仿宋" w:cs="仿宋_GB2312"/>
                <w:sz w:val="24"/>
                <w:highlight w:val="none"/>
              </w:rPr>
            </w:pPr>
            <w:r>
              <w:rPr>
                <w:rFonts w:hint="eastAsia" w:ascii="仿宋" w:hAnsi="仿宋" w:eastAsia="仿宋" w:cs="仿宋_GB2312"/>
                <w:b/>
                <w:bCs/>
                <w:sz w:val="24"/>
                <w:highlight w:val="none"/>
              </w:rPr>
              <w:t>（提供（1）体现上述业绩要求的工程造价咨询报告书（加盖</w:t>
            </w:r>
            <w:r>
              <w:rPr>
                <w:rFonts w:hint="eastAsia" w:ascii="仿宋" w:hAnsi="仿宋" w:eastAsia="仿宋" w:cs="仿宋_GB2312"/>
                <w:b/>
                <w:bCs/>
                <w:sz w:val="24"/>
                <w:highlight w:val="none"/>
                <w:lang w:eastAsia="zh-CN"/>
              </w:rPr>
              <w:t>标底编制</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、业主单位</w:t>
            </w:r>
            <w:r>
              <w:rPr>
                <w:rFonts w:hint="eastAsia" w:ascii="仿宋" w:hAnsi="仿宋" w:eastAsia="仿宋" w:cs="仿宋_GB2312"/>
                <w:b/>
                <w:bCs/>
                <w:sz w:val="24"/>
                <w:highlight w:val="none"/>
              </w:rPr>
              <w:t>公章及人员资格章，时间以</w:t>
            </w:r>
            <w:r>
              <w:rPr>
                <w:rFonts w:hint="eastAsia" w:ascii="仿宋" w:hAnsi="仿宋" w:eastAsia="仿宋" w:cs="仿宋_GB2312"/>
                <w:b/>
                <w:bCs/>
                <w:sz w:val="24"/>
                <w:highlight w:val="none"/>
                <w:lang w:eastAsia="zh-CN"/>
              </w:rPr>
              <w:t>造价咨询</w:t>
            </w:r>
            <w:r>
              <w:rPr>
                <w:rFonts w:hint="eastAsia" w:ascii="仿宋" w:hAnsi="仿宋" w:eastAsia="仿宋" w:cs="仿宋_GB2312"/>
                <w:b/>
                <w:bCs/>
                <w:sz w:val="24"/>
                <w:highlight w:val="none"/>
              </w:rPr>
              <w:t>报告书出具时间为准</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2</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体现上述业绩要求的造价咨询合同。（</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rPr>
              <w:t>）</w:t>
            </w:r>
            <w:r>
              <w:rPr>
                <w:rFonts w:hint="eastAsia" w:ascii="仿宋" w:hAnsi="仿宋" w:eastAsia="仿宋" w:cs="仿宋_GB2312"/>
                <w:b/>
                <w:bCs/>
                <w:color w:val="000000"/>
                <w:sz w:val="24"/>
                <w:highlight w:val="none"/>
                <w:lang w:eastAsia="zh-CN"/>
              </w:rPr>
              <w:t>拟派的本项目负责人姓名须在提供业绩的咨询报告（人员资格章）中体现。（</w:t>
            </w:r>
            <w:r>
              <w:rPr>
                <w:rFonts w:hint="eastAsia" w:ascii="仿宋" w:hAnsi="仿宋" w:eastAsia="仿宋" w:cs="仿宋_GB2312"/>
                <w:b/>
                <w:bCs/>
                <w:color w:val="000000"/>
                <w:sz w:val="24"/>
                <w:highlight w:val="none"/>
                <w:lang w:val="en-US" w:eastAsia="zh-CN"/>
              </w:rPr>
              <w:t>4</w:t>
            </w:r>
            <w:r>
              <w:rPr>
                <w:rFonts w:hint="eastAsia" w:ascii="仿宋" w:hAnsi="仿宋" w:eastAsia="仿宋" w:cs="仿宋_GB2312"/>
                <w:b/>
                <w:bCs/>
                <w:color w:val="000000"/>
                <w:sz w:val="24"/>
                <w:highlight w:val="none"/>
                <w:lang w:eastAsia="zh-CN"/>
              </w:rPr>
              <w:t>）</w:t>
            </w:r>
            <w:r>
              <w:rPr>
                <w:rFonts w:hint="eastAsia" w:ascii="仿宋" w:hAnsi="仿宋" w:eastAsia="仿宋" w:cs="仿宋_GB2312"/>
                <w:b/>
                <w:bCs/>
                <w:sz w:val="24"/>
                <w:highlight w:val="none"/>
              </w:rPr>
              <w:t>上述体现业绩的相关材料须提供复印件并</w:t>
            </w:r>
            <w:r>
              <w:rPr>
                <w:rFonts w:hint="eastAsia" w:ascii="仿宋" w:hAnsi="仿宋" w:eastAsia="仿宋" w:cs="仿宋_GB2312"/>
                <w:b/>
                <w:bCs/>
                <w:sz w:val="24"/>
                <w:highlight w:val="none"/>
                <w:lang w:eastAsia="zh-CN"/>
              </w:rPr>
              <w:t>加盖</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公章。</w:t>
            </w:r>
            <w:r>
              <w:rPr>
                <w:rFonts w:hint="eastAsia" w:ascii="仿宋" w:hAnsi="仿宋" w:eastAsia="仿宋" w:cs="仿宋_GB2312"/>
                <w:b/>
                <w:bCs/>
                <w:sz w:val="24"/>
                <w:highlight w:val="none"/>
              </w:rPr>
              <w:t>（</w:t>
            </w:r>
            <w:r>
              <w:rPr>
                <w:rFonts w:hint="eastAsia" w:ascii="仿宋" w:hAnsi="仿宋" w:eastAsia="仿宋" w:cs="仿宋_GB2312"/>
                <w:b/>
                <w:bCs/>
                <w:sz w:val="24"/>
                <w:highlight w:val="none"/>
                <w:lang w:val="en-US" w:eastAsia="zh-CN"/>
              </w:rPr>
              <w:t>5</w:t>
            </w:r>
            <w:r>
              <w:rPr>
                <w:rFonts w:hint="eastAsia" w:ascii="仿宋" w:hAnsi="仿宋" w:eastAsia="仿宋" w:cs="仿宋_GB2312"/>
                <w:b/>
                <w:bCs/>
                <w:sz w:val="24"/>
                <w:highlight w:val="none"/>
              </w:rPr>
              <w:t>）</w:t>
            </w:r>
            <w:r>
              <w:rPr>
                <w:rFonts w:hint="eastAsia" w:ascii="仿宋" w:hAnsi="仿宋" w:eastAsia="仿宋" w:cs="仿宋_GB2312"/>
                <w:b/>
                <w:bCs/>
                <w:sz w:val="24"/>
                <w:highlight w:val="none"/>
                <w:lang w:eastAsia="zh-CN"/>
              </w:rPr>
              <w:t>施工单位委托的造价咨询业绩无效。（</w:t>
            </w:r>
            <w:r>
              <w:rPr>
                <w:rFonts w:hint="eastAsia" w:ascii="仿宋" w:hAnsi="仿宋" w:eastAsia="仿宋" w:cs="仿宋_GB2312"/>
                <w:b/>
                <w:bCs/>
                <w:sz w:val="24"/>
                <w:highlight w:val="none"/>
                <w:lang w:val="en-US" w:eastAsia="zh-CN"/>
              </w:rPr>
              <w:t>6</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项目负责人需提供</w:t>
            </w:r>
            <w:r>
              <w:rPr>
                <w:rFonts w:hint="eastAsia" w:ascii="仿宋" w:hAnsi="仿宋" w:eastAsia="仿宋" w:cs="仿宋_GB2312"/>
                <w:b/>
                <w:bCs/>
                <w:sz w:val="24"/>
                <w:highlight w:val="none"/>
                <w:lang w:eastAsia="zh-CN"/>
              </w:rPr>
              <w:t>近三个月（202</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lang w:eastAsia="zh-CN"/>
              </w:rPr>
              <w:t>年</w:t>
            </w:r>
            <w:r>
              <w:rPr>
                <w:rFonts w:hint="eastAsia" w:ascii="仿宋" w:hAnsi="仿宋" w:eastAsia="仿宋" w:cs="仿宋_GB2312"/>
                <w:b/>
                <w:bCs/>
                <w:sz w:val="24"/>
                <w:highlight w:val="none"/>
                <w:lang w:val="en-US" w:eastAsia="zh-CN"/>
              </w:rPr>
              <w:t>11</w:t>
            </w:r>
            <w:r>
              <w:rPr>
                <w:rFonts w:hint="eastAsia" w:ascii="仿宋" w:hAnsi="仿宋" w:eastAsia="仿宋" w:cs="仿宋_GB2312"/>
                <w:b/>
                <w:bCs/>
                <w:sz w:val="24"/>
                <w:highlight w:val="none"/>
                <w:lang w:eastAsia="zh-CN"/>
              </w:rPr>
              <w:t>月、202</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lang w:eastAsia="zh-CN"/>
              </w:rPr>
              <w:t>年</w:t>
            </w:r>
            <w:r>
              <w:rPr>
                <w:rFonts w:hint="eastAsia" w:ascii="仿宋" w:hAnsi="仿宋" w:eastAsia="仿宋" w:cs="仿宋_GB2312"/>
                <w:b/>
                <w:bCs/>
                <w:sz w:val="24"/>
                <w:highlight w:val="none"/>
                <w:lang w:val="en-US" w:eastAsia="zh-CN"/>
              </w:rPr>
              <w:t>12</w:t>
            </w:r>
            <w:r>
              <w:rPr>
                <w:rFonts w:hint="eastAsia" w:ascii="仿宋" w:hAnsi="仿宋" w:eastAsia="仿宋" w:cs="仿宋_GB2312"/>
                <w:b/>
                <w:bCs/>
                <w:sz w:val="24"/>
                <w:highlight w:val="none"/>
                <w:lang w:eastAsia="zh-CN"/>
              </w:rPr>
              <w:t>月、202</w:t>
            </w:r>
            <w:r>
              <w:rPr>
                <w:rFonts w:hint="eastAsia" w:ascii="仿宋" w:hAnsi="仿宋" w:eastAsia="仿宋" w:cs="仿宋_GB2312"/>
                <w:b/>
                <w:bCs/>
                <w:sz w:val="24"/>
                <w:highlight w:val="none"/>
                <w:lang w:val="en-US" w:eastAsia="zh-CN"/>
              </w:rPr>
              <w:t>4</w:t>
            </w:r>
            <w:r>
              <w:rPr>
                <w:rFonts w:hint="eastAsia" w:ascii="仿宋" w:hAnsi="仿宋" w:eastAsia="仿宋" w:cs="仿宋_GB2312"/>
                <w:b/>
                <w:bCs/>
                <w:sz w:val="24"/>
                <w:highlight w:val="none"/>
                <w:lang w:eastAsia="zh-CN"/>
              </w:rPr>
              <w:t>年</w:t>
            </w:r>
            <w:r>
              <w:rPr>
                <w:rFonts w:hint="eastAsia" w:ascii="仿宋" w:hAnsi="仿宋" w:eastAsia="仿宋" w:cs="仿宋_GB2312"/>
                <w:b/>
                <w:bCs/>
                <w:sz w:val="24"/>
                <w:highlight w:val="none"/>
                <w:lang w:val="en-US" w:eastAsia="zh-CN"/>
              </w:rPr>
              <w:t>1</w:t>
            </w:r>
            <w:r>
              <w:rPr>
                <w:rFonts w:hint="eastAsia" w:ascii="仿宋" w:hAnsi="仿宋" w:eastAsia="仿宋" w:cs="仿宋_GB2312"/>
                <w:b/>
                <w:bCs/>
                <w:sz w:val="24"/>
                <w:highlight w:val="none"/>
                <w:lang w:eastAsia="zh-CN"/>
              </w:rPr>
              <w:t>月）社保证明复印件并加盖公章</w:t>
            </w:r>
            <w:r>
              <w:rPr>
                <w:rFonts w:hint="eastAsia" w:ascii="仿宋" w:hAnsi="仿宋" w:eastAsia="仿宋" w:cs="仿宋_GB2312"/>
                <w:sz w:val="24"/>
                <w:highlight w:val="none"/>
                <w:lang w:val="en-US" w:eastAsia="zh-CN"/>
              </w:rPr>
              <w:t>)</w:t>
            </w:r>
            <w:r>
              <w:rPr>
                <w:rFonts w:hint="eastAsia" w:ascii="仿宋" w:hAnsi="仿宋" w:eastAsia="仿宋" w:cs="仿宋_GB2312"/>
                <w:b/>
                <w:bCs/>
                <w:sz w:val="24"/>
                <w:highlight w:val="none"/>
              </w:rPr>
              <w:t>）</w:t>
            </w:r>
          </w:p>
        </w:tc>
        <w:tc>
          <w:tcPr>
            <w:tcW w:w="744" w:type="dxa"/>
            <w:vAlign w:val="center"/>
          </w:tcPr>
          <w:p>
            <w:pPr>
              <w:widowControl/>
              <w:jc w:val="center"/>
              <w:rPr>
                <w:rFonts w:hint="eastAsia" w:ascii="仿宋" w:hAnsi="仿宋" w:eastAsia="仿宋" w:cs="仿宋_GB2312"/>
                <w:sz w:val="24"/>
                <w:lang w:eastAsia="zh-CN"/>
              </w:rPr>
            </w:pPr>
            <w:r>
              <w:rPr>
                <w:rFonts w:hint="eastAsia" w:ascii="仿宋" w:hAnsi="仿宋" w:eastAsia="仿宋" w:cs="仿宋_GB2312"/>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pPr>
              <w:widowControl/>
              <w:ind w:firstLine="480" w:firstLineChars="200"/>
              <w:rPr>
                <w:rFonts w:ascii="仿宋" w:hAnsi="仿宋" w:eastAsia="仿宋" w:cs="仿宋_GB2312"/>
                <w:sz w:val="24"/>
              </w:rPr>
            </w:pPr>
          </w:p>
        </w:tc>
        <w:tc>
          <w:tcPr>
            <w:tcW w:w="1056" w:type="dxa"/>
            <w:vAlign w:val="center"/>
          </w:tcPr>
          <w:p>
            <w:pPr>
              <w:widowControl/>
              <w:jc w:val="center"/>
              <w:rPr>
                <w:rFonts w:ascii="仿宋" w:hAnsi="仿宋" w:eastAsia="仿宋" w:cs="仿宋_GB2312"/>
                <w:sz w:val="24"/>
                <w:lang w:val="zh-CN"/>
              </w:rPr>
            </w:pPr>
            <w:r>
              <w:rPr>
                <w:rFonts w:hint="eastAsia" w:ascii="仿宋" w:hAnsi="仿宋" w:eastAsia="仿宋" w:cs="仿宋_GB2312"/>
                <w:sz w:val="24"/>
              </w:rPr>
              <w:t>企业业绩实力</w:t>
            </w:r>
          </w:p>
        </w:tc>
        <w:tc>
          <w:tcPr>
            <w:tcW w:w="6821" w:type="dxa"/>
            <w:vAlign w:val="center"/>
          </w:tcPr>
          <w:p>
            <w:pPr>
              <w:widowControl/>
              <w:jc w:val="left"/>
              <w:rPr>
                <w:rFonts w:hint="eastAsia" w:eastAsia="宋体"/>
                <w:highlight w:val="none"/>
                <w:lang w:val="en-US" w:eastAsia="zh-CN"/>
              </w:rPr>
            </w:pPr>
            <w:r>
              <w:rPr>
                <w:rFonts w:hint="eastAsia" w:ascii="仿宋" w:hAnsi="仿宋" w:eastAsia="仿宋" w:cs="仿宋_GB2312"/>
                <w:sz w:val="24"/>
                <w:highlight w:val="none"/>
              </w:rPr>
              <w:t>投标人自20</w:t>
            </w:r>
            <w:r>
              <w:rPr>
                <w:rFonts w:hint="eastAsia" w:ascii="仿宋" w:hAnsi="仿宋" w:eastAsia="仿宋" w:cs="仿宋_GB2312"/>
                <w:sz w:val="24"/>
                <w:highlight w:val="none"/>
                <w:lang w:val="en-US" w:eastAsia="zh-CN"/>
              </w:rPr>
              <w:t>21</w:t>
            </w:r>
            <w:r>
              <w:rPr>
                <w:rFonts w:hint="eastAsia" w:ascii="仿宋" w:hAnsi="仿宋" w:eastAsia="仿宋" w:cs="仿宋_GB2312"/>
                <w:sz w:val="24"/>
                <w:highlight w:val="none"/>
              </w:rPr>
              <w:t>年1月1日以来（时间</w:t>
            </w:r>
            <w:r>
              <w:rPr>
                <w:rFonts w:hint="eastAsia" w:ascii="仿宋" w:hAnsi="仿宋" w:eastAsia="仿宋" w:cs="仿宋_GB2312"/>
                <w:sz w:val="24"/>
                <w:highlight w:val="none"/>
                <w:lang w:eastAsia="zh-CN"/>
              </w:rPr>
              <w:t>、造价金额</w:t>
            </w:r>
            <w:r>
              <w:rPr>
                <w:rFonts w:hint="eastAsia" w:ascii="仿宋" w:hAnsi="仿宋" w:eastAsia="仿宋" w:cs="仿宋_GB2312"/>
                <w:sz w:val="24"/>
                <w:highlight w:val="none"/>
              </w:rPr>
              <w:t>以造价咨询报告为准）完成</w:t>
            </w:r>
            <w:r>
              <w:rPr>
                <w:rFonts w:hint="eastAsia" w:ascii="仿宋" w:hAnsi="仿宋" w:eastAsia="仿宋" w:cs="仿宋_GB2312"/>
                <w:sz w:val="24"/>
                <w:highlight w:val="none"/>
                <w:lang w:eastAsia="zh-CN"/>
              </w:rPr>
              <w:t>过</w:t>
            </w:r>
            <w:r>
              <w:rPr>
                <w:rFonts w:hint="eastAsia" w:ascii="仿宋" w:hAnsi="仿宋" w:eastAsia="仿宋" w:cs="仿宋_GB2312"/>
                <w:sz w:val="24"/>
                <w:highlight w:val="none"/>
                <w:lang w:val="en-US" w:eastAsia="zh-CN"/>
              </w:rPr>
              <w:t>单个标段工程造价10000万及以上</w:t>
            </w:r>
            <w:r>
              <w:rPr>
                <w:rFonts w:hint="eastAsia" w:ascii="仿宋" w:hAnsi="仿宋" w:eastAsia="仿宋" w:cs="仿宋_GB2312"/>
                <w:sz w:val="24"/>
                <w:highlight w:val="none"/>
              </w:rPr>
              <w:t>市政工程</w:t>
            </w:r>
            <w:r>
              <w:rPr>
                <w:rFonts w:hint="eastAsia" w:ascii="仿宋" w:hAnsi="仿宋" w:eastAsia="仿宋" w:cs="仿宋_GB2312"/>
                <w:sz w:val="24"/>
                <w:highlight w:val="none"/>
                <w:lang w:eastAsia="zh-CN"/>
              </w:rPr>
              <w:t>项目（</w:t>
            </w:r>
            <w:r>
              <w:rPr>
                <w:rFonts w:hint="eastAsia" w:ascii="仿宋" w:hAnsi="仿宋" w:eastAsia="仿宋" w:cs="仿宋_GB2312"/>
                <w:b/>
                <w:bCs/>
                <w:sz w:val="24"/>
                <w:highlight w:val="none"/>
                <w:lang w:eastAsia="zh-CN"/>
              </w:rPr>
              <w:t>所提供的业绩中须包含道路、桥梁施工内容</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标底编制业绩的，得</w:t>
            </w: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rPr>
              <w:t>分。</w:t>
            </w:r>
          </w:p>
          <w:p>
            <w:pPr>
              <w:widowControl/>
              <w:jc w:val="left"/>
              <w:rPr>
                <w:rFonts w:ascii="仿宋" w:hAnsi="仿宋" w:eastAsia="仿宋" w:cs="仿宋_GB2312"/>
                <w:sz w:val="24"/>
                <w:highlight w:val="none"/>
              </w:rPr>
            </w:pPr>
            <w:r>
              <w:rPr>
                <w:rFonts w:hint="eastAsia" w:ascii="仿宋" w:hAnsi="仿宋" w:eastAsia="仿宋" w:cs="仿宋_GB2312"/>
                <w:b/>
                <w:bCs/>
                <w:sz w:val="24"/>
                <w:highlight w:val="none"/>
              </w:rPr>
              <w:t>（提供（1）体现上述业绩要求的工程造价咨询报告书（加盖</w:t>
            </w:r>
            <w:r>
              <w:rPr>
                <w:rFonts w:hint="eastAsia" w:ascii="仿宋" w:hAnsi="仿宋" w:eastAsia="仿宋" w:cs="仿宋_GB2312"/>
                <w:b/>
                <w:bCs/>
                <w:sz w:val="24"/>
                <w:highlight w:val="none"/>
                <w:lang w:eastAsia="zh-CN"/>
              </w:rPr>
              <w:t>标底编制</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、业主单位</w:t>
            </w:r>
            <w:r>
              <w:rPr>
                <w:rFonts w:hint="eastAsia" w:ascii="仿宋" w:hAnsi="仿宋" w:eastAsia="仿宋" w:cs="仿宋_GB2312"/>
                <w:b/>
                <w:bCs/>
                <w:sz w:val="24"/>
                <w:highlight w:val="none"/>
              </w:rPr>
              <w:t>公章及人员资格章，时间以</w:t>
            </w:r>
            <w:r>
              <w:rPr>
                <w:rFonts w:hint="eastAsia" w:ascii="仿宋" w:hAnsi="仿宋" w:eastAsia="仿宋" w:cs="仿宋_GB2312"/>
                <w:b/>
                <w:bCs/>
                <w:sz w:val="24"/>
                <w:highlight w:val="none"/>
                <w:lang w:eastAsia="zh-CN"/>
              </w:rPr>
              <w:t>造价咨询</w:t>
            </w:r>
            <w:r>
              <w:rPr>
                <w:rFonts w:hint="eastAsia" w:ascii="仿宋" w:hAnsi="仿宋" w:eastAsia="仿宋" w:cs="仿宋_GB2312"/>
                <w:b/>
                <w:bCs/>
                <w:sz w:val="24"/>
                <w:highlight w:val="none"/>
              </w:rPr>
              <w:t>报告书出具时间为准</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2</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体现上述业绩要求的造价咨询合同。（</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rPr>
              <w:t>）上述体现业绩的相关材料须提供复印件并</w:t>
            </w:r>
            <w:r>
              <w:rPr>
                <w:rFonts w:hint="eastAsia" w:ascii="仿宋" w:hAnsi="仿宋" w:eastAsia="仿宋" w:cs="仿宋_GB2312"/>
                <w:b/>
                <w:bCs/>
                <w:sz w:val="24"/>
                <w:highlight w:val="none"/>
                <w:lang w:eastAsia="zh-CN"/>
              </w:rPr>
              <w:t>加盖</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公章。</w:t>
            </w:r>
            <w:r>
              <w:rPr>
                <w:rFonts w:hint="eastAsia" w:ascii="仿宋" w:hAnsi="仿宋" w:eastAsia="仿宋" w:cs="仿宋_GB2312"/>
                <w:b/>
                <w:bCs/>
                <w:color w:val="000000"/>
                <w:sz w:val="24"/>
                <w:highlight w:val="none"/>
                <w:lang w:eastAsia="zh-CN"/>
              </w:rPr>
              <w:t>（</w:t>
            </w:r>
            <w:r>
              <w:rPr>
                <w:rFonts w:hint="eastAsia" w:ascii="仿宋" w:hAnsi="仿宋" w:eastAsia="仿宋" w:cs="仿宋_GB2312"/>
                <w:b/>
                <w:bCs/>
                <w:color w:val="000000"/>
                <w:sz w:val="24"/>
                <w:highlight w:val="none"/>
                <w:lang w:val="en-US" w:eastAsia="zh-CN"/>
              </w:rPr>
              <w:t>4</w:t>
            </w:r>
            <w:r>
              <w:rPr>
                <w:rFonts w:hint="eastAsia" w:ascii="仿宋" w:hAnsi="仿宋" w:eastAsia="仿宋" w:cs="仿宋_GB2312"/>
                <w:b/>
                <w:bCs/>
                <w:color w:val="000000"/>
                <w:sz w:val="24"/>
                <w:highlight w:val="none"/>
                <w:lang w:eastAsia="zh-CN"/>
              </w:rPr>
              <w:t>）</w:t>
            </w:r>
            <w:r>
              <w:rPr>
                <w:rFonts w:hint="eastAsia" w:ascii="仿宋" w:hAnsi="仿宋" w:eastAsia="仿宋" w:cs="仿宋_GB2312"/>
                <w:b/>
                <w:bCs/>
                <w:sz w:val="24"/>
                <w:highlight w:val="none"/>
                <w:lang w:eastAsia="zh-CN"/>
              </w:rPr>
              <w:t>施工单位委托的造价咨询业绩无效。）</w:t>
            </w:r>
          </w:p>
        </w:tc>
        <w:tc>
          <w:tcPr>
            <w:tcW w:w="744" w:type="dxa"/>
            <w:vAlign w:val="center"/>
          </w:tcPr>
          <w:p>
            <w:pPr>
              <w:widowControl/>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技术</w:t>
            </w:r>
          </w:p>
        </w:tc>
        <w:tc>
          <w:tcPr>
            <w:tcW w:w="6821" w:type="dxa"/>
            <w:vAlign w:val="center"/>
          </w:tcPr>
          <w:p>
            <w:pPr>
              <w:widowControl/>
              <w:jc w:val="left"/>
              <w:rPr>
                <w:rFonts w:ascii="仿宋" w:hAnsi="仿宋" w:eastAsia="仿宋" w:cs="仿宋_GB2312"/>
                <w:sz w:val="24"/>
              </w:rPr>
            </w:pPr>
            <w:r>
              <w:rPr>
                <w:rFonts w:hint="eastAsia" w:ascii="仿宋" w:hAnsi="仿宋" w:eastAsia="仿宋" w:cs="仿宋_GB2312"/>
                <w:sz w:val="24"/>
              </w:rPr>
              <w:t>1、服务方案：对工作内容、工作方案及工作思路把握准确，思路清晰；</w:t>
            </w:r>
          </w:p>
          <w:p>
            <w:pPr>
              <w:pStyle w:val="23"/>
              <w:spacing w:line="240" w:lineRule="auto"/>
              <w:rPr>
                <w:rFonts w:eastAsia="仿宋"/>
                <w:b/>
                <w:bCs/>
              </w:rPr>
            </w:pPr>
            <w:r>
              <w:rPr>
                <w:rFonts w:hint="eastAsia" w:ascii="仿宋" w:hAnsi="仿宋" w:eastAsia="仿宋" w:cs="仿宋_GB2312"/>
                <w:b/>
                <w:bCs/>
              </w:rPr>
              <w:t>（</w:t>
            </w:r>
            <w:r>
              <w:rPr>
                <w:rFonts w:hint="eastAsia" w:ascii="仿宋" w:hAnsi="仿宋" w:eastAsia="仿宋" w:cs="仿宋_GB2312"/>
                <w:b/>
                <w:bCs/>
                <w:lang w:val="en-US"/>
              </w:rPr>
              <w:t>好的得</w:t>
            </w:r>
            <w:r>
              <w:rPr>
                <w:rFonts w:hint="eastAsia" w:ascii="仿宋" w:hAnsi="仿宋" w:eastAsia="仿宋" w:cs="仿宋_GB2312"/>
                <w:b/>
                <w:bCs/>
                <w:lang w:val="en-US" w:eastAsia="zh-CN"/>
              </w:rPr>
              <w:t>3</w:t>
            </w:r>
            <w:r>
              <w:rPr>
                <w:rFonts w:hint="eastAsia" w:ascii="仿宋" w:hAnsi="仿宋" w:eastAsia="仿宋" w:cs="仿宋_GB2312"/>
                <w:b/>
                <w:bCs/>
                <w:lang w:val="en-US"/>
              </w:rPr>
              <w:t>-</w:t>
            </w:r>
            <w:r>
              <w:rPr>
                <w:rFonts w:hint="eastAsia" w:ascii="仿宋" w:hAnsi="仿宋" w:eastAsia="仿宋" w:cs="仿宋_GB2312"/>
                <w:b/>
                <w:bCs/>
                <w:lang w:val="en-US" w:eastAsia="zh-CN"/>
              </w:rPr>
              <w:t>4</w:t>
            </w:r>
            <w:r>
              <w:rPr>
                <w:rFonts w:hint="eastAsia" w:ascii="仿宋" w:hAnsi="仿宋" w:eastAsia="仿宋" w:cs="仿宋_GB2312"/>
                <w:b/>
                <w:bCs/>
                <w:lang w:val="en-US"/>
              </w:rPr>
              <w:t>分，一般得</w:t>
            </w:r>
            <w:r>
              <w:rPr>
                <w:rFonts w:hint="eastAsia" w:ascii="仿宋" w:hAnsi="仿宋" w:eastAsia="仿宋" w:cs="仿宋_GB2312"/>
                <w:b/>
                <w:bCs/>
                <w:lang w:val="en-US" w:eastAsia="zh-CN"/>
              </w:rPr>
              <w:t>2</w:t>
            </w:r>
            <w:r>
              <w:rPr>
                <w:rFonts w:hint="eastAsia" w:ascii="仿宋" w:hAnsi="仿宋" w:eastAsia="仿宋" w:cs="仿宋_GB2312"/>
                <w:b/>
                <w:bCs/>
                <w:lang w:val="en-US"/>
              </w:rPr>
              <w:t>-</w:t>
            </w:r>
            <w:r>
              <w:rPr>
                <w:rFonts w:hint="eastAsia" w:ascii="仿宋" w:hAnsi="仿宋" w:eastAsia="仿宋" w:cs="仿宋_GB2312"/>
                <w:b/>
                <w:bCs/>
                <w:lang w:val="en-US" w:eastAsia="zh-CN"/>
              </w:rPr>
              <w:t>3</w:t>
            </w:r>
            <w:r>
              <w:rPr>
                <w:rFonts w:hint="eastAsia" w:ascii="仿宋" w:hAnsi="仿宋" w:eastAsia="仿宋" w:cs="仿宋_GB2312"/>
                <w:b/>
                <w:bCs/>
                <w:lang w:val="en-US"/>
              </w:rPr>
              <w:t>分，差的得1-</w:t>
            </w:r>
            <w:r>
              <w:rPr>
                <w:rFonts w:hint="eastAsia" w:ascii="仿宋" w:hAnsi="仿宋" w:eastAsia="仿宋" w:cs="仿宋_GB2312"/>
                <w:b/>
                <w:bCs/>
                <w:lang w:val="en-US" w:eastAsia="zh-CN"/>
              </w:rPr>
              <w:t>2</w:t>
            </w:r>
            <w:r>
              <w:rPr>
                <w:rFonts w:hint="eastAsia" w:ascii="仿宋" w:hAnsi="仿宋" w:eastAsia="仿宋" w:cs="仿宋_GB2312"/>
                <w:b/>
                <w:bCs/>
                <w:lang w:val="en-US"/>
              </w:rPr>
              <w:t>分，不提供不得分）</w:t>
            </w:r>
          </w:p>
          <w:p>
            <w:pPr>
              <w:widowControl/>
              <w:jc w:val="left"/>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仿宋_GB2312"/>
                <w:sz w:val="24"/>
                <w:highlight w:val="none"/>
              </w:rPr>
              <w:t>针对</w:t>
            </w:r>
            <w:r>
              <w:rPr>
                <w:rFonts w:hint="eastAsia" w:ascii="仿宋" w:hAnsi="仿宋" w:eastAsia="仿宋" w:cs="仿宋_GB2312"/>
                <w:sz w:val="24"/>
                <w:highlight w:val="none"/>
                <w:lang w:val="en-US" w:eastAsia="zh-CN"/>
              </w:rPr>
              <w:t>本项目</w:t>
            </w:r>
            <w:r>
              <w:rPr>
                <w:rFonts w:hint="eastAsia" w:ascii="仿宋" w:hAnsi="仿宋" w:eastAsia="仿宋" w:cs="仿宋_GB2312"/>
                <w:sz w:val="24"/>
                <w:highlight w:val="none"/>
              </w:rPr>
              <w:t>造价成果编制质量保证措施：重难点质量保证制度、人员配备、服务和配合工作措施、时间和进度安排等相关内容；</w:t>
            </w:r>
          </w:p>
          <w:p>
            <w:pPr>
              <w:pStyle w:val="23"/>
              <w:spacing w:line="240" w:lineRule="auto"/>
              <w:rPr>
                <w:rFonts w:eastAsia="仿宋"/>
                <w:b/>
                <w:bCs/>
              </w:rPr>
            </w:pPr>
            <w:r>
              <w:rPr>
                <w:rFonts w:hint="eastAsia" w:ascii="仿宋" w:hAnsi="仿宋" w:eastAsia="仿宋" w:cs="仿宋_GB2312"/>
                <w:b/>
                <w:bCs/>
              </w:rPr>
              <w:t>（</w:t>
            </w:r>
            <w:r>
              <w:rPr>
                <w:rFonts w:hint="eastAsia" w:ascii="仿宋" w:hAnsi="仿宋" w:eastAsia="仿宋" w:cs="仿宋_GB2312"/>
                <w:b/>
                <w:bCs/>
                <w:lang w:val="en-US"/>
              </w:rPr>
              <w:t>好的得</w:t>
            </w:r>
            <w:r>
              <w:rPr>
                <w:rFonts w:hint="eastAsia" w:ascii="仿宋" w:hAnsi="仿宋" w:eastAsia="仿宋" w:cs="仿宋_GB2312"/>
                <w:b/>
                <w:bCs/>
                <w:lang w:val="en-US" w:eastAsia="zh-CN"/>
              </w:rPr>
              <w:t>5</w:t>
            </w:r>
            <w:r>
              <w:rPr>
                <w:rFonts w:hint="eastAsia" w:ascii="仿宋" w:hAnsi="仿宋" w:eastAsia="仿宋" w:cs="仿宋_GB2312"/>
                <w:b/>
                <w:bCs/>
                <w:lang w:val="en-US"/>
              </w:rPr>
              <w:t>-</w:t>
            </w:r>
            <w:r>
              <w:rPr>
                <w:rFonts w:hint="eastAsia" w:ascii="仿宋" w:hAnsi="仿宋" w:eastAsia="仿宋" w:cs="仿宋_GB2312"/>
                <w:b/>
                <w:bCs/>
                <w:lang w:val="en-US" w:eastAsia="zh-CN"/>
              </w:rPr>
              <w:t>6</w:t>
            </w:r>
            <w:r>
              <w:rPr>
                <w:rFonts w:hint="eastAsia" w:ascii="仿宋" w:hAnsi="仿宋" w:eastAsia="仿宋" w:cs="仿宋_GB2312"/>
                <w:b/>
                <w:bCs/>
                <w:lang w:val="en-US"/>
              </w:rPr>
              <w:t>分，一般得4-</w:t>
            </w:r>
            <w:r>
              <w:rPr>
                <w:rFonts w:hint="eastAsia" w:ascii="仿宋" w:hAnsi="仿宋" w:eastAsia="仿宋" w:cs="仿宋_GB2312"/>
                <w:b/>
                <w:bCs/>
                <w:lang w:val="en-US" w:eastAsia="zh-CN"/>
              </w:rPr>
              <w:t>5</w:t>
            </w:r>
            <w:r>
              <w:rPr>
                <w:rFonts w:hint="eastAsia" w:ascii="仿宋" w:hAnsi="仿宋" w:eastAsia="仿宋" w:cs="仿宋_GB2312"/>
                <w:b/>
                <w:bCs/>
                <w:lang w:val="en-US"/>
              </w:rPr>
              <w:t>分，差的得</w:t>
            </w:r>
            <w:r>
              <w:rPr>
                <w:rFonts w:hint="eastAsia" w:ascii="仿宋" w:hAnsi="仿宋" w:eastAsia="仿宋" w:cs="仿宋_GB2312"/>
                <w:b/>
                <w:bCs/>
                <w:lang w:val="en-US" w:eastAsia="zh-CN"/>
              </w:rPr>
              <w:t>3</w:t>
            </w:r>
            <w:r>
              <w:rPr>
                <w:rFonts w:hint="eastAsia" w:ascii="仿宋" w:hAnsi="仿宋" w:eastAsia="仿宋" w:cs="仿宋_GB2312"/>
                <w:b/>
                <w:bCs/>
                <w:lang w:val="en-US"/>
              </w:rPr>
              <w:t>-4分，不提供不得分）</w:t>
            </w:r>
          </w:p>
          <w:p>
            <w:pPr>
              <w:widowControl/>
              <w:jc w:val="left"/>
              <w:rPr>
                <w:rFonts w:ascii="仿宋" w:hAnsi="仿宋" w:eastAsia="仿宋" w:cs="仿宋_GB2312"/>
                <w:sz w:val="24"/>
              </w:rPr>
            </w:pPr>
            <w:r>
              <w:rPr>
                <w:rFonts w:hint="eastAsia" w:ascii="仿宋" w:hAnsi="仿宋" w:eastAsia="仿宋" w:cs="仿宋_GB2312"/>
                <w:sz w:val="24"/>
              </w:rPr>
              <w:t>3、合理化建议：根据投标单位为做好本项目工程造价咨询、招标代理服务项目提出的合理化建议；</w:t>
            </w:r>
          </w:p>
          <w:p>
            <w:pPr>
              <w:pStyle w:val="23"/>
              <w:spacing w:line="240" w:lineRule="auto"/>
              <w:rPr>
                <w:rFonts w:hint="eastAsia" w:ascii="仿宋" w:hAnsi="仿宋" w:eastAsia="仿宋" w:cs="仿宋_GB2312"/>
                <w:b/>
                <w:bCs/>
                <w:lang w:val="en-US"/>
              </w:rPr>
            </w:pPr>
            <w:r>
              <w:rPr>
                <w:rFonts w:hint="eastAsia" w:ascii="仿宋" w:hAnsi="仿宋" w:eastAsia="仿宋" w:cs="仿宋_GB2312"/>
                <w:b/>
                <w:bCs/>
              </w:rPr>
              <w:t>（</w:t>
            </w:r>
            <w:r>
              <w:rPr>
                <w:rFonts w:hint="eastAsia" w:ascii="仿宋" w:hAnsi="仿宋" w:eastAsia="仿宋" w:cs="仿宋_GB2312"/>
                <w:b/>
                <w:bCs/>
                <w:lang w:val="en-US"/>
              </w:rPr>
              <w:t>好的得</w:t>
            </w:r>
            <w:r>
              <w:rPr>
                <w:rFonts w:hint="eastAsia" w:ascii="仿宋" w:hAnsi="仿宋" w:eastAsia="仿宋" w:cs="仿宋_GB2312"/>
                <w:b/>
                <w:bCs/>
                <w:lang w:val="en-US" w:eastAsia="zh-CN"/>
              </w:rPr>
              <w:t>3</w:t>
            </w:r>
            <w:r>
              <w:rPr>
                <w:rFonts w:hint="eastAsia" w:ascii="仿宋" w:hAnsi="仿宋" w:eastAsia="仿宋" w:cs="仿宋_GB2312"/>
                <w:b/>
                <w:bCs/>
                <w:lang w:val="en-US"/>
              </w:rPr>
              <w:t>-4分，一般得</w:t>
            </w:r>
            <w:r>
              <w:rPr>
                <w:rFonts w:hint="eastAsia" w:ascii="仿宋" w:hAnsi="仿宋" w:eastAsia="仿宋" w:cs="仿宋_GB2312"/>
                <w:b/>
                <w:bCs/>
                <w:lang w:val="en-US" w:eastAsia="zh-CN"/>
              </w:rPr>
              <w:t>2</w:t>
            </w:r>
            <w:r>
              <w:rPr>
                <w:rFonts w:hint="eastAsia" w:ascii="仿宋" w:hAnsi="仿宋" w:eastAsia="仿宋" w:cs="仿宋_GB2312"/>
                <w:b/>
                <w:bCs/>
                <w:lang w:val="en-US"/>
              </w:rPr>
              <w:t>-</w:t>
            </w:r>
            <w:r>
              <w:rPr>
                <w:rFonts w:hint="eastAsia" w:ascii="仿宋" w:hAnsi="仿宋" w:eastAsia="仿宋" w:cs="仿宋_GB2312"/>
                <w:b/>
                <w:bCs/>
                <w:lang w:val="en-US" w:eastAsia="zh-CN"/>
              </w:rPr>
              <w:t>3</w:t>
            </w:r>
            <w:r>
              <w:rPr>
                <w:rFonts w:hint="eastAsia" w:ascii="仿宋" w:hAnsi="仿宋" w:eastAsia="仿宋" w:cs="仿宋_GB2312"/>
                <w:b/>
                <w:bCs/>
                <w:lang w:val="en-US"/>
              </w:rPr>
              <w:t>分，差的得</w:t>
            </w:r>
            <w:r>
              <w:rPr>
                <w:rFonts w:hint="eastAsia" w:ascii="仿宋" w:hAnsi="仿宋" w:eastAsia="仿宋" w:cs="仿宋_GB2312"/>
                <w:b/>
                <w:bCs/>
                <w:lang w:val="en-US" w:eastAsia="zh-CN"/>
              </w:rPr>
              <w:t>1</w:t>
            </w:r>
            <w:r>
              <w:rPr>
                <w:rFonts w:hint="eastAsia" w:ascii="仿宋" w:hAnsi="仿宋" w:eastAsia="仿宋" w:cs="仿宋_GB2312"/>
                <w:b/>
                <w:bCs/>
                <w:lang w:val="en-US"/>
              </w:rPr>
              <w:t>-</w:t>
            </w:r>
            <w:r>
              <w:rPr>
                <w:rFonts w:hint="eastAsia" w:ascii="仿宋" w:hAnsi="仿宋" w:eastAsia="仿宋" w:cs="仿宋_GB2312"/>
                <w:b/>
                <w:bCs/>
                <w:lang w:val="en-US" w:eastAsia="zh-CN"/>
              </w:rPr>
              <w:t>2</w:t>
            </w:r>
            <w:r>
              <w:rPr>
                <w:rFonts w:hint="eastAsia" w:ascii="仿宋" w:hAnsi="仿宋" w:eastAsia="仿宋" w:cs="仿宋_GB2312"/>
                <w:b/>
                <w:bCs/>
                <w:lang w:val="en-US"/>
              </w:rPr>
              <w:t>分，不提供不得分）</w:t>
            </w:r>
          </w:p>
          <w:p>
            <w:pPr>
              <w:numPr>
                <w:ilvl w:val="0"/>
                <w:numId w:val="2"/>
              </w:numPr>
              <w:rPr>
                <w:rFonts w:hint="eastAsia"/>
                <w:lang w:val="en-US" w:eastAsia="zh-CN"/>
              </w:rPr>
            </w:pPr>
            <w:r>
              <w:rPr>
                <w:rFonts w:hint="eastAsia" w:ascii="仿宋" w:hAnsi="仿宋" w:eastAsia="仿宋" w:cs="仿宋_GB2312"/>
                <w:sz w:val="24"/>
                <w:lang w:eastAsia="zh-CN"/>
              </w:rPr>
              <w:t>本地化服务：根据投标单位完成本项目的有利条件和工作基础描述，包括服务便捷性、响应时间、在项目所在地的团队力量及办公场所、本地类似服务经验等，进行横向比较打分。</w:t>
            </w:r>
          </w:p>
          <w:p>
            <w:pPr>
              <w:pStyle w:val="23"/>
              <w:spacing w:line="240" w:lineRule="auto"/>
              <w:rPr>
                <w:rFonts w:hint="eastAsia" w:ascii="仿宋" w:hAnsi="仿宋" w:eastAsia="仿宋" w:cs="仿宋_GB2312"/>
                <w:b/>
                <w:bCs/>
                <w:lang w:val="en-US"/>
              </w:rPr>
            </w:pPr>
            <w:r>
              <w:rPr>
                <w:rFonts w:hint="eastAsia" w:ascii="仿宋" w:hAnsi="仿宋" w:eastAsia="仿宋" w:cs="仿宋_GB2312"/>
                <w:b/>
                <w:bCs/>
              </w:rPr>
              <w:t>（</w:t>
            </w:r>
            <w:r>
              <w:rPr>
                <w:rFonts w:hint="eastAsia" w:ascii="仿宋" w:hAnsi="仿宋" w:eastAsia="仿宋" w:cs="仿宋_GB2312"/>
                <w:b/>
                <w:bCs/>
                <w:lang w:val="en-US"/>
              </w:rPr>
              <w:t>好的得</w:t>
            </w:r>
            <w:r>
              <w:rPr>
                <w:rFonts w:hint="eastAsia" w:ascii="仿宋" w:hAnsi="仿宋" w:eastAsia="仿宋" w:cs="仿宋_GB2312"/>
                <w:b/>
                <w:bCs/>
                <w:lang w:val="en-US" w:eastAsia="zh-CN"/>
              </w:rPr>
              <w:t>1.5-2</w:t>
            </w:r>
            <w:r>
              <w:rPr>
                <w:rFonts w:hint="eastAsia" w:ascii="仿宋" w:hAnsi="仿宋" w:eastAsia="仿宋" w:cs="仿宋_GB2312"/>
                <w:b/>
                <w:bCs/>
                <w:lang w:val="en-US"/>
              </w:rPr>
              <w:t>分，一般得</w:t>
            </w:r>
            <w:r>
              <w:rPr>
                <w:rFonts w:hint="eastAsia" w:ascii="仿宋" w:hAnsi="仿宋" w:eastAsia="仿宋" w:cs="仿宋_GB2312"/>
                <w:b/>
                <w:bCs/>
                <w:lang w:val="en-US" w:eastAsia="zh-CN"/>
              </w:rPr>
              <w:t>1-1.5</w:t>
            </w:r>
            <w:r>
              <w:rPr>
                <w:rFonts w:hint="eastAsia" w:ascii="仿宋" w:hAnsi="仿宋" w:eastAsia="仿宋" w:cs="仿宋_GB2312"/>
                <w:b/>
                <w:bCs/>
                <w:lang w:val="en-US"/>
              </w:rPr>
              <w:t>分，差的得</w:t>
            </w:r>
            <w:r>
              <w:rPr>
                <w:rFonts w:hint="eastAsia" w:ascii="仿宋" w:hAnsi="仿宋" w:eastAsia="仿宋" w:cs="仿宋_GB2312"/>
                <w:b/>
                <w:bCs/>
                <w:lang w:val="en-US" w:eastAsia="zh-CN"/>
              </w:rPr>
              <w:t>0.5-1</w:t>
            </w:r>
            <w:r>
              <w:rPr>
                <w:rFonts w:hint="eastAsia" w:ascii="仿宋" w:hAnsi="仿宋" w:eastAsia="仿宋" w:cs="仿宋_GB2312"/>
                <w:b/>
                <w:bCs/>
                <w:lang w:val="en-US"/>
              </w:rPr>
              <w:t>分，不提供不得分）</w:t>
            </w:r>
          </w:p>
          <w:p>
            <w:pPr>
              <w:pStyle w:val="2"/>
              <w:rPr>
                <w:rFonts w:hint="eastAsia"/>
                <w:lang w:val="en-US" w:eastAsia="zh-CN"/>
              </w:rPr>
            </w:pPr>
          </w:p>
        </w:tc>
        <w:tc>
          <w:tcPr>
            <w:tcW w:w="744" w:type="dxa"/>
            <w:vAlign w:val="center"/>
          </w:tcPr>
          <w:p>
            <w:pPr>
              <w:widowControl/>
              <w:jc w:val="center"/>
              <w:rPr>
                <w:rFonts w:hint="default" w:ascii="仿宋" w:hAnsi="仿宋" w:eastAsia="仿宋" w:cs="仿宋_GB2312"/>
                <w:sz w:val="24"/>
                <w:lang w:val="en-US" w:eastAsia="zh-CN"/>
              </w:rPr>
            </w:pPr>
            <w:r>
              <w:rPr>
                <w:rFonts w:hint="eastAsia" w:ascii="仿宋" w:hAnsi="仿宋" w:eastAsia="仿宋" w:cs="仿宋_GB2312"/>
                <w:sz w:val="24"/>
                <w:highlight w:val="none"/>
                <w:lang w:val="en-US" w:eastAsia="zh-CN"/>
              </w:rPr>
              <w:t>16</w:t>
            </w:r>
          </w:p>
        </w:tc>
      </w:tr>
    </w:tbl>
    <w:p>
      <w:pPr>
        <w:widowControl/>
        <w:spacing w:line="360" w:lineRule="auto"/>
        <w:ind w:firstLine="482" w:firstLineChars="200"/>
        <w:rPr>
          <w:rFonts w:ascii="仿宋" w:hAnsi="仿宋" w:eastAsia="仿宋" w:cs="仿宋_GB2312"/>
          <w:b/>
          <w:sz w:val="24"/>
        </w:rPr>
      </w:pPr>
      <w:r>
        <w:rPr>
          <w:rFonts w:hint="eastAsia" w:ascii="仿宋" w:hAnsi="仿宋" w:eastAsia="仿宋" w:cs="仿宋_GB2312"/>
          <w:b/>
          <w:sz w:val="24"/>
        </w:rPr>
        <w:t>22</w:t>
      </w:r>
      <w:r>
        <w:rPr>
          <w:rFonts w:ascii="仿宋" w:hAnsi="仿宋" w:eastAsia="仿宋" w:cs="仿宋_GB2312"/>
          <w:b/>
          <w:sz w:val="24"/>
        </w:rPr>
        <w:t>.</w:t>
      </w:r>
      <w:r>
        <w:rPr>
          <w:rFonts w:hint="eastAsia" w:ascii="仿宋" w:hAnsi="仿宋" w:eastAsia="仿宋" w:cs="仿宋_GB2312"/>
          <w:b/>
          <w:sz w:val="24"/>
        </w:rPr>
        <w:t>价格分（</w:t>
      </w:r>
      <w:r>
        <w:rPr>
          <w:rFonts w:hint="eastAsia" w:ascii="仿宋" w:hAnsi="仿宋" w:eastAsia="仿宋" w:cs="Arial"/>
          <w:b/>
          <w:kern w:val="0"/>
          <w:sz w:val="24"/>
          <w:lang w:val="en-US" w:eastAsia="zh-CN"/>
        </w:rPr>
        <w:t>70</w:t>
      </w:r>
      <w:r>
        <w:rPr>
          <w:rFonts w:hint="eastAsia" w:ascii="仿宋" w:hAnsi="仿宋" w:eastAsia="仿宋" w:cs="仿宋_GB2312"/>
          <w:b/>
          <w:sz w:val="24"/>
        </w:rPr>
        <w:t>分）</w:t>
      </w:r>
    </w:p>
    <w:p>
      <w:pPr>
        <w:spacing w:line="440" w:lineRule="exact"/>
        <w:ind w:right="78" w:rightChars="37" w:firstLine="480" w:firstLineChars="200"/>
        <w:rPr>
          <w:rFonts w:ascii="宋体" w:hAnsi="宋体" w:cs="宋体"/>
          <w:sz w:val="24"/>
          <w:highlight w:val="none"/>
        </w:rPr>
      </w:pPr>
      <w:r>
        <w:rPr>
          <w:rFonts w:hint="eastAsia" w:ascii="宋体" w:hAnsi="宋体" w:cs="宋体"/>
          <w:sz w:val="24"/>
        </w:rPr>
        <w:t>22.1、期望比率为85%-97%；投标比率Xi=投标总价/投标总价上限价。投标单位比率</w:t>
      </w:r>
      <w:r>
        <w:rPr>
          <w:rFonts w:hint="eastAsia" w:ascii="宋体" w:hAnsi="宋体" w:cs="宋体"/>
          <w:sz w:val="24"/>
          <w:highlight w:val="none"/>
        </w:rPr>
        <w:t>超出报价区间范围的，作废标处理。</w:t>
      </w:r>
    </w:p>
    <w:p>
      <w:pPr>
        <w:spacing w:line="440" w:lineRule="exact"/>
        <w:ind w:right="78" w:rightChars="37" w:firstLine="480" w:firstLineChars="200"/>
        <w:rPr>
          <w:rFonts w:ascii="宋体" w:hAnsi="宋体" w:cs="宋体"/>
          <w:color w:val="000000"/>
          <w:kern w:val="0"/>
          <w:sz w:val="24"/>
          <w:highlight w:val="none"/>
        </w:rPr>
      </w:pPr>
      <w:r>
        <w:rPr>
          <w:rFonts w:hint="eastAsia" w:ascii="宋体" w:hAnsi="宋体" w:cs="宋体"/>
          <w:sz w:val="24"/>
          <w:highlight w:val="none"/>
        </w:rPr>
        <w:t>22.2、比率区间抽签值共设</w:t>
      </w:r>
      <w:r>
        <w:rPr>
          <w:rFonts w:hint="eastAsia" w:ascii="宋体" w:hAnsi="宋体" w:cs="宋体"/>
          <w:sz w:val="24"/>
          <w:highlight w:val="none"/>
          <w:lang w:val="en-US" w:eastAsia="zh-CN"/>
        </w:rPr>
        <w:t>25</w:t>
      </w:r>
      <w:r>
        <w:rPr>
          <w:rFonts w:hint="eastAsia" w:ascii="宋体" w:hAnsi="宋体" w:cs="宋体"/>
          <w:sz w:val="24"/>
          <w:highlight w:val="none"/>
        </w:rPr>
        <w:t>个数字，分别代表为：比率85%、85</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86%，86.5%、</w:t>
      </w:r>
      <w:r>
        <w:rPr>
          <w:rFonts w:hint="eastAsia" w:ascii="宋体" w:hAnsi="宋体" w:cs="宋体"/>
          <w:sz w:val="24"/>
          <w:highlight w:val="none"/>
        </w:rPr>
        <w:t>87%</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87.5%、88%、88.5%、</w:t>
      </w:r>
      <w:r>
        <w:rPr>
          <w:rFonts w:hint="eastAsia" w:ascii="宋体" w:hAnsi="宋体" w:cs="宋体"/>
          <w:color w:val="000000"/>
          <w:kern w:val="0"/>
          <w:sz w:val="24"/>
          <w:highlight w:val="none"/>
        </w:rPr>
        <w:t>89%、</w:t>
      </w:r>
      <w:r>
        <w:rPr>
          <w:rFonts w:hint="eastAsia" w:ascii="宋体" w:hAnsi="宋体" w:cs="宋体"/>
          <w:color w:val="000000"/>
          <w:kern w:val="0"/>
          <w:sz w:val="24"/>
          <w:highlight w:val="none"/>
          <w:lang w:val="en-US" w:eastAsia="zh-CN"/>
        </w:rPr>
        <w:t>89.5%、90%、90.5%、</w:t>
      </w:r>
      <w:r>
        <w:rPr>
          <w:rFonts w:hint="eastAsia" w:ascii="宋体" w:hAnsi="宋体" w:cs="宋体"/>
          <w:color w:val="000000"/>
          <w:kern w:val="0"/>
          <w:sz w:val="24"/>
          <w:highlight w:val="none"/>
        </w:rPr>
        <w:t>91%、</w:t>
      </w:r>
      <w:r>
        <w:rPr>
          <w:rFonts w:hint="eastAsia" w:ascii="宋体" w:hAnsi="宋体" w:cs="宋体"/>
          <w:color w:val="000000"/>
          <w:kern w:val="0"/>
          <w:sz w:val="24"/>
          <w:highlight w:val="none"/>
          <w:lang w:val="en-US" w:eastAsia="zh-CN"/>
        </w:rPr>
        <w:t>91.5%、92%、92.5%、</w:t>
      </w:r>
      <w:r>
        <w:rPr>
          <w:rFonts w:hint="eastAsia" w:ascii="宋体" w:hAnsi="宋体" w:cs="宋体"/>
          <w:sz w:val="24"/>
          <w:highlight w:val="none"/>
        </w:rPr>
        <w:t>93%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93.5%、94%、94.5%、</w:t>
      </w:r>
      <w:r>
        <w:rPr>
          <w:rFonts w:hint="eastAsia" w:ascii="宋体" w:hAnsi="宋体" w:cs="宋体"/>
          <w:color w:val="000000"/>
          <w:kern w:val="0"/>
          <w:sz w:val="24"/>
          <w:highlight w:val="none"/>
        </w:rPr>
        <w:t>95%、</w:t>
      </w:r>
      <w:r>
        <w:rPr>
          <w:rFonts w:hint="eastAsia" w:ascii="宋体" w:hAnsi="宋体" w:cs="宋体"/>
          <w:color w:val="000000"/>
          <w:kern w:val="0"/>
          <w:sz w:val="24"/>
          <w:highlight w:val="none"/>
          <w:lang w:val="en-US" w:eastAsia="zh-CN"/>
        </w:rPr>
        <w:t>95.5%、96%、96.5%、</w:t>
      </w:r>
      <w:r>
        <w:rPr>
          <w:rFonts w:hint="eastAsia" w:ascii="宋体" w:hAnsi="宋体" w:cs="宋体"/>
          <w:color w:val="000000"/>
          <w:kern w:val="0"/>
          <w:sz w:val="24"/>
          <w:highlight w:val="none"/>
        </w:rPr>
        <w:t>97% ；</w:t>
      </w:r>
    </w:p>
    <w:p>
      <w:pPr>
        <w:spacing w:line="440" w:lineRule="exact"/>
        <w:ind w:right="78" w:rightChars="37" w:firstLine="480" w:firstLineChars="200"/>
        <w:rPr>
          <w:rFonts w:ascii="宋体" w:hAnsi="宋体" w:cs="宋体"/>
          <w:sz w:val="24"/>
        </w:rPr>
      </w:pPr>
      <w:r>
        <w:rPr>
          <w:rFonts w:hint="eastAsia" w:ascii="宋体" w:hAnsi="宋体" w:cs="宋体"/>
          <w:sz w:val="24"/>
        </w:rPr>
        <w:t>22.3、招标人代表在招标文件确定的比率区间内各抽取2个比率（X1、X2），算术平均后确定为满分比率X；投标人的投标比率与之相除，当投标比率等于满分比率时得满分</w:t>
      </w:r>
      <w:r>
        <w:rPr>
          <w:rFonts w:hint="eastAsia" w:ascii="宋体" w:hAnsi="宋体" w:cs="宋体"/>
          <w:sz w:val="24"/>
          <w:lang w:val="en-US" w:eastAsia="zh-CN"/>
        </w:rPr>
        <w:t>70</w:t>
      </w:r>
      <w:r>
        <w:rPr>
          <w:rFonts w:hint="eastAsia" w:ascii="宋体" w:hAnsi="宋体" w:cs="宋体"/>
          <w:sz w:val="24"/>
        </w:rPr>
        <w:t>分；每小于满分比率1个百分点扣0.6分；大于满分比率1个百分点扣1分；不足部分按比例扣除。</w:t>
      </w:r>
    </w:p>
    <w:p>
      <w:pPr>
        <w:spacing w:line="440" w:lineRule="exact"/>
        <w:ind w:right="78" w:rightChars="37" w:firstLine="480" w:firstLineChars="200"/>
        <w:rPr>
          <w:rFonts w:ascii="宋体" w:hAnsi="宋体" w:cs="宋体"/>
          <w:sz w:val="24"/>
        </w:rPr>
      </w:pPr>
      <w:r>
        <w:rPr>
          <w:rFonts w:hint="eastAsia" w:ascii="宋体" w:hAnsi="宋体" w:cs="宋体"/>
          <w:sz w:val="24"/>
        </w:rPr>
        <w:t>22.4、 满分比率计算公式： X=(X1＋X2)/2</w:t>
      </w:r>
    </w:p>
    <w:p>
      <w:pPr>
        <w:spacing w:line="440" w:lineRule="exact"/>
        <w:ind w:right="78" w:rightChars="37" w:firstLine="480" w:firstLineChars="200"/>
        <w:rPr>
          <w:rFonts w:ascii="宋体" w:hAnsi="宋体" w:cs="宋体"/>
          <w:sz w:val="24"/>
        </w:rPr>
      </w:pPr>
      <w:r>
        <w:rPr>
          <w:rFonts w:hint="eastAsia" w:ascii="宋体" w:hAnsi="宋体" w:cs="宋体"/>
          <w:sz w:val="24"/>
        </w:rPr>
        <w:t>22.5、计算规则： Xi为</w:t>
      </w:r>
      <w:r>
        <w:rPr>
          <w:rFonts w:hint="eastAsia" w:ascii="宋体" w:hAnsi="宋体" w:cs="宋体"/>
          <w:sz w:val="24"/>
          <w:highlight w:val="none"/>
        </w:rPr>
        <w:t>各投标单位的投标比率（当Xi＞X时，得分＝</w:t>
      </w:r>
      <w:r>
        <w:rPr>
          <w:rFonts w:hint="eastAsia" w:ascii="宋体" w:hAnsi="宋体" w:cs="宋体"/>
          <w:sz w:val="24"/>
          <w:highlight w:val="none"/>
          <w:lang w:val="en-US" w:eastAsia="zh-CN"/>
        </w:rPr>
        <w:t>70</w:t>
      </w:r>
      <w:r>
        <w:rPr>
          <w:rFonts w:hint="eastAsia" w:ascii="宋体" w:hAnsi="宋体" w:cs="宋体"/>
          <w:sz w:val="24"/>
          <w:highlight w:val="none"/>
        </w:rPr>
        <w:t>―（Xi―X）/X×100×1；当Xi＜X时，得分＝</w:t>
      </w:r>
      <w:r>
        <w:rPr>
          <w:rFonts w:hint="eastAsia" w:ascii="宋体" w:hAnsi="宋体" w:cs="宋体"/>
          <w:sz w:val="24"/>
          <w:highlight w:val="none"/>
          <w:lang w:val="en-US" w:eastAsia="zh-CN"/>
        </w:rPr>
        <w:t>70</w:t>
      </w:r>
      <w:r>
        <w:rPr>
          <w:rFonts w:hint="eastAsia" w:ascii="宋体" w:hAnsi="宋体" w:cs="宋体"/>
          <w:sz w:val="24"/>
          <w:highlight w:val="none"/>
        </w:rPr>
        <w:t>―（X―Xi）/X×</w:t>
      </w:r>
      <w:r>
        <w:rPr>
          <w:rFonts w:hint="eastAsia" w:ascii="宋体" w:hAnsi="宋体" w:cs="宋体"/>
          <w:sz w:val="24"/>
        </w:rPr>
        <w:t>100×0.6。）</w:t>
      </w:r>
    </w:p>
    <w:p>
      <w:pPr>
        <w:pStyle w:val="2"/>
        <w:ind w:firstLine="480" w:firstLineChars="200"/>
      </w:pPr>
      <w:r>
        <w:rPr>
          <w:rFonts w:hint="eastAsia" w:ascii="宋体" w:hAnsi="宋体" w:cs="宋体"/>
          <w:sz w:val="24"/>
          <w:szCs w:val="24"/>
        </w:rPr>
        <w:t>22.6</w:t>
      </w:r>
      <w:r>
        <w:rPr>
          <w:rFonts w:hint="eastAsia" w:ascii="宋体" w:hAnsi="宋体" w:cs="宋体"/>
          <w:sz w:val="24"/>
        </w:rPr>
        <w:t>、</w:t>
      </w:r>
      <w:r>
        <w:rPr>
          <w:rFonts w:hint="eastAsia" w:ascii="宋体" w:hAnsi="宋体" w:cs="宋体"/>
          <w:sz w:val="24"/>
          <w:szCs w:val="24"/>
        </w:rPr>
        <w:t>如果用数字表示的数额与用文字表示的数额不一致时，以文字数额为准。</w:t>
      </w:r>
      <w:r>
        <w:rPr>
          <w:rFonts w:hint="eastAsia"/>
        </w:rPr>
        <w:t> </w:t>
      </w:r>
    </w:p>
    <w:p>
      <w:pPr>
        <w:spacing w:line="440" w:lineRule="exact"/>
        <w:ind w:right="78" w:rightChars="37" w:firstLine="480" w:firstLineChars="200"/>
        <w:rPr>
          <w:rFonts w:ascii="宋体" w:hAnsi="宋体" w:cs="宋体"/>
          <w:sz w:val="24"/>
        </w:rPr>
      </w:pPr>
      <w:r>
        <w:rPr>
          <w:rFonts w:hint="eastAsia" w:ascii="宋体" w:hAnsi="宋体" w:cs="宋体"/>
          <w:sz w:val="24"/>
        </w:rPr>
        <w:t>22.7、按得分高低确定1名中标候选人；当得分出现并列时，由招标人当场抽签确定。</w:t>
      </w:r>
    </w:p>
    <w:p>
      <w:pPr>
        <w:widowControl/>
        <w:spacing w:line="360" w:lineRule="auto"/>
        <w:ind w:firstLine="480" w:firstLineChars="200"/>
        <w:rPr>
          <w:rFonts w:ascii="仿宋" w:hAnsi="仿宋" w:eastAsia="仿宋" w:cs="仿宋_GB2312"/>
          <w:sz w:val="24"/>
        </w:rPr>
      </w:pPr>
    </w:p>
    <w:p>
      <w:pPr>
        <w:widowControl/>
        <w:spacing w:line="360" w:lineRule="auto"/>
        <w:ind w:firstLine="480" w:firstLineChars="200"/>
        <w:jc w:val="center"/>
        <w:rPr>
          <w:rFonts w:ascii="仿宋" w:hAnsi="仿宋" w:eastAsia="仿宋" w:cs="仿宋_GB2312"/>
          <w:b/>
          <w:sz w:val="36"/>
          <w:szCs w:val="36"/>
        </w:rPr>
      </w:pPr>
      <w:r>
        <w:rPr>
          <w:rFonts w:hint="eastAsia" w:ascii="仿宋" w:hAnsi="仿宋" w:eastAsia="仿宋" w:cs="仿宋_GB2312"/>
          <w:sz w:val="24"/>
        </w:rPr>
        <w:br w:type="page"/>
      </w:r>
      <w:r>
        <w:rPr>
          <w:rFonts w:hint="eastAsia" w:ascii="仿宋" w:hAnsi="仿宋" w:eastAsia="仿宋" w:cs="仿宋_GB2312"/>
          <w:b/>
          <w:sz w:val="36"/>
          <w:szCs w:val="36"/>
        </w:rPr>
        <w:t>第五部分</w:t>
      </w:r>
      <w:bookmarkEnd w:id="61"/>
      <w:r>
        <w:rPr>
          <w:rFonts w:hint="eastAsia" w:ascii="仿宋" w:hAnsi="仿宋" w:eastAsia="仿宋" w:cs="仿宋_GB2312"/>
          <w:b/>
          <w:sz w:val="36"/>
          <w:szCs w:val="36"/>
        </w:rPr>
        <w:t xml:space="preserve"> 拟签订的合同文本</w:t>
      </w:r>
    </w:p>
    <w:p>
      <w:pPr>
        <w:widowControl/>
        <w:snapToGrid w:val="0"/>
        <w:spacing w:line="480" w:lineRule="exact"/>
        <w:rPr>
          <w:rFonts w:ascii="仿宋" w:eastAsia="仿宋"/>
          <w:b/>
          <w:bCs/>
          <w:kern w:val="0"/>
          <w:sz w:val="24"/>
          <w:u w:val="single"/>
        </w:rPr>
      </w:pPr>
      <w:bookmarkStart w:id="427" w:name="第五部分"/>
      <w:bookmarkStart w:id="428" w:name="_Toc86217003"/>
      <w:r>
        <w:rPr>
          <w:rFonts w:hint="eastAsia" w:ascii="仿宋" w:eastAsia="仿宋"/>
          <w:b/>
          <w:bCs/>
          <w:kern w:val="0"/>
          <w:sz w:val="24"/>
          <w:u w:val="single"/>
        </w:rPr>
        <w:t>（合同按采购文件及中标供应商投标文件的内容制定，以下仅为部分主要条款）</w:t>
      </w:r>
    </w:p>
    <w:p>
      <w:pPr>
        <w:pStyle w:val="24"/>
        <w:snapToGrid w:val="0"/>
        <w:spacing w:line="360" w:lineRule="auto"/>
        <w:ind w:firstLine="0" w:firstLineChars="0"/>
        <w:rPr>
          <w:rFonts w:ascii="仿宋" w:hAnsi="仿宋" w:eastAsia="仿宋" w:cs="仿宋_GB2312"/>
        </w:rPr>
      </w:pPr>
      <w:r>
        <w:rPr>
          <w:rFonts w:hint="eastAsia" w:ascii="仿宋" w:hAnsi="仿宋" w:eastAsia="仿宋" w:cs="仿宋_GB2312"/>
        </w:rPr>
        <w:t>（服务类样本）</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项目编号为的</w:t>
      </w:r>
      <w:r>
        <w:rPr>
          <w:rFonts w:hint="eastAsia" w:ascii="仿宋" w:eastAsia="仿宋"/>
          <w:kern w:val="0"/>
          <w:sz w:val="24"/>
          <w:u w:val="single"/>
        </w:rPr>
        <w:t>（标项及名称）</w:t>
      </w:r>
      <w:r>
        <w:rPr>
          <w:rFonts w:hint="eastAsia" w:ascii="仿宋" w:eastAsia="仿宋"/>
          <w:kern w:val="0"/>
          <w:sz w:val="24"/>
        </w:rPr>
        <w:t>项目的国企采购交易结果，签署本合同。</w:t>
      </w:r>
    </w:p>
    <w:p>
      <w:pPr>
        <w:widowControl/>
        <w:numPr>
          <w:ilvl w:val="0"/>
          <w:numId w:val="3"/>
        </w:numPr>
        <w:adjustRightInd/>
        <w:snapToGrid w:val="0"/>
        <w:spacing w:line="560" w:lineRule="exact"/>
        <w:rPr>
          <w:rFonts w:ascii="仿宋" w:hAnsi="仿宋" w:eastAsia="仿宋"/>
          <w:b/>
          <w:sz w:val="24"/>
          <w:szCs w:val="20"/>
        </w:rPr>
      </w:pPr>
      <w:r>
        <w:rPr>
          <w:rFonts w:hint="eastAsia" w:ascii="仿宋" w:hAnsi="仿宋" w:eastAsia="仿宋"/>
          <w:b/>
          <w:sz w:val="24"/>
          <w:szCs w:val="20"/>
        </w:rPr>
        <w:t>服务内容及要求</w:t>
      </w:r>
    </w:p>
    <w:p>
      <w:pPr>
        <w:pStyle w:val="32"/>
        <w:spacing w:line="560" w:lineRule="exact"/>
        <w:ind w:firstLine="482" w:firstLineChars="200"/>
        <w:rPr>
          <w:rFonts w:hint="eastAsia" w:ascii="仿宋" w:hAnsi="仿宋" w:eastAsia="仿宋"/>
          <w:b/>
          <w:bCs/>
          <w:sz w:val="24"/>
          <w:szCs w:val="28"/>
          <w:lang w:eastAsia="zh-CN"/>
        </w:rPr>
      </w:pPr>
      <w:r>
        <w:rPr>
          <w:rFonts w:hint="eastAsia" w:ascii="仿宋" w:hAnsi="仿宋" w:eastAsia="仿宋"/>
          <w:b/>
          <w:bCs/>
          <w:sz w:val="24"/>
          <w:szCs w:val="28"/>
          <w:lang w:eastAsia="zh-CN"/>
        </w:rPr>
        <w:t>项目1：中国轻纺城粮油冷链物流中心道路配套工程（一期）：新建兴华路从钱陶公路至临杭大道，道路长约780米，宽约28米，其中桥梁一座约80米；及长度约500米的河道改道和周边绿化。建安费用约13500万元。</w:t>
      </w:r>
    </w:p>
    <w:p>
      <w:pPr>
        <w:pStyle w:val="32"/>
        <w:spacing w:line="560" w:lineRule="exact"/>
        <w:ind w:firstLine="482" w:firstLineChars="200"/>
        <w:rPr>
          <w:rFonts w:hint="eastAsia" w:ascii="仿宋" w:hAnsi="仿宋" w:eastAsia="仿宋"/>
          <w:b/>
          <w:bCs/>
          <w:sz w:val="24"/>
          <w:szCs w:val="28"/>
          <w:lang w:eastAsia="zh-CN"/>
        </w:rPr>
      </w:pPr>
      <w:r>
        <w:rPr>
          <w:rFonts w:hint="eastAsia" w:ascii="仿宋" w:hAnsi="仿宋" w:eastAsia="仿宋"/>
          <w:b/>
          <w:bCs/>
          <w:sz w:val="24"/>
          <w:szCs w:val="28"/>
          <w:lang w:eastAsia="zh-CN"/>
        </w:rPr>
        <w:t>项目2：临空智创城外环西路改扩建工程：总长度约1800米，其中新建约900米，老路改建约900米，宽24米，双向四车道。建安费用约5500万元。</w:t>
      </w:r>
    </w:p>
    <w:p>
      <w:pPr>
        <w:pStyle w:val="32"/>
        <w:spacing w:line="560" w:lineRule="exact"/>
        <w:ind w:firstLine="482" w:firstLineChars="200"/>
        <w:rPr>
          <w:rFonts w:hint="eastAsia" w:ascii="仿宋" w:hAnsi="仿宋" w:eastAsia="仿宋"/>
          <w:b/>
          <w:bCs/>
          <w:sz w:val="24"/>
          <w:szCs w:val="28"/>
          <w:lang w:eastAsia="zh-CN"/>
        </w:rPr>
      </w:pPr>
      <w:r>
        <w:rPr>
          <w:rFonts w:hint="eastAsia" w:ascii="仿宋" w:hAnsi="仿宋" w:eastAsia="仿宋"/>
          <w:b/>
          <w:bCs/>
          <w:sz w:val="24"/>
          <w:szCs w:val="28"/>
          <w:lang w:eastAsia="zh-CN"/>
        </w:rPr>
        <w:t>项目3：临空智创城东岭路改扩建工程：改扩建东岭路长约1</w:t>
      </w:r>
      <w:r>
        <w:rPr>
          <w:rFonts w:hint="eastAsia" w:ascii="仿宋" w:hAnsi="仿宋" w:eastAsia="仿宋"/>
          <w:b/>
          <w:bCs/>
          <w:sz w:val="24"/>
          <w:szCs w:val="28"/>
          <w:lang w:val="en-US" w:eastAsia="zh-CN"/>
        </w:rPr>
        <w:t>3</w:t>
      </w:r>
      <w:r>
        <w:rPr>
          <w:rFonts w:hint="eastAsia" w:ascii="仿宋" w:hAnsi="仿宋" w:eastAsia="仿宋"/>
          <w:b/>
          <w:bCs/>
          <w:sz w:val="24"/>
          <w:szCs w:val="28"/>
          <w:lang w:eastAsia="zh-CN"/>
        </w:rPr>
        <w:t>00米，宽度28米，双向四车道。建安费用约6300万元。</w:t>
      </w:r>
    </w:p>
    <w:p>
      <w:pPr>
        <w:pStyle w:val="32"/>
        <w:spacing w:line="560" w:lineRule="exact"/>
        <w:ind w:firstLine="482" w:firstLineChars="200"/>
        <w:rPr>
          <w:rFonts w:hint="eastAsia" w:ascii="仿宋" w:hAnsi="仿宋" w:eastAsia="仿宋"/>
          <w:b/>
          <w:bCs/>
          <w:sz w:val="24"/>
          <w:szCs w:val="28"/>
          <w:lang w:eastAsia="zh-CN"/>
        </w:rPr>
      </w:pPr>
      <w:r>
        <w:rPr>
          <w:rFonts w:hint="eastAsia" w:ascii="仿宋" w:hAnsi="仿宋" w:eastAsia="仿宋"/>
          <w:b/>
          <w:bCs/>
          <w:sz w:val="24"/>
          <w:szCs w:val="28"/>
          <w:lang w:eastAsia="zh-CN"/>
        </w:rPr>
        <w:t>项目4：临空智创城东坂路、康乐路、文化路等道路改扩建工程：对东坂路、康乐路、文化路等进行改造提升。建安费用约5700万元。</w:t>
      </w:r>
    </w:p>
    <w:p>
      <w:pPr>
        <w:pStyle w:val="32"/>
        <w:spacing w:line="560" w:lineRule="exact"/>
        <w:ind w:firstLine="482" w:firstLineChars="200"/>
        <w:rPr>
          <w:rFonts w:hint="eastAsia" w:ascii="仿宋" w:hAnsi="仿宋" w:eastAsia="仿宋"/>
          <w:b/>
          <w:bCs/>
          <w:sz w:val="24"/>
          <w:szCs w:val="28"/>
          <w:lang w:eastAsia="zh-CN"/>
        </w:rPr>
      </w:pPr>
      <w:r>
        <w:rPr>
          <w:rFonts w:hint="eastAsia" w:ascii="仿宋" w:hAnsi="仿宋" w:eastAsia="仿宋"/>
          <w:b/>
          <w:bCs/>
          <w:sz w:val="24"/>
          <w:szCs w:val="28"/>
          <w:lang w:eastAsia="zh-CN"/>
        </w:rPr>
        <w:t xml:space="preserve"> 服务内容包括以上4个项目施工、监理、材料设备采购等涉及的所有项目（已完成招标的项目除外）招标文件编制、预算清单标底编制及造价全过程咨询服务（不含结算审核）；估算建安工程投资额31000万元。估算服务费约为</w:t>
      </w:r>
      <w:r>
        <w:rPr>
          <w:rFonts w:hint="eastAsia" w:ascii="仿宋" w:hAnsi="仿宋" w:eastAsia="仿宋"/>
          <w:b/>
          <w:bCs/>
          <w:sz w:val="24"/>
          <w:szCs w:val="28"/>
          <w:highlight w:val="none"/>
          <w:lang w:val="en-US" w:eastAsia="zh-CN"/>
        </w:rPr>
        <w:t>996260</w:t>
      </w:r>
      <w:r>
        <w:rPr>
          <w:rFonts w:hint="eastAsia" w:ascii="仿宋" w:hAnsi="仿宋" w:eastAsia="仿宋"/>
          <w:b/>
          <w:bCs/>
          <w:sz w:val="24"/>
          <w:szCs w:val="28"/>
          <w:highlight w:val="none"/>
          <w:lang w:eastAsia="zh-CN"/>
        </w:rPr>
        <w:t>元</w:t>
      </w:r>
      <w:r>
        <w:rPr>
          <w:rFonts w:hint="eastAsia" w:ascii="仿宋" w:hAnsi="仿宋" w:eastAsia="仿宋"/>
          <w:b/>
          <w:bCs/>
          <w:sz w:val="24"/>
          <w:szCs w:val="28"/>
          <w:lang w:eastAsia="zh-CN"/>
        </w:rPr>
        <w:t>。</w:t>
      </w:r>
    </w:p>
    <w:p>
      <w:pPr>
        <w:spacing w:line="560" w:lineRule="exact"/>
        <w:ind w:firstLine="482" w:firstLineChars="200"/>
        <w:rPr>
          <w:rFonts w:hint="eastAsia" w:ascii="仿宋" w:hAnsi="仿宋" w:eastAsia="仿宋"/>
          <w:b/>
          <w:bCs/>
          <w:sz w:val="24"/>
          <w:szCs w:val="28"/>
          <w:lang w:eastAsia="zh-CN"/>
        </w:rPr>
      </w:pPr>
      <w:r>
        <w:rPr>
          <w:rFonts w:hint="eastAsia" w:ascii="仿宋" w:hAnsi="仿宋" w:eastAsia="仿宋"/>
          <w:b/>
          <w:bCs/>
          <w:sz w:val="24"/>
          <w:szCs w:val="28"/>
          <w:lang w:eastAsia="zh-CN"/>
        </w:rPr>
        <w:t>备注：本项目如因招标人原因引起后续招标代理及造价咨询服务成果中的发包人或委托人名称（浙江绍兴杭绍临空示范区开发集团（区轨道交通集团）及下属各级子公司）与本次招标人不一致的，另行签订三方协议明确；本项目如因招标人立项方案变化引起项目规模缩减（建安减少）或项目取消，中标人须无条件服从，涉及项目取消的双方自动解除合同，互相不追究责任。针对以上四个项目可能会出现项目拆分的情况，请各投标单位充分考虑。</w:t>
      </w:r>
      <w:bookmarkStart w:id="442" w:name="_GoBack"/>
      <w:bookmarkEnd w:id="442"/>
    </w:p>
    <w:p>
      <w:pPr>
        <w:pStyle w:val="32"/>
        <w:spacing w:line="560" w:lineRule="exact"/>
        <w:ind w:firstLine="482" w:firstLineChars="200"/>
        <w:rPr>
          <w:rFonts w:ascii="仿宋" w:hAnsi="仿宋" w:eastAsia="仿宋"/>
          <w:b/>
          <w:bCs/>
          <w:sz w:val="24"/>
        </w:rPr>
      </w:pPr>
      <w:r>
        <w:rPr>
          <w:rFonts w:hint="eastAsia" w:ascii="仿宋" w:hAnsi="仿宋" w:eastAsia="仿宋"/>
          <w:b/>
          <w:bCs/>
          <w:sz w:val="24"/>
        </w:rPr>
        <w:t>2.1招标代理主要事项：</w:t>
      </w:r>
    </w:p>
    <w:p>
      <w:pPr>
        <w:spacing w:line="560" w:lineRule="exact"/>
        <w:ind w:firstLine="480" w:firstLineChars="200"/>
        <w:rPr>
          <w:rFonts w:ascii="仿宋" w:hAnsi="仿宋" w:eastAsia="仿宋"/>
          <w:sz w:val="24"/>
          <w:szCs w:val="28"/>
        </w:rPr>
      </w:pPr>
      <w:r>
        <w:rPr>
          <w:rFonts w:hint="eastAsia" w:ascii="仿宋" w:hAnsi="仿宋" w:eastAsia="仿宋"/>
          <w:sz w:val="24"/>
          <w:szCs w:val="28"/>
        </w:rPr>
        <w:t>2.1.1</w:t>
      </w:r>
      <w:r>
        <w:rPr>
          <w:rFonts w:hint="eastAsia" w:ascii="仿宋" w:hAnsi="仿宋" w:eastAsia="仿宋"/>
          <w:sz w:val="24"/>
          <w:szCs w:val="28"/>
          <w:highlight w:val="none"/>
          <w:lang w:eastAsia="zh-CN"/>
        </w:rPr>
        <w:t>中国轻纺城粮油冷链物流中心道路配套工程（一期）等4个</w:t>
      </w:r>
      <w:r>
        <w:rPr>
          <w:rFonts w:hint="eastAsia" w:ascii="仿宋" w:hAnsi="仿宋" w:eastAsia="仿宋"/>
          <w:sz w:val="24"/>
          <w:szCs w:val="28"/>
          <w:lang w:eastAsia="zh-CN"/>
        </w:rPr>
        <w:t>项目</w:t>
      </w:r>
      <w:r>
        <w:rPr>
          <w:rFonts w:hint="eastAsia" w:ascii="仿宋" w:hAnsi="仿宋" w:eastAsia="仿宋"/>
          <w:sz w:val="24"/>
          <w:szCs w:val="28"/>
        </w:rPr>
        <w:t>涉及的所有项目招标代理（已招标项目除外），包括但不限于施工、监理等内容；</w:t>
      </w:r>
    </w:p>
    <w:p>
      <w:pPr>
        <w:pStyle w:val="32"/>
        <w:spacing w:line="560" w:lineRule="exact"/>
        <w:ind w:firstLine="480" w:firstLineChars="200"/>
        <w:rPr>
          <w:rFonts w:ascii="仿宋" w:hAnsi="仿宋" w:eastAsia="仿宋"/>
          <w:sz w:val="24"/>
        </w:rPr>
      </w:pPr>
      <w:r>
        <w:rPr>
          <w:rFonts w:hint="eastAsia" w:ascii="仿宋" w:hAnsi="仿宋" w:eastAsia="仿宋"/>
          <w:sz w:val="24"/>
        </w:rPr>
        <w:t>2.1.2协助业主向招投标监督管理部门提出招标（采购）申请；提供招标安排实施计划（供审查）；代拟招标方案；编制及修改招标文件并报批；编制招标的预算(限价),并报有关管理部门的审查；发布招标公告(包括网上发布)；组织接收投标申请人报名；组织审查潜在投标人资格；负责对全部招标有关文件的编制；负责全部招标文件的校对、印刷、装订和出版（份数根据业主要求提供）；组织现场考察和投标预备会；负责招标文件补遗书的编制、发送、回执接收等一切有关工作；组织开标、评标；草拟工程合同、协助合同谈判等有关活动；编制招投标情况书面报告；全过程负责对标文、预算（上限价）、合同的解释；负责招标代理其他事宜。</w:t>
      </w:r>
    </w:p>
    <w:p>
      <w:pPr>
        <w:pStyle w:val="32"/>
        <w:spacing w:line="560" w:lineRule="exact"/>
        <w:ind w:firstLine="472" w:firstLineChars="196"/>
        <w:rPr>
          <w:rFonts w:ascii="仿宋" w:hAnsi="仿宋" w:eastAsia="仿宋" w:cs="Times New Roman"/>
          <w:b/>
          <w:bCs/>
          <w:snapToGrid/>
          <w:color w:val="000000"/>
          <w:sz w:val="24"/>
          <w:szCs w:val="24"/>
        </w:rPr>
      </w:pPr>
      <w:r>
        <w:rPr>
          <w:rFonts w:hint="eastAsia" w:ascii="仿宋" w:eastAsia="仿宋"/>
          <w:b/>
          <w:bCs/>
          <w:kern w:val="0"/>
          <w:sz w:val="24"/>
        </w:rPr>
        <w:t>2.2</w:t>
      </w:r>
      <w:r>
        <w:rPr>
          <w:rFonts w:hint="eastAsia" w:ascii="仿宋" w:hAnsi="仿宋" w:eastAsia="仿宋" w:cs="Times New Roman"/>
          <w:b/>
          <w:bCs/>
          <w:snapToGrid/>
          <w:color w:val="000000"/>
          <w:sz w:val="24"/>
          <w:szCs w:val="24"/>
        </w:rPr>
        <w:t>标底预算编制</w:t>
      </w:r>
    </w:p>
    <w:p>
      <w:pPr>
        <w:widowControl/>
        <w:spacing w:line="560" w:lineRule="exact"/>
        <w:ind w:firstLine="480"/>
        <w:jc w:val="left"/>
        <w:rPr>
          <w:rFonts w:ascii="仿宋" w:eastAsia="仿宋"/>
          <w:kern w:val="0"/>
          <w:sz w:val="24"/>
        </w:rPr>
      </w:pPr>
      <w:r>
        <w:rPr>
          <w:rFonts w:hint="eastAsia" w:ascii="仿宋" w:eastAsia="仿宋"/>
          <w:kern w:val="0"/>
          <w:sz w:val="24"/>
        </w:rPr>
        <w:t>2.2.1编制预算（标底或投标控制价）能满足本项目招标文件的有关规定和评标要求，符合招标标底和造价文件编制的有关规定，并通过有关管理部门的审查。</w:t>
      </w:r>
    </w:p>
    <w:p>
      <w:pPr>
        <w:widowControl/>
        <w:spacing w:line="560" w:lineRule="exact"/>
        <w:ind w:firstLine="480"/>
        <w:jc w:val="left"/>
        <w:rPr>
          <w:rFonts w:ascii="仿宋" w:eastAsia="仿宋"/>
          <w:kern w:val="0"/>
          <w:sz w:val="24"/>
        </w:rPr>
      </w:pPr>
      <w:r>
        <w:rPr>
          <w:rFonts w:hint="eastAsia" w:ascii="仿宋" w:eastAsia="仿宋"/>
          <w:kern w:val="0"/>
          <w:sz w:val="24"/>
        </w:rPr>
        <w:t>2.2.2编制单位应以确定的施工图为编制依据，严格根据规范进行定额套用及工程量的复核计算、工程量清单的编制，并在编制之前，应对施工现场进行踏看，并对施工图仔细会审；</w:t>
      </w:r>
    </w:p>
    <w:p>
      <w:pPr>
        <w:widowControl/>
        <w:spacing w:line="560" w:lineRule="exact"/>
        <w:ind w:firstLine="480"/>
        <w:jc w:val="left"/>
        <w:rPr>
          <w:rFonts w:ascii="仿宋" w:eastAsia="仿宋"/>
          <w:kern w:val="0"/>
          <w:sz w:val="24"/>
        </w:rPr>
      </w:pPr>
      <w:r>
        <w:rPr>
          <w:rFonts w:hint="eastAsia" w:ascii="仿宋" w:eastAsia="仿宋"/>
          <w:kern w:val="0"/>
          <w:sz w:val="24"/>
        </w:rPr>
        <w:t>2.2.3编制单位应对无价材料进行广泛可靠采价，确保准确性，并保留定价依据，同时应积极主动做好送审工作；</w:t>
      </w:r>
    </w:p>
    <w:p>
      <w:pPr>
        <w:widowControl/>
        <w:spacing w:line="560" w:lineRule="exact"/>
        <w:ind w:firstLine="480"/>
        <w:jc w:val="left"/>
        <w:rPr>
          <w:rFonts w:ascii="仿宋" w:eastAsia="仿宋"/>
          <w:kern w:val="0"/>
          <w:sz w:val="24"/>
        </w:rPr>
      </w:pPr>
      <w:r>
        <w:rPr>
          <w:rFonts w:hint="eastAsia" w:ascii="仿宋" w:eastAsia="仿宋"/>
          <w:kern w:val="0"/>
          <w:sz w:val="24"/>
        </w:rPr>
        <w:t>2.2.4送审时编制单位应提交标底、计算书给招标人、柯桥区财政部门各一套，同时及时配合柯桥区财政部门和审核单位做好标底审核工作。</w:t>
      </w:r>
    </w:p>
    <w:p>
      <w:pPr>
        <w:widowControl/>
        <w:spacing w:line="560" w:lineRule="exact"/>
        <w:ind w:firstLine="480"/>
        <w:jc w:val="left"/>
        <w:rPr>
          <w:rFonts w:ascii="仿宋" w:eastAsia="仿宋"/>
          <w:kern w:val="0"/>
          <w:sz w:val="24"/>
        </w:rPr>
      </w:pPr>
      <w:r>
        <w:rPr>
          <w:rFonts w:hint="eastAsia" w:ascii="仿宋" w:eastAsia="仿宋"/>
          <w:kern w:val="0"/>
          <w:sz w:val="24"/>
        </w:rPr>
        <w:t>2.2.5预算（标底或投标控制价）审核完毕后，提交标底及计算稿给招标人(电子文件）。</w:t>
      </w:r>
    </w:p>
    <w:p>
      <w:pPr>
        <w:widowControl/>
        <w:spacing w:line="560" w:lineRule="exact"/>
        <w:ind w:firstLine="480"/>
        <w:jc w:val="left"/>
        <w:rPr>
          <w:rFonts w:ascii="仿宋" w:eastAsia="仿宋"/>
          <w:kern w:val="0"/>
          <w:sz w:val="24"/>
        </w:rPr>
      </w:pPr>
      <w:r>
        <w:rPr>
          <w:rFonts w:hint="eastAsia" w:ascii="仿宋" w:eastAsia="仿宋"/>
          <w:kern w:val="0"/>
          <w:sz w:val="24"/>
        </w:rPr>
        <w:t>2.2.6若在施工过程中发现标底存在漏项或有疑问的，标底编制单位须负责全过程解释。若出现漏项,应免费进行审计并出报告。</w:t>
      </w:r>
    </w:p>
    <w:p>
      <w:pPr>
        <w:widowControl/>
        <w:spacing w:line="560" w:lineRule="exact"/>
        <w:ind w:firstLine="480"/>
        <w:jc w:val="left"/>
        <w:rPr>
          <w:rFonts w:ascii="仿宋" w:eastAsia="仿宋"/>
          <w:kern w:val="0"/>
          <w:sz w:val="24"/>
        </w:rPr>
      </w:pPr>
      <w:r>
        <w:rPr>
          <w:rFonts w:hint="eastAsia" w:ascii="仿宋" w:eastAsia="仿宋"/>
          <w:kern w:val="0"/>
          <w:sz w:val="24"/>
        </w:rPr>
        <w:t>2.2.7招标工作完成后整理</w:t>
      </w:r>
      <w:r>
        <w:rPr>
          <w:rFonts w:hint="eastAsia" w:ascii="仿宋" w:eastAsia="仿宋"/>
          <w:kern w:val="0"/>
          <w:sz w:val="24"/>
          <w:lang w:val="en-US" w:eastAsia="zh-CN"/>
        </w:rPr>
        <w:t>3</w:t>
      </w:r>
      <w:r>
        <w:rPr>
          <w:rFonts w:hint="eastAsia" w:ascii="仿宋" w:eastAsia="仿宋"/>
          <w:kern w:val="0"/>
          <w:sz w:val="24"/>
        </w:rPr>
        <w:t>套招投标资料（书式装订）及相关部门资料整理等。</w:t>
      </w:r>
    </w:p>
    <w:p>
      <w:pPr>
        <w:pStyle w:val="32"/>
        <w:spacing w:line="560" w:lineRule="exact"/>
        <w:ind w:firstLine="472" w:firstLineChars="196"/>
        <w:rPr>
          <w:rFonts w:ascii="仿宋" w:hAnsi="仿宋" w:eastAsia="仿宋" w:cs="Times New Roman"/>
          <w:b/>
          <w:bCs/>
          <w:snapToGrid/>
          <w:color w:val="000000"/>
          <w:sz w:val="24"/>
          <w:szCs w:val="24"/>
        </w:rPr>
      </w:pPr>
      <w:r>
        <w:rPr>
          <w:rFonts w:hint="eastAsia" w:ascii="仿宋" w:hAnsi="仿宋" w:eastAsia="仿宋" w:cs="Times New Roman"/>
          <w:b/>
          <w:bCs/>
          <w:snapToGrid/>
          <w:color w:val="000000"/>
          <w:sz w:val="24"/>
          <w:szCs w:val="24"/>
        </w:rPr>
        <w:t>2.3工程预算审核</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2.3.1</w:t>
      </w:r>
      <w:r>
        <w:rPr>
          <w:rFonts w:hint="eastAsia" w:ascii="仿宋" w:hAnsi="仿宋" w:eastAsia="仿宋" w:cs="Times New Roman"/>
          <w:snapToGrid/>
          <w:color w:val="000000"/>
          <w:sz w:val="24"/>
          <w:szCs w:val="24"/>
          <w:highlight w:val="none"/>
        </w:rPr>
        <w:t>审核</w:t>
      </w:r>
      <w:r>
        <w:rPr>
          <w:rFonts w:hint="eastAsia" w:ascii="仿宋" w:hAnsi="仿宋" w:eastAsia="仿宋" w:cs="Times New Roman"/>
          <w:snapToGrid/>
          <w:color w:val="000000"/>
          <w:sz w:val="24"/>
          <w:szCs w:val="24"/>
          <w:highlight w:val="none"/>
          <w:lang w:eastAsia="zh-CN"/>
        </w:rPr>
        <w:t>各</w:t>
      </w:r>
      <w:r>
        <w:rPr>
          <w:rFonts w:hint="eastAsia" w:ascii="仿宋" w:hAnsi="仿宋" w:eastAsia="仿宋" w:cs="Times New Roman"/>
          <w:snapToGrid/>
          <w:color w:val="000000"/>
          <w:sz w:val="24"/>
          <w:szCs w:val="24"/>
          <w:highlight w:val="none"/>
        </w:rPr>
        <w:t>单位的预算（包括管线迁改、拆改、市政配套</w:t>
      </w:r>
      <w:r>
        <w:rPr>
          <w:rFonts w:hint="eastAsia" w:ascii="仿宋" w:hAnsi="仿宋" w:eastAsia="仿宋" w:cs="Times New Roman"/>
          <w:snapToGrid/>
          <w:color w:val="000000"/>
          <w:sz w:val="24"/>
          <w:szCs w:val="24"/>
          <w:highlight w:val="none"/>
          <w:lang w:eastAsia="zh-CN"/>
        </w:rPr>
        <w:t>、费用补偿、涉铁费用审核</w:t>
      </w:r>
      <w:r>
        <w:rPr>
          <w:rFonts w:hint="eastAsia" w:ascii="仿宋" w:hAnsi="仿宋" w:eastAsia="仿宋" w:cs="Times New Roman"/>
          <w:snapToGrid/>
          <w:color w:val="000000"/>
          <w:sz w:val="24"/>
          <w:szCs w:val="24"/>
          <w:highlight w:val="none"/>
        </w:rPr>
        <w:t>等）</w:t>
      </w:r>
      <w:r>
        <w:rPr>
          <w:rFonts w:hint="eastAsia" w:ascii="仿宋" w:hAnsi="仿宋" w:eastAsia="仿宋" w:cs="Times New Roman"/>
          <w:snapToGrid/>
          <w:color w:val="000000"/>
          <w:sz w:val="24"/>
          <w:szCs w:val="24"/>
          <w:highlight w:val="none"/>
          <w:lang w:eastAsia="zh-CN"/>
        </w:rPr>
        <w:t>。</w:t>
      </w:r>
    </w:p>
    <w:p>
      <w:pPr>
        <w:pStyle w:val="32"/>
        <w:spacing w:line="560" w:lineRule="exact"/>
        <w:ind w:firstLine="472" w:firstLineChars="196"/>
        <w:rPr>
          <w:rFonts w:ascii="仿宋" w:hAnsi="仿宋" w:eastAsia="仿宋" w:cs="Times New Roman"/>
          <w:b/>
          <w:bCs/>
          <w:snapToGrid/>
          <w:color w:val="000000"/>
          <w:sz w:val="24"/>
          <w:szCs w:val="24"/>
        </w:rPr>
      </w:pPr>
      <w:r>
        <w:rPr>
          <w:rFonts w:hint="eastAsia" w:ascii="仿宋" w:hAnsi="仿宋" w:eastAsia="仿宋" w:cs="Times New Roman"/>
          <w:b/>
          <w:bCs/>
          <w:snapToGrid/>
          <w:color w:val="000000"/>
          <w:sz w:val="24"/>
          <w:szCs w:val="24"/>
        </w:rPr>
        <w:t>2.4 全过程咨询服务</w:t>
      </w:r>
    </w:p>
    <w:p>
      <w:pPr>
        <w:spacing w:line="560" w:lineRule="exact"/>
        <w:ind w:firstLine="480" w:firstLineChars="200"/>
        <w:rPr>
          <w:rFonts w:ascii="仿宋" w:hAnsi="仿宋" w:eastAsia="仿宋"/>
          <w:sz w:val="24"/>
          <w:szCs w:val="28"/>
        </w:rPr>
      </w:pPr>
      <w:r>
        <w:rPr>
          <w:rFonts w:hint="eastAsia" w:ascii="仿宋" w:hAnsi="仿宋" w:eastAsia="仿宋"/>
          <w:color w:val="000000"/>
          <w:sz w:val="24"/>
        </w:rPr>
        <w:t>2.4.1全过程咨询服务</w:t>
      </w:r>
      <w:r>
        <w:rPr>
          <w:rFonts w:hint="eastAsia" w:ascii="仿宋" w:hAnsi="仿宋" w:eastAsia="仿宋"/>
          <w:sz w:val="24"/>
          <w:szCs w:val="28"/>
        </w:rPr>
        <w:t>：</w:t>
      </w:r>
      <w:r>
        <w:rPr>
          <w:rFonts w:hint="eastAsia" w:ascii="仿宋" w:hAnsi="仿宋" w:eastAsia="仿宋"/>
          <w:sz w:val="24"/>
          <w:szCs w:val="28"/>
          <w:lang w:eastAsia="zh-CN"/>
        </w:rPr>
        <w:t>项目</w:t>
      </w:r>
      <w:r>
        <w:rPr>
          <w:rFonts w:hint="eastAsia" w:ascii="仿宋" w:hAnsi="仿宋" w:eastAsia="仿宋"/>
          <w:sz w:val="24"/>
          <w:szCs w:val="28"/>
        </w:rPr>
        <w:t>涉及的所有造价咨询，包括但不限于本工程范围内的市政、土建、安装、装修等其他所有工程内容的前期造价咨询、工程量清单编制、招标控制价（标底）的编制（含钢筋翻样、材料价格的市场询价、差错复核调整等）、中标单位商务技术标的复核及审定、清图（如有）、工程计量审核、变更联系单的造价费用审核、工程量及签证资料的复核确认等（不含结算审</w:t>
      </w:r>
      <w:r>
        <w:rPr>
          <w:rFonts w:hint="eastAsia" w:ascii="仿宋" w:hAnsi="仿宋" w:eastAsia="仿宋"/>
          <w:sz w:val="24"/>
          <w:szCs w:val="28"/>
          <w:lang w:eastAsia="zh-CN"/>
        </w:rPr>
        <w:t>核</w:t>
      </w:r>
      <w:r>
        <w:rPr>
          <w:rFonts w:hint="eastAsia" w:ascii="仿宋" w:hAnsi="仿宋" w:eastAsia="仿宋"/>
          <w:sz w:val="24"/>
          <w:szCs w:val="28"/>
        </w:rPr>
        <w:t>）。</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组织建立工程造价控制及咨询机构，委派项目负责人，并授予其行使本工程造价控制及咨询合同范围内处理咨询业务的全部权力。</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3</w:t>
      </w:r>
      <w:r>
        <w:rPr>
          <w:rFonts w:ascii="仿宋" w:hAnsi="仿宋" w:eastAsia="仿宋" w:cs="Times New Roman"/>
          <w:snapToGrid/>
          <w:color w:val="000000"/>
          <w:sz w:val="24"/>
          <w:szCs w:val="24"/>
        </w:rPr>
        <w:t xml:space="preserve"> 未经招标人同意，投标人不得调换项目负责人和已派驻现场的造价咨询服务人员；若对服务人员因故调整，需经委托方确认。</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4</w:t>
      </w:r>
      <w:r>
        <w:rPr>
          <w:rFonts w:ascii="仿宋" w:hAnsi="仿宋" w:eastAsia="仿宋" w:cs="Times New Roman"/>
          <w:snapToGrid/>
          <w:color w:val="000000"/>
          <w:sz w:val="24"/>
          <w:szCs w:val="24"/>
        </w:rPr>
        <w:t>根据国家有关法律、法规、规定、工程建设批文、合同、规范、验收标准等对工程进行工程造价控制及咨询。</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5</w:t>
      </w:r>
      <w:r>
        <w:rPr>
          <w:rFonts w:ascii="仿宋" w:hAnsi="仿宋" w:eastAsia="仿宋" w:cs="Times New Roman"/>
          <w:snapToGrid/>
          <w:color w:val="000000"/>
          <w:sz w:val="24"/>
          <w:szCs w:val="24"/>
        </w:rPr>
        <w:t>及时调遣咨询人员、设备进入施工现场，完成咨询准备工作。</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6</w:t>
      </w:r>
      <w:r>
        <w:rPr>
          <w:rFonts w:ascii="仿宋" w:hAnsi="仿宋" w:eastAsia="仿宋" w:cs="Times New Roman"/>
          <w:snapToGrid/>
          <w:color w:val="000000"/>
          <w:sz w:val="24"/>
          <w:szCs w:val="24"/>
        </w:rPr>
        <w:t>参加施工图纸交底及设计图纸会审，并测算会审部分的费用。</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7</w:t>
      </w:r>
      <w:r>
        <w:rPr>
          <w:rFonts w:ascii="仿宋" w:hAnsi="仿宋" w:eastAsia="仿宋" w:cs="Times New Roman"/>
          <w:snapToGrid/>
          <w:color w:val="000000"/>
          <w:sz w:val="24"/>
          <w:szCs w:val="24"/>
        </w:rPr>
        <w:t>制定造价控制的实施流程，确定造价控制目标。</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8</w:t>
      </w:r>
      <w:r>
        <w:rPr>
          <w:rFonts w:ascii="仿宋" w:hAnsi="仿宋" w:eastAsia="仿宋" w:cs="Times New Roman"/>
          <w:snapToGrid/>
          <w:color w:val="000000"/>
          <w:sz w:val="24"/>
          <w:szCs w:val="24"/>
        </w:rPr>
        <w:t>负责对承包人报送的每月(期)完成进度款月报表进行审核。</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9</w:t>
      </w:r>
      <w:r>
        <w:rPr>
          <w:rFonts w:ascii="仿宋" w:hAnsi="仿宋" w:eastAsia="仿宋" w:cs="Times New Roman"/>
          <w:snapToGrid/>
          <w:color w:val="000000"/>
          <w:sz w:val="24"/>
          <w:szCs w:val="24"/>
        </w:rPr>
        <w:t>承发包方提出索赔时，依据合同和有关法律、法规，提供咨询意见。</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10</w:t>
      </w:r>
      <w:r>
        <w:rPr>
          <w:rFonts w:ascii="仿宋" w:hAnsi="仿宋" w:eastAsia="仿宋" w:cs="Times New Roman"/>
          <w:snapToGrid/>
          <w:color w:val="000000"/>
          <w:sz w:val="24"/>
          <w:szCs w:val="24"/>
        </w:rPr>
        <w:t>对设计变更、现场各类签证、过程计量等发生的工程数量进行现场复核</w:t>
      </w:r>
      <w:r>
        <w:rPr>
          <w:rFonts w:hint="eastAsia" w:ascii="仿宋" w:hAnsi="仿宋" w:eastAsia="仿宋" w:cs="Times New Roman"/>
          <w:snapToGrid/>
          <w:color w:val="000000"/>
          <w:sz w:val="24"/>
          <w:szCs w:val="24"/>
        </w:rPr>
        <w:t>及确认</w:t>
      </w:r>
      <w:r>
        <w:rPr>
          <w:rFonts w:ascii="仿宋" w:hAnsi="仿宋" w:eastAsia="仿宋" w:cs="Times New Roman"/>
          <w:snapToGrid/>
          <w:color w:val="000000"/>
          <w:sz w:val="24"/>
          <w:szCs w:val="24"/>
        </w:rPr>
        <w:t>，对承包人报送的工程费用进行审核，并提出审核的咨询意见。</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1</w:t>
      </w:r>
      <w:r>
        <w:rPr>
          <w:rFonts w:ascii="仿宋" w:hAnsi="仿宋" w:eastAsia="仿宋" w:cs="Times New Roman"/>
          <w:snapToGrid/>
          <w:color w:val="000000"/>
          <w:sz w:val="24"/>
          <w:szCs w:val="24"/>
        </w:rPr>
        <w:t>提供与造价控制相关的人工、材料、机械、设备等造价信息；协助招标人确定“甲供材料”、“甲定乙供材料”，并通过市场调查询价确定价格范围，提供咨询意见。</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协助招标人审核招标文件中有关投标报价方面的条款、对中标单位的投标文件进行核查，对不合理的报价应及时提出，配合招标人签订施工承包合同。</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3</w:t>
      </w:r>
      <w:r>
        <w:rPr>
          <w:rFonts w:ascii="仿宋" w:hAnsi="仿宋" w:eastAsia="仿宋" w:cs="Times New Roman"/>
          <w:snapToGrid/>
          <w:color w:val="000000"/>
          <w:sz w:val="24"/>
          <w:szCs w:val="24"/>
        </w:rPr>
        <w:t>参加对工程的各工序工程量进行现场检查验收，并按规定进行记录。</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4</w:t>
      </w:r>
      <w:r>
        <w:rPr>
          <w:rFonts w:ascii="仿宋" w:hAnsi="仿宋" w:eastAsia="仿宋" w:cs="Times New Roman"/>
          <w:snapToGrid/>
          <w:color w:val="000000"/>
          <w:sz w:val="24"/>
          <w:szCs w:val="24"/>
        </w:rPr>
        <w:t>根据设计图纸、施工合同、变更单及相关的招标文件，对变更后的工程量清单进行审核并提出审核意见。</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5</w:t>
      </w:r>
      <w:r>
        <w:rPr>
          <w:rFonts w:ascii="仿宋" w:hAnsi="仿宋" w:eastAsia="仿宋" w:cs="Times New Roman"/>
          <w:snapToGrid/>
          <w:color w:val="000000"/>
          <w:sz w:val="24"/>
          <w:szCs w:val="24"/>
        </w:rPr>
        <w:t>做好本工程全过程工程造价控制工作中对资料的收集、整理、汇编、归档等的工作，确保资料完整；协助招标人对各类工程（含设备）竣工结算资料的核查，以确保资料的完整性，同时又符合结算审</w:t>
      </w:r>
      <w:r>
        <w:rPr>
          <w:rFonts w:hint="eastAsia" w:ascii="仿宋" w:hAnsi="仿宋" w:eastAsia="仿宋" w:cs="Times New Roman"/>
          <w:snapToGrid/>
          <w:color w:val="000000"/>
          <w:sz w:val="24"/>
          <w:szCs w:val="24"/>
          <w:lang w:eastAsia="zh-CN"/>
        </w:rPr>
        <w:t>核</w:t>
      </w:r>
      <w:r>
        <w:rPr>
          <w:rFonts w:ascii="仿宋" w:hAnsi="仿宋" w:eastAsia="仿宋" w:cs="Times New Roman"/>
          <w:snapToGrid/>
          <w:color w:val="000000"/>
          <w:sz w:val="24"/>
          <w:szCs w:val="24"/>
        </w:rPr>
        <w:t>的要求。</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6</w:t>
      </w:r>
      <w:r>
        <w:rPr>
          <w:rFonts w:ascii="仿宋" w:hAnsi="仿宋" w:eastAsia="仿宋" w:cs="Times New Roman"/>
          <w:snapToGrid/>
          <w:color w:val="000000"/>
          <w:sz w:val="24"/>
          <w:szCs w:val="24"/>
        </w:rPr>
        <w:t>严格遵守与本工程有关的法律、法规和规章，保证甲方免于承担由于乙方违反上述法律、法规和规章而引起的的任何责任。</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7</w:t>
      </w:r>
      <w:r>
        <w:rPr>
          <w:rFonts w:ascii="仿宋" w:hAnsi="仿宋" w:eastAsia="仿宋" w:cs="Times New Roman"/>
          <w:snapToGrid/>
          <w:color w:val="000000"/>
          <w:sz w:val="24"/>
          <w:szCs w:val="24"/>
        </w:rPr>
        <w:t>在履行合同期间及本项目完成后，应对招标人提供的所有资料、审核工作内容具有保密义务，未经招标人事先许可认可，不得对除招标人以外的第三方披露。</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.4.1</w:t>
      </w:r>
      <w:r>
        <w:rPr>
          <w:rFonts w:hint="eastAsia" w:ascii="仿宋" w:hAnsi="仿宋" w:eastAsia="仿宋" w:cs="Times New Roman"/>
          <w:snapToGrid/>
          <w:color w:val="000000"/>
          <w:sz w:val="24"/>
          <w:szCs w:val="24"/>
        </w:rPr>
        <w:t>8</w:t>
      </w:r>
      <w:r>
        <w:rPr>
          <w:rFonts w:ascii="仿宋" w:hAnsi="仿宋" w:eastAsia="仿宋" w:cs="Times New Roman"/>
          <w:snapToGrid/>
          <w:color w:val="000000"/>
          <w:sz w:val="24"/>
          <w:szCs w:val="24"/>
        </w:rPr>
        <w:t>根据不同施工阶段的需要，参加有关工程会议，并根据招标人提供的施工单位与监理单位之间的有关工程造价的往来资料以及市场信息，及时向招标人提供咨询意见，须将所有审核、咨询服务内容作书面记录保存在案，以便甲方查阅。</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19</w:t>
      </w:r>
      <w:r>
        <w:rPr>
          <w:rFonts w:ascii="仿宋" w:hAnsi="仿宋" w:eastAsia="仿宋" w:cs="Times New Roman"/>
          <w:snapToGrid/>
          <w:color w:val="000000"/>
          <w:sz w:val="24"/>
          <w:szCs w:val="24"/>
        </w:rPr>
        <w:t>除现场驻场人数要求外，公司还须安排造价咨询的专家库成员协助完成施工阶工程造价控制及咨询服务内容的所有工作；</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w:t>
      </w:r>
      <w:r>
        <w:rPr>
          <w:rFonts w:hint="eastAsia" w:ascii="仿宋" w:hAnsi="仿宋" w:eastAsia="仿宋" w:cs="Times New Roman"/>
          <w:snapToGrid/>
          <w:color w:val="000000"/>
          <w:sz w:val="24"/>
          <w:szCs w:val="24"/>
        </w:rPr>
        <w:t>20</w:t>
      </w:r>
      <w:r>
        <w:rPr>
          <w:rFonts w:ascii="仿宋" w:hAnsi="仿宋" w:eastAsia="仿宋" w:cs="Times New Roman"/>
          <w:snapToGrid/>
          <w:color w:val="000000"/>
          <w:sz w:val="24"/>
          <w:szCs w:val="24"/>
        </w:rPr>
        <w:t>招标人要求的</w:t>
      </w:r>
      <w:r>
        <w:rPr>
          <w:rFonts w:hint="eastAsia" w:ascii="仿宋" w:hAnsi="仿宋" w:eastAsia="仿宋" w:cs="Times New Roman"/>
          <w:snapToGrid/>
          <w:color w:val="000000"/>
          <w:sz w:val="24"/>
          <w:szCs w:val="24"/>
        </w:rPr>
        <w:t>其他与</w:t>
      </w:r>
      <w:r>
        <w:rPr>
          <w:rFonts w:ascii="仿宋" w:hAnsi="仿宋" w:eastAsia="仿宋" w:cs="Times New Roman"/>
          <w:snapToGrid/>
          <w:color w:val="000000"/>
          <w:sz w:val="24"/>
          <w:szCs w:val="24"/>
        </w:rPr>
        <w:t>工程相关的咨询服务。</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.4.2</w:t>
      </w:r>
      <w:r>
        <w:rPr>
          <w:rFonts w:hint="eastAsia" w:ascii="仿宋" w:hAnsi="仿宋" w:eastAsia="仿宋" w:cs="Times New Roman"/>
          <w:snapToGrid/>
          <w:color w:val="000000"/>
          <w:sz w:val="24"/>
          <w:szCs w:val="24"/>
        </w:rPr>
        <w:t>1</w:t>
      </w:r>
      <w:r>
        <w:rPr>
          <w:rFonts w:ascii="仿宋" w:hAnsi="仿宋" w:eastAsia="仿宋" w:cs="Times New Roman"/>
          <w:snapToGrid/>
          <w:color w:val="000000"/>
          <w:sz w:val="24"/>
          <w:szCs w:val="24"/>
        </w:rPr>
        <w:t>若因投标人过失，造成招标人经济损失的，投标人应全额赔偿。</w:t>
      </w:r>
    </w:p>
    <w:p>
      <w:pPr>
        <w:pStyle w:val="32"/>
        <w:spacing w:line="560" w:lineRule="exact"/>
        <w:ind w:firstLine="470" w:firstLineChars="196"/>
        <w:rPr>
          <w:rFonts w:ascii="仿宋" w:hAnsi="仿宋" w:eastAsia="仿宋" w:cs="Times New Roman"/>
          <w:snapToGrid/>
          <w:color w:val="000000"/>
          <w:sz w:val="24"/>
          <w:szCs w:val="24"/>
        </w:rPr>
      </w:pP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.4.2</w:t>
      </w:r>
      <w:r>
        <w:rPr>
          <w:rFonts w:hint="eastAsia" w:ascii="仿宋" w:hAnsi="仿宋" w:eastAsia="仿宋" w:cs="Times New Roman"/>
          <w:snapToGrid/>
          <w:color w:val="000000"/>
          <w:sz w:val="24"/>
          <w:szCs w:val="24"/>
        </w:rPr>
        <w:t>2</w:t>
      </w:r>
      <w:r>
        <w:rPr>
          <w:rFonts w:ascii="仿宋" w:hAnsi="仿宋" w:eastAsia="仿宋" w:cs="Times New Roman"/>
          <w:snapToGrid/>
          <w:color w:val="000000"/>
          <w:sz w:val="24"/>
          <w:szCs w:val="24"/>
        </w:rPr>
        <w:t>不得接受施工单位提供的折让、佣金或礼物等超越工作条件需要的利益，不得接受贵重礼品，不得参加相关单位的宴请和娱乐活动，严禁工作人员单独与承包方进行有碍独立执业和职业形象的接触。</w:t>
      </w:r>
    </w:p>
    <w:p>
      <w:pPr>
        <w:pStyle w:val="32"/>
        <w:spacing w:line="560" w:lineRule="exact"/>
        <w:ind w:firstLine="482" w:firstLineChars="200"/>
        <w:rPr>
          <w:rFonts w:ascii="仿宋" w:hAnsi="仿宋" w:eastAsia="仿宋"/>
          <w:b/>
          <w:bCs/>
          <w:sz w:val="24"/>
        </w:rPr>
      </w:pPr>
      <w:r>
        <w:rPr>
          <w:rFonts w:hint="eastAsia" w:ascii="仿宋" w:hAnsi="仿宋" w:eastAsia="仿宋"/>
          <w:b/>
          <w:bCs/>
          <w:sz w:val="24"/>
        </w:rPr>
        <w:t>2.5、人员要求：</w:t>
      </w:r>
    </w:p>
    <w:p>
      <w:pPr>
        <w:widowControl/>
        <w:spacing w:line="560" w:lineRule="exact"/>
        <w:ind w:firstLine="480"/>
        <w:jc w:val="left"/>
        <w:rPr>
          <w:rFonts w:ascii="仿宋" w:eastAsia="仿宋"/>
          <w:kern w:val="0"/>
          <w:sz w:val="24"/>
          <w:highlight w:val="none"/>
        </w:rPr>
      </w:pPr>
      <w:r>
        <w:rPr>
          <w:rFonts w:hint="eastAsia" w:ascii="仿宋" w:hAnsi="仿宋" w:eastAsia="仿宋"/>
          <w:sz w:val="24"/>
        </w:rPr>
        <w:t>2.5.</w:t>
      </w:r>
      <w:r>
        <w:rPr>
          <w:rFonts w:hint="eastAsia" w:ascii="仿宋" w:hAnsi="仿宋" w:eastAsia="仿宋"/>
          <w:sz w:val="24"/>
          <w:highlight w:val="none"/>
        </w:rPr>
        <w:t>1</w:t>
      </w:r>
      <w:r>
        <w:rPr>
          <w:rFonts w:hint="eastAsia" w:ascii="仿宋" w:eastAsia="仿宋"/>
          <w:kern w:val="0"/>
          <w:sz w:val="24"/>
          <w:highlight w:val="none"/>
        </w:rPr>
        <w:t>除项目负责人以外，招标代理的服务人员不得少于3人；参与编制工程量清单及控制价服务人员不少于</w:t>
      </w:r>
      <w:r>
        <w:rPr>
          <w:rFonts w:hint="eastAsia" w:ascii="仿宋" w:eastAsia="仿宋"/>
          <w:kern w:val="0"/>
          <w:sz w:val="24"/>
          <w:highlight w:val="none"/>
          <w:lang w:val="en-US" w:eastAsia="zh-CN"/>
        </w:rPr>
        <w:t>7</w:t>
      </w:r>
      <w:r>
        <w:rPr>
          <w:rFonts w:hint="eastAsia" w:ascii="仿宋" w:eastAsia="仿宋"/>
          <w:kern w:val="0"/>
          <w:sz w:val="24"/>
          <w:highlight w:val="none"/>
        </w:rPr>
        <w:t>人，其中市政专业3人，安装专业 2人，园林专业2人。项目负责人须根据委托人指定地点办公直至编制工作结束。</w:t>
      </w:r>
    </w:p>
    <w:p>
      <w:pPr>
        <w:pStyle w:val="32"/>
        <w:spacing w:line="560" w:lineRule="exact"/>
        <w:ind w:firstLine="480" w:firstLineChars="200"/>
        <w:rPr>
          <w:rFonts w:ascii="仿宋" w:hAnsi="仿宋" w:eastAsia="仿宋"/>
          <w:sz w:val="24"/>
        </w:rPr>
      </w:pPr>
      <w:r>
        <w:rPr>
          <w:rFonts w:hint="eastAsia" w:ascii="仿宋" w:hAnsi="仿宋" w:eastAsia="仿宋"/>
          <w:sz w:val="24"/>
          <w:highlight w:val="none"/>
        </w:rPr>
        <w:t>2.5.2施工期间受托人必须派1名造价咨询人员常驻招标人指定地点办公，服务期从委托人通知次日起至工程竣工</w:t>
      </w:r>
      <w:r>
        <w:rPr>
          <w:rFonts w:hint="eastAsia" w:ascii="仿宋" w:eastAsia="仿宋"/>
          <w:kern w:val="0"/>
          <w:sz w:val="24"/>
          <w:highlight w:val="none"/>
          <w:lang w:eastAsia="zh-CN"/>
        </w:rPr>
        <w:t>（遇特殊情况经招标人确认可适当延长）</w:t>
      </w:r>
      <w:r>
        <w:rPr>
          <w:rFonts w:hint="eastAsia" w:ascii="仿宋" w:hAnsi="仿宋" w:eastAsia="仿宋"/>
          <w:sz w:val="24"/>
          <w:highlight w:val="none"/>
        </w:rPr>
        <w:t>，常</w:t>
      </w:r>
      <w:r>
        <w:rPr>
          <w:rFonts w:hint="eastAsia" w:ascii="仿宋" w:hAnsi="仿宋" w:eastAsia="仿宋"/>
          <w:sz w:val="24"/>
        </w:rPr>
        <w:t>驻人员办公期间所需办公设备、就餐等费用自理。常驻人员要求：毕业5年及以上且参与编审过类似项目清单控制价，派遣人员须经委托人认可。根据项目进展情况委托人有权利要求更换或增减派驻咨询服务人员的数量及专业类别的，咨询人不得拒绝。</w:t>
      </w:r>
    </w:p>
    <w:p>
      <w:pPr>
        <w:pStyle w:val="32"/>
        <w:spacing w:line="560" w:lineRule="exact"/>
        <w:ind w:firstLine="480" w:firstLineChars="200"/>
        <w:rPr>
          <w:rFonts w:ascii="仿宋" w:hAnsi="仿宋" w:eastAsia="仿宋"/>
          <w:sz w:val="24"/>
        </w:rPr>
      </w:pPr>
      <w:r>
        <w:rPr>
          <w:rFonts w:hint="eastAsia" w:ascii="仿宋" w:hAnsi="仿宋" w:eastAsia="仿宋"/>
          <w:sz w:val="24"/>
        </w:rPr>
        <w:t>2.5.3常驻人员须服从委托人的管理，每月到岗时间不少于 15 天，具体应配合项目开展情况及委托人要求到岗（包括不限于服务标段范围内的造价管理、合同管理、招投标档案管理）；委托人如发现该名造价咨询人员不能满足服务要求的，有权要求调换人员，所变更人员不低于原常驻人员的资格要求。具体服从委托人造价咨询单位考核管理实施细则的要求。</w:t>
      </w:r>
      <w:r>
        <w:rPr>
          <w:rFonts w:hint="eastAsia" w:ascii="仿宋" w:eastAsia="仿宋"/>
          <w:kern w:val="0"/>
          <w:sz w:val="24"/>
          <w:lang w:eastAsia="zh-CN"/>
        </w:rPr>
        <w:t>常驻人员须配备相应的交通工具以满足项目跟审需求。</w:t>
      </w:r>
    </w:p>
    <w:p>
      <w:pPr>
        <w:widowControl/>
        <w:snapToGrid w:val="0"/>
        <w:spacing w:line="560" w:lineRule="exact"/>
        <w:ind w:firstLine="482" w:firstLineChars="200"/>
        <w:rPr>
          <w:rFonts w:ascii="仿宋" w:eastAsia="仿宋"/>
          <w:kern w:val="0"/>
          <w:sz w:val="24"/>
        </w:rPr>
      </w:pPr>
      <w:r>
        <w:rPr>
          <w:rFonts w:hint="eastAsia" w:ascii="仿宋" w:eastAsia="仿宋"/>
          <w:b/>
          <w:bCs/>
          <w:kern w:val="0"/>
          <w:sz w:val="24"/>
        </w:rPr>
        <w:t>2.6、时间要求：</w:t>
      </w:r>
    </w:p>
    <w:p>
      <w:pPr>
        <w:pStyle w:val="23"/>
        <w:spacing w:line="560" w:lineRule="exact"/>
        <w:rPr>
          <w:rFonts w:eastAsia="仿宋"/>
          <w:lang w:val="en-US"/>
        </w:rPr>
      </w:pPr>
      <w:r>
        <w:rPr>
          <w:rFonts w:hint="eastAsia" w:ascii="仿宋" w:eastAsia="仿宋"/>
          <w:kern w:val="0"/>
          <w:lang w:val="en-US"/>
        </w:rPr>
        <w:t xml:space="preserve">   2.6.1招标文件编制时间：要求在收到指令之日起5个日历天内出具招标文件初稿交于采购人。</w:t>
      </w:r>
    </w:p>
    <w:p>
      <w:pPr>
        <w:adjustRightInd/>
        <w:spacing w:line="560" w:lineRule="exact"/>
        <w:ind w:firstLine="480" w:firstLineChars="200"/>
        <w:rPr>
          <w:rFonts w:ascii="仿宋" w:eastAsia="仿宋"/>
          <w:kern w:val="0"/>
          <w:sz w:val="24"/>
        </w:rPr>
      </w:pPr>
      <w:r>
        <w:rPr>
          <w:rFonts w:hint="eastAsia" w:ascii="仿宋" w:eastAsia="仿宋"/>
          <w:kern w:val="0"/>
          <w:sz w:val="24"/>
        </w:rPr>
        <w:t>2.6.2标底编制时间：具体时间以招标人要求为准。</w:t>
      </w:r>
    </w:p>
    <w:p>
      <w:pPr>
        <w:adjustRightInd/>
        <w:spacing w:line="560" w:lineRule="exact"/>
        <w:ind w:firstLine="480" w:firstLineChars="200"/>
        <w:rPr>
          <w:rFonts w:ascii="仿宋" w:hAnsi="仿宋" w:eastAsia="仿宋"/>
          <w:sz w:val="24"/>
        </w:rPr>
      </w:pPr>
      <w:r>
        <w:rPr>
          <w:rFonts w:hint="eastAsia" w:ascii="仿宋" w:hAnsi="仿宋" w:eastAsia="仿宋"/>
          <w:sz w:val="24"/>
        </w:rPr>
        <w:t>2.6.3 各项服务工作必须在接到业主指令后2小时内响应。</w:t>
      </w:r>
    </w:p>
    <w:p>
      <w:pPr>
        <w:widowControl/>
        <w:numPr>
          <w:ilvl w:val="0"/>
          <w:numId w:val="3"/>
        </w:numPr>
        <w:adjustRightInd/>
        <w:snapToGrid w:val="0"/>
        <w:spacing w:line="480" w:lineRule="exact"/>
        <w:rPr>
          <w:rFonts w:ascii="仿宋" w:eastAsia="仿宋"/>
          <w:b/>
          <w:bCs/>
          <w:kern w:val="0"/>
          <w:sz w:val="24"/>
        </w:rPr>
      </w:pPr>
      <w:r>
        <w:rPr>
          <w:rFonts w:hint="eastAsia" w:ascii="仿宋" w:eastAsia="仿宋"/>
          <w:b/>
          <w:bCs/>
          <w:kern w:val="0"/>
          <w:sz w:val="24"/>
        </w:rPr>
        <w:t>服务价格</w:t>
      </w:r>
    </w:p>
    <w:p>
      <w:pPr>
        <w:widowControl/>
        <w:snapToGrid w:val="0"/>
        <w:spacing w:line="480" w:lineRule="exact"/>
        <w:ind w:left="480"/>
        <w:rPr>
          <w:rFonts w:ascii="仿宋" w:eastAsia="仿宋"/>
          <w:kern w:val="0"/>
          <w:sz w:val="24"/>
        </w:rPr>
      </w:pPr>
      <w:r>
        <w:rPr>
          <w:rFonts w:hint="eastAsia" w:ascii="仿宋" w:eastAsia="仿宋"/>
          <w:kern w:val="0"/>
          <w:sz w:val="24"/>
        </w:rPr>
        <w:t>（有服务分项的，需报分项价格和总价）</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三、技术资料</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不允许分包。</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六、履约保证金</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1.履约保证金</w:t>
      </w:r>
      <w:r>
        <w:rPr>
          <w:rFonts w:hint="eastAsia" w:ascii="仿宋" w:eastAsia="仿宋"/>
          <w:kern w:val="0"/>
          <w:sz w:val="24"/>
          <w:u w:val="single"/>
        </w:rPr>
        <w:t xml:space="preserve"> / </w:t>
      </w:r>
      <w:r>
        <w:rPr>
          <w:rFonts w:hint="eastAsia" w:ascii="仿宋" w:eastAsia="仿宋"/>
          <w:kern w:val="0"/>
          <w:sz w:val="24"/>
        </w:rPr>
        <w:t>元。[履约保证金交至采购人处，服务完成后满（一）个月之日起5个工作日内无息退还]</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1.服务期限：合同签订之日起计算至服务结束为止</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2.实施地点：根据采购人要求</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八、付款</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付款方式：按标项要求</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九、税费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十、违约责任</w:t>
      </w:r>
    </w:p>
    <w:p>
      <w:pPr>
        <w:widowControl/>
        <w:snapToGrid w:val="0"/>
        <w:spacing w:line="480" w:lineRule="exact"/>
        <w:ind w:firstLine="480" w:firstLineChars="200"/>
        <w:rPr>
          <w:rFonts w:ascii="仿宋" w:hAnsi="仿宋" w:eastAsia="仿宋"/>
          <w:sz w:val="24"/>
        </w:rPr>
      </w:pPr>
      <w:r>
        <w:rPr>
          <w:rFonts w:hint="eastAsia" w:ascii="仿宋" w:hAnsi="仿宋" w:eastAsia="仿宋"/>
          <w:sz w:val="24"/>
        </w:rPr>
        <w:t>10.1进度控制</w:t>
      </w:r>
    </w:p>
    <w:p>
      <w:pPr>
        <w:widowControl/>
        <w:snapToGrid w:val="0"/>
        <w:spacing w:line="480" w:lineRule="exact"/>
        <w:ind w:firstLine="480" w:firstLineChars="200"/>
        <w:rPr>
          <w:rFonts w:ascii="仿宋" w:hAnsi="仿宋" w:eastAsia="仿宋"/>
          <w:sz w:val="24"/>
        </w:rPr>
      </w:pPr>
      <w:r>
        <w:rPr>
          <w:rFonts w:hint="eastAsia" w:ascii="仿宋" w:hAnsi="仿宋" w:eastAsia="仿宋"/>
          <w:sz w:val="24"/>
        </w:rPr>
        <w:t>因中标单位自身责任超过规定时间未能完成标底编制或审核工作的，每延迟一天扣1000元；超过规定时间未能完成招标工作的，每延迟一天扣1000元。</w:t>
      </w:r>
    </w:p>
    <w:p>
      <w:pPr>
        <w:pStyle w:val="23"/>
        <w:spacing w:line="480" w:lineRule="exact"/>
        <w:ind w:firstLine="480" w:firstLineChars="200"/>
        <w:rPr>
          <w:rFonts w:ascii="仿宋" w:hAnsi="仿宋" w:eastAsia="仿宋" w:cs="Times New Roman"/>
          <w:szCs w:val="24"/>
          <w:lang w:val="en-US"/>
        </w:rPr>
      </w:pPr>
      <w:r>
        <w:rPr>
          <w:rFonts w:hint="eastAsia" w:ascii="仿宋" w:hAnsi="仿宋" w:eastAsia="仿宋" w:cs="Times New Roman"/>
          <w:szCs w:val="24"/>
          <w:lang w:val="en-US"/>
        </w:rPr>
        <w:t>10.2质量控制：</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rPr>
        <w:t>10.2.</w:t>
      </w:r>
      <w:r>
        <w:rPr>
          <w:rFonts w:hint="eastAsia" w:ascii="仿宋" w:hAnsi="仿宋" w:eastAsia="仿宋" w:cs="Arial"/>
          <w:snapToGrid w:val="0"/>
          <w:sz w:val="24"/>
          <w:szCs w:val="21"/>
        </w:rPr>
        <w:t>1联系单业主要求4小时内到现场踏勘，自通知之时3天内编制完成，图纸会</w:t>
      </w:r>
      <w:r>
        <w:rPr>
          <w:rFonts w:hint="eastAsia" w:ascii="仿宋" w:hAnsi="仿宋" w:eastAsia="仿宋" w:cs="Arial"/>
          <w:snapToGrid w:val="0"/>
          <w:sz w:val="24"/>
          <w:szCs w:val="21"/>
          <w:highlight w:val="none"/>
        </w:rPr>
        <w:t>审7天内完成。做不到每次扣200元。</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highlight w:val="none"/>
        </w:rPr>
        <w:t>10.2.</w:t>
      </w:r>
      <w:r>
        <w:rPr>
          <w:rFonts w:hint="eastAsia" w:ascii="仿宋" w:hAnsi="仿宋" w:eastAsia="仿宋" w:cs="Arial"/>
          <w:snapToGrid w:val="0"/>
          <w:sz w:val="24"/>
          <w:szCs w:val="21"/>
          <w:highlight w:val="none"/>
        </w:rPr>
        <w:t>2联系单编审出现重大差错，取消其在浙江绍兴杭绍临空示范区开发集团有限公司（区轨道集团）及下属子公司各项目工程中1年的投标资格。</w:t>
      </w:r>
    </w:p>
    <w:p>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highlight w:val="none"/>
        </w:rPr>
        <w:t>10.2.</w:t>
      </w:r>
      <w:r>
        <w:rPr>
          <w:rFonts w:hint="eastAsia" w:ascii="仿宋" w:hAnsi="仿宋" w:eastAsia="仿宋" w:cs="Arial"/>
          <w:snapToGrid w:val="0"/>
          <w:sz w:val="24"/>
          <w:szCs w:val="21"/>
          <w:highlight w:val="none"/>
        </w:rPr>
        <w:t>3由于服务单位的过错</w:t>
      </w:r>
      <w:r>
        <w:rPr>
          <w:rFonts w:hint="eastAsia" w:ascii="仿宋" w:hAnsi="仿宋" w:eastAsia="仿宋" w:cs="Arial"/>
          <w:snapToGrid w:val="0"/>
          <w:sz w:val="24"/>
          <w:szCs w:val="21"/>
          <w:highlight w:val="none"/>
          <w:lang w:eastAsia="zh-CN"/>
        </w:rPr>
        <w:t>造成采购人</w:t>
      </w:r>
      <w:r>
        <w:rPr>
          <w:rFonts w:hint="eastAsia" w:ascii="仿宋" w:hAnsi="仿宋" w:eastAsia="仿宋" w:cs="Arial"/>
          <w:snapToGrid w:val="0"/>
          <w:sz w:val="24"/>
          <w:szCs w:val="21"/>
          <w:highlight w:val="none"/>
        </w:rPr>
        <w:t>被财政、审计、建设等相关部门书面批评或扣分的，每发生一次扣10000元</w:t>
      </w:r>
      <w:r>
        <w:rPr>
          <w:rFonts w:hint="eastAsia" w:ascii="仿宋" w:hAnsi="仿宋" w:eastAsia="仿宋" w:cs="Arial"/>
          <w:snapToGrid w:val="0"/>
          <w:sz w:val="24"/>
          <w:szCs w:val="21"/>
          <w:highlight w:val="none"/>
          <w:lang w:eastAsia="zh-CN"/>
        </w:rPr>
        <w:t>。</w:t>
      </w:r>
      <w:r>
        <w:rPr>
          <w:rFonts w:hint="eastAsia" w:ascii="仿宋" w:hAnsi="仿宋" w:eastAsia="仿宋" w:cs="Arial"/>
          <w:snapToGrid w:val="0"/>
          <w:sz w:val="24"/>
          <w:szCs w:val="21"/>
          <w:highlight w:val="none"/>
        </w:rPr>
        <w:t>情节特别严重的，采购人有权直接</w:t>
      </w:r>
      <w:r>
        <w:rPr>
          <w:rFonts w:hint="eastAsia" w:ascii="仿宋" w:hAnsi="仿宋" w:eastAsia="仿宋" w:cs="Arial"/>
          <w:snapToGrid w:val="0"/>
          <w:sz w:val="24"/>
          <w:szCs w:val="21"/>
          <w:highlight w:val="none"/>
          <w:lang w:val="en-US" w:eastAsia="zh-CN"/>
        </w:rPr>
        <w:t>终止</w:t>
      </w:r>
      <w:r>
        <w:rPr>
          <w:rFonts w:hint="eastAsia" w:ascii="仿宋" w:hAnsi="仿宋" w:eastAsia="仿宋" w:cs="Arial"/>
          <w:snapToGrid w:val="0"/>
          <w:sz w:val="24"/>
          <w:szCs w:val="21"/>
          <w:highlight w:val="none"/>
        </w:rPr>
        <w:t>合同，取消其在浙江绍兴杭绍临空示范区开发集团有限公司（区轨道集团）及下属子公司各项目工程中1年的投标资格。</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十一、不可抗力事件处理</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十二、诉讼</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十三、合同生效及其他</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2.采购文件、投标文件与本合同具有同等法律效力。</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3.本合同未尽事宜，遵照《合同法》有关条文执行。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pPr>
        <w:widowControl/>
        <w:snapToGrid w:val="0"/>
        <w:spacing w:line="480" w:lineRule="exact"/>
        <w:ind w:firstLine="480" w:firstLineChars="200"/>
        <w:rPr>
          <w:rFonts w:ascii="仿宋" w:eastAsia="仿宋"/>
          <w:kern w:val="0"/>
          <w:sz w:val="24"/>
        </w:rPr>
      </w:pPr>
    </w:p>
    <w:p>
      <w:pPr>
        <w:snapToGrid w:val="0"/>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第六部分</w:t>
      </w:r>
      <w:bookmarkEnd w:id="427"/>
      <w:r>
        <w:rPr>
          <w:rFonts w:hint="eastAsia" w:ascii="仿宋" w:hAnsi="仿宋" w:eastAsia="仿宋" w:cs="仿宋_GB2312"/>
          <w:b/>
          <w:sz w:val="36"/>
          <w:szCs w:val="20"/>
        </w:rPr>
        <w:t xml:space="preserve"> </w:t>
      </w:r>
      <w:bookmarkEnd w:id="428"/>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仿宋_GB2312"/>
          <w:sz w:val="36"/>
          <w:szCs w:val="36"/>
          <w:lang w:val="zh-CN"/>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pacing w:line="360" w:lineRule="auto"/>
        <w:jc w:val="left"/>
        <w:rPr>
          <w:rFonts w:hint="eastAsia" w:ascii="仿宋" w:hAnsi="仿宋" w:eastAsia="仿宋" w:cs="仿宋_GB2312"/>
          <w:kern w:val="0"/>
          <w:sz w:val="24"/>
        </w:rPr>
      </w:pPr>
      <w:r>
        <w:rPr>
          <w:rFonts w:ascii="仿宋" w:hAnsi="仿宋" w:eastAsia="仿宋" w:cs="仿宋_GB2312"/>
          <w:kern w:val="0"/>
          <w:sz w:val="24"/>
        </w:rPr>
        <w:t>(</w:t>
      </w:r>
      <w:r>
        <w:rPr>
          <w:rFonts w:hint="eastAsia" w:ascii="仿宋" w:hAnsi="仿宋" w:eastAsia="仿宋" w:cs="仿宋_GB2312"/>
          <w:kern w:val="0"/>
          <w:sz w:val="24"/>
        </w:rPr>
        <w:t>1）营业执照(或事业法人登记证或其他工商等登记证明材料)复印件（投标人为自然人的，须提供自然人的身份证明） …………………………（页码）</w:t>
      </w:r>
    </w:p>
    <w:p>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（2）投标声明函 ………………………………………………………………（页码）</w:t>
      </w:r>
    </w:p>
    <w:p>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（3）联合体协议书（如有） …………………………………………………（页码）</w:t>
      </w:r>
    </w:p>
    <w:p>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（4）法定代表人授权委托书 …………………………………………………（页码）</w:t>
      </w:r>
    </w:p>
    <w:p>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（5）法定代表人及其授权代表的身份证（复印件） ………………………（页码）</w:t>
      </w:r>
    </w:p>
    <w:p>
      <w:pPr>
        <w:snapToGrid w:val="0"/>
        <w:spacing w:line="360" w:lineRule="auto"/>
        <w:rPr>
          <w:rFonts w:ascii="仿宋" w:hAnsi="仿宋" w:eastAsia="仿宋" w:cs="仿宋_GB2312"/>
          <w:sz w:val="24"/>
        </w:rPr>
      </w:pPr>
    </w:p>
    <w:p>
      <w:pPr>
        <w:snapToGrid w:val="0"/>
        <w:spacing w:line="360" w:lineRule="auto"/>
        <w:ind w:firstLine="3240" w:firstLineChars="900"/>
        <w:rPr>
          <w:rFonts w:ascii="仿宋" w:hAnsi="仿宋" w:eastAsia="仿宋" w:cs="仿宋_GB2312"/>
          <w:sz w:val="36"/>
          <w:szCs w:val="36"/>
        </w:rPr>
      </w:pPr>
    </w:p>
    <w:p>
      <w:pPr>
        <w:snapToGrid w:val="0"/>
        <w:spacing w:line="360" w:lineRule="auto"/>
        <w:rPr>
          <w:rFonts w:ascii="仿宋" w:hAnsi="仿宋" w:eastAsia="仿宋" w:cs="仿宋_GB2312"/>
          <w:sz w:val="36"/>
          <w:szCs w:val="36"/>
        </w:rPr>
      </w:pPr>
    </w:p>
    <w:p>
      <w:pPr>
        <w:snapToGrid w:val="0"/>
        <w:spacing w:line="360" w:lineRule="auto"/>
        <w:jc w:val="center"/>
        <w:outlineLvl w:val="0"/>
        <w:rPr>
          <w:rFonts w:hint="eastAsia" w:ascii="仿宋" w:hAnsi="仿宋" w:eastAsia="仿宋" w:cs="仿宋_GB2312"/>
          <w:b/>
          <w:sz w:val="30"/>
          <w:szCs w:val="30"/>
        </w:rPr>
      </w:pPr>
      <w:r>
        <w:rPr>
          <w:rFonts w:ascii="仿宋" w:hAnsi="仿宋" w:eastAsia="仿宋" w:cs="仿宋_GB2312"/>
          <w:b/>
          <w:kern w:val="0"/>
          <w:sz w:val="32"/>
          <w:szCs w:val="32"/>
          <w:lang w:val="zh-CN"/>
        </w:rPr>
        <w:br w:type="page"/>
      </w:r>
      <w:r>
        <w:rPr>
          <w:rFonts w:hint="eastAsia" w:ascii="仿宋" w:hAnsi="仿宋" w:eastAsia="仿宋" w:cs="仿宋_GB2312"/>
          <w:b/>
          <w:kern w:val="0"/>
          <w:sz w:val="32"/>
          <w:szCs w:val="32"/>
        </w:rPr>
        <w:t>一、营业执照(或事业法人登记证或其他工商等登记证明材料)复印件（投标人为自然人的，须提供自然人的身份证明）复印件</w:t>
      </w:r>
    </w:p>
    <w:p>
      <w:pPr>
        <w:snapToGrid w:val="0"/>
        <w:spacing w:line="360" w:lineRule="auto"/>
        <w:jc w:val="center"/>
        <w:outlineLvl w:val="0"/>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0"/>
          <w:szCs w:val="30"/>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sz w:val="30"/>
          <w:szCs w:val="30"/>
        </w:rPr>
        <w:br w:type="page"/>
      </w:r>
      <w:r>
        <w:rPr>
          <w:rFonts w:hint="eastAsia" w:ascii="仿宋" w:hAnsi="仿宋" w:eastAsia="仿宋" w:cs="仿宋_GB2312"/>
          <w:b/>
          <w:kern w:val="0"/>
          <w:sz w:val="32"/>
          <w:szCs w:val="32"/>
        </w:rPr>
        <w:t>二、投标声明</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w:t>
      </w:r>
      <w:r>
        <w:rPr>
          <w:rFonts w:hint="eastAsia" w:ascii="仿宋" w:eastAsia="仿宋"/>
          <w:sz w:val="24"/>
          <w:u w:val="single"/>
        </w:rPr>
        <w:t>（投标人或联合体牵头人全称）</w:t>
      </w:r>
      <w:r>
        <w:rPr>
          <w:rFonts w:hint="eastAsia" w:ascii="仿宋" w:hAnsi="仿宋" w:eastAsia="仿宋" w:cs="仿宋_GB2312"/>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sz w:val="24"/>
        </w:rPr>
        <w:t>的投标，为此，我方就本次投标有关事项郑重申明如下：</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1、我方已详细审查全部招标文件，同意招标文件的各项要求。</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2、我方承诺已经具备《中华人民共和国政府采购法》第二十二条规定的条件。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5、我方保证所供货物质量符合国家强制性规范和标准，达到采购文件规定的要求。</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6、投标文件自开标日起有效期为90天。</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7、我方具有履行本项目合同所必需的设备和专业技术能力。如中标，我方将保证合同顺利履行。</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8、我方中标后拟在中标后将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snapToGrid w:val="0"/>
        <w:spacing w:line="360" w:lineRule="auto"/>
        <w:ind w:firstLine="480" w:firstLineChars="200"/>
        <w:rPr>
          <w:rFonts w:ascii="仿宋" w:eastAsia="仿宋" w:cs="仿宋_GB2312"/>
          <w:sz w:val="24"/>
        </w:rPr>
      </w:pPr>
      <w:r>
        <w:rPr>
          <w:rFonts w:hint="eastAsia" w:ascii="仿宋" w:eastAsia="仿宋" w:cs="仿宋_GB2312"/>
          <w:sz w:val="24"/>
        </w:rPr>
        <w:t>9、我方承诺若违反法律、法规规定，愿接受依法处理。</w:t>
      </w:r>
    </w:p>
    <w:p>
      <w:pPr>
        <w:snapToGrid w:val="0"/>
        <w:spacing w:line="360" w:lineRule="auto"/>
        <w:ind w:firstLine="480" w:firstLineChars="200"/>
        <w:rPr>
          <w:rFonts w:ascii="仿宋" w:eastAsia="仿宋" w:cs="仿宋_GB2312"/>
          <w:sz w:val="24"/>
        </w:rPr>
      </w:pPr>
      <w:r>
        <w:rPr>
          <w:rFonts w:hint="eastAsia" w:ascii="仿宋" w:eastAsia="仿宋" w:cs="仿宋_GB2312"/>
          <w:sz w:val="24"/>
        </w:rPr>
        <w:t>10</w:t>
      </w:r>
      <w:r>
        <w:rPr>
          <w:rFonts w:ascii="仿宋" w:eastAsia="仿宋" w:cs="仿宋_GB2312"/>
          <w:sz w:val="24"/>
        </w:rPr>
        <w:t>、与招标人存在利害关系可能影响招标公正性的法人、其他组织或个人，不得参加投标。单位负责人为同一人或者存在控股、管理关系的不同单位，不得同时参加本标段投标。</w:t>
      </w:r>
    </w:p>
    <w:p>
      <w:pPr>
        <w:snapToGrid w:val="0"/>
        <w:spacing w:line="360" w:lineRule="auto"/>
        <w:ind w:firstLine="480" w:firstLineChars="200"/>
        <w:rPr>
          <w:rFonts w:ascii="仿宋" w:eastAsia="仿宋" w:cs="仿宋_GB2312"/>
          <w:sz w:val="24"/>
        </w:rPr>
      </w:pPr>
      <w:r>
        <w:rPr>
          <w:rFonts w:hint="eastAsia" w:ascii="仿宋" w:eastAsia="仿宋" w:cs="仿宋_GB2312"/>
          <w:sz w:val="24"/>
        </w:rPr>
        <w:t xml:space="preserve">    11</w:t>
      </w:r>
      <w:r>
        <w:rPr>
          <w:rFonts w:ascii="仿宋" w:eastAsia="仿宋" w:cs="仿宋_GB2312"/>
          <w:sz w:val="24"/>
        </w:rPr>
        <w:t>、承诺不存在《政府采购法实施条例》中明确的须回避和禁止参加同一合同项下的政府采购活动的情况。</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p>
    <w:p>
      <w:pPr>
        <w:snapToGrid w:val="0"/>
        <w:spacing w:line="360" w:lineRule="auto"/>
        <w:ind w:firstLine="5040" w:firstLineChars="2100"/>
        <w:rPr>
          <w:rFonts w:ascii="仿宋" w:hAnsi="仿宋" w:eastAsia="仿宋" w:cs="仿宋_GB2312"/>
          <w:kern w:val="0"/>
          <w:sz w:val="24"/>
          <w:lang w:val="zh-CN"/>
        </w:rPr>
      </w:pPr>
    </w:p>
    <w:p>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jc w:val="center"/>
        <w:outlineLvl w:val="0"/>
        <w:rPr>
          <w:rFonts w:ascii="仿宋" w:hAnsi="仿宋" w:eastAsia="仿宋" w:cs="仿宋_GB2312"/>
          <w:b/>
          <w:kern w:val="0"/>
          <w:sz w:val="24"/>
          <w:lang w:val="zh-CN"/>
        </w:rPr>
      </w:pPr>
    </w:p>
    <w:p>
      <w:pPr>
        <w:snapToGrid w:val="0"/>
        <w:spacing w:line="360" w:lineRule="auto"/>
        <w:jc w:val="center"/>
        <w:outlineLvl w:val="0"/>
        <w:rPr>
          <w:rFonts w:ascii="仿宋" w:hAnsi="仿宋" w:eastAsia="仿宋" w:cs="仿宋_GB2312"/>
          <w:b/>
          <w:kern w:val="0"/>
          <w:sz w:val="32"/>
          <w:szCs w:val="32"/>
        </w:rPr>
      </w:pPr>
      <w:r>
        <w:rPr>
          <w:rFonts w:hint="eastAsia" w:ascii="仿宋" w:hAnsi="仿宋" w:eastAsia="仿宋" w:cs="仿宋_GB2312"/>
          <w:b/>
          <w:kern w:val="0"/>
          <w:sz w:val="24"/>
          <w:lang w:val="zh-CN"/>
        </w:rPr>
        <w:br w:type="page"/>
      </w:r>
    </w:p>
    <w:p>
      <w:pPr>
        <w:snapToGrid w:val="0"/>
        <w:spacing w:line="360" w:lineRule="auto"/>
        <w:jc w:val="center"/>
        <w:outlineLvl w:val="0"/>
        <w:rPr>
          <w:rFonts w:ascii="仿宋" w:hAnsi="仿宋" w:eastAsia="仿宋" w:cs="仿宋_GB2312"/>
          <w:b/>
          <w:strike/>
          <w:kern w:val="0"/>
          <w:sz w:val="32"/>
          <w:szCs w:val="32"/>
        </w:rPr>
      </w:pPr>
      <w:r>
        <w:rPr>
          <w:rFonts w:hint="eastAsia" w:ascii="仿宋" w:hAnsi="仿宋" w:eastAsia="仿宋" w:cs="仿宋_GB2312"/>
          <w:b/>
          <w:strike/>
          <w:kern w:val="0"/>
          <w:sz w:val="32"/>
          <w:szCs w:val="32"/>
        </w:rPr>
        <w:t>三、联合体协议书（如有）</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乙方：</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（如果有的话，可按甲、乙、丙、丁…序列增加）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各方经协商，就响应</w:t>
      </w:r>
      <w:r>
        <w:rPr>
          <w:rFonts w:hint="eastAsia" w:ascii="仿宋" w:hAnsi="仿宋" w:eastAsia="仿宋" w:cs="仿宋_GB2312"/>
          <w:strike/>
          <w:kern w:val="0"/>
          <w:sz w:val="24"/>
          <w:u w:val="single"/>
          <w:lang w:val="zh-CN"/>
        </w:rPr>
        <w:t>（采购单位或采购代理机构名称）</w:t>
      </w:r>
      <w:r>
        <w:rPr>
          <w:rFonts w:hint="eastAsia" w:ascii="仿宋" w:hAnsi="仿宋" w:eastAsia="仿宋" w:cs="仿宋_GB2312"/>
          <w:strike/>
          <w:kern w:val="0"/>
          <w:sz w:val="24"/>
          <w:lang w:val="zh-CN"/>
        </w:rPr>
        <w:t>组织实施的</w:t>
      </w:r>
      <w:r>
        <w:rPr>
          <w:rFonts w:hint="eastAsia" w:ascii="仿宋" w:hAnsi="仿宋" w:eastAsia="仿宋" w:cs="仿宋_GB2312"/>
          <w:strike/>
          <w:kern w:val="0"/>
          <w:sz w:val="24"/>
          <w:u w:val="single"/>
          <w:lang w:val="zh-CN"/>
        </w:rPr>
        <w:t xml:space="preserve"> （招标项目名称及编号）</w:t>
      </w:r>
      <w:r>
        <w:rPr>
          <w:rFonts w:hint="eastAsia" w:ascii="仿宋" w:hAnsi="仿宋" w:eastAsia="仿宋" w:cs="仿宋_GB2312"/>
          <w:strike/>
          <w:kern w:val="0"/>
          <w:sz w:val="24"/>
          <w:lang w:val="zh-CN"/>
        </w:rPr>
        <w:t>的招标活动联合进行投标之事宜，达成如下协议：</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一、各方一致决定组成一个联合体，以一个供应商的身份共同参加本项目国企采购。</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二、以</w:t>
      </w:r>
      <w:r>
        <w:rPr>
          <w:rFonts w:hint="eastAsia" w:ascii="仿宋" w:hAnsi="仿宋" w:eastAsia="仿宋" w:cs="仿宋_GB2312"/>
          <w:strike/>
          <w:kern w:val="0"/>
          <w:sz w:val="24"/>
          <w:u w:val="single"/>
          <w:lang w:val="zh-CN"/>
        </w:rPr>
        <w:t xml:space="preserve">   （联合体牵头人名称）   </w:t>
      </w:r>
      <w:r>
        <w:rPr>
          <w:rFonts w:hint="eastAsia" w:ascii="仿宋" w:hAnsi="仿宋" w:eastAsia="仿宋" w:cs="仿宋_GB2312"/>
          <w:strike/>
          <w:kern w:val="0"/>
          <w:sz w:val="24"/>
          <w:lang w:val="zh-CN"/>
        </w:rPr>
        <w:t>为联合体牵头人，负责包括但不仅限于投标、配合处理质疑投诉等一切和采购活动相关的事宜。</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三、联合体各方对投标响应文件及开标过程中的各种书面承诺、澄清等均予以认可，对联合投标各方均产生约束力。</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四、如果中标，联合投标各方共同与采购人签订采购合同，共同履行对采购人所负有的全部义务并就采购合同约定的事项对采购人承担连带责任。</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五、联合体各方不再单独参加或与其他供应商另外组成联合体参加同一标项（项目）的国企采购活动，否则均被视为无效投标。</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六、如果中标，联合体各方在项目实施过程中承担的工作和义务为：</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            乙方：…</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七、联合体各方在本项目实施过程中承担的合同金额和比例分别为：</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            乙方：…</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八、本协议签约各方各持一份，并作为投标文件的一部分。</w:t>
      </w:r>
    </w:p>
    <w:p>
      <w:pPr>
        <w:snapToGrid w:val="0"/>
        <w:spacing w:line="360" w:lineRule="auto"/>
        <w:ind w:firstLine="576"/>
        <w:rPr>
          <w:rFonts w:ascii="仿宋" w:hAnsi="仿宋" w:eastAsia="仿宋" w:cs="仿宋_GB2312"/>
          <w:strike/>
          <w:kern w:val="0"/>
          <w:sz w:val="24"/>
          <w:lang w:val="zh-CN"/>
        </w:rPr>
      </w:pPr>
    </w:p>
    <w:p>
      <w:pPr>
        <w:snapToGrid w:val="0"/>
        <w:spacing w:line="360" w:lineRule="auto"/>
        <w:ind w:firstLine="576"/>
        <w:rPr>
          <w:rFonts w:ascii="仿宋" w:hAnsi="仿宋" w:eastAsia="仿宋" w:cs="仿宋_GB2312"/>
          <w:strike/>
          <w:kern w:val="0"/>
          <w:sz w:val="24"/>
          <w:lang w:val="zh-CN"/>
        </w:rPr>
      </w:pPr>
    </w:p>
    <w:tbl>
      <w:tblPr>
        <w:tblStyle w:val="6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甲方单位：       （公章）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法定代表人：     （签章）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日  期：  年  月   日</w:t>
            </w:r>
          </w:p>
        </w:tc>
        <w:tc>
          <w:tcPr>
            <w:tcW w:w="4264" w:type="dxa"/>
          </w:tcPr>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乙方单位：       （公章）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法定代表人：     （签章）</w:t>
            </w:r>
          </w:p>
          <w:p>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日  期：  年  月   日</w:t>
            </w:r>
          </w:p>
        </w:tc>
      </w:tr>
    </w:tbl>
    <w:p>
      <w:pPr>
        <w:spacing w:line="360" w:lineRule="auto"/>
        <w:jc w:val="center"/>
        <w:rPr>
          <w:rFonts w:hint="eastAsia" w:ascii="仿宋" w:hAnsi="仿宋" w:eastAsia="仿宋" w:cs="仿宋_GB2312"/>
          <w:b/>
          <w:sz w:val="32"/>
          <w:szCs w:val="32"/>
        </w:rPr>
      </w:pPr>
      <w:r>
        <w:rPr>
          <w:rFonts w:hint="eastAsia" w:ascii="仿宋" w:hAnsi="仿宋" w:eastAsia="仿宋" w:cs="仿宋_GB2312"/>
          <w:b/>
          <w:strike/>
          <w:sz w:val="32"/>
          <w:szCs w:val="32"/>
        </w:rPr>
        <w:br w:type="page"/>
      </w:r>
    </w:p>
    <w:p>
      <w:pPr>
        <w:spacing w:line="360" w:lineRule="auto"/>
        <w:jc w:val="center"/>
        <w:rPr>
          <w:rFonts w:hint="eastAsia" w:ascii="仿宋" w:hAnsi="仿宋" w:eastAsia="仿宋" w:cs="仿宋_GB2312"/>
          <w:b/>
          <w:kern w:val="0"/>
          <w:sz w:val="32"/>
          <w:szCs w:val="32"/>
        </w:rPr>
      </w:pPr>
    </w:p>
    <w:p>
      <w:pPr>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四、法定代表人授权委托书</w:t>
      </w:r>
    </w:p>
    <w:p>
      <w:pPr>
        <w:snapToGrid w:val="0"/>
        <w:spacing w:line="360" w:lineRule="auto"/>
        <w:rPr>
          <w:rFonts w:ascii="仿宋" w:hAnsi="仿宋" w:eastAsia="仿宋" w:cs="仿宋_GB2312"/>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576"/>
        <w:rPr>
          <w:rFonts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firstLine="5160" w:firstLineChars="2150"/>
        <w:rPr>
          <w:rFonts w:ascii="仿宋" w:hAnsi="仿宋" w:eastAsia="仿宋" w:cs="仿宋_GB2312"/>
          <w:kern w:val="0"/>
          <w:sz w:val="24"/>
          <w:lang w:val="zh-CN"/>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br w:type="page"/>
      </w:r>
      <w:r>
        <w:rPr>
          <w:rFonts w:hint="eastAsia" w:ascii="仿宋" w:hAnsi="仿宋" w:eastAsia="仿宋" w:cs="仿宋_GB2312"/>
          <w:b/>
          <w:kern w:val="0"/>
          <w:sz w:val="32"/>
          <w:szCs w:val="32"/>
        </w:rPr>
        <w:t>五、法定代表人及其授权代表的身份证（复印件）</w:t>
      </w:r>
      <w:r>
        <w:rPr>
          <w:rFonts w:hint="eastAsia" w:ascii="仿宋" w:hAnsi="仿宋" w:eastAsia="仿宋" w:cs="仿宋_GB2312"/>
          <w:sz w:val="24"/>
        </w:rPr>
        <w:t>；</w:t>
      </w:r>
    </w:p>
    <w:p>
      <w:pPr>
        <w:snapToGrid w:val="0"/>
        <w:spacing w:line="360" w:lineRule="auto"/>
        <w:ind w:firstLine="576"/>
        <w:jc w:val="right"/>
        <w:rPr>
          <w:rFonts w:ascii="仿宋" w:hAnsi="仿宋" w:eastAsia="仿宋" w:cs="仿宋_GB2312"/>
          <w:kern w:val="0"/>
          <w:sz w:val="24"/>
        </w:rPr>
      </w:pPr>
    </w:p>
    <w:p>
      <w:pPr>
        <w:snapToGrid w:val="0"/>
        <w:spacing w:line="360" w:lineRule="auto"/>
        <w:ind w:firstLine="576"/>
        <w:jc w:val="center"/>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pacing w:line="360" w:lineRule="auto"/>
        <w:jc w:val="center"/>
        <w:rPr>
          <w:rFonts w:ascii="仿宋" w:hAnsi="仿宋" w:eastAsia="仿宋" w:cs="仿宋_GB2312"/>
          <w:b/>
          <w:sz w:val="32"/>
          <w:szCs w:val="32"/>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center"/>
        <w:outlineLvl w:val="0"/>
        <w:rPr>
          <w:rFonts w:hint="eastAsia" w:ascii="仿宋" w:hAnsi="仿宋" w:eastAsia="仿宋" w:cs="仿宋_GB2312"/>
          <w:b/>
          <w:kern w:val="0"/>
          <w:sz w:val="36"/>
          <w:szCs w:val="36"/>
        </w:rPr>
      </w:pPr>
    </w:p>
    <w:p>
      <w:pPr>
        <w:spacing w:line="360" w:lineRule="auto"/>
        <w:jc w:val="both"/>
        <w:outlineLvl w:val="0"/>
        <w:rPr>
          <w:rFonts w:hint="eastAsia"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pStyle w:val="570"/>
        <w:spacing w:line="360" w:lineRule="auto"/>
        <w:rPr>
          <w:rFonts w:ascii="仿宋" w:eastAsia="仿宋" w:cs="仿宋_GB2312"/>
        </w:rPr>
      </w:pPr>
      <w:bookmarkStart w:id="429" w:name="OLE_LINK6"/>
      <w:bookmarkStart w:id="430" w:name="OLE_LINK7"/>
      <w:bookmarkStart w:id="431" w:name="OLE_LINK5"/>
      <w:r>
        <w:rPr>
          <w:rFonts w:hint="eastAsia" w:ascii="仿宋" w:eastAsia="仿宋" w:cs="仿宋_GB2312"/>
        </w:rPr>
        <w:t>（</w:t>
      </w:r>
      <w:r>
        <w:rPr>
          <w:rFonts w:ascii="仿宋" w:eastAsia="仿宋" w:cs="仿宋_GB2312"/>
        </w:rPr>
        <w:t>1</w:t>
      </w:r>
      <w:r>
        <w:rPr>
          <w:rFonts w:hint="eastAsia" w:ascii="仿宋" w:eastAsia="仿宋" w:cs="仿宋_GB2312"/>
        </w:rPr>
        <w:t>）评分对应表</w:t>
      </w:r>
      <w:r>
        <w:rPr>
          <w:rFonts w:hint="eastAsia" w:ascii="仿宋" w:eastAsia="仿宋" w:cs="仿宋_GB2312"/>
          <w:lang w:val="zh-CN"/>
        </w:rPr>
        <w:t>………………………………………………………</w:t>
      </w:r>
      <w:r>
        <w:rPr>
          <w:rFonts w:hint="eastAsia" w:ascii="仿宋" w:eastAsia="仿宋" w:cs="仿宋_GB2312"/>
        </w:rPr>
        <w:t>（页码）</w:t>
      </w:r>
    </w:p>
    <w:bookmarkEnd w:id="429"/>
    <w:bookmarkEnd w:id="430"/>
    <w:bookmarkEnd w:id="431"/>
    <w:p>
      <w:pPr>
        <w:pStyle w:val="570"/>
        <w:spacing w:line="360" w:lineRule="auto"/>
        <w:rPr>
          <w:rFonts w:ascii="仿宋" w:eastAsia="仿宋" w:cs="仿宋_GB2312"/>
        </w:rPr>
      </w:pPr>
      <w:r>
        <w:rPr>
          <w:rFonts w:hint="eastAsia" w:ascii="仿宋" w:eastAsia="仿宋" w:cs="仿宋_GB2312"/>
        </w:rPr>
        <w:t>（2）商务响应表</w:t>
      </w:r>
      <w:r>
        <w:rPr>
          <w:rFonts w:hint="eastAsia" w:ascii="仿宋" w:eastAsia="仿宋" w:cs="仿宋_GB2312"/>
          <w:lang w:val="zh-CN"/>
        </w:rPr>
        <w:t>………………………………………………………</w:t>
      </w:r>
      <w:r>
        <w:rPr>
          <w:rFonts w:hint="eastAsia" w:ascii="仿宋" w:eastAsia="仿宋" w:cs="仿宋_GB2312"/>
        </w:rPr>
        <w:t>（页码）</w:t>
      </w:r>
    </w:p>
    <w:p>
      <w:pPr>
        <w:spacing w:line="360" w:lineRule="auto"/>
        <w:ind w:firstLine="480" w:firstLineChars="200"/>
        <w:outlineLvl w:val="0"/>
        <w:rPr>
          <w:rFonts w:ascii="仿宋" w:hAnsi="仿宋" w:eastAsia="仿宋" w:cs="仿宋_GB2312"/>
          <w:kern w:val="0"/>
          <w:sz w:val="24"/>
        </w:rPr>
      </w:pPr>
      <w:r>
        <w:rPr>
          <w:rFonts w:hint="eastAsia" w:ascii="仿宋" w:hAnsi="仿宋" w:eastAsia="仿宋" w:cs="仿宋_GB2312"/>
          <w:kern w:val="0"/>
          <w:sz w:val="24"/>
        </w:rPr>
        <w:t>（3</w:t>
      </w:r>
      <w:r>
        <w:rPr>
          <w:rFonts w:ascii="仿宋" w:hAnsi="仿宋" w:eastAsia="仿宋" w:cs="仿宋_GB2312"/>
          <w:kern w:val="0"/>
          <w:sz w:val="24"/>
        </w:rPr>
        <w:t>）</w:t>
      </w:r>
      <w:r>
        <w:rPr>
          <w:rFonts w:hint="eastAsia" w:ascii="仿宋" w:hAnsi="仿宋" w:eastAsia="仿宋" w:cs="仿宋_GB2312"/>
          <w:kern w:val="0"/>
          <w:sz w:val="24"/>
        </w:rPr>
        <w:t>项目组织实施方案……………………………………………</w:t>
      </w:r>
      <w:r>
        <w:rPr>
          <w:rFonts w:hint="eastAsia" w:ascii="仿宋" w:eastAsia="仿宋" w:cs="仿宋_GB2312"/>
          <w:lang w:val="zh-CN"/>
        </w:rPr>
        <w:t>…</w:t>
      </w:r>
      <w:r>
        <w:rPr>
          <w:rFonts w:hint="eastAsia" w:ascii="仿宋" w:hAnsi="仿宋" w:eastAsia="仿宋" w:cs="仿宋_GB2312"/>
          <w:kern w:val="0"/>
          <w:sz w:val="24"/>
        </w:rPr>
        <w:t>（页码）</w:t>
      </w:r>
    </w:p>
    <w:p>
      <w:pPr>
        <w:spacing w:line="360" w:lineRule="auto"/>
        <w:ind w:firstLine="480" w:firstLineChars="200"/>
        <w:outlineLvl w:val="0"/>
        <w:rPr>
          <w:rFonts w:ascii="仿宋" w:hAnsi="仿宋" w:eastAsia="仿宋" w:cs="仿宋_GB2312"/>
          <w:kern w:val="0"/>
          <w:sz w:val="24"/>
        </w:rPr>
      </w:pPr>
      <w:r>
        <w:rPr>
          <w:rFonts w:hint="eastAsia" w:ascii="仿宋" w:hAnsi="仿宋" w:eastAsia="仿宋" w:cs="仿宋_GB2312"/>
          <w:kern w:val="0"/>
          <w:sz w:val="24"/>
        </w:rPr>
        <w:t>（4）项目负责人情况表………………………………………………（页码）</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（5）项目组人员名单…………………………………………………（页码）</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（6）售后服务方案（如有）…………………………………………（页码）</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（7）</w:t>
      </w:r>
      <w:r>
        <w:rPr>
          <w:rFonts w:hint="eastAsia" w:ascii="仿宋" w:hAnsi="仿宋" w:eastAsia="仿宋" w:cs="仿宋_GB2312"/>
          <w:kern w:val="0"/>
          <w:sz w:val="24"/>
          <w:lang w:val="zh-CN"/>
        </w:rPr>
        <w:t>优惠条件及特殊承诺（如有）</w:t>
      </w:r>
      <w:r>
        <w:rPr>
          <w:rFonts w:hint="eastAsia" w:ascii="仿宋" w:hAnsi="仿宋" w:eastAsia="仿宋" w:cs="仿宋_GB2312"/>
          <w:kern w:val="0"/>
          <w:sz w:val="24"/>
        </w:rPr>
        <w:t>…………………………………（页码）</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（8）</w:t>
      </w:r>
      <w:r>
        <w:rPr>
          <w:rFonts w:hint="eastAsia" w:ascii="仿宋" w:hAnsi="仿宋" w:eastAsia="仿宋" w:cs="仿宋_GB2312"/>
          <w:kern w:val="0"/>
          <w:sz w:val="24"/>
          <w:lang w:val="zh-CN"/>
        </w:rPr>
        <w:t>投标人认为需要的其它商务技术文件或说明…………………</w:t>
      </w:r>
      <w:r>
        <w:rPr>
          <w:rFonts w:hint="eastAsia" w:ascii="仿宋" w:hAnsi="仿宋" w:eastAsia="仿宋" w:cs="仿宋_GB2312"/>
          <w:kern w:val="0"/>
          <w:sz w:val="24"/>
        </w:rPr>
        <w:t>（页码）</w:t>
      </w: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rFonts w:ascii="仿宋" w:hAnsi="仿宋" w:eastAsia="仿宋" w:cs="仿宋_GB2312"/>
          <w:b/>
          <w:kern w:val="0"/>
          <w:sz w:val="32"/>
          <w:szCs w:val="32"/>
          <w:lang w:val="zh-CN"/>
        </w:rPr>
      </w:pPr>
    </w:p>
    <w:p>
      <w:pPr>
        <w:pStyle w:val="2"/>
        <w:rPr>
          <w:lang w:val="zh-CN"/>
        </w:rPr>
      </w:pPr>
    </w:p>
    <w:p>
      <w:pPr>
        <w:pStyle w:val="2"/>
        <w:rPr>
          <w:lang w:val="zh-CN"/>
        </w:rPr>
      </w:pPr>
    </w:p>
    <w:p>
      <w:pPr>
        <w:numPr>
          <w:ilvl w:val="0"/>
          <w:numId w:val="4"/>
        </w:numPr>
        <w:spacing w:line="360" w:lineRule="auto"/>
        <w:jc w:val="center"/>
        <w:rPr>
          <w:rFonts w:ascii="仿宋" w:hAnsi="仿宋" w:eastAsia="仿宋"/>
          <w:b/>
          <w:bCs/>
          <w:spacing w:val="6"/>
          <w:sz w:val="32"/>
          <w:szCs w:val="32"/>
        </w:rPr>
      </w:pPr>
      <w:r>
        <w:rPr>
          <w:rFonts w:hint="eastAsia" w:ascii="仿宋" w:hAnsi="仿宋" w:eastAsia="仿宋"/>
          <w:b/>
          <w:bCs/>
          <w:spacing w:val="6"/>
          <w:sz w:val="32"/>
          <w:szCs w:val="32"/>
        </w:rPr>
        <w:t>评分对应表</w:t>
      </w:r>
    </w:p>
    <w:tbl>
      <w:tblPr>
        <w:tblStyle w:val="60"/>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821"/>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64" w:type="dxa"/>
            <w:vAlign w:val="center"/>
          </w:tcPr>
          <w:p>
            <w:pPr>
              <w:widowControl/>
              <w:jc w:val="center"/>
              <w:rPr>
                <w:rFonts w:ascii="仿宋" w:hAnsi="仿宋" w:eastAsia="仿宋" w:cs="仿宋_GB2312"/>
                <w:sz w:val="24"/>
              </w:rPr>
            </w:pPr>
            <w:r>
              <w:rPr>
                <w:rFonts w:hint="eastAsia" w:ascii="仿宋" w:hAnsi="仿宋" w:eastAsia="仿宋" w:cs="仿宋_GB2312"/>
                <w:sz w:val="24"/>
              </w:rPr>
              <w:t>类别</w:t>
            </w:r>
          </w:p>
        </w:tc>
        <w:tc>
          <w:tcPr>
            <w:tcW w:w="1056" w:type="dxa"/>
            <w:vAlign w:val="center"/>
          </w:tcPr>
          <w:p>
            <w:pPr>
              <w:jc w:val="center"/>
              <w:rPr>
                <w:rFonts w:ascii="仿宋" w:hAnsi="仿宋" w:eastAsia="仿宋" w:cs="仿宋_GB2312"/>
                <w:sz w:val="24"/>
              </w:rPr>
            </w:pPr>
            <w:r>
              <w:rPr>
                <w:rFonts w:hint="eastAsia" w:ascii="仿宋" w:hAnsi="仿宋" w:eastAsia="仿宋" w:cs="仿宋_GB2312"/>
                <w:sz w:val="24"/>
              </w:rPr>
              <w:t>项目</w:t>
            </w:r>
          </w:p>
        </w:tc>
        <w:tc>
          <w:tcPr>
            <w:tcW w:w="6821" w:type="dxa"/>
            <w:vAlign w:val="center"/>
          </w:tcPr>
          <w:p>
            <w:pPr>
              <w:ind w:firstLine="480" w:firstLineChars="200"/>
              <w:jc w:val="center"/>
              <w:rPr>
                <w:rFonts w:ascii="仿宋" w:hAnsi="仿宋" w:eastAsia="仿宋" w:cs="仿宋_GB2312"/>
                <w:sz w:val="24"/>
              </w:rPr>
            </w:pPr>
            <w:r>
              <w:rPr>
                <w:rFonts w:hint="eastAsia" w:ascii="仿宋" w:hAnsi="仿宋" w:eastAsia="仿宋" w:cs="仿宋_GB2312"/>
                <w:sz w:val="24"/>
              </w:rPr>
              <w:t>评分细则</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64" w:type="dxa"/>
            <w:vMerge w:val="restart"/>
            <w:vAlign w:val="center"/>
          </w:tcPr>
          <w:p>
            <w:pPr>
              <w:widowControl/>
              <w:jc w:val="center"/>
              <w:rPr>
                <w:rFonts w:ascii="仿宋" w:hAnsi="仿宋" w:eastAsia="仿宋" w:cs="仿宋_GB2312"/>
                <w:sz w:val="24"/>
              </w:rPr>
            </w:pPr>
            <w:r>
              <w:rPr>
                <w:rFonts w:hint="eastAsia" w:ascii="仿宋" w:hAnsi="仿宋" w:eastAsia="仿宋" w:cs="仿宋_GB2312"/>
                <w:sz w:val="24"/>
              </w:rPr>
              <w:t>商务技术</w:t>
            </w: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企业  信用</w:t>
            </w:r>
          </w:p>
        </w:tc>
        <w:tc>
          <w:tcPr>
            <w:tcW w:w="6821" w:type="dxa"/>
            <w:vAlign w:val="center"/>
          </w:tcPr>
          <w:p>
            <w:pPr>
              <w:pStyle w:val="2"/>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1月1日以来（以获奖证书或文件落款日期为准）获得过省级及以上造价管理部门评定的造价咨询企业动态信用等级AAAA级及以上的得2分，AAA的得1分，其余不得分；（提供信用等级证书或文件扫描件并加盖投标人公章）</w:t>
            </w:r>
          </w:p>
          <w:p>
            <w:pPr>
              <w:widowControl/>
              <w:numPr>
                <w:ilvl w:val="0"/>
                <w:numId w:val="0"/>
              </w:numPr>
              <w:spacing w:line="360" w:lineRule="auto"/>
              <w:ind w:left="0" w:leftChars="0" w:firstLine="0" w:firstLineChars="0"/>
              <w:rPr>
                <w:rFonts w:ascii="仿宋" w:hAnsi="仿宋" w:eastAsia="仿宋" w:cs="仿宋_GB2312"/>
                <w:kern w:val="2"/>
                <w:sz w:val="24"/>
                <w:szCs w:val="24"/>
                <w:lang w:val="en-US" w:eastAsia="zh-CN" w:bidi="ar-SA"/>
              </w:rPr>
            </w:pPr>
            <w:r>
              <w:rPr>
                <w:rFonts w:hint="eastAsia" w:ascii="仿宋" w:hAnsi="仿宋" w:eastAsia="仿宋" w:cs="仿宋"/>
                <w:b/>
                <w:bCs/>
                <w:sz w:val="24"/>
                <w:szCs w:val="24"/>
                <w:highlight w:val="none"/>
              </w:rPr>
              <w:t>注</w:t>
            </w:r>
            <w:r>
              <w:rPr>
                <w:rFonts w:hint="eastAsia" w:ascii="仿宋" w:hAnsi="仿宋" w:eastAsia="仿宋" w:cs="仿宋"/>
                <w:sz w:val="24"/>
                <w:szCs w:val="24"/>
                <w:highlight w:val="none"/>
              </w:rPr>
              <w:t>：若造价咨询企业动态信用等级为A、B、C、D，其中信用A为最高级的，B为次高级，A、B对应本次招投标活动中的AAAA级及以上，C对应本次招投标活动中的AAA，依次类推。如投标单位所在地动态信用评价等级以其他形式表示的，各等级从高到低依次对应。（如投标人为浙江省内单位，须提供投标截止日当月的浙江省造价咨询企业动态信用等级，否则不予认可；如投标人为浙江省外单位，提供的造价咨询企业动态信用等级若与浙江省内评定等级不一致的，需提供相关评定等级划分的证明材料并加盖公章，否则不予认可）</w:t>
            </w:r>
          </w:p>
        </w:tc>
        <w:tc>
          <w:tcPr>
            <w:tcW w:w="744" w:type="dxa"/>
            <w:vAlign w:val="center"/>
          </w:tcPr>
          <w:p>
            <w:pPr>
              <w:widowControl/>
              <w:jc w:val="center"/>
              <w:rPr>
                <w:rFonts w:ascii="仿宋" w:hAnsi="仿宋" w:eastAsia="仿宋" w:cs="仿宋_GB2312"/>
                <w:sz w:val="24"/>
              </w:rPr>
            </w:pPr>
            <w:r>
              <w:rPr>
                <w:rFonts w:hint="eastAsia" w:ascii="仿宋" w:hAnsi="仿宋" w:eastAsia="仿宋"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pPr>
              <w:widowControl/>
              <w:ind w:firstLine="480" w:firstLineChars="200"/>
              <w:rPr>
                <w:rFonts w:ascii="仿宋" w:hAnsi="仿宋" w:eastAsia="仿宋" w:cs="仿宋_GB2312"/>
                <w:sz w:val="24"/>
              </w:rPr>
            </w:pP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项目负责人业绩</w:t>
            </w:r>
          </w:p>
        </w:tc>
        <w:tc>
          <w:tcPr>
            <w:tcW w:w="6821" w:type="dxa"/>
            <w:vAlign w:val="center"/>
          </w:tcPr>
          <w:p>
            <w:pPr>
              <w:widowControl/>
              <w:numPr>
                <w:ilvl w:val="0"/>
                <w:numId w:val="0"/>
              </w:numPr>
              <w:jc w:val="left"/>
              <w:rPr>
                <w:rFonts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本项目负责人具有一级注册造价工程师及高级职称的，得2分；</w:t>
            </w:r>
            <w:r>
              <w:rPr>
                <w:rFonts w:hint="eastAsia" w:ascii="仿宋" w:hAnsi="仿宋" w:eastAsia="仿宋" w:cs="仿宋_GB2312"/>
                <w:b/>
                <w:bCs/>
                <w:sz w:val="24"/>
                <w:highlight w:val="none"/>
              </w:rPr>
              <w:t>（提供相关证书复印件加盖单位公章。）</w:t>
            </w:r>
          </w:p>
          <w:p>
            <w:pPr>
              <w:widowControl/>
              <w:jc w:val="left"/>
              <w:rPr>
                <w:rFonts w:hint="default" w:ascii="仿宋" w:hAnsi="仿宋" w:eastAsia="仿宋" w:cs="仿宋_GB2312"/>
                <w:b/>
                <w:bCs/>
                <w:sz w:val="24"/>
                <w:highlight w:val="none"/>
                <w:lang w:val="en-US" w:eastAsia="zh-CN"/>
              </w:rPr>
            </w:pPr>
            <w:r>
              <w:rPr>
                <w:rFonts w:hint="eastAsia" w:ascii="仿宋" w:hAnsi="仿宋" w:eastAsia="仿宋" w:cs="仿宋_GB2312"/>
                <w:sz w:val="24"/>
                <w:highlight w:val="none"/>
                <w:lang w:val="en-US" w:eastAsia="zh-CN"/>
              </w:rPr>
              <w:t>2</w:t>
            </w:r>
            <w:r>
              <w:rPr>
                <w:rFonts w:hint="eastAsia" w:ascii="仿宋" w:hAnsi="仿宋" w:eastAsia="仿宋" w:cs="仿宋_GB2312"/>
                <w:b/>
                <w:bCs/>
                <w:sz w:val="24"/>
                <w:highlight w:val="none"/>
                <w:lang w:val="en-US" w:eastAsia="zh-CN"/>
              </w:rPr>
              <w:t>、</w:t>
            </w:r>
            <w:r>
              <w:rPr>
                <w:rFonts w:hint="eastAsia" w:ascii="仿宋" w:hAnsi="仿宋" w:eastAsia="仿宋" w:cs="仿宋_GB2312"/>
                <w:sz w:val="24"/>
                <w:highlight w:val="none"/>
              </w:rPr>
              <w:t>本项目负责人</w:t>
            </w:r>
            <w:r>
              <w:rPr>
                <w:rFonts w:hint="eastAsia" w:ascii="仿宋" w:hAnsi="仿宋" w:eastAsia="仿宋" w:cs="仿宋_GB2312"/>
                <w:sz w:val="24"/>
                <w:highlight w:val="none"/>
                <w:lang w:eastAsia="zh-CN"/>
              </w:rPr>
              <w:t>自</w:t>
            </w:r>
            <w:r>
              <w:rPr>
                <w:rFonts w:hint="eastAsia" w:ascii="仿宋" w:hAnsi="仿宋" w:eastAsia="仿宋" w:cs="仿宋_GB2312"/>
                <w:sz w:val="24"/>
                <w:highlight w:val="none"/>
              </w:rPr>
              <w:t>20</w:t>
            </w:r>
            <w:r>
              <w:rPr>
                <w:rFonts w:hint="eastAsia" w:ascii="仿宋" w:hAnsi="仿宋" w:eastAsia="仿宋" w:cs="仿宋_GB2312"/>
                <w:sz w:val="24"/>
                <w:highlight w:val="none"/>
                <w:lang w:val="en-US" w:eastAsia="zh-CN"/>
              </w:rPr>
              <w:t>21</w:t>
            </w:r>
            <w:r>
              <w:rPr>
                <w:rFonts w:hint="eastAsia" w:ascii="仿宋" w:hAnsi="仿宋" w:eastAsia="仿宋" w:cs="仿宋_GB2312"/>
                <w:sz w:val="24"/>
                <w:highlight w:val="none"/>
              </w:rPr>
              <w:t>年1月1日以来（时间</w:t>
            </w:r>
            <w:r>
              <w:rPr>
                <w:rFonts w:hint="eastAsia" w:ascii="仿宋" w:hAnsi="仿宋" w:eastAsia="仿宋" w:cs="仿宋_GB2312"/>
                <w:sz w:val="24"/>
                <w:highlight w:val="none"/>
                <w:lang w:eastAsia="zh-CN"/>
              </w:rPr>
              <w:t>、造价金额</w:t>
            </w:r>
            <w:r>
              <w:rPr>
                <w:rFonts w:hint="eastAsia" w:ascii="仿宋" w:hAnsi="仿宋" w:eastAsia="仿宋" w:cs="仿宋_GB2312"/>
                <w:sz w:val="24"/>
                <w:highlight w:val="none"/>
              </w:rPr>
              <w:t>以造价咨询报告为准）</w:t>
            </w:r>
            <w:r>
              <w:rPr>
                <w:rFonts w:hint="eastAsia" w:ascii="仿宋" w:hAnsi="仿宋" w:eastAsia="仿宋" w:cs="仿宋_GB2312"/>
                <w:sz w:val="24"/>
                <w:highlight w:val="none"/>
                <w:lang w:eastAsia="zh-CN"/>
              </w:rPr>
              <w:t>参与</w:t>
            </w:r>
            <w:r>
              <w:rPr>
                <w:rFonts w:hint="eastAsia" w:ascii="仿宋" w:hAnsi="仿宋" w:eastAsia="仿宋" w:cs="仿宋_GB2312"/>
                <w:sz w:val="24"/>
                <w:highlight w:val="none"/>
              </w:rPr>
              <w:t>完成</w:t>
            </w:r>
            <w:r>
              <w:rPr>
                <w:rFonts w:hint="eastAsia" w:ascii="仿宋" w:hAnsi="仿宋" w:eastAsia="仿宋" w:cs="仿宋_GB2312"/>
                <w:sz w:val="24"/>
                <w:highlight w:val="none"/>
                <w:lang w:eastAsia="zh-CN"/>
              </w:rPr>
              <w:t>过</w:t>
            </w:r>
            <w:r>
              <w:rPr>
                <w:rFonts w:hint="eastAsia" w:ascii="仿宋" w:hAnsi="仿宋" w:eastAsia="仿宋" w:cs="仿宋_GB2312"/>
                <w:sz w:val="24"/>
                <w:highlight w:val="none"/>
                <w:lang w:val="en-US" w:eastAsia="zh-CN"/>
              </w:rPr>
              <w:t>单个标段工程造价10000万及以上</w:t>
            </w:r>
            <w:r>
              <w:rPr>
                <w:rFonts w:hint="eastAsia" w:ascii="仿宋" w:hAnsi="仿宋" w:eastAsia="仿宋" w:cs="仿宋_GB2312"/>
                <w:sz w:val="24"/>
                <w:highlight w:val="none"/>
              </w:rPr>
              <w:t>市政工程</w:t>
            </w:r>
            <w:r>
              <w:rPr>
                <w:rFonts w:hint="eastAsia" w:ascii="仿宋" w:hAnsi="仿宋" w:eastAsia="仿宋" w:cs="仿宋_GB2312"/>
                <w:sz w:val="24"/>
                <w:highlight w:val="none"/>
                <w:lang w:eastAsia="zh-CN"/>
              </w:rPr>
              <w:t>项目（</w:t>
            </w:r>
            <w:r>
              <w:rPr>
                <w:rFonts w:hint="eastAsia" w:ascii="仿宋" w:hAnsi="仿宋" w:eastAsia="仿宋" w:cs="仿宋_GB2312"/>
                <w:b/>
                <w:bCs/>
                <w:sz w:val="24"/>
                <w:highlight w:val="none"/>
                <w:lang w:eastAsia="zh-CN"/>
              </w:rPr>
              <w:t>所提供的业绩中须包含道路、桥梁施工内容</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标底编制业绩的，得</w:t>
            </w:r>
            <w:r>
              <w:rPr>
                <w:rFonts w:hint="eastAsia" w:ascii="仿宋" w:hAnsi="仿宋" w:eastAsia="仿宋" w:cs="仿宋_GB2312"/>
                <w:sz w:val="24"/>
                <w:highlight w:val="none"/>
                <w:lang w:val="en-US" w:eastAsia="zh-CN"/>
              </w:rPr>
              <w:t>4</w:t>
            </w:r>
            <w:r>
              <w:rPr>
                <w:rFonts w:hint="eastAsia" w:ascii="仿宋" w:hAnsi="仿宋" w:eastAsia="仿宋" w:cs="仿宋_GB2312"/>
                <w:sz w:val="24"/>
                <w:highlight w:val="none"/>
              </w:rPr>
              <w:t>分。</w:t>
            </w:r>
          </w:p>
          <w:p>
            <w:pPr>
              <w:widowControl/>
              <w:jc w:val="left"/>
              <w:rPr>
                <w:rFonts w:ascii="仿宋" w:hAnsi="仿宋" w:eastAsia="仿宋" w:cs="仿宋_GB2312"/>
                <w:kern w:val="2"/>
                <w:sz w:val="24"/>
                <w:szCs w:val="24"/>
                <w:highlight w:val="none"/>
                <w:lang w:val="en-US" w:eastAsia="zh-CN" w:bidi="ar-SA"/>
              </w:rPr>
            </w:pPr>
            <w:r>
              <w:rPr>
                <w:rFonts w:hint="eastAsia" w:ascii="仿宋" w:hAnsi="仿宋" w:eastAsia="仿宋" w:cs="仿宋_GB2312"/>
                <w:b/>
                <w:bCs/>
                <w:sz w:val="24"/>
                <w:highlight w:val="none"/>
              </w:rPr>
              <w:t>（提供（1）体现上述业绩要求的工程造价咨询报告书（加盖</w:t>
            </w:r>
            <w:r>
              <w:rPr>
                <w:rFonts w:hint="eastAsia" w:ascii="仿宋" w:hAnsi="仿宋" w:eastAsia="仿宋" w:cs="仿宋_GB2312"/>
                <w:b/>
                <w:bCs/>
                <w:sz w:val="24"/>
                <w:highlight w:val="none"/>
                <w:lang w:eastAsia="zh-CN"/>
              </w:rPr>
              <w:t>标底编制</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、业主单位</w:t>
            </w:r>
            <w:r>
              <w:rPr>
                <w:rFonts w:hint="eastAsia" w:ascii="仿宋" w:hAnsi="仿宋" w:eastAsia="仿宋" w:cs="仿宋_GB2312"/>
                <w:b/>
                <w:bCs/>
                <w:sz w:val="24"/>
                <w:highlight w:val="none"/>
              </w:rPr>
              <w:t>公章及人员资格章，时间以</w:t>
            </w:r>
            <w:r>
              <w:rPr>
                <w:rFonts w:hint="eastAsia" w:ascii="仿宋" w:hAnsi="仿宋" w:eastAsia="仿宋" w:cs="仿宋_GB2312"/>
                <w:b/>
                <w:bCs/>
                <w:sz w:val="24"/>
                <w:highlight w:val="none"/>
                <w:lang w:eastAsia="zh-CN"/>
              </w:rPr>
              <w:t>造价咨询</w:t>
            </w:r>
            <w:r>
              <w:rPr>
                <w:rFonts w:hint="eastAsia" w:ascii="仿宋" w:hAnsi="仿宋" w:eastAsia="仿宋" w:cs="仿宋_GB2312"/>
                <w:b/>
                <w:bCs/>
                <w:sz w:val="24"/>
                <w:highlight w:val="none"/>
              </w:rPr>
              <w:t>报告书出具时间为准</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2</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体现上述业绩要求的造价咨询合同。（</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rPr>
              <w:t>）</w:t>
            </w:r>
            <w:r>
              <w:rPr>
                <w:rFonts w:hint="eastAsia" w:ascii="仿宋" w:hAnsi="仿宋" w:eastAsia="仿宋" w:cs="仿宋_GB2312"/>
                <w:b/>
                <w:bCs/>
                <w:color w:val="000000"/>
                <w:sz w:val="24"/>
                <w:highlight w:val="none"/>
                <w:lang w:eastAsia="zh-CN"/>
              </w:rPr>
              <w:t>拟派的本项目负责人姓名须在提供业绩的咨询报告（人员资格章）中体现。（</w:t>
            </w:r>
            <w:r>
              <w:rPr>
                <w:rFonts w:hint="eastAsia" w:ascii="仿宋" w:hAnsi="仿宋" w:eastAsia="仿宋" w:cs="仿宋_GB2312"/>
                <w:b/>
                <w:bCs/>
                <w:color w:val="000000"/>
                <w:sz w:val="24"/>
                <w:highlight w:val="none"/>
                <w:lang w:val="en-US" w:eastAsia="zh-CN"/>
              </w:rPr>
              <w:t>4</w:t>
            </w:r>
            <w:r>
              <w:rPr>
                <w:rFonts w:hint="eastAsia" w:ascii="仿宋" w:hAnsi="仿宋" w:eastAsia="仿宋" w:cs="仿宋_GB2312"/>
                <w:b/>
                <w:bCs/>
                <w:color w:val="000000"/>
                <w:sz w:val="24"/>
                <w:highlight w:val="none"/>
                <w:lang w:eastAsia="zh-CN"/>
              </w:rPr>
              <w:t>）</w:t>
            </w:r>
            <w:r>
              <w:rPr>
                <w:rFonts w:hint="eastAsia" w:ascii="仿宋" w:hAnsi="仿宋" w:eastAsia="仿宋" w:cs="仿宋_GB2312"/>
                <w:b/>
                <w:bCs/>
                <w:sz w:val="24"/>
                <w:highlight w:val="none"/>
              </w:rPr>
              <w:t>上述体现业绩的相关材料须提供复印件并</w:t>
            </w:r>
            <w:r>
              <w:rPr>
                <w:rFonts w:hint="eastAsia" w:ascii="仿宋" w:hAnsi="仿宋" w:eastAsia="仿宋" w:cs="仿宋_GB2312"/>
                <w:b/>
                <w:bCs/>
                <w:sz w:val="24"/>
                <w:highlight w:val="none"/>
                <w:lang w:eastAsia="zh-CN"/>
              </w:rPr>
              <w:t>加盖</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公章。</w:t>
            </w:r>
            <w:r>
              <w:rPr>
                <w:rFonts w:hint="eastAsia" w:ascii="仿宋" w:hAnsi="仿宋" w:eastAsia="仿宋" w:cs="仿宋_GB2312"/>
                <w:b/>
                <w:bCs/>
                <w:sz w:val="24"/>
                <w:highlight w:val="none"/>
              </w:rPr>
              <w:t>（</w:t>
            </w:r>
            <w:r>
              <w:rPr>
                <w:rFonts w:hint="eastAsia" w:ascii="仿宋" w:hAnsi="仿宋" w:eastAsia="仿宋" w:cs="仿宋_GB2312"/>
                <w:b/>
                <w:bCs/>
                <w:sz w:val="24"/>
                <w:highlight w:val="none"/>
                <w:lang w:val="en-US" w:eastAsia="zh-CN"/>
              </w:rPr>
              <w:t>5</w:t>
            </w:r>
            <w:r>
              <w:rPr>
                <w:rFonts w:hint="eastAsia" w:ascii="仿宋" w:hAnsi="仿宋" w:eastAsia="仿宋" w:cs="仿宋_GB2312"/>
                <w:b/>
                <w:bCs/>
                <w:sz w:val="24"/>
                <w:highlight w:val="none"/>
              </w:rPr>
              <w:t>）</w:t>
            </w:r>
            <w:r>
              <w:rPr>
                <w:rFonts w:hint="eastAsia" w:ascii="仿宋" w:hAnsi="仿宋" w:eastAsia="仿宋" w:cs="仿宋_GB2312"/>
                <w:b/>
                <w:bCs/>
                <w:sz w:val="24"/>
                <w:highlight w:val="none"/>
                <w:lang w:eastAsia="zh-CN"/>
              </w:rPr>
              <w:t>施工单位委托的造价咨询业绩无效。（</w:t>
            </w:r>
            <w:r>
              <w:rPr>
                <w:rFonts w:hint="eastAsia" w:ascii="仿宋" w:hAnsi="仿宋" w:eastAsia="仿宋" w:cs="仿宋_GB2312"/>
                <w:b/>
                <w:bCs/>
                <w:sz w:val="24"/>
                <w:highlight w:val="none"/>
                <w:lang w:val="en-US" w:eastAsia="zh-CN"/>
              </w:rPr>
              <w:t>6</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项目负责人需提供</w:t>
            </w:r>
            <w:r>
              <w:rPr>
                <w:rFonts w:hint="eastAsia" w:ascii="仿宋" w:hAnsi="仿宋" w:eastAsia="仿宋" w:cs="仿宋_GB2312"/>
                <w:b/>
                <w:bCs/>
                <w:sz w:val="24"/>
                <w:highlight w:val="none"/>
                <w:lang w:eastAsia="zh-CN"/>
              </w:rPr>
              <w:t>近三个月（202</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lang w:eastAsia="zh-CN"/>
              </w:rPr>
              <w:t>年</w:t>
            </w:r>
            <w:r>
              <w:rPr>
                <w:rFonts w:hint="eastAsia" w:ascii="仿宋" w:hAnsi="仿宋" w:eastAsia="仿宋" w:cs="仿宋_GB2312"/>
                <w:b/>
                <w:bCs/>
                <w:sz w:val="24"/>
                <w:highlight w:val="none"/>
                <w:lang w:val="en-US" w:eastAsia="zh-CN"/>
              </w:rPr>
              <w:t>11</w:t>
            </w:r>
            <w:r>
              <w:rPr>
                <w:rFonts w:hint="eastAsia" w:ascii="仿宋" w:hAnsi="仿宋" w:eastAsia="仿宋" w:cs="仿宋_GB2312"/>
                <w:b/>
                <w:bCs/>
                <w:sz w:val="24"/>
                <w:highlight w:val="none"/>
                <w:lang w:eastAsia="zh-CN"/>
              </w:rPr>
              <w:t>月、202</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lang w:eastAsia="zh-CN"/>
              </w:rPr>
              <w:t>年</w:t>
            </w:r>
            <w:r>
              <w:rPr>
                <w:rFonts w:hint="eastAsia" w:ascii="仿宋" w:hAnsi="仿宋" w:eastAsia="仿宋" w:cs="仿宋_GB2312"/>
                <w:b/>
                <w:bCs/>
                <w:sz w:val="24"/>
                <w:highlight w:val="none"/>
                <w:lang w:val="en-US" w:eastAsia="zh-CN"/>
              </w:rPr>
              <w:t>12</w:t>
            </w:r>
            <w:r>
              <w:rPr>
                <w:rFonts w:hint="eastAsia" w:ascii="仿宋" w:hAnsi="仿宋" w:eastAsia="仿宋" w:cs="仿宋_GB2312"/>
                <w:b/>
                <w:bCs/>
                <w:sz w:val="24"/>
                <w:highlight w:val="none"/>
                <w:lang w:eastAsia="zh-CN"/>
              </w:rPr>
              <w:t>月、202</w:t>
            </w:r>
            <w:r>
              <w:rPr>
                <w:rFonts w:hint="eastAsia" w:ascii="仿宋" w:hAnsi="仿宋" w:eastAsia="仿宋" w:cs="仿宋_GB2312"/>
                <w:b/>
                <w:bCs/>
                <w:sz w:val="24"/>
                <w:highlight w:val="none"/>
                <w:lang w:val="en-US" w:eastAsia="zh-CN"/>
              </w:rPr>
              <w:t>4</w:t>
            </w:r>
            <w:r>
              <w:rPr>
                <w:rFonts w:hint="eastAsia" w:ascii="仿宋" w:hAnsi="仿宋" w:eastAsia="仿宋" w:cs="仿宋_GB2312"/>
                <w:b/>
                <w:bCs/>
                <w:sz w:val="24"/>
                <w:highlight w:val="none"/>
                <w:lang w:eastAsia="zh-CN"/>
              </w:rPr>
              <w:t>年</w:t>
            </w:r>
            <w:r>
              <w:rPr>
                <w:rFonts w:hint="eastAsia" w:ascii="仿宋" w:hAnsi="仿宋" w:eastAsia="仿宋" w:cs="仿宋_GB2312"/>
                <w:b/>
                <w:bCs/>
                <w:sz w:val="24"/>
                <w:highlight w:val="none"/>
                <w:lang w:val="en-US" w:eastAsia="zh-CN"/>
              </w:rPr>
              <w:t>1</w:t>
            </w:r>
            <w:r>
              <w:rPr>
                <w:rFonts w:hint="eastAsia" w:ascii="仿宋" w:hAnsi="仿宋" w:eastAsia="仿宋" w:cs="仿宋_GB2312"/>
                <w:b/>
                <w:bCs/>
                <w:sz w:val="24"/>
                <w:highlight w:val="none"/>
                <w:lang w:eastAsia="zh-CN"/>
              </w:rPr>
              <w:t>月）社保证明复印件并加盖公章</w:t>
            </w:r>
            <w:r>
              <w:rPr>
                <w:rFonts w:hint="eastAsia" w:ascii="仿宋" w:hAnsi="仿宋" w:eastAsia="仿宋" w:cs="仿宋_GB2312"/>
                <w:sz w:val="24"/>
                <w:highlight w:val="none"/>
                <w:lang w:val="en-US" w:eastAsia="zh-CN"/>
              </w:rPr>
              <w:t>)</w:t>
            </w:r>
            <w:r>
              <w:rPr>
                <w:rFonts w:hint="eastAsia" w:ascii="仿宋" w:hAnsi="仿宋" w:eastAsia="仿宋" w:cs="仿宋_GB2312"/>
                <w:b/>
                <w:bCs/>
                <w:sz w:val="24"/>
                <w:highlight w:val="none"/>
              </w:rPr>
              <w:t>）</w:t>
            </w:r>
          </w:p>
        </w:tc>
        <w:tc>
          <w:tcPr>
            <w:tcW w:w="744" w:type="dxa"/>
            <w:vAlign w:val="center"/>
          </w:tcPr>
          <w:p>
            <w:pPr>
              <w:widowControl/>
              <w:jc w:val="center"/>
              <w:rPr>
                <w:rFonts w:hint="eastAsia" w:ascii="仿宋" w:hAnsi="仿宋" w:eastAsia="仿宋" w:cs="仿宋_GB2312"/>
                <w:sz w:val="24"/>
                <w:lang w:eastAsia="zh-CN"/>
              </w:rPr>
            </w:pPr>
            <w:r>
              <w:rPr>
                <w:rFonts w:hint="eastAsia" w:ascii="仿宋" w:hAnsi="仿宋" w:eastAsia="仿宋" w:cs="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pPr>
              <w:widowControl/>
              <w:ind w:firstLine="480" w:firstLineChars="200"/>
              <w:rPr>
                <w:rFonts w:ascii="仿宋" w:hAnsi="仿宋" w:eastAsia="仿宋" w:cs="仿宋_GB2312"/>
                <w:sz w:val="24"/>
              </w:rPr>
            </w:pPr>
          </w:p>
        </w:tc>
        <w:tc>
          <w:tcPr>
            <w:tcW w:w="1056" w:type="dxa"/>
            <w:vAlign w:val="center"/>
          </w:tcPr>
          <w:p>
            <w:pPr>
              <w:widowControl/>
              <w:jc w:val="center"/>
              <w:rPr>
                <w:rFonts w:ascii="仿宋" w:hAnsi="仿宋" w:eastAsia="仿宋" w:cs="仿宋_GB2312"/>
                <w:sz w:val="24"/>
                <w:lang w:val="zh-CN"/>
              </w:rPr>
            </w:pPr>
            <w:r>
              <w:rPr>
                <w:rFonts w:hint="eastAsia" w:ascii="仿宋" w:hAnsi="仿宋" w:eastAsia="仿宋" w:cs="仿宋_GB2312"/>
                <w:sz w:val="24"/>
              </w:rPr>
              <w:t>企业业绩实力</w:t>
            </w:r>
          </w:p>
        </w:tc>
        <w:tc>
          <w:tcPr>
            <w:tcW w:w="6821" w:type="dxa"/>
            <w:vAlign w:val="center"/>
          </w:tcPr>
          <w:p>
            <w:pPr>
              <w:widowControl/>
              <w:jc w:val="left"/>
              <w:rPr>
                <w:rFonts w:hint="eastAsia" w:eastAsia="宋体"/>
                <w:highlight w:val="none"/>
                <w:lang w:val="en-US" w:eastAsia="zh-CN"/>
              </w:rPr>
            </w:pPr>
            <w:r>
              <w:rPr>
                <w:rFonts w:hint="eastAsia" w:ascii="仿宋" w:hAnsi="仿宋" w:eastAsia="仿宋" w:cs="仿宋_GB2312"/>
                <w:sz w:val="24"/>
                <w:highlight w:val="none"/>
              </w:rPr>
              <w:t>投标人自20</w:t>
            </w:r>
            <w:r>
              <w:rPr>
                <w:rFonts w:hint="eastAsia" w:ascii="仿宋" w:hAnsi="仿宋" w:eastAsia="仿宋" w:cs="仿宋_GB2312"/>
                <w:sz w:val="24"/>
                <w:highlight w:val="none"/>
                <w:lang w:val="en-US" w:eastAsia="zh-CN"/>
              </w:rPr>
              <w:t>21</w:t>
            </w:r>
            <w:r>
              <w:rPr>
                <w:rFonts w:hint="eastAsia" w:ascii="仿宋" w:hAnsi="仿宋" w:eastAsia="仿宋" w:cs="仿宋_GB2312"/>
                <w:sz w:val="24"/>
                <w:highlight w:val="none"/>
              </w:rPr>
              <w:t>年1月1日以来（时间</w:t>
            </w:r>
            <w:r>
              <w:rPr>
                <w:rFonts w:hint="eastAsia" w:ascii="仿宋" w:hAnsi="仿宋" w:eastAsia="仿宋" w:cs="仿宋_GB2312"/>
                <w:sz w:val="24"/>
                <w:highlight w:val="none"/>
                <w:lang w:eastAsia="zh-CN"/>
              </w:rPr>
              <w:t>、造价金额</w:t>
            </w:r>
            <w:r>
              <w:rPr>
                <w:rFonts w:hint="eastAsia" w:ascii="仿宋" w:hAnsi="仿宋" w:eastAsia="仿宋" w:cs="仿宋_GB2312"/>
                <w:sz w:val="24"/>
                <w:highlight w:val="none"/>
              </w:rPr>
              <w:t>以造价咨询报告为准）完成</w:t>
            </w:r>
            <w:r>
              <w:rPr>
                <w:rFonts w:hint="eastAsia" w:ascii="仿宋" w:hAnsi="仿宋" w:eastAsia="仿宋" w:cs="仿宋_GB2312"/>
                <w:sz w:val="24"/>
                <w:highlight w:val="none"/>
                <w:lang w:eastAsia="zh-CN"/>
              </w:rPr>
              <w:t>过</w:t>
            </w:r>
            <w:r>
              <w:rPr>
                <w:rFonts w:hint="eastAsia" w:ascii="仿宋" w:hAnsi="仿宋" w:eastAsia="仿宋" w:cs="仿宋_GB2312"/>
                <w:sz w:val="24"/>
                <w:highlight w:val="none"/>
                <w:lang w:val="en-US" w:eastAsia="zh-CN"/>
              </w:rPr>
              <w:t>单个标段工程造价10000万及以上</w:t>
            </w:r>
            <w:r>
              <w:rPr>
                <w:rFonts w:hint="eastAsia" w:ascii="仿宋" w:hAnsi="仿宋" w:eastAsia="仿宋" w:cs="仿宋_GB2312"/>
                <w:sz w:val="24"/>
                <w:highlight w:val="none"/>
              </w:rPr>
              <w:t>市政工程</w:t>
            </w:r>
            <w:r>
              <w:rPr>
                <w:rFonts w:hint="eastAsia" w:ascii="仿宋" w:hAnsi="仿宋" w:eastAsia="仿宋" w:cs="仿宋_GB2312"/>
                <w:sz w:val="24"/>
                <w:highlight w:val="none"/>
                <w:lang w:eastAsia="zh-CN"/>
              </w:rPr>
              <w:t>项目（</w:t>
            </w:r>
            <w:r>
              <w:rPr>
                <w:rFonts w:hint="eastAsia" w:ascii="仿宋" w:hAnsi="仿宋" w:eastAsia="仿宋" w:cs="仿宋_GB2312"/>
                <w:b/>
                <w:bCs/>
                <w:sz w:val="24"/>
                <w:highlight w:val="none"/>
                <w:lang w:eastAsia="zh-CN"/>
              </w:rPr>
              <w:t>所提供的业绩中须包含道路、桥梁施工内容</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标底编制业绩的，得</w:t>
            </w: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rPr>
              <w:t>分。</w:t>
            </w:r>
          </w:p>
          <w:p>
            <w:pPr>
              <w:widowControl/>
              <w:jc w:val="left"/>
              <w:rPr>
                <w:rFonts w:ascii="仿宋" w:hAnsi="仿宋" w:eastAsia="仿宋" w:cs="仿宋_GB2312"/>
                <w:kern w:val="2"/>
                <w:sz w:val="24"/>
                <w:szCs w:val="24"/>
                <w:highlight w:val="none"/>
                <w:lang w:val="en-US" w:eastAsia="zh-CN" w:bidi="ar-SA"/>
              </w:rPr>
            </w:pPr>
            <w:r>
              <w:rPr>
                <w:rFonts w:hint="eastAsia" w:ascii="仿宋" w:hAnsi="仿宋" w:eastAsia="仿宋" w:cs="仿宋_GB2312"/>
                <w:b/>
                <w:bCs/>
                <w:sz w:val="24"/>
                <w:highlight w:val="none"/>
              </w:rPr>
              <w:t>（提供（1）体现上述业绩要求的工程造价咨询报告书（加盖</w:t>
            </w:r>
            <w:r>
              <w:rPr>
                <w:rFonts w:hint="eastAsia" w:ascii="仿宋" w:hAnsi="仿宋" w:eastAsia="仿宋" w:cs="仿宋_GB2312"/>
                <w:b/>
                <w:bCs/>
                <w:sz w:val="24"/>
                <w:highlight w:val="none"/>
                <w:lang w:eastAsia="zh-CN"/>
              </w:rPr>
              <w:t>标底编制</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、业主单位</w:t>
            </w:r>
            <w:r>
              <w:rPr>
                <w:rFonts w:hint="eastAsia" w:ascii="仿宋" w:hAnsi="仿宋" w:eastAsia="仿宋" w:cs="仿宋_GB2312"/>
                <w:b/>
                <w:bCs/>
                <w:sz w:val="24"/>
                <w:highlight w:val="none"/>
              </w:rPr>
              <w:t>公章及人员资格章，时间以</w:t>
            </w:r>
            <w:r>
              <w:rPr>
                <w:rFonts w:hint="eastAsia" w:ascii="仿宋" w:hAnsi="仿宋" w:eastAsia="仿宋" w:cs="仿宋_GB2312"/>
                <w:b/>
                <w:bCs/>
                <w:sz w:val="24"/>
                <w:highlight w:val="none"/>
                <w:lang w:eastAsia="zh-CN"/>
              </w:rPr>
              <w:t>造价咨询</w:t>
            </w:r>
            <w:r>
              <w:rPr>
                <w:rFonts w:hint="eastAsia" w:ascii="仿宋" w:hAnsi="仿宋" w:eastAsia="仿宋" w:cs="仿宋_GB2312"/>
                <w:b/>
                <w:bCs/>
                <w:sz w:val="24"/>
                <w:highlight w:val="none"/>
              </w:rPr>
              <w:t>报告书出具时间为准</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lang w:val="en-US" w:eastAsia="zh-CN"/>
              </w:rPr>
              <w:t>2</w:t>
            </w:r>
            <w:r>
              <w:rPr>
                <w:rFonts w:hint="eastAsia" w:ascii="仿宋" w:hAnsi="仿宋" w:eastAsia="仿宋" w:cs="仿宋_GB2312"/>
                <w:b/>
                <w:bCs/>
                <w:sz w:val="24"/>
                <w:highlight w:val="none"/>
                <w:lang w:eastAsia="zh-CN"/>
              </w:rPr>
              <w:t>）</w:t>
            </w:r>
            <w:r>
              <w:rPr>
                <w:rFonts w:hint="eastAsia" w:ascii="仿宋" w:hAnsi="仿宋" w:eastAsia="仿宋" w:cs="仿宋_GB2312"/>
                <w:b/>
                <w:bCs/>
                <w:sz w:val="24"/>
                <w:highlight w:val="none"/>
              </w:rPr>
              <w:t>体现上述业绩要求的造价咨询合同。（</w:t>
            </w:r>
            <w:r>
              <w:rPr>
                <w:rFonts w:hint="eastAsia" w:ascii="仿宋" w:hAnsi="仿宋" w:eastAsia="仿宋" w:cs="仿宋_GB2312"/>
                <w:b/>
                <w:bCs/>
                <w:sz w:val="24"/>
                <w:highlight w:val="none"/>
                <w:lang w:val="en-US" w:eastAsia="zh-CN"/>
              </w:rPr>
              <w:t>3</w:t>
            </w:r>
            <w:r>
              <w:rPr>
                <w:rFonts w:hint="eastAsia" w:ascii="仿宋" w:hAnsi="仿宋" w:eastAsia="仿宋" w:cs="仿宋_GB2312"/>
                <w:b/>
                <w:bCs/>
                <w:sz w:val="24"/>
                <w:highlight w:val="none"/>
              </w:rPr>
              <w:t>）上述体现业绩的相关材料须提供复印件并</w:t>
            </w:r>
            <w:r>
              <w:rPr>
                <w:rFonts w:hint="eastAsia" w:ascii="仿宋" w:hAnsi="仿宋" w:eastAsia="仿宋" w:cs="仿宋_GB2312"/>
                <w:b/>
                <w:bCs/>
                <w:sz w:val="24"/>
                <w:highlight w:val="none"/>
                <w:lang w:eastAsia="zh-CN"/>
              </w:rPr>
              <w:t>加盖</w:t>
            </w:r>
            <w:r>
              <w:rPr>
                <w:rFonts w:hint="eastAsia" w:ascii="仿宋" w:hAnsi="仿宋" w:eastAsia="仿宋" w:cs="仿宋_GB2312"/>
                <w:b/>
                <w:bCs/>
                <w:sz w:val="24"/>
                <w:highlight w:val="none"/>
              </w:rPr>
              <w:t>单位</w:t>
            </w:r>
            <w:r>
              <w:rPr>
                <w:rFonts w:hint="eastAsia" w:ascii="仿宋" w:hAnsi="仿宋" w:eastAsia="仿宋" w:cs="仿宋_GB2312"/>
                <w:b/>
                <w:bCs/>
                <w:sz w:val="24"/>
                <w:highlight w:val="none"/>
                <w:lang w:eastAsia="zh-CN"/>
              </w:rPr>
              <w:t>公章。</w:t>
            </w:r>
            <w:r>
              <w:rPr>
                <w:rFonts w:hint="eastAsia" w:ascii="仿宋" w:hAnsi="仿宋" w:eastAsia="仿宋" w:cs="仿宋_GB2312"/>
                <w:b/>
                <w:bCs/>
                <w:color w:val="000000"/>
                <w:sz w:val="24"/>
                <w:highlight w:val="none"/>
                <w:lang w:eastAsia="zh-CN"/>
              </w:rPr>
              <w:t>（</w:t>
            </w:r>
            <w:r>
              <w:rPr>
                <w:rFonts w:hint="eastAsia" w:ascii="仿宋" w:hAnsi="仿宋" w:eastAsia="仿宋" w:cs="仿宋_GB2312"/>
                <w:b/>
                <w:bCs/>
                <w:color w:val="000000"/>
                <w:sz w:val="24"/>
                <w:highlight w:val="none"/>
                <w:lang w:val="en-US" w:eastAsia="zh-CN"/>
              </w:rPr>
              <w:t>4</w:t>
            </w:r>
            <w:r>
              <w:rPr>
                <w:rFonts w:hint="eastAsia" w:ascii="仿宋" w:hAnsi="仿宋" w:eastAsia="仿宋" w:cs="仿宋_GB2312"/>
                <w:b/>
                <w:bCs/>
                <w:color w:val="000000"/>
                <w:sz w:val="24"/>
                <w:highlight w:val="none"/>
                <w:lang w:eastAsia="zh-CN"/>
              </w:rPr>
              <w:t>）</w:t>
            </w:r>
            <w:r>
              <w:rPr>
                <w:rFonts w:hint="eastAsia" w:ascii="仿宋" w:hAnsi="仿宋" w:eastAsia="仿宋" w:cs="仿宋_GB2312"/>
                <w:b/>
                <w:bCs/>
                <w:sz w:val="24"/>
                <w:highlight w:val="none"/>
                <w:lang w:eastAsia="zh-CN"/>
              </w:rPr>
              <w:t>施工单位委托的造价咨询业绩无效。）</w:t>
            </w:r>
          </w:p>
        </w:tc>
        <w:tc>
          <w:tcPr>
            <w:tcW w:w="744" w:type="dxa"/>
            <w:vAlign w:val="center"/>
          </w:tcPr>
          <w:p>
            <w:pPr>
              <w:widowControl/>
              <w:jc w:val="center"/>
              <w:rPr>
                <w:rFonts w:hint="eastAsia" w:ascii="仿宋" w:hAnsi="仿宋" w:eastAsia="仿宋" w:cs="仿宋_GB2312"/>
                <w:sz w:val="24"/>
                <w:lang w:eastAsia="zh-CN"/>
              </w:rPr>
            </w:pPr>
            <w:r>
              <w:rPr>
                <w:rFonts w:hint="eastAsia" w:ascii="仿宋" w:hAnsi="仿宋" w:eastAsia="仿宋" w:cs="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64" w:type="dxa"/>
            <w:vMerge w:val="continue"/>
            <w:vAlign w:val="center"/>
          </w:tcPr>
          <w:p>
            <w:pPr>
              <w:widowControl/>
              <w:jc w:val="center"/>
              <w:rPr>
                <w:rFonts w:ascii="仿宋" w:hAnsi="仿宋" w:eastAsia="仿宋" w:cs="仿宋_GB2312"/>
                <w:sz w:val="24"/>
              </w:rPr>
            </w:pPr>
          </w:p>
        </w:tc>
        <w:tc>
          <w:tcPr>
            <w:tcW w:w="1056" w:type="dxa"/>
            <w:vAlign w:val="center"/>
          </w:tcPr>
          <w:p>
            <w:pPr>
              <w:widowControl/>
              <w:jc w:val="center"/>
              <w:rPr>
                <w:rFonts w:ascii="仿宋" w:hAnsi="仿宋" w:eastAsia="仿宋" w:cs="仿宋_GB2312"/>
                <w:sz w:val="24"/>
              </w:rPr>
            </w:pPr>
            <w:r>
              <w:rPr>
                <w:rFonts w:hint="eastAsia" w:ascii="仿宋" w:hAnsi="仿宋" w:eastAsia="仿宋" w:cs="仿宋_GB2312"/>
                <w:sz w:val="24"/>
              </w:rPr>
              <w:t>技术</w:t>
            </w:r>
          </w:p>
        </w:tc>
        <w:tc>
          <w:tcPr>
            <w:tcW w:w="6821" w:type="dxa"/>
            <w:vAlign w:val="center"/>
          </w:tcPr>
          <w:p>
            <w:pPr>
              <w:widowControl/>
              <w:jc w:val="left"/>
              <w:rPr>
                <w:rFonts w:ascii="仿宋" w:hAnsi="仿宋" w:eastAsia="仿宋" w:cs="仿宋_GB2312"/>
                <w:sz w:val="24"/>
              </w:rPr>
            </w:pPr>
            <w:r>
              <w:rPr>
                <w:rFonts w:hint="eastAsia" w:ascii="仿宋" w:hAnsi="仿宋" w:eastAsia="仿宋" w:cs="仿宋_GB2312"/>
                <w:sz w:val="24"/>
              </w:rPr>
              <w:t>1、服务方案：对工作内容、工作方案及工作思路把握准确，思路清晰；</w:t>
            </w:r>
          </w:p>
          <w:p>
            <w:pPr>
              <w:pStyle w:val="23"/>
              <w:spacing w:line="240" w:lineRule="auto"/>
              <w:rPr>
                <w:rFonts w:eastAsia="仿宋"/>
                <w:b/>
                <w:bCs/>
              </w:rPr>
            </w:pPr>
            <w:r>
              <w:rPr>
                <w:rFonts w:hint="eastAsia" w:ascii="仿宋" w:hAnsi="仿宋" w:eastAsia="仿宋" w:cs="仿宋_GB2312"/>
                <w:b/>
                <w:bCs/>
              </w:rPr>
              <w:t>（</w:t>
            </w:r>
            <w:r>
              <w:rPr>
                <w:rFonts w:hint="eastAsia" w:ascii="仿宋" w:hAnsi="仿宋" w:eastAsia="仿宋" w:cs="仿宋_GB2312"/>
                <w:b/>
                <w:bCs/>
                <w:lang w:val="en-US"/>
              </w:rPr>
              <w:t>好的得</w:t>
            </w:r>
            <w:r>
              <w:rPr>
                <w:rFonts w:hint="eastAsia" w:ascii="仿宋" w:hAnsi="仿宋" w:eastAsia="仿宋" w:cs="仿宋_GB2312"/>
                <w:b/>
                <w:bCs/>
                <w:lang w:val="en-US" w:eastAsia="zh-CN"/>
              </w:rPr>
              <w:t>3</w:t>
            </w:r>
            <w:r>
              <w:rPr>
                <w:rFonts w:hint="eastAsia" w:ascii="仿宋" w:hAnsi="仿宋" w:eastAsia="仿宋" w:cs="仿宋_GB2312"/>
                <w:b/>
                <w:bCs/>
                <w:lang w:val="en-US"/>
              </w:rPr>
              <w:t>-</w:t>
            </w:r>
            <w:r>
              <w:rPr>
                <w:rFonts w:hint="eastAsia" w:ascii="仿宋" w:hAnsi="仿宋" w:eastAsia="仿宋" w:cs="仿宋_GB2312"/>
                <w:b/>
                <w:bCs/>
                <w:lang w:val="en-US" w:eastAsia="zh-CN"/>
              </w:rPr>
              <w:t>4</w:t>
            </w:r>
            <w:r>
              <w:rPr>
                <w:rFonts w:hint="eastAsia" w:ascii="仿宋" w:hAnsi="仿宋" w:eastAsia="仿宋" w:cs="仿宋_GB2312"/>
                <w:b/>
                <w:bCs/>
                <w:lang w:val="en-US"/>
              </w:rPr>
              <w:t>分，一般得</w:t>
            </w:r>
            <w:r>
              <w:rPr>
                <w:rFonts w:hint="eastAsia" w:ascii="仿宋" w:hAnsi="仿宋" w:eastAsia="仿宋" w:cs="仿宋_GB2312"/>
                <w:b/>
                <w:bCs/>
                <w:lang w:val="en-US" w:eastAsia="zh-CN"/>
              </w:rPr>
              <w:t>2</w:t>
            </w:r>
            <w:r>
              <w:rPr>
                <w:rFonts w:hint="eastAsia" w:ascii="仿宋" w:hAnsi="仿宋" w:eastAsia="仿宋" w:cs="仿宋_GB2312"/>
                <w:b/>
                <w:bCs/>
                <w:lang w:val="en-US"/>
              </w:rPr>
              <w:t>-</w:t>
            </w:r>
            <w:r>
              <w:rPr>
                <w:rFonts w:hint="eastAsia" w:ascii="仿宋" w:hAnsi="仿宋" w:eastAsia="仿宋" w:cs="仿宋_GB2312"/>
                <w:b/>
                <w:bCs/>
                <w:lang w:val="en-US" w:eastAsia="zh-CN"/>
              </w:rPr>
              <w:t>3</w:t>
            </w:r>
            <w:r>
              <w:rPr>
                <w:rFonts w:hint="eastAsia" w:ascii="仿宋" w:hAnsi="仿宋" w:eastAsia="仿宋" w:cs="仿宋_GB2312"/>
                <w:b/>
                <w:bCs/>
                <w:lang w:val="en-US"/>
              </w:rPr>
              <w:t>分，差的得1-</w:t>
            </w:r>
            <w:r>
              <w:rPr>
                <w:rFonts w:hint="eastAsia" w:ascii="仿宋" w:hAnsi="仿宋" w:eastAsia="仿宋" w:cs="仿宋_GB2312"/>
                <w:b/>
                <w:bCs/>
                <w:lang w:val="en-US" w:eastAsia="zh-CN"/>
              </w:rPr>
              <w:t>2</w:t>
            </w:r>
            <w:r>
              <w:rPr>
                <w:rFonts w:hint="eastAsia" w:ascii="仿宋" w:hAnsi="仿宋" w:eastAsia="仿宋" w:cs="仿宋_GB2312"/>
                <w:b/>
                <w:bCs/>
                <w:lang w:val="en-US"/>
              </w:rPr>
              <w:t>分，不提供不得分）</w:t>
            </w:r>
          </w:p>
          <w:p>
            <w:pPr>
              <w:widowControl/>
              <w:jc w:val="left"/>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仿宋_GB2312"/>
                <w:sz w:val="24"/>
                <w:highlight w:val="none"/>
              </w:rPr>
              <w:t>针对</w:t>
            </w:r>
            <w:r>
              <w:rPr>
                <w:rFonts w:hint="eastAsia" w:ascii="仿宋" w:hAnsi="仿宋" w:eastAsia="仿宋" w:cs="仿宋_GB2312"/>
                <w:sz w:val="24"/>
                <w:highlight w:val="none"/>
                <w:lang w:val="en-US" w:eastAsia="zh-CN"/>
              </w:rPr>
              <w:t>本项目</w:t>
            </w:r>
            <w:r>
              <w:rPr>
                <w:rFonts w:hint="eastAsia" w:ascii="仿宋" w:hAnsi="仿宋" w:eastAsia="仿宋" w:cs="仿宋_GB2312"/>
                <w:sz w:val="24"/>
                <w:highlight w:val="none"/>
              </w:rPr>
              <w:t>造价成果编制质量保证措施：重难点质量保证制度、人员配备、服务和配合工作措施、时间和进度安排等相关内容；</w:t>
            </w:r>
          </w:p>
          <w:p>
            <w:pPr>
              <w:pStyle w:val="23"/>
              <w:spacing w:line="240" w:lineRule="auto"/>
              <w:rPr>
                <w:rFonts w:eastAsia="仿宋"/>
                <w:b/>
                <w:bCs/>
              </w:rPr>
            </w:pPr>
            <w:r>
              <w:rPr>
                <w:rFonts w:hint="eastAsia" w:ascii="仿宋" w:hAnsi="仿宋" w:eastAsia="仿宋" w:cs="仿宋_GB2312"/>
                <w:b/>
                <w:bCs/>
              </w:rPr>
              <w:t>（</w:t>
            </w:r>
            <w:r>
              <w:rPr>
                <w:rFonts w:hint="eastAsia" w:ascii="仿宋" w:hAnsi="仿宋" w:eastAsia="仿宋" w:cs="仿宋_GB2312"/>
                <w:b/>
                <w:bCs/>
                <w:lang w:val="en-US"/>
              </w:rPr>
              <w:t>好的得</w:t>
            </w:r>
            <w:r>
              <w:rPr>
                <w:rFonts w:hint="eastAsia" w:ascii="仿宋" w:hAnsi="仿宋" w:eastAsia="仿宋" w:cs="仿宋_GB2312"/>
                <w:b/>
                <w:bCs/>
                <w:lang w:val="en-US" w:eastAsia="zh-CN"/>
              </w:rPr>
              <w:t>5</w:t>
            </w:r>
            <w:r>
              <w:rPr>
                <w:rFonts w:hint="eastAsia" w:ascii="仿宋" w:hAnsi="仿宋" w:eastAsia="仿宋" w:cs="仿宋_GB2312"/>
                <w:b/>
                <w:bCs/>
                <w:lang w:val="en-US"/>
              </w:rPr>
              <w:t>-</w:t>
            </w:r>
            <w:r>
              <w:rPr>
                <w:rFonts w:hint="eastAsia" w:ascii="仿宋" w:hAnsi="仿宋" w:eastAsia="仿宋" w:cs="仿宋_GB2312"/>
                <w:b/>
                <w:bCs/>
                <w:lang w:val="en-US" w:eastAsia="zh-CN"/>
              </w:rPr>
              <w:t>6</w:t>
            </w:r>
            <w:r>
              <w:rPr>
                <w:rFonts w:hint="eastAsia" w:ascii="仿宋" w:hAnsi="仿宋" w:eastAsia="仿宋" w:cs="仿宋_GB2312"/>
                <w:b/>
                <w:bCs/>
                <w:lang w:val="en-US"/>
              </w:rPr>
              <w:t>分，一般得4-</w:t>
            </w:r>
            <w:r>
              <w:rPr>
                <w:rFonts w:hint="eastAsia" w:ascii="仿宋" w:hAnsi="仿宋" w:eastAsia="仿宋" w:cs="仿宋_GB2312"/>
                <w:b/>
                <w:bCs/>
                <w:lang w:val="en-US" w:eastAsia="zh-CN"/>
              </w:rPr>
              <w:t>5</w:t>
            </w:r>
            <w:r>
              <w:rPr>
                <w:rFonts w:hint="eastAsia" w:ascii="仿宋" w:hAnsi="仿宋" w:eastAsia="仿宋" w:cs="仿宋_GB2312"/>
                <w:b/>
                <w:bCs/>
                <w:lang w:val="en-US"/>
              </w:rPr>
              <w:t>分，差的得</w:t>
            </w:r>
            <w:r>
              <w:rPr>
                <w:rFonts w:hint="eastAsia" w:ascii="仿宋" w:hAnsi="仿宋" w:eastAsia="仿宋" w:cs="仿宋_GB2312"/>
                <w:b/>
                <w:bCs/>
                <w:lang w:val="en-US" w:eastAsia="zh-CN"/>
              </w:rPr>
              <w:t>3</w:t>
            </w:r>
            <w:r>
              <w:rPr>
                <w:rFonts w:hint="eastAsia" w:ascii="仿宋" w:hAnsi="仿宋" w:eastAsia="仿宋" w:cs="仿宋_GB2312"/>
                <w:b/>
                <w:bCs/>
                <w:lang w:val="en-US"/>
              </w:rPr>
              <w:t>-4分，不提供不得分）</w:t>
            </w:r>
          </w:p>
          <w:p>
            <w:pPr>
              <w:widowControl/>
              <w:jc w:val="left"/>
              <w:rPr>
                <w:rFonts w:ascii="仿宋" w:hAnsi="仿宋" w:eastAsia="仿宋" w:cs="仿宋_GB2312"/>
                <w:sz w:val="24"/>
              </w:rPr>
            </w:pPr>
            <w:r>
              <w:rPr>
                <w:rFonts w:hint="eastAsia" w:ascii="仿宋" w:hAnsi="仿宋" w:eastAsia="仿宋" w:cs="仿宋_GB2312"/>
                <w:sz w:val="24"/>
              </w:rPr>
              <w:t>3、合理化建议：根据投标单位为做好本项目工程造价咨询、招标代理服务项目提出的合理化建议；</w:t>
            </w:r>
          </w:p>
          <w:p>
            <w:pPr>
              <w:pStyle w:val="23"/>
              <w:spacing w:line="240" w:lineRule="auto"/>
              <w:rPr>
                <w:rFonts w:hint="eastAsia" w:ascii="仿宋" w:hAnsi="仿宋" w:eastAsia="仿宋" w:cs="仿宋_GB2312"/>
                <w:b/>
                <w:bCs/>
                <w:lang w:val="en-US"/>
              </w:rPr>
            </w:pPr>
            <w:r>
              <w:rPr>
                <w:rFonts w:hint="eastAsia" w:ascii="仿宋" w:hAnsi="仿宋" w:eastAsia="仿宋" w:cs="仿宋_GB2312"/>
                <w:b/>
                <w:bCs/>
              </w:rPr>
              <w:t>（</w:t>
            </w:r>
            <w:r>
              <w:rPr>
                <w:rFonts w:hint="eastAsia" w:ascii="仿宋" w:hAnsi="仿宋" w:eastAsia="仿宋" w:cs="仿宋_GB2312"/>
                <w:b/>
                <w:bCs/>
                <w:lang w:val="en-US"/>
              </w:rPr>
              <w:t>好的得</w:t>
            </w:r>
            <w:r>
              <w:rPr>
                <w:rFonts w:hint="eastAsia" w:ascii="仿宋" w:hAnsi="仿宋" w:eastAsia="仿宋" w:cs="仿宋_GB2312"/>
                <w:b/>
                <w:bCs/>
                <w:lang w:val="en-US" w:eastAsia="zh-CN"/>
              </w:rPr>
              <w:t>3</w:t>
            </w:r>
            <w:r>
              <w:rPr>
                <w:rFonts w:hint="eastAsia" w:ascii="仿宋" w:hAnsi="仿宋" w:eastAsia="仿宋" w:cs="仿宋_GB2312"/>
                <w:b/>
                <w:bCs/>
                <w:lang w:val="en-US"/>
              </w:rPr>
              <w:t>-4分，一般得</w:t>
            </w:r>
            <w:r>
              <w:rPr>
                <w:rFonts w:hint="eastAsia" w:ascii="仿宋" w:hAnsi="仿宋" w:eastAsia="仿宋" w:cs="仿宋_GB2312"/>
                <w:b/>
                <w:bCs/>
                <w:lang w:val="en-US" w:eastAsia="zh-CN"/>
              </w:rPr>
              <w:t>2</w:t>
            </w:r>
            <w:r>
              <w:rPr>
                <w:rFonts w:hint="eastAsia" w:ascii="仿宋" w:hAnsi="仿宋" w:eastAsia="仿宋" w:cs="仿宋_GB2312"/>
                <w:b/>
                <w:bCs/>
                <w:lang w:val="en-US"/>
              </w:rPr>
              <w:t>-</w:t>
            </w:r>
            <w:r>
              <w:rPr>
                <w:rFonts w:hint="eastAsia" w:ascii="仿宋" w:hAnsi="仿宋" w:eastAsia="仿宋" w:cs="仿宋_GB2312"/>
                <w:b/>
                <w:bCs/>
                <w:lang w:val="en-US" w:eastAsia="zh-CN"/>
              </w:rPr>
              <w:t>3</w:t>
            </w:r>
            <w:r>
              <w:rPr>
                <w:rFonts w:hint="eastAsia" w:ascii="仿宋" w:hAnsi="仿宋" w:eastAsia="仿宋" w:cs="仿宋_GB2312"/>
                <w:b/>
                <w:bCs/>
                <w:lang w:val="en-US"/>
              </w:rPr>
              <w:t>分，差的得</w:t>
            </w:r>
            <w:r>
              <w:rPr>
                <w:rFonts w:hint="eastAsia" w:ascii="仿宋" w:hAnsi="仿宋" w:eastAsia="仿宋" w:cs="仿宋_GB2312"/>
                <w:b/>
                <w:bCs/>
                <w:lang w:val="en-US" w:eastAsia="zh-CN"/>
              </w:rPr>
              <w:t>1</w:t>
            </w:r>
            <w:r>
              <w:rPr>
                <w:rFonts w:hint="eastAsia" w:ascii="仿宋" w:hAnsi="仿宋" w:eastAsia="仿宋" w:cs="仿宋_GB2312"/>
                <w:b/>
                <w:bCs/>
                <w:lang w:val="en-US"/>
              </w:rPr>
              <w:t>-</w:t>
            </w:r>
            <w:r>
              <w:rPr>
                <w:rFonts w:hint="eastAsia" w:ascii="仿宋" w:hAnsi="仿宋" w:eastAsia="仿宋" w:cs="仿宋_GB2312"/>
                <w:b/>
                <w:bCs/>
                <w:lang w:val="en-US" w:eastAsia="zh-CN"/>
              </w:rPr>
              <w:t>2</w:t>
            </w:r>
            <w:r>
              <w:rPr>
                <w:rFonts w:hint="eastAsia" w:ascii="仿宋" w:hAnsi="仿宋" w:eastAsia="仿宋" w:cs="仿宋_GB2312"/>
                <w:b/>
                <w:bCs/>
                <w:lang w:val="en-US"/>
              </w:rPr>
              <w:t>分，不提供不得分）</w:t>
            </w:r>
          </w:p>
          <w:p>
            <w:pPr>
              <w:numPr>
                <w:ilvl w:val="0"/>
                <w:numId w:val="0"/>
              </w:numPr>
              <w:rPr>
                <w:rFonts w:hint="eastAsia"/>
                <w:lang w:val="en-US" w:eastAsia="zh-CN"/>
              </w:rPr>
            </w:pPr>
            <w:r>
              <w:rPr>
                <w:rFonts w:hint="eastAsia" w:ascii="仿宋" w:hAnsi="仿宋" w:eastAsia="仿宋" w:cs="仿宋_GB2312"/>
                <w:sz w:val="24"/>
                <w:lang w:val="en-US" w:eastAsia="zh-CN"/>
              </w:rPr>
              <w:t>4、</w:t>
            </w:r>
            <w:r>
              <w:rPr>
                <w:rFonts w:hint="eastAsia" w:ascii="仿宋" w:hAnsi="仿宋" w:eastAsia="仿宋" w:cs="仿宋_GB2312"/>
                <w:sz w:val="24"/>
                <w:lang w:eastAsia="zh-CN"/>
              </w:rPr>
              <w:t>本地化服务：根据投标单位完成本项目的有利条件和工作基础描述，包括服务便捷性、响应时间、在项目所在地的团队力量及办公场所、本地类似服务经验等，进行横向比较打分。</w:t>
            </w:r>
          </w:p>
          <w:p>
            <w:pPr>
              <w:pStyle w:val="23"/>
              <w:spacing w:line="240" w:lineRule="auto"/>
              <w:rPr>
                <w:rFonts w:hint="eastAsia" w:ascii="仿宋" w:hAnsi="仿宋" w:eastAsia="仿宋" w:cs="仿宋_GB2312"/>
                <w:b/>
                <w:bCs/>
                <w:lang w:val="en-US"/>
              </w:rPr>
            </w:pPr>
            <w:r>
              <w:rPr>
                <w:rFonts w:hint="eastAsia" w:ascii="仿宋" w:hAnsi="仿宋" w:eastAsia="仿宋" w:cs="仿宋_GB2312"/>
                <w:b/>
                <w:bCs/>
              </w:rPr>
              <w:t>（</w:t>
            </w:r>
            <w:r>
              <w:rPr>
                <w:rFonts w:hint="eastAsia" w:ascii="仿宋" w:hAnsi="仿宋" w:eastAsia="仿宋" w:cs="仿宋_GB2312"/>
                <w:b/>
                <w:bCs/>
                <w:lang w:val="en-US"/>
              </w:rPr>
              <w:t>好的得</w:t>
            </w:r>
            <w:r>
              <w:rPr>
                <w:rFonts w:hint="eastAsia" w:ascii="仿宋" w:hAnsi="仿宋" w:eastAsia="仿宋" w:cs="仿宋_GB2312"/>
                <w:b/>
                <w:bCs/>
                <w:lang w:val="en-US" w:eastAsia="zh-CN"/>
              </w:rPr>
              <w:t>1.5-2</w:t>
            </w:r>
            <w:r>
              <w:rPr>
                <w:rFonts w:hint="eastAsia" w:ascii="仿宋" w:hAnsi="仿宋" w:eastAsia="仿宋" w:cs="仿宋_GB2312"/>
                <w:b/>
                <w:bCs/>
                <w:lang w:val="en-US"/>
              </w:rPr>
              <w:t>分，一般得</w:t>
            </w:r>
            <w:r>
              <w:rPr>
                <w:rFonts w:hint="eastAsia" w:ascii="仿宋" w:hAnsi="仿宋" w:eastAsia="仿宋" w:cs="仿宋_GB2312"/>
                <w:b/>
                <w:bCs/>
                <w:lang w:val="en-US" w:eastAsia="zh-CN"/>
              </w:rPr>
              <w:t>1-1.5</w:t>
            </w:r>
            <w:r>
              <w:rPr>
                <w:rFonts w:hint="eastAsia" w:ascii="仿宋" w:hAnsi="仿宋" w:eastAsia="仿宋" w:cs="仿宋_GB2312"/>
                <w:b/>
                <w:bCs/>
                <w:lang w:val="en-US"/>
              </w:rPr>
              <w:t>分，差的得</w:t>
            </w:r>
            <w:r>
              <w:rPr>
                <w:rFonts w:hint="eastAsia" w:ascii="仿宋" w:hAnsi="仿宋" w:eastAsia="仿宋" w:cs="仿宋_GB2312"/>
                <w:b/>
                <w:bCs/>
                <w:lang w:val="en-US" w:eastAsia="zh-CN"/>
              </w:rPr>
              <w:t>0.5-1</w:t>
            </w:r>
            <w:r>
              <w:rPr>
                <w:rFonts w:hint="eastAsia" w:ascii="仿宋" w:hAnsi="仿宋" w:eastAsia="仿宋" w:cs="仿宋_GB2312"/>
                <w:b/>
                <w:bCs/>
                <w:lang w:val="en-US"/>
              </w:rPr>
              <w:t>分，不提供不得分）</w:t>
            </w:r>
          </w:p>
          <w:p/>
        </w:tc>
        <w:tc>
          <w:tcPr>
            <w:tcW w:w="744" w:type="dxa"/>
            <w:vAlign w:val="center"/>
          </w:tcPr>
          <w:p>
            <w:pPr>
              <w:widowControl/>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16</w:t>
            </w:r>
          </w:p>
        </w:tc>
      </w:tr>
    </w:tbl>
    <w:p>
      <w:pPr>
        <w:snapToGrid w:val="0"/>
        <w:spacing w:before="50" w:afterLines="50"/>
        <w:rPr>
          <w:rFonts w:ascii="仿宋" w:hAnsi="仿宋" w:eastAsia="仿宋"/>
          <w:b/>
          <w:bCs/>
          <w:spacing w:val="6"/>
          <w:sz w:val="32"/>
          <w:szCs w:val="32"/>
        </w:rPr>
      </w:pPr>
      <w:r>
        <w:rPr>
          <w:rFonts w:ascii="仿宋" w:hAnsi="仿宋" w:eastAsia="仿宋" w:cs="仿宋_GB2312"/>
          <w:b/>
          <w:bCs/>
          <w:sz w:val="32"/>
          <w:szCs w:val="32"/>
        </w:rPr>
        <w:br w:type="page"/>
      </w:r>
      <w:r>
        <w:rPr>
          <w:rFonts w:hint="eastAsia" w:ascii="仿宋" w:hAnsi="仿宋" w:eastAsia="仿宋"/>
          <w:b/>
          <w:bCs/>
          <w:spacing w:val="6"/>
          <w:sz w:val="32"/>
          <w:szCs w:val="32"/>
        </w:rPr>
        <w:t>二、商务响应表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2" w:name="_Toc64369815"/>
            <w:r>
              <w:rPr>
                <w:rFonts w:hint="eastAsia" w:ascii="仿宋" w:hAnsi="仿宋" w:eastAsia="仿宋"/>
                <w:sz w:val="24"/>
              </w:rPr>
              <w:t>类别</w:t>
            </w:r>
            <w:bookmarkEnd w:id="432"/>
          </w:p>
        </w:tc>
        <w:tc>
          <w:tcPr>
            <w:tcW w:w="329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33" w:name="_Toc64369816"/>
            <w:r>
              <w:rPr>
                <w:rFonts w:hint="eastAsia" w:ascii="仿宋" w:hAnsi="仿宋" w:eastAsia="仿宋"/>
                <w:sz w:val="24"/>
              </w:rPr>
              <w:t>采购文件要求</w:t>
            </w:r>
            <w:bookmarkEnd w:id="433"/>
          </w:p>
        </w:tc>
        <w:tc>
          <w:tcPr>
            <w:tcW w:w="32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34" w:name="_Toc64369817"/>
            <w:r>
              <w:rPr>
                <w:rFonts w:hint="eastAsia" w:ascii="仿宋" w:hAnsi="仿宋" w:eastAsia="仿宋"/>
                <w:sz w:val="24"/>
              </w:rPr>
              <w:t>投标文件响应</w:t>
            </w:r>
            <w:bookmarkEnd w:id="434"/>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35" w:name="_Toc64369818"/>
            <w:r>
              <w:rPr>
                <w:rFonts w:hint="eastAsia" w:ascii="仿宋" w:hAnsi="仿宋" w:eastAsia="仿宋"/>
                <w:sz w:val="24"/>
              </w:rPr>
              <w:t>偏离情况</w:t>
            </w:r>
            <w:bookmarkEnd w:id="4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6" w:name="_Toc64369824"/>
            <w:r>
              <w:rPr>
                <w:rFonts w:hint="eastAsia" w:ascii="仿宋" w:hAnsi="仿宋" w:eastAsia="仿宋"/>
                <w:sz w:val="24"/>
              </w:rPr>
              <w:t>…</w:t>
            </w:r>
            <w:bookmarkEnd w:id="436"/>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ascii="仿宋" w:hAnsi="仿宋" w:eastAsia="仿宋" w:cs="仿宋_GB2312"/>
          <w:sz w:val="24"/>
        </w:rPr>
      </w:pPr>
      <w:r>
        <w:rPr>
          <w:rFonts w:hint="eastAsia" w:ascii="仿宋" w:hAnsi="仿宋" w:eastAsia="仿宋" w:cs="仿宋_GB2312"/>
          <w:sz w:val="24"/>
        </w:rPr>
        <w:t>注：</w:t>
      </w:r>
    </w:p>
    <w:p>
      <w:pPr>
        <w:spacing w:line="360" w:lineRule="auto"/>
        <w:ind w:right="420"/>
        <w:rPr>
          <w:rFonts w:ascii="仿宋" w:hAnsi="仿宋" w:eastAsia="仿宋" w:cs="仿宋_GB2312"/>
          <w:sz w:val="24"/>
        </w:rPr>
      </w:pPr>
      <w:r>
        <w:rPr>
          <w:rFonts w:hint="eastAsia" w:ascii="仿宋" w:hAnsi="仿宋" w:eastAsia="仿宋" w:cs="仿宋_GB2312"/>
          <w:sz w:val="24"/>
        </w:rPr>
        <w:t>1、投标人应对照采购文件要求和投标文件响应情况在“偏离情况”栏注明“正偏离”、“负偏离”或“无偏离”。</w:t>
      </w:r>
    </w:p>
    <w:p>
      <w:pPr>
        <w:spacing w:line="360" w:lineRule="auto"/>
        <w:ind w:right="420"/>
        <w:rPr>
          <w:rFonts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sz w:val="24"/>
        </w:rPr>
      </w:pP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ascii="仿宋" w:hAnsi="仿宋" w:eastAsia="仿宋" w:cs="仿宋_GB2312"/>
          <w:sz w:val="24"/>
        </w:rPr>
      </w:pPr>
    </w:p>
    <w:p>
      <w:pPr>
        <w:autoSpaceDE w:val="0"/>
        <w:autoSpaceDN w:val="0"/>
        <w:spacing w:line="360" w:lineRule="auto"/>
        <w:rPr>
          <w:rFonts w:ascii="仿宋" w:hAnsi="仿宋" w:eastAsia="仿宋" w:cs="仿宋_GB2312"/>
          <w:b/>
          <w:kern w:val="0"/>
          <w:sz w:val="28"/>
          <w:szCs w:val="28"/>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sz w:val="32"/>
          <w:szCs w:val="32"/>
        </w:rPr>
      </w:pPr>
      <w:r>
        <w:rPr>
          <w:rFonts w:hint="eastAsia" w:ascii="仿宋" w:hAnsi="仿宋" w:eastAsia="仿宋" w:cs="仿宋_GB2312"/>
          <w:b/>
          <w:bCs/>
          <w:kern w:val="0"/>
          <w:sz w:val="36"/>
          <w:szCs w:val="36"/>
          <w:lang w:val="zh-CN"/>
        </w:rPr>
        <w:br w:type="page"/>
      </w:r>
      <w:r>
        <w:rPr>
          <w:rFonts w:hint="eastAsia" w:ascii="仿宋" w:hAnsi="仿宋" w:eastAsia="仿宋" w:cs="仿宋_GB2312"/>
          <w:b/>
          <w:bCs/>
          <w:sz w:val="32"/>
          <w:szCs w:val="32"/>
        </w:rPr>
        <w:t>三、项目组织实施方案</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jc w:val="center"/>
        <w:rPr>
          <w:rFonts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rPr>
        <w:t>四、项目负责人情况表</w:t>
      </w:r>
    </w:p>
    <w:p>
      <w:pPr>
        <w:spacing w:line="360" w:lineRule="auto"/>
        <w:jc w:val="center"/>
        <w:rPr>
          <w:rFonts w:ascii="仿宋" w:hAnsi="仿宋" w:eastAsia="仿宋" w:cs="仿宋_GB2312"/>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c>
          <w:tcPr>
            <w:tcW w:w="58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投标截止时间前五年业绩及承担的主要工作情况，曾担任项目负责人的项目应列明细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毕业时间</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所学专业</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相关资质证书</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其他资质情况</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联系电话</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bl>
    <w:p>
      <w:pPr>
        <w:pStyle w:val="51"/>
        <w:spacing w:line="440" w:lineRule="exact"/>
        <w:ind w:firstLine="482"/>
        <w:rPr>
          <w:rFonts w:ascii="仿宋" w:hAnsi="仿宋" w:eastAsia="仿宋" w:cs="仿宋"/>
          <w:b/>
          <w:szCs w:val="24"/>
        </w:rPr>
      </w:pPr>
      <w:r>
        <w:rPr>
          <w:rFonts w:hint="eastAsia" w:ascii="仿宋" w:hAnsi="仿宋" w:eastAsia="仿宋" w:cs="仿宋"/>
          <w:b/>
          <w:szCs w:val="24"/>
        </w:rPr>
        <w:t>附：提供项目负责人近三个月（202</w:t>
      </w:r>
      <w:r>
        <w:rPr>
          <w:rFonts w:hint="eastAsia" w:ascii="仿宋" w:hAnsi="仿宋" w:eastAsia="仿宋" w:cs="仿宋"/>
          <w:b/>
          <w:szCs w:val="24"/>
          <w:lang w:val="en-US" w:eastAsia="zh-CN"/>
        </w:rPr>
        <w:t>3</w:t>
      </w:r>
      <w:r>
        <w:rPr>
          <w:rFonts w:hint="eastAsia" w:ascii="仿宋" w:hAnsi="仿宋" w:eastAsia="仿宋" w:cs="仿宋"/>
          <w:b/>
          <w:szCs w:val="24"/>
        </w:rPr>
        <w:t>年</w:t>
      </w:r>
      <w:r>
        <w:rPr>
          <w:rFonts w:hint="eastAsia" w:ascii="仿宋" w:hAnsi="仿宋" w:eastAsia="仿宋" w:cs="仿宋"/>
          <w:b/>
          <w:szCs w:val="24"/>
          <w:lang w:val="en-US" w:eastAsia="zh-CN"/>
        </w:rPr>
        <w:t>11</w:t>
      </w:r>
      <w:r>
        <w:rPr>
          <w:rFonts w:hint="eastAsia" w:ascii="仿宋" w:hAnsi="仿宋" w:eastAsia="仿宋" w:cs="仿宋"/>
          <w:b/>
          <w:szCs w:val="24"/>
        </w:rPr>
        <w:t>月、202</w:t>
      </w:r>
      <w:r>
        <w:rPr>
          <w:rFonts w:hint="eastAsia" w:ascii="仿宋" w:hAnsi="仿宋" w:eastAsia="仿宋" w:cs="仿宋"/>
          <w:b/>
          <w:szCs w:val="24"/>
          <w:lang w:val="en-US" w:eastAsia="zh-CN"/>
        </w:rPr>
        <w:t>3</w:t>
      </w:r>
      <w:r>
        <w:rPr>
          <w:rFonts w:hint="eastAsia" w:ascii="仿宋" w:hAnsi="仿宋" w:eastAsia="仿宋" w:cs="仿宋"/>
          <w:b/>
          <w:szCs w:val="24"/>
        </w:rPr>
        <w:t>年</w:t>
      </w:r>
      <w:r>
        <w:rPr>
          <w:rFonts w:hint="eastAsia" w:ascii="仿宋" w:hAnsi="仿宋" w:eastAsia="仿宋" w:cs="仿宋"/>
          <w:b/>
          <w:szCs w:val="24"/>
          <w:lang w:val="en-US" w:eastAsia="zh-CN"/>
        </w:rPr>
        <w:t>12</w:t>
      </w:r>
      <w:r>
        <w:rPr>
          <w:rFonts w:hint="eastAsia" w:ascii="仿宋" w:hAnsi="仿宋" w:eastAsia="仿宋" w:cs="仿宋"/>
          <w:b/>
          <w:szCs w:val="24"/>
        </w:rPr>
        <w:t>月、202</w:t>
      </w:r>
      <w:r>
        <w:rPr>
          <w:rFonts w:hint="eastAsia" w:ascii="仿宋" w:hAnsi="仿宋" w:eastAsia="仿宋" w:cs="仿宋"/>
          <w:b/>
          <w:szCs w:val="24"/>
          <w:lang w:val="en-US" w:eastAsia="zh-CN"/>
        </w:rPr>
        <w:t>4</w:t>
      </w:r>
      <w:r>
        <w:rPr>
          <w:rFonts w:hint="eastAsia" w:ascii="仿宋" w:hAnsi="仿宋" w:eastAsia="仿宋" w:cs="仿宋"/>
          <w:b/>
          <w:szCs w:val="24"/>
        </w:rPr>
        <w:t>年</w:t>
      </w:r>
      <w:r>
        <w:rPr>
          <w:rFonts w:hint="eastAsia" w:ascii="仿宋" w:hAnsi="仿宋" w:eastAsia="仿宋" w:cs="仿宋"/>
          <w:b/>
          <w:szCs w:val="24"/>
          <w:lang w:val="en-US" w:eastAsia="zh-CN"/>
        </w:rPr>
        <w:t>1</w:t>
      </w:r>
      <w:r>
        <w:rPr>
          <w:rFonts w:hint="eastAsia" w:ascii="仿宋" w:hAnsi="仿宋" w:eastAsia="仿宋" w:cs="仿宋"/>
          <w:b/>
          <w:szCs w:val="24"/>
        </w:rPr>
        <w:t>月）社保证明复印件并加盖公章（否则做无效标处理）。</w:t>
      </w:r>
    </w:p>
    <w:p>
      <w:pPr>
        <w:spacing w:line="360" w:lineRule="auto"/>
        <w:ind w:right="420"/>
        <w:rPr>
          <w:rFonts w:ascii="仿宋" w:hAnsi="仿宋" w:eastAsia="仿宋" w:cs="仿宋_GB2312"/>
          <w:sz w:val="24"/>
        </w:rPr>
      </w:pP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rPr>
        <w:t>五、项目组人员名单</w:t>
      </w:r>
    </w:p>
    <w:tbl>
      <w:tblPr>
        <w:tblStyle w:val="60"/>
        <w:tblW w:w="9242" w:type="dxa"/>
        <w:tblCellSpacing w:w="0" w:type="dxa"/>
        <w:tblInd w:w="-525"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
      <w:tblGrid>
        <w:gridCol w:w="644"/>
        <w:gridCol w:w="920"/>
        <w:gridCol w:w="1175"/>
        <w:gridCol w:w="1068"/>
        <w:gridCol w:w="832"/>
        <w:gridCol w:w="1037"/>
        <w:gridCol w:w="1063"/>
        <w:gridCol w:w="1187"/>
        <w:gridCol w:w="1316"/>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728" w:hRule="atLeast"/>
          <w:tblCellSpacing w:w="0" w:type="dxa"/>
        </w:trPr>
        <w:tc>
          <w:tcPr>
            <w:tcW w:w="1564" w:type="dxa"/>
            <w:gridSpan w:val="2"/>
            <w:vAlign w:val="center"/>
          </w:tcPr>
          <w:p>
            <w:pPr>
              <w:widowControl/>
              <w:jc w:val="center"/>
              <w:rPr>
                <w:rFonts w:ascii="宋体" w:hAnsi="宋体" w:cs="宋体"/>
                <w:kern w:val="0"/>
                <w:sz w:val="24"/>
              </w:rPr>
            </w:pPr>
            <w:r>
              <w:rPr>
                <w:rFonts w:hint="eastAsia" w:ascii="宋体" w:hAnsi="宋体" w:cs="宋体"/>
                <w:kern w:val="0"/>
                <w:sz w:val="24"/>
              </w:rPr>
              <w:t>岗位</w:t>
            </w:r>
            <w:r>
              <w:rPr>
                <w:rFonts w:ascii="宋体" w:hAnsi="宋体" w:cs="宋体"/>
                <w:kern w:val="0"/>
                <w:sz w:val="24"/>
              </w:rPr>
              <w:t xml:space="preserve">　　　 </w:t>
            </w:r>
          </w:p>
        </w:tc>
        <w:tc>
          <w:tcPr>
            <w:tcW w:w="1175" w:type="dxa"/>
            <w:vAlign w:val="center"/>
          </w:tcPr>
          <w:p>
            <w:pPr>
              <w:widowControl/>
              <w:jc w:val="center"/>
              <w:rPr>
                <w:rFonts w:ascii="宋体" w:hAnsi="宋体" w:cs="宋体"/>
                <w:kern w:val="0"/>
                <w:sz w:val="24"/>
              </w:rPr>
            </w:pPr>
            <w:r>
              <w:rPr>
                <w:rFonts w:ascii="宋体" w:hAnsi="宋体" w:cs="宋体"/>
                <w:kern w:val="0"/>
                <w:sz w:val="24"/>
              </w:rPr>
              <w:t xml:space="preserve">姓名 </w:t>
            </w:r>
          </w:p>
        </w:tc>
        <w:tc>
          <w:tcPr>
            <w:tcW w:w="1068" w:type="dxa"/>
            <w:vAlign w:val="center"/>
          </w:tcPr>
          <w:p>
            <w:pPr>
              <w:widowControl/>
              <w:jc w:val="center"/>
              <w:rPr>
                <w:rFonts w:ascii="宋体" w:hAnsi="宋体" w:cs="宋体"/>
                <w:kern w:val="0"/>
                <w:sz w:val="24"/>
              </w:rPr>
            </w:pPr>
            <w:r>
              <w:rPr>
                <w:rFonts w:hint="eastAsia" w:ascii="宋体" w:hAnsi="宋体" w:cs="宋体"/>
                <w:kern w:val="0"/>
                <w:sz w:val="24"/>
              </w:rPr>
              <w:t>性别</w:t>
            </w:r>
            <w:r>
              <w:rPr>
                <w:rFonts w:ascii="宋体" w:hAnsi="宋体" w:cs="宋体"/>
                <w:kern w:val="0"/>
                <w:sz w:val="24"/>
              </w:rPr>
              <w:t xml:space="preserve">　 </w:t>
            </w:r>
          </w:p>
        </w:tc>
        <w:tc>
          <w:tcPr>
            <w:tcW w:w="832" w:type="dxa"/>
            <w:vAlign w:val="center"/>
          </w:tcPr>
          <w:p>
            <w:pPr>
              <w:widowControl/>
              <w:jc w:val="center"/>
              <w:rPr>
                <w:rFonts w:ascii="宋体" w:hAnsi="宋体" w:cs="宋体"/>
                <w:kern w:val="0"/>
                <w:sz w:val="24"/>
              </w:rPr>
            </w:pPr>
            <w:r>
              <w:rPr>
                <w:rFonts w:ascii="宋体" w:hAnsi="宋体" w:cs="宋体"/>
                <w:kern w:val="0"/>
                <w:sz w:val="24"/>
              </w:rPr>
              <w:t xml:space="preserve">年龄 </w:t>
            </w:r>
          </w:p>
        </w:tc>
        <w:tc>
          <w:tcPr>
            <w:tcW w:w="1037" w:type="dxa"/>
            <w:tcBorders>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学历</w:t>
            </w:r>
            <w:r>
              <w:rPr>
                <w:rFonts w:ascii="宋体" w:hAnsi="宋体" w:cs="宋体"/>
                <w:kern w:val="0"/>
                <w:sz w:val="24"/>
              </w:rPr>
              <w:t xml:space="preserve"> </w:t>
            </w:r>
          </w:p>
        </w:tc>
        <w:tc>
          <w:tcPr>
            <w:tcW w:w="1063" w:type="dxa"/>
            <w:tcBorders>
              <w:left w:val="single" w:color="auto" w:sz="4" w:space="0"/>
            </w:tcBorders>
            <w:vAlign w:val="center"/>
          </w:tcPr>
          <w:p>
            <w:pPr>
              <w:widowControl/>
              <w:jc w:val="center"/>
              <w:rPr>
                <w:rFonts w:ascii="宋体" w:hAnsi="宋体" w:cs="宋体"/>
                <w:kern w:val="0"/>
                <w:sz w:val="24"/>
              </w:rPr>
            </w:pPr>
            <w:r>
              <w:rPr>
                <w:rFonts w:ascii="宋体" w:hAnsi="宋体" w:cs="宋体"/>
                <w:kern w:val="0"/>
                <w:sz w:val="24"/>
              </w:rPr>
              <w:t>执业资格注册号</w:t>
            </w:r>
          </w:p>
        </w:tc>
        <w:tc>
          <w:tcPr>
            <w:tcW w:w="1187" w:type="dxa"/>
            <w:tcBorders>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职称</w:t>
            </w:r>
          </w:p>
        </w:tc>
        <w:tc>
          <w:tcPr>
            <w:tcW w:w="1316" w:type="dxa"/>
            <w:vAlign w:val="center"/>
          </w:tcPr>
          <w:p>
            <w:pPr>
              <w:widowControl/>
              <w:jc w:val="center"/>
              <w:rPr>
                <w:rFonts w:ascii="宋体" w:hAnsi="宋体" w:cs="宋体"/>
                <w:kern w:val="0"/>
                <w:sz w:val="24"/>
              </w:rPr>
            </w:pPr>
            <w:r>
              <w:rPr>
                <w:rFonts w:hint="eastAsia" w:ascii="宋体" w:hAnsi="宋体" w:cs="宋体"/>
                <w:kern w:val="0"/>
                <w:sz w:val="24"/>
              </w:rPr>
              <w:t>联系电话</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restart"/>
            <w:vAlign w:val="center"/>
          </w:tcPr>
          <w:p>
            <w:pPr>
              <w:widowControl/>
              <w:jc w:val="center"/>
              <w:rPr>
                <w:rFonts w:ascii="宋体" w:hAnsi="宋体" w:cs="宋体"/>
                <w:kern w:val="0"/>
                <w:sz w:val="24"/>
              </w:rPr>
            </w:pPr>
            <w:r>
              <w:rPr>
                <w:rFonts w:hint="eastAsia" w:ascii="宋体" w:hAnsi="宋体" w:cs="宋体"/>
                <w:kern w:val="0"/>
                <w:sz w:val="24"/>
              </w:rPr>
              <w:t>代</w:t>
            </w:r>
          </w:p>
          <w:p>
            <w:pPr>
              <w:widowControl/>
              <w:jc w:val="center"/>
              <w:rPr>
                <w:rFonts w:ascii="宋体" w:hAnsi="宋体" w:cs="宋体"/>
                <w:kern w:val="0"/>
                <w:sz w:val="24"/>
              </w:rPr>
            </w:pPr>
            <w:r>
              <w:rPr>
                <w:rFonts w:hint="eastAsia" w:ascii="宋体" w:hAnsi="宋体" w:cs="宋体"/>
                <w:kern w:val="0"/>
                <w:sz w:val="24"/>
              </w:rPr>
              <w:t>理</w:t>
            </w:r>
          </w:p>
          <w:p>
            <w:pPr>
              <w:widowControl/>
              <w:jc w:val="center"/>
              <w:rPr>
                <w:rFonts w:ascii="宋体" w:hAnsi="宋体" w:cs="宋体"/>
                <w:kern w:val="0"/>
                <w:sz w:val="24"/>
              </w:rPr>
            </w:pPr>
            <w:r>
              <w:rPr>
                <w:rFonts w:hint="eastAsia" w:ascii="宋体" w:hAnsi="宋体" w:cs="宋体"/>
                <w:kern w:val="0"/>
                <w:sz w:val="24"/>
              </w:rPr>
              <w:t>组≥3人</w:t>
            </w:r>
          </w:p>
        </w:tc>
        <w:tc>
          <w:tcPr>
            <w:tcW w:w="920" w:type="dxa"/>
            <w:vAlign w:val="center"/>
          </w:tcPr>
          <w:p>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jc w:val="center"/>
              <w:rPr>
                <w:rFonts w:ascii="宋体" w:hAnsi="宋体" w:cs="宋体"/>
                <w:kern w:val="0"/>
                <w:sz w:val="24"/>
              </w:rPr>
            </w:pPr>
          </w:p>
        </w:tc>
        <w:tc>
          <w:tcPr>
            <w:tcW w:w="1063" w:type="dxa"/>
            <w:tcBorders>
              <w:left w:val="single" w:color="auto" w:sz="4" w:space="0"/>
            </w:tcBorders>
            <w:vAlign w:val="center"/>
          </w:tcPr>
          <w:p>
            <w:pPr>
              <w:jc w:val="center"/>
              <w:rPr>
                <w:rFonts w:ascii="宋体" w:hAnsi="宋体" w:cs="宋体"/>
                <w:kern w:val="0"/>
                <w:sz w:val="24"/>
              </w:rPr>
            </w:pPr>
          </w:p>
        </w:tc>
        <w:tc>
          <w:tcPr>
            <w:tcW w:w="1187" w:type="dxa"/>
            <w:tcBorders>
              <w:right w:val="single" w:color="auto" w:sz="4" w:space="0"/>
            </w:tcBorders>
          </w:tcPr>
          <w:p>
            <w:pPr>
              <w:widowControl/>
              <w:rPr>
                <w:rFonts w:ascii="宋体" w:hAnsi="宋体" w:cs="宋体"/>
                <w:kern w:val="0"/>
                <w:sz w:val="24"/>
              </w:rPr>
            </w:pPr>
          </w:p>
        </w:tc>
        <w:tc>
          <w:tcPr>
            <w:tcW w:w="1316" w:type="dxa"/>
            <w:vAlign w:val="center"/>
          </w:tcPr>
          <w:p>
            <w:pPr>
              <w:widowControl/>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left"/>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代理员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widowControl/>
              <w:rPr>
                <w:rFonts w:ascii="宋体" w:hAnsi="宋体" w:cs="宋体"/>
                <w:kern w:val="0"/>
                <w:sz w:val="24"/>
              </w:rPr>
            </w:pPr>
          </w:p>
        </w:tc>
        <w:tc>
          <w:tcPr>
            <w:tcW w:w="1316" w:type="dxa"/>
            <w:vAlign w:val="center"/>
          </w:tcPr>
          <w:p>
            <w:pPr>
              <w:widowControl/>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left"/>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代理员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widowControl/>
              <w:rPr>
                <w:rFonts w:ascii="宋体" w:hAnsi="宋体" w:cs="宋体"/>
                <w:kern w:val="0"/>
                <w:sz w:val="24"/>
              </w:rPr>
            </w:pPr>
          </w:p>
        </w:tc>
        <w:tc>
          <w:tcPr>
            <w:tcW w:w="1316" w:type="dxa"/>
            <w:vAlign w:val="center"/>
          </w:tcPr>
          <w:p>
            <w:pPr>
              <w:widowControl/>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restart"/>
            <w:vAlign w:val="center"/>
          </w:tcPr>
          <w:p>
            <w:pPr>
              <w:widowControl/>
              <w:jc w:val="center"/>
              <w:rPr>
                <w:rFonts w:ascii="宋体" w:hAnsi="宋体" w:cs="宋体"/>
                <w:kern w:val="0"/>
                <w:sz w:val="24"/>
              </w:rPr>
            </w:pPr>
            <w:r>
              <w:rPr>
                <w:rFonts w:hint="eastAsia" w:ascii="宋体" w:hAnsi="宋体" w:cs="宋体"/>
                <w:kern w:val="0"/>
                <w:sz w:val="24"/>
              </w:rPr>
              <w:t>市政组≥3人</w:t>
            </w:r>
          </w:p>
        </w:tc>
        <w:tc>
          <w:tcPr>
            <w:tcW w:w="920" w:type="dxa"/>
            <w:vAlign w:val="center"/>
          </w:tcPr>
          <w:p>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ascii="宋体" w:hAnsi="宋体" w:cs="宋体"/>
                <w:kern w:val="0"/>
                <w:sz w:val="24"/>
              </w:rPr>
              <w:t>…</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restart"/>
            <w:vAlign w:val="center"/>
          </w:tcPr>
          <w:p>
            <w:pPr>
              <w:widowControl/>
              <w:jc w:val="center"/>
              <w:rPr>
                <w:rFonts w:ascii="宋体" w:hAnsi="宋体" w:cs="宋体"/>
                <w:kern w:val="0"/>
                <w:sz w:val="24"/>
              </w:rPr>
            </w:pPr>
            <w:r>
              <w:rPr>
                <w:rFonts w:hint="eastAsia" w:ascii="宋体" w:hAnsi="宋体" w:cs="宋体"/>
                <w:kern w:val="0"/>
                <w:sz w:val="24"/>
              </w:rPr>
              <w:t>安装</w:t>
            </w:r>
          </w:p>
          <w:p>
            <w:pPr>
              <w:widowControl/>
              <w:jc w:val="center"/>
              <w:rPr>
                <w:rFonts w:ascii="宋体" w:hAnsi="宋体" w:cs="宋体"/>
                <w:kern w:val="0"/>
                <w:sz w:val="24"/>
              </w:rPr>
            </w:pPr>
            <w:r>
              <w:rPr>
                <w:rFonts w:hint="eastAsia" w:ascii="宋体" w:hAnsi="宋体" w:cs="宋体"/>
                <w:kern w:val="0"/>
                <w:sz w:val="24"/>
              </w:rPr>
              <w:t>组≥2人</w:t>
            </w:r>
          </w:p>
        </w:tc>
        <w:tc>
          <w:tcPr>
            <w:tcW w:w="920" w:type="dxa"/>
            <w:vAlign w:val="center"/>
          </w:tcPr>
          <w:p>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restart"/>
            <w:vAlign w:val="center"/>
          </w:tcPr>
          <w:p>
            <w:pPr>
              <w:widowControl/>
              <w:jc w:val="center"/>
              <w:rPr>
                <w:rFonts w:ascii="宋体" w:hAnsi="宋体" w:cs="宋体"/>
                <w:kern w:val="0"/>
                <w:sz w:val="24"/>
              </w:rPr>
            </w:pPr>
            <w:r>
              <w:rPr>
                <w:rFonts w:hint="eastAsia" w:ascii="宋体" w:hAnsi="宋体" w:cs="宋体"/>
                <w:kern w:val="0"/>
                <w:sz w:val="24"/>
                <w:lang w:eastAsia="zh-CN"/>
              </w:rPr>
              <w:t>园林</w:t>
            </w:r>
            <w:r>
              <w:rPr>
                <w:rFonts w:hint="eastAsia" w:ascii="宋体" w:hAnsi="宋体" w:cs="宋体"/>
                <w:kern w:val="0"/>
                <w:sz w:val="24"/>
              </w:rPr>
              <w:t>组≥</w:t>
            </w:r>
            <w:r>
              <w:rPr>
                <w:rFonts w:hint="eastAsia" w:ascii="宋体" w:hAnsi="宋体" w:cs="宋体"/>
                <w:kern w:val="0"/>
                <w:sz w:val="24"/>
                <w:lang w:val="en-US" w:eastAsia="zh-CN"/>
              </w:rPr>
              <w:t>2</w:t>
            </w:r>
            <w:r>
              <w:rPr>
                <w:rFonts w:hint="eastAsia" w:ascii="宋体" w:hAnsi="宋体" w:cs="宋体"/>
                <w:kern w:val="0"/>
                <w:sz w:val="24"/>
              </w:rPr>
              <w:t>人</w:t>
            </w:r>
          </w:p>
        </w:tc>
        <w:tc>
          <w:tcPr>
            <w:tcW w:w="920" w:type="dxa"/>
            <w:vAlign w:val="center"/>
          </w:tcPr>
          <w:p>
            <w:pPr>
              <w:widowControl/>
              <w:jc w:val="center"/>
              <w:rPr>
                <w:rFonts w:hint="eastAsia" w:ascii="宋体" w:hAnsi="宋体" w:cs="宋体"/>
                <w:kern w:val="0"/>
                <w:sz w:val="24"/>
              </w:rPr>
            </w:pPr>
            <w:r>
              <w:rPr>
                <w:rFonts w:hint="eastAsia" w:ascii="宋体" w:hAnsi="宋体" w:cs="宋体"/>
                <w:kern w:val="0"/>
                <w:sz w:val="24"/>
              </w:rPr>
              <w:t>组长</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hint="eastAsia"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trPr>
        <w:tc>
          <w:tcPr>
            <w:tcW w:w="644" w:type="dxa"/>
            <w:vMerge w:val="continue"/>
            <w:vAlign w:val="center"/>
          </w:tcPr>
          <w:p>
            <w:pPr>
              <w:widowControl/>
              <w:jc w:val="center"/>
              <w:rPr>
                <w:rFonts w:ascii="宋体" w:hAnsi="宋体" w:cs="宋体"/>
                <w:kern w:val="0"/>
                <w:sz w:val="24"/>
              </w:rPr>
            </w:pPr>
          </w:p>
        </w:tc>
        <w:tc>
          <w:tcPr>
            <w:tcW w:w="920" w:type="dxa"/>
            <w:vAlign w:val="center"/>
          </w:tcPr>
          <w:p>
            <w:pPr>
              <w:widowControl/>
              <w:jc w:val="center"/>
              <w:rPr>
                <w:rFonts w:hint="eastAsia" w:ascii="宋体" w:hAnsi="宋体" w:cs="宋体"/>
                <w:kern w:val="0"/>
                <w:sz w:val="24"/>
              </w:rPr>
            </w:pPr>
            <w:r>
              <w:rPr>
                <w:rFonts w:hint="eastAsia" w:ascii="宋体" w:hAnsi="宋体" w:cs="宋体"/>
                <w:kern w:val="0"/>
                <w:sz w:val="24"/>
              </w:rPr>
              <w:t>造价员</w:t>
            </w:r>
          </w:p>
        </w:tc>
        <w:tc>
          <w:tcPr>
            <w:tcW w:w="1175" w:type="dxa"/>
            <w:vAlign w:val="center"/>
          </w:tcPr>
          <w:p>
            <w:pPr>
              <w:widowControl/>
              <w:jc w:val="center"/>
              <w:rPr>
                <w:rFonts w:ascii="宋体" w:hAnsi="宋体" w:cs="宋体"/>
                <w:kern w:val="0"/>
                <w:sz w:val="24"/>
              </w:rPr>
            </w:pPr>
          </w:p>
        </w:tc>
        <w:tc>
          <w:tcPr>
            <w:tcW w:w="1068" w:type="dxa"/>
            <w:vAlign w:val="center"/>
          </w:tcPr>
          <w:p>
            <w:pPr>
              <w:widowControl/>
              <w:jc w:val="center"/>
              <w:rPr>
                <w:rFonts w:ascii="宋体" w:hAnsi="宋体" w:cs="宋体"/>
                <w:kern w:val="0"/>
                <w:sz w:val="24"/>
              </w:rPr>
            </w:pPr>
          </w:p>
        </w:tc>
        <w:tc>
          <w:tcPr>
            <w:tcW w:w="832" w:type="dxa"/>
            <w:vAlign w:val="center"/>
          </w:tcPr>
          <w:p>
            <w:pPr>
              <w:widowControl/>
              <w:jc w:val="center"/>
              <w:rPr>
                <w:rFonts w:ascii="宋体" w:hAnsi="宋体" w:cs="宋体"/>
                <w:kern w:val="0"/>
                <w:sz w:val="24"/>
              </w:rPr>
            </w:pPr>
          </w:p>
        </w:tc>
        <w:tc>
          <w:tcPr>
            <w:tcW w:w="1037" w:type="dxa"/>
            <w:tcBorders>
              <w:right w:val="single" w:color="auto" w:sz="4" w:space="0"/>
            </w:tcBorders>
            <w:vAlign w:val="center"/>
          </w:tcPr>
          <w:p>
            <w:pPr>
              <w:widowControl/>
              <w:jc w:val="center"/>
              <w:rPr>
                <w:rFonts w:ascii="宋体" w:hAnsi="宋体" w:cs="宋体"/>
                <w:kern w:val="0"/>
                <w:sz w:val="24"/>
              </w:rPr>
            </w:pPr>
          </w:p>
        </w:tc>
        <w:tc>
          <w:tcPr>
            <w:tcW w:w="1063" w:type="dxa"/>
            <w:tcBorders>
              <w:left w:val="single" w:color="auto" w:sz="4" w:space="0"/>
            </w:tcBorders>
            <w:vAlign w:val="center"/>
          </w:tcPr>
          <w:p>
            <w:pPr>
              <w:widowControl/>
              <w:jc w:val="center"/>
              <w:rPr>
                <w:rFonts w:ascii="宋体" w:hAnsi="宋体" w:cs="宋体"/>
                <w:kern w:val="0"/>
                <w:sz w:val="24"/>
              </w:rPr>
            </w:pPr>
          </w:p>
        </w:tc>
        <w:tc>
          <w:tcPr>
            <w:tcW w:w="1187" w:type="dxa"/>
            <w:tcBorders>
              <w:right w:val="single" w:color="auto" w:sz="4" w:space="0"/>
            </w:tcBorders>
          </w:tcPr>
          <w:p>
            <w:pPr>
              <w:rPr>
                <w:rFonts w:ascii="宋体" w:hAnsi="宋体" w:cs="宋体"/>
                <w:kern w:val="0"/>
                <w:sz w:val="24"/>
              </w:rPr>
            </w:pPr>
          </w:p>
        </w:tc>
        <w:tc>
          <w:tcPr>
            <w:tcW w:w="1316" w:type="dxa"/>
            <w:vAlign w:val="center"/>
          </w:tcPr>
          <w:p>
            <w:pPr>
              <w:rPr>
                <w:rFonts w:ascii="宋体" w:hAnsi="宋体" w:cs="宋体"/>
                <w:kern w:val="0"/>
                <w:sz w:val="24"/>
              </w:rPr>
            </w:pPr>
          </w:p>
        </w:tc>
      </w:tr>
    </w:tbl>
    <w:p>
      <w:pPr>
        <w:adjustRightInd/>
        <w:spacing w:line="360" w:lineRule="auto"/>
        <w:rPr>
          <w:rFonts w:ascii="仿宋" w:hAnsi="仿宋" w:eastAsia="仿宋" w:cs="仿宋_GB2312"/>
          <w:b/>
          <w:sz w:val="24"/>
        </w:rPr>
      </w:pPr>
      <w:r>
        <w:rPr>
          <w:rFonts w:hint="eastAsia" w:ascii="仿宋" w:hAnsi="仿宋" w:eastAsia="仿宋" w:cs="仿宋_GB2312"/>
          <w:b/>
          <w:sz w:val="24"/>
        </w:rPr>
        <w:t>注：1.中标单位需组建造价咨询团队，造价咨询团队包含</w:t>
      </w:r>
      <w:r>
        <w:rPr>
          <w:rFonts w:hint="eastAsia" w:ascii="仿宋" w:hAnsi="仿宋" w:eastAsia="仿宋"/>
          <w:b/>
          <w:sz w:val="24"/>
        </w:rPr>
        <w:t>市政专业3人，安装专业 2人，园林专业2人</w:t>
      </w:r>
      <w:r>
        <w:rPr>
          <w:rFonts w:hint="eastAsia" w:ascii="仿宋" w:hAnsi="仿宋" w:eastAsia="仿宋" w:cs="仿宋_GB2312"/>
          <w:b/>
          <w:sz w:val="24"/>
        </w:rPr>
        <w:t>及以上，中标后严格按照项目组人员名单配备表的技术人员进行造价咨询服务。</w:t>
      </w:r>
    </w:p>
    <w:p>
      <w:pPr>
        <w:adjustRightInd/>
        <w:spacing w:line="360" w:lineRule="auto"/>
        <w:ind w:firstLine="482" w:firstLineChars="200"/>
        <w:rPr>
          <w:rFonts w:ascii="仿宋" w:hAnsi="仿宋" w:eastAsia="仿宋" w:cs="仿宋_GB2312"/>
          <w:b/>
          <w:sz w:val="24"/>
        </w:rPr>
      </w:pPr>
      <w:r>
        <w:rPr>
          <w:rFonts w:hint="eastAsia" w:ascii="仿宋" w:hAnsi="仿宋" w:eastAsia="仿宋" w:cs="仿宋_GB2312"/>
          <w:b/>
          <w:sz w:val="24"/>
        </w:rPr>
        <w:t>2.招标代理的服务人员3人及以上，中标后严格按照项目组人员名单配备表的技术人员进行招标代理服务。</w:t>
      </w:r>
    </w:p>
    <w:p>
      <w:pPr>
        <w:adjustRightInd/>
        <w:spacing w:line="360" w:lineRule="auto"/>
        <w:ind w:firstLine="482" w:firstLineChars="200"/>
        <w:rPr>
          <w:rFonts w:ascii="仿宋" w:hAnsi="仿宋" w:eastAsia="仿宋" w:cs="仿宋_GB2312"/>
          <w:b/>
          <w:sz w:val="24"/>
        </w:rPr>
      </w:pPr>
    </w:p>
    <w:p>
      <w:pPr>
        <w:adjustRightInd/>
        <w:spacing w:line="360" w:lineRule="auto"/>
        <w:ind w:firstLine="482" w:firstLineChars="200"/>
        <w:rPr>
          <w:rFonts w:ascii="仿宋" w:hAnsi="仿宋" w:eastAsia="仿宋" w:cs="仿宋_GB2312"/>
          <w:b/>
          <w:strike/>
          <w:dstrike w:val="0"/>
          <w:sz w:val="24"/>
          <w:highlight w:val="green"/>
        </w:rPr>
      </w:pPr>
    </w:p>
    <w:p>
      <w:pPr>
        <w:autoSpaceDE w:val="0"/>
        <w:autoSpaceDN w:val="0"/>
        <w:spacing w:line="360" w:lineRule="auto"/>
        <w:rPr>
          <w:rFonts w:ascii="仿宋" w:hAnsi="仿宋" w:eastAsia="仿宋" w:cs="仿宋_GB2312"/>
          <w:b/>
          <w:sz w:val="24"/>
        </w:rPr>
      </w:pP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ascii="仿宋" w:hAnsi="仿宋" w:eastAsia="仿宋" w:cs="仿宋_GB2312"/>
          <w:b/>
          <w:bCs/>
          <w:sz w:val="32"/>
          <w:szCs w:val="32"/>
        </w:rPr>
      </w:pPr>
      <w:r>
        <w:rPr>
          <w:rFonts w:ascii="仿宋" w:hAnsi="仿宋" w:eastAsia="仿宋" w:cs="仿宋_GB2312"/>
          <w:b/>
          <w:bCs/>
          <w:sz w:val="32"/>
          <w:szCs w:val="32"/>
        </w:rPr>
        <w:br w:type="page"/>
      </w:r>
      <w:r>
        <w:rPr>
          <w:rFonts w:hint="eastAsia" w:ascii="仿宋" w:hAnsi="仿宋" w:eastAsia="仿宋" w:cs="仿宋_GB2312"/>
          <w:b/>
          <w:bCs/>
          <w:sz w:val="32"/>
          <w:szCs w:val="32"/>
        </w:rPr>
        <w:t>六、售后服务方案（如有）</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rPr>
          <w:rFonts w:ascii="仿宋" w:hAnsi="仿宋" w:eastAsia="仿宋" w:cs="仿宋_GB2312"/>
          <w:sz w:val="24"/>
        </w:rPr>
      </w:pPr>
    </w:p>
    <w:p>
      <w:pPr>
        <w:spacing w:line="360" w:lineRule="auto"/>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bCs/>
          <w:sz w:val="32"/>
          <w:szCs w:val="32"/>
        </w:rPr>
        <w:t>七、</w:t>
      </w:r>
      <w:r>
        <w:rPr>
          <w:rFonts w:hint="eastAsia" w:ascii="仿宋" w:hAnsi="仿宋" w:eastAsia="仿宋" w:cs="仿宋_GB2312"/>
          <w:b/>
          <w:kern w:val="0"/>
          <w:sz w:val="32"/>
          <w:szCs w:val="32"/>
          <w:lang w:val="zh-CN"/>
        </w:rPr>
        <w:t>优惠条件及特殊承诺（如有）</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120"/>
        <w:rPr>
          <w:rFonts w:ascii="仿宋" w:hAnsi="仿宋" w:eastAsia="仿宋" w:cs="仿宋_GB2312"/>
          <w:kern w:val="0"/>
          <w:sz w:val="24"/>
        </w:rPr>
      </w:pPr>
    </w:p>
    <w:p>
      <w:pPr>
        <w:autoSpaceDE w:val="0"/>
        <w:autoSpaceDN w:val="0"/>
        <w:spacing w:line="360" w:lineRule="auto"/>
        <w:ind w:firstLine="120"/>
        <w:rPr>
          <w:rFonts w:ascii="仿宋" w:hAnsi="仿宋" w:eastAsia="仿宋" w:cs="仿宋_GB2312"/>
          <w:sz w:val="24"/>
        </w:rPr>
      </w:pP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八、投标人认为需要的其他商务技术文件或说明</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jc w:val="center"/>
        <w:rPr>
          <w:rFonts w:ascii="仿宋" w:hAnsi="仿宋" w:eastAsia="仿宋" w:cs="仿宋_GB2312"/>
          <w:sz w:val="24"/>
        </w:rPr>
      </w:pPr>
    </w:p>
    <w:p>
      <w:pPr>
        <w:spacing w:line="360" w:lineRule="auto"/>
        <w:rPr>
          <w:rFonts w:ascii="仿宋" w:hAnsi="仿宋" w:eastAsia="仿宋" w:cs="仿宋_GB2312"/>
          <w:b/>
          <w:bCs/>
          <w:sz w:val="30"/>
          <w:szCs w:val="30"/>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pStyle w:val="494"/>
        <w:keepNext w:val="0"/>
        <w:pageBreakBefore w:val="0"/>
        <w:tabs>
          <w:tab w:val="clear" w:pos="720"/>
        </w:tabs>
        <w:snapToGrid w:val="0"/>
        <w:jc w:val="both"/>
        <w:outlineLvl w:val="9"/>
        <w:rPr>
          <w:rFonts w:ascii="仿宋" w:hAnsi="仿宋" w:eastAsia="仿宋" w:cs="仿宋_GB2312"/>
          <w:b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br w:type="page"/>
      </w: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（1）投标（开标）一览表……………………………………………………（页码）</w:t>
      </w: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pStyle w:val="494"/>
        <w:keepNext w:val="0"/>
        <w:pageBreakBefore w:val="0"/>
        <w:tabs>
          <w:tab w:val="clear" w:pos="720"/>
        </w:tabs>
        <w:snapToGrid w:val="0"/>
        <w:ind w:firstLine="640"/>
        <w:outlineLvl w:val="9"/>
        <w:rPr>
          <w:rFonts w:ascii="仿宋" w:hAnsi="仿宋" w:eastAsia="仿宋" w:cs="仿宋_GB2312"/>
          <w:kern w:val="2"/>
          <w:sz w:val="32"/>
          <w:szCs w:val="32"/>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pStyle w:val="494"/>
        <w:keepNext w:val="0"/>
        <w:pageBreakBefore w:val="0"/>
        <w:tabs>
          <w:tab w:val="clear" w:pos="720"/>
        </w:tabs>
        <w:snapToGrid w:val="0"/>
        <w:ind w:firstLine="640"/>
        <w:outlineLvl w:val="9"/>
        <w:rPr>
          <w:rFonts w:ascii="仿宋" w:hAnsi="仿宋" w:eastAsia="仿宋" w:cs="仿宋_GB2312"/>
          <w:kern w:val="0"/>
          <w:sz w:val="24"/>
        </w:rPr>
      </w:pPr>
      <w:bookmarkStart w:id="437" w:name="_Toc86217005"/>
      <w:r>
        <w:rPr>
          <w:rFonts w:hint="eastAsia" w:ascii="仿宋" w:hAnsi="仿宋" w:eastAsia="仿宋" w:cs="仿宋_GB2312"/>
          <w:kern w:val="2"/>
          <w:sz w:val="32"/>
          <w:szCs w:val="32"/>
        </w:rPr>
        <w:t>一、标项投标(开标)一览表</w:t>
      </w:r>
      <w:r>
        <w:rPr>
          <w:rFonts w:hint="eastAsia" w:ascii="仿宋" w:hAnsi="仿宋" w:eastAsia="仿宋" w:cs="仿宋_GB2312"/>
          <w:kern w:val="0"/>
          <w:sz w:val="24"/>
          <w:lang w:val="zh-CN"/>
        </w:rPr>
        <w:t xml:space="preserve">             </w:t>
      </w:r>
      <w:r>
        <w:rPr>
          <w:rFonts w:hint="eastAsia" w:ascii="仿宋" w:hAnsi="仿宋" w:eastAsia="仿宋" w:cs="仿宋_GB2312"/>
          <w:kern w:val="0"/>
          <w:sz w:val="24"/>
        </w:rPr>
        <w:t xml:space="preserve">       </w:t>
      </w:r>
    </w:p>
    <w:p>
      <w:pPr>
        <w:snapToGrid w:val="0"/>
        <w:spacing w:line="360" w:lineRule="auto"/>
        <w:rPr>
          <w:rFonts w:ascii="仿宋" w:hAnsi="仿宋" w:eastAsia="仿宋" w:cs="仿宋_GB2312"/>
          <w:kern w:val="0"/>
          <w:sz w:val="24"/>
          <w:u w:val="single"/>
          <w:lang w:val="zh-CN"/>
        </w:rPr>
      </w:pPr>
      <w:r>
        <w:rPr>
          <w:rFonts w:hint="eastAsia" w:ascii="仿宋" w:hAnsi="仿宋" w:eastAsia="仿宋" w:cs="仿宋_GB2312"/>
          <w:sz w:val="24"/>
        </w:rPr>
        <w:t>项目名称</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项目编号：</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tbl>
      <w:tblPr>
        <w:tblStyle w:val="6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09"/>
        <w:gridCol w:w="1500"/>
        <w:gridCol w:w="1489"/>
        <w:gridCol w:w="129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75" w:type="dxa"/>
            <w:vAlign w:val="center"/>
          </w:tcPr>
          <w:p>
            <w:pPr>
              <w:pStyle w:val="32"/>
              <w:jc w:val="center"/>
              <w:rPr>
                <w:rFonts w:hAnsi="宋体"/>
                <w:sz w:val="24"/>
              </w:rPr>
            </w:pPr>
            <w:r>
              <w:rPr>
                <w:rFonts w:hint="eastAsia" w:hAnsi="宋体"/>
                <w:sz w:val="24"/>
              </w:rPr>
              <w:t>编号</w:t>
            </w:r>
          </w:p>
        </w:tc>
        <w:tc>
          <w:tcPr>
            <w:tcW w:w="2609" w:type="dxa"/>
            <w:vAlign w:val="center"/>
          </w:tcPr>
          <w:p>
            <w:pPr>
              <w:pStyle w:val="32"/>
              <w:jc w:val="center"/>
              <w:rPr>
                <w:rFonts w:hAnsi="宋体"/>
                <w:sz w:val="24"/>
              </w:rPr>
            </w:pPr>
            <w:r>
              <w:rPr>
                <w:rFonts w:hint="eastAsia" w:hAnsi="宋体"/>
                <w:sz w:val="24"/>
              </w:rPr>
              <w:t>服务名称</w:t>
            </w:r>
          </w:p>
        </w:tc>
        <w:tc>
          <w:tcPr>
            <w:tcW w:w="1500" w:type="dxa"/>
            <w:vAlign w:val="center"/>
          </w:tcPr>
          <w:p>
            <w:pPr>
              <w:pStyle w:val="32"/>
              <w:jc w:val="center"/>
              <w:rPr>
                <w:rFonts w:hAnsi="宋体"/>
                <w:sz w:val="24"/>
              </w:rPr>
            </w:pPr>
            <w:r>
              <w:rPr>
                <w:rFonts w:hint="eastAsia" w:hAnsi="宋体"/>
                <w:sz w:val="24"/>
              </w:rPr>
              <w:t>标底价/中标价（万元）</w:t>
            </w:r>
          </w:p>
        </w:tc>
        <w:tc>
          <w:tcPr>
            <w:tcW w:w="1489" w:type="dxa"/>
            <w:vAlign w:val="center"/>
          </w:tcPr>
          <w:p>
            <w:pPr>
              <w:pStyle w:val="32"/>
              <w:jc w:val="center"/>
              <w:rPr>
                <w:rFonts w:hAnsi="宋体"/>
                <w:sz w:val="24"/>
              </w:rPr>
            </w:pPr>
            <w:r>
              <w:rPr>
                <w:rFonts w:hint="eastAsia" w:hAnsi="宋体"/>
                <w:sz w:val="24"/>
              </w:rPr>
              <w:t>费率（‰）</w:t>
            </w:r>
          </w:p>
        </w:tc>
        <w:tc>
          <w:tcPr>
            <w:tcW w:w="1294" w:type="dxa"/>
            <w:vAlign w:val="center"/>
          </w:tcPr>
          <w:p>
            <w:pPr>
              <w:pStyle w:val="32"/>
              <w:jc w:val="center"/>
              <w:rPr>
                <w:rFonts w:hAnsi="宋体"/>
                <w:sz w:val="24"/>
              </w:rPr>
            </w:pPr>
            <w:r>
              <w:rPr>
                <w:rFonts w:hint="eastAsia" w:hAnsi="宋体"/>
                <w:sz w:val="24"/>
              </w:rPr>
              <w:t>服务金额（元）</w:t>
            </w:r>
          </w:p>
        </w:tc>
        <w:tc>
          <w:tcPr>
            <w:tcW w:w="2199" w:type="dxa"/>
            <w:vAlign w:val="center"/>
          </w:tcPr>
          <w:p>
            <w:pPr>
              <w:pStyle w:val="32"/>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Align w:val="center"/>
          </w:tcPr>
          <w:p>
            <w:pPr>
              <w:pStyle w:val="32"/>
              <w:jc w:val="center"/>
              <w:rPr>
                <w:rFonts w:hAnsi="宋体"/>
                <w:sz w:val="24"/>
                <w:highlight w:val="none"/>
              </w:rPr>
            </w:pPr>
            <w:r>
              <w:rPr>
                <w:rFonts w:hint="eastAsia" w:hAnsi="宋体"/>
                <w:sz w:val="24"/>
                <w:highlight w:val="none"/>
              </w:rPr>
              <w:t>1</w:t>
            </w:r>
          </w:p>
        </w:tc>
        <w:tc>
          <w:tcPr>
            <w:tcW w:w="2609" w:type="dxa"/>
            <w:vAlign w:val="center"/>
          </w:tcPr>
          <w:p>
            <w:pPr>
              <w:pStyle w:val="32"/>
              <w:jc w:val="left"/>
              <w:rPr>
                <w:rFonts w:hAnsi="宋体"/>
                <w:sz w:val="24"/>
                <w:highlight w:val="none"/>
              </w:rPr>
            </w:pPr>
            <w:r>
              <w:rPr>
                <w:rFonts w:hint="eastAsia" w:hAnsi="宋体"/>
                <w:sz w:val="24"/>
                <w:highlight w:val="none"/>
                <w:lang w:val="en-US" w:eastAsia="zh-CN"/>
              </w:rPr>
              <w:t>中国轻纺城粮油冷链物流中心道路配套工程（一期）等4个项目</w:t>
            </w:r>
            <w:r>
              <w:rPr>
                <w:rFonts w:hint="eastAsia" w:hAnsi="宋体"/>
                <w:sz w:val="24"/>
                <w:highlight w:val="none"/>
                <w:lang w:eastAsia="zh-CN"/>
              </w:rPr>
              <w:t>招标代理服务</w:t>
            </w:r>
          </w:p>
        </w:tc>
        <w:tc>
          <w:tcPr>
            <w:tcW w:w="1500" w:type="dxa"/>
            <w:vAlign w:val="center"/>
          </w:tcPr>
          <w:p>
            <w:pPr>
              <w:pStyle w:val="32"/>
              <w:jc w:val="center"/>
              <w:rPr>
                <w:rFonts w:hint="default" w:hAnsi="宋体"/>
                <w:sz w:val="24"/>
                <w:highlight w:val="none"/>
                <w:lang w:val="en-US"/>
              </w:rPr>
            </w:pPr>
            <w:r>
              <w:rPr>
                <w:rFonts w:hint="eastAsia" w:hAnsi="宋体"/>
                <w:sz w:val="24"/>
                <w:highlight w:val="none"/>
                <w:lang w:val="en-US" w:eastAsia="zh-CN"/>
              </w:rPr>
              <w:t>31000</w:t>
            </w:r>
          </w:p>
        </w:tc>
        <w:tc>
          <w:tcPr>
            <w:tcW w:w="1489" w:type="dxa"/>
            <w:tcBorders>
              <w:top w:val="single" w:color="auto" w:sz="4" w:space="0"/>
            </w:tcBorders>
            <w:vAlign w:val="center"/>
          </w:tcPr>
          <w:p>
            <w:pPr>
              <w:pStyle w:val="32"/>
              <w:jc w:val="center"/>
              <w:rPr>
                <w:rFonts w:hAnsi="宋体"/>
                <w:sz w:val="24"/>
                <w:highlight w:val="none"/>
              </w:rPr>
            </w:pPr>
          </w:p>
        </w:tc>
        <w:tc>
          <w:tcPr>
            <w:tcW w:w="1294" w:type="dxa"/>
            <w:tcBorders>
              <w:top w:val="single" w:color="auto" w:sz="4" w:space="0"/>
            </w:tcBorders>
            <w:vAlign w:val="center"/>
          </w:tcPr>
          <w:p>
            <w:pPr>
              <w:pStyle w:val="32"/>
              <w:jc w:val="center"/>
              <w:rPr>
                <w:rFonts w:hAnsi="宋体"/>
                <w:sz w:val="24"/>
                <w:highlight w:val="none"/>
              </w:rPr>
            </w:pPr>
          </w:p>
        </w:tc>
        <w:tc>
          <w:tcPr>
            <w:tcW w:w="2199" w:type="dxa"/>
            <w:vAlign w:val="center"/>
          </w:tcPr>
          <w:p>
            <w:pPr>
              <w:pStyle w:val="32"/>
              <w:rPr>
                <w:rFonts w:hAnsi="宋体"/>
                <w:sz w:val="24"/>
                <w:highlight w:val="none"/>
                <w:u w:val="single"/>
              </w:rPr>
            </w:pPr>
            <w:r>
              <w:rPr>
                <w:rFonts w:hint="eastAsia" w:hAnsi="宋体"/>
                <w:sz w:val="24"/>
                <w:highlight w:val="none"/>
                <w:u w:val="single"/>
              </w:rPr>
              <w:t>上限价为</w:t>
            </w:r>
            <w:r>
              <w:rPr>
                <w:rFonts w:hint="eastAsia" w:hAnsi="宋体"/>
                <w:sz w:val="24"/>
                <w:highlight w:val="none"/>
                <w:u w:val="single"/>
                <w:lang w:val="en-US" w:eastAsia="zh-CN"/>
              </w:rPr>
              <w:t>205220</w:t>
            </w:r>
            <w:r>
              <w:rPr>
                <w:rFonts w:hint="eastAsia" w:hAnsi="宋体"/>
                <w:sz w:val="24"/>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Align w:val="center"/>
          </w:tcPr>
          <w:p>
            <w:pPr>
              <w:pStyle w:val="32"/>
              <w:jc w:val="center"/>
              <w:rPr>
                <w:rFonts w:hAnsi="宋体"/>
                <w:sz w:val="24"/>
                <w:highlight w:val="none"/>
              </w:rPr>
            </w:pPr>
            <w:r>
              <w:rPr>
                <w:rFonts w:hint="eastAsia" w:hAnsi="宋体"/>
                <w:sz w:val="24"/>
                <w:highlight w:val="none"/>
              </w:rPr>
              <w:t>2</w:t>
            </w:r>
          </w:p>
        </w:tc>
        <w:tc>
          <w:tcPr>
            <w:tcW w:w="2609" w:type="dxa"/>
            <w:vAlign w:val="center"/>
          </w:tcPr>
          <w:p>
            <w:pPr>
              <w:pStyle w:val="32"/>
              <w:jc w:val="left"/>
              <w:rPr>
                <w:rFonts w:hAnsi="宋体"/>
                <w:sz w:val="24"/>
                <w:highlight w:val="none"/>
              </w:rPr>
            </w:pPr>
            <w:r>
              <w:rPr>
                <w:rFonts w:hint="eastAsia" w:hAnsi="宋体"/>
                <w:sz w:val="24"/>
                <w:highlight w:val="none"/>
                <w:lang w:val="en-US" w:eastAsia="zh-CN"/>
              </w:rPr>
              <w:t>中国轻纺城粮油冷链物流中心道路配套工程（一期）等4个</w:t>
            </w:r>
            <w:r>
              <w:rPr>
                <w:rFonts w:hint="eastAsia" w:hAnsi="宋体"/>
                <w:sz w:val="24"/>
                <w:highlight w:val="none"/>
                <w:lang w:eastAsia="zh-CN"/>
              </w:rPr>
              <w:t>项目</w:t>
            </w:r>
            <w:r>
              <w:rPr>
                <w:rFonts w:hint="eastAsia" w:ascii="宋体" w:hAnsi="宋体" w:eastAsia="宋体"/>
                <w:sz w:val="24"/>
                <w:highlight w:val="none"/>
                <w:lang w:eastAsia="zh-CN"/>
              </w:rPr>
              <w:t>造价咨询服务</w:t>
            </w:r>
          </w:p>
        </w:tc>
        <w:tc>
          <w:tcPr>
            <w:tcW w:w="1500" w:type="dxa"/>
            <w:vAlign w:val="center"/>
          </w:tcPr>
          <w:p>
            <w:pPr>
              <w:pStyle w:val="32"/>
              <w:jc w:val="center"/>
              <w:rPr>
                <w:rFonts w:hint="default" w:hAnsi="宋体"/>
                <w:sz w:val="24"/>
                <w:highlight w:val="none"/>
                <w:u w:val="single"/>
                <w:lang w:val="en-US"/>
              </w:rPr>
            </w:pPr>
            <w:r>
              <w:rPr>
                <w:rFonts w:hint="eastAsia" w:hAnsi="宋体"/>
                <w:sz w:val="24"/>
                <w:highlight w:val="none"/>
                <w:lang w:val="en-US" w:eastAsia="zh-CN"/>
              </w:rPr>
              <w:t>31000</w:t>
            </w:r>
          </w:p>
        </w:tc>
        <w:tc>
          <w:tcPr>
            <w:tcW w:w="1489" w:type="dxa"/>
            <w:tcBorders>
              <w:top w:val="single" w:color="auto" w:sz="4" w:space="0"/>
            </w:tcBorders>
            <w:vAlign w:val="center"/>
          </w:tcPr>
          <w:p>
            <w:pPr>
              <w:pStyle w:val="32"/>
              <w:jc w:val="center"/>
              <w:rPr>
                <w:rFonts w:hAnsi="宋体"/>
                <w:sz w:val="24"/>
                <w:highlight w:val="none"/>
              </w:rPr>
            </w:pPr>
          </w:p>
        </w:tc>
        <w:tc>
          <w:tcPr>
            <w:tcW w:w="1294" w:type="dxa"/>
            <w:tcBorders>
              <w:top w:val="single" w:color="auto" w:sz="4" w:space="0"/>
            </w:tcBorders>
            <w:vAlign w:val="center"/>
          </w:tcPr>
          <w:p>
            <w:pPr>
              <w:pStyle w:val="32"/>
              <w:jc w:val="center"/>
              <w:rPr>
                <w:rFonts w:hAnsi="宋体"/>
                <w:sz w:val="24"/>
                <w:highlight w:val="none"/>
              </w:rPr>
            </w:pPr>
          </w:p>
        </w:tc>
        <w:tc>
          <w:tcPr>
            <w:tcW w:w="2199" w:type="dxa"/>
            <w:vAlign w:val="center"/>
          </w:tcPr>
          <w:p>
            <w:pPr>
              <w:pStyle w:val="32"/>
              <w:jc w:val="center"/>
              <w:rPr>
                <w:rFonts w:hAnsi="宋体"/>
                <w:sz w:val="24"/>
                <w:highlight w:val="none"/>
              </w:rPr>
            </w:pPr>
            <w:r>
              <w:rPr>
                <w:rFonts w:hint="eastAsia" w:hAnsi="宋体"/>
                <w:sz w:val="24"/>
                <w:highlight w:val="none"/>
                <w:u w:val="single"/>
              </w:rPr>
              <w:t>上限价为</w:t>
            </w:r>
            <w:r>
              <w:rPr>
                <w:rFonts w:hint="eastAsia" w:hAnsi="宋体"/>
                <w:sz w:val="24"/>
                <w:highlight w:val="none"/>
                <w:u w:val="single"/>
                <w:lang w:val="en-US" w:eastAsia="zh-CN"/>
              </w:rPr>
              <w:t>491040</w:t>
            </w:r>
            <w:r>
              <w:rPr>
                <w:rFonts w:hint="eastAsia" w:hAnsi="宋体"/>
                <w:sz w:val="24"/>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Align w:val="center"/>
          </w:tcPr>
          <w:p>
            <w:pPr>
              <w:pStyle w:val="32"/>
              <w:jc w:val="center"/>
              <w:rPr>
                <w:rFonts w:hAnsi="宋体"/>
                <w:sz w:val="24"/>
                <w:highlight w:val="none"/>
              </w:rPr>
            </w:pPr>
            <w:r>
              <w:rPr>
                <w:rFonts w:hint="eastAsia" w:hAnsi="宋体"/>
                <w:sz w:val="24"/>
                <w:highlight w:val="none"/>
              </w:rPr>
              <w:t>3</w:t>
            </w:r>
          </w:p>
        </w:tc>
        <w:tc>
          <w:tcPr>
            <w:tcW w:w="2609" w:type="dxa"/>
            <w:vAlign w:val="center"/>
          </w:tcPr>
          <w:p>
            <w:pPr>
              <w:jc w:val="center"/>
              <w:rPr>
                <w:rFonts w:hAnsi="宋体"/>
                <w:sz w:val="24"/>
                <w:highlight w:val="none"/>
              </w:rPr>
            </w:pPr>
            <w:r>
              <w:rPr>
                <w:rFonts w:hint="eastAsia" w:hAnsi="宋体"/>
                <w:sz w:val="24"/>
                <w:highlight w:val="none"/>
              </w:rPr>
              <w:t xml:space="preserve">常驻造价咨询人员补贴 </w:t>
            </w:r>
          </w:p>
        </w:tc>
        <w:tc>
          <w:tcPr>
            <w:tcW w:w="1500" w:type="dxa"/>
            <w:vAlign w:val="center"/>
          </w:tcPr>
          <w:p>
            <w:pPr>
              <w:jc w:val="center"/>
              <w:rPr>
                <w:sz w:val="24"/>
                <w:highlight w:val="none"/>
              </w:rPr>
            </w:pPr>
            <w:r>
              <w:rPr>
                <w:rFonts w:hint="eastAsia"/>
                <w:sz w:val="24"/>
                <w:highlight w:val="none"/>
                <w:lang w:val="en-US" w:eastAsia="zh-CN"/>
              </w:rPr>
              <w:t>12</w:t>
            </w:r>
            <w:r>
              <w:rPr>
                <w:rFonts w:hint="eastAsia"/>
                <w:sz w:val="24"/>
                <w:highlight w:val="none"/>
              </w:rPr>
              <w:t>0000元/年</w:t>
            </w:r>
          </w:p>
        </w:tc>
        <w:tc>
          <w:tcPr>
            <w:tcW w:w="1489" w:type="dxa"/>
            <w:vAlign w:val="center"/>
          </w:tcPr>
          <w:p>
            <w:pPr>
              <w:pStyle w:val="32"/>
              <w:jc w:val="center"/>
              <w:rPr>
                <w:rFonts w:hAnsi="宋体"/>
                <w:sz w:val="24"/>
                <w:highlight w:val="none"/>
              </w:rPr>
            </w:pPr>
            <w:r>
              <w:rPr>
                <w:rFonts w:hint="eastAsia" w:hAnsi="宋体"/>
                <w:sz w:val="24"/>
                <w:highlight w:val="none"/>
                <w:lang w:val="en-US" w:eastAsia="zh-CN"/>
              </w:rPr>
              <w:t>2.5</w:t>
            </w:r>
            <w:r>
              <w:rPr>
                <w:rFonts w:hint="eastAsia" w:hAnsi="宋体"/>
                <w:sz w:val="24"/>
                <w:highlight w:val="none"/>
              </w:rPr>
              <w:t>年</w:t>
            </w:r>
          </w:p>
        </w:tc>
        <w:tc>
          <w:tcPr>
            <w:tcW w:w="1294" w:type="dxa"/>
            <w:vAlign w:val="center"/>
          </w:tcPr>
          <w:p>
            <w:pPr>
              <w:pStyle w:val="32"/>
              <w:jc w:val="center"/>
              <w:rPr>
                <w:rFonts w:hAnsi="宋体"/>
                <w:sz w:val="24"/>
                <w:highlight w:val="none"/>
              </w:rPr>
            </w:pPr>
            <w:r>
              <w:rPr>
                <w:rFonts w:hint="eastAsia" w:hAnsi="宋体"/>
                <w:sz w:val="24"/>
                <w:highlight w:val="none"/>
                <w:lang w:val="en-US" w:eastAsia="zh-CN"/>
              </w:rPr>
              <w:t>30</w:t>
            </w:r>
            <w:r>
              <w:rPr>
                <w:rFonts w:hint="eastAsia" w:hAnsi="宋体"/>
                <w:sz w:val="24"/>
                <w:highlight w:val="none"/>
              </w:rPr>
              <w:t>0000</w:t>
            </w:r>
          </w:p>
        </w:tc>
        <w:tc>
          <w:tcPr>
            <w:tcW w:w="2199" w:type="dxa"/>
            <w:vAlign w:val="center"/>
          </w:tcPr>
          <w:p>
            <w:pPr>
              <w:pStyle w:val="32"/>
              <w:jc w:val="center"/>
              <w:rPr>
                <w:rFonts w:hAnsi="宋体"/>
                <w:sz w:val="24"/>
                <w:highlight w:val="none"/>
              </w:rPr>
            </w:pPr>
            <w:r>
              <w:rPr>
                <w:rFonts w:hint="eastAsia" w:hAnsi="宋体"/>
                <w:sz w:val="24"/>
                <w:highlight w:val="none"/>
              </w:rPr>
              <w:t>此处不参与竞争，不得修改，否则按废标处理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Align w:val="center"/>
          </w:tcPr>
          <w:p>
            <w:pPr>
              <w:pStyle w:val="32"/>
              <w:jc w:val="center"/>
              <w:rPr>
                <w:rFonts w:hAnsi="宋体"/>
                <w:sz w:val="24"/>
                <w:highlight w:val="none"/>
              </w:rPr>
            </w:pPr>
            <w:r>
              <w:rPr>
                <w:rFonts w:hint="eastAsia" w:hAnsi="宋体"/>
                <w:sz w:val="24"/>
                <w:highlight w:val="none"/>
              </w:rPr>
              <w:t>4</w:t>
            </w:r>
          </w:p>
        </w:tc>
        <w:tc>
          <w:tcPr>
            <w:tcW w:w="2609" w:type="dxa"/>
            <w:vAlign w:val="center"/>
          </w:tcPr>
          <w:p>
            <w:pPr>
              <w:jc w:val="center"/>
              <w:rPr>
                <w:rFonts w:hAnsi="宋体"/>
                <w:sz w:val="24"/>
                <w:highlight w:val="none"/>
              </w:rPr>
            </w:pPr>
            <w:r>
              <w:rPr>
                <w:rFonts w:hint="eastAsia" w:hAnsi="宋体"/>
                <w:sz w:val="24"/>
                <w:highlight w:val="none"/>
              </w:rPr>
              <w:t>投标总价=1+2+3（元）</w:t>
            </w:r>
          </w:p>
        </w:tc>
        <w:tc>
          <w:tcPr>
            <w:tcW w:w="6482" w:type="dxa"/>
            <w:gridSpan w:val="4"/>
            <w:vAlign w:val="center"/>
          </w:tcPr>
          <w:p>
            <w:pPr>
              <w:pStyle w:val="32"/>
              <w:jc w:val="center"/>
              <w:rPr>
                <w:rFonts w:hAnsi="宋体"/>
                <w:sz w:val="24"/>
                <w:highlight w:val="none"/>
              </w:rPr>
            </w:pPr>
            <w:r>
              <w:rPr>
                <w:rFonts w:hint="eastAsia" w:hAnsi="宋体"/>
                <w:sz w:val="24"/>
                <w:highlight w:val="none"/>
              </w:rPr>
              <w:t>小写：          元</w:t>
            </w:r>
          </w:p>
          <w:p>
            <w:pPr>
              <w:pStyle w:val="32"/>
              <w:jc w:val="center"/>
              <w:rPr>
                <w:rFonts w:hAnsi="宋体"/>
                <w:sz w:val="24"/>
                <w:highlight w:val="none"/>
              </w:rPr>
            </w:pPr>
            <w:r>
              <w:rPr>
                <w:rFonts w:hint="eastAsia" w:hAnsi="宋体"/>
                <w:sz w:val="24"/>
                <w:highlight w:val="none"/>
              </w:rPr>
              <w:t>大写：          元</w:t>
            </w:r>
          </w:p>
        </w:tc>
      </w:tr>
    </w:tbl>
    <w:p>
      <w:pPr>
        <w:snapToGrid w:val="0"/>
        <w:spacing w:line="360" w:lineRule="auto"/>
        <w:ind w:left="480"/>
        <w:rPr>
          <w:rFonts w:ascii="仿宋" w:hAnsi="仿宋" w:eastAsia="仿宋" w:cs="仿宋_GB2312"/>
          <w:b/>
          <w:kern w:val="0"/>
          <w:sz w:val="24"/>
          <w:highlight w:val="none"/>
          <w:lang w:val="zh-CN"/>
        </w:rPr>
      </w:pPr>
      <w:r>
        <w:rPr>
          <w:rFonts w:hint="eastAsia" w:ascii="仿宋" w:hAnsi="仿宋" w:eastAsia="仿宋" w:cs="仿宋_GB2312"/>
          <w:kern w:val="0"/>
          <w:sz w:val="24"/>
          <w:highlight w:val="none"/>
          <w:lang w:val="zh-CN"/>
        </w:rPr>
        <w:t xml:space="preserve">            </w:t>
      </w:r>
    </w:p>
    <w:p>
      <w:pPr>
        <w:spacing w:line="360" w:lineRule="auto"/>
        <w:ind w:left="-2" w:leftChars="-1"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1、投标人需按本表格式填写，不得自行更</w:t>
      </w:r>
      <w:r>
        <w:rPr>
          <w:rFonts w:hint="eastAsia" w:ascii="仿宋" w:hAnsi="仿宋" w:eastAsia="仿宋"/>
          <w:sz w:val="24"/>
          <w:highlight w:val="none"/>
        </w:rPr>
        <w:t>改。</w:t>
      </w:r>
    </w:p>
    <w:p>
      <w:pPr>
        <w:spacing w:line="360" w:lineRule="auto"/>
        <w:ind w:left="-2" w:leftChars="-1" w:firstLine="480" w:firstLineChars="200"/>
        <w:rPr>
          <w:rFonts w:ascii="仿宋" w:hAnsi="仿宋" w:eastAsia="仿宋" w:cs="仿宋_GB2312"/>
          <w:b/>
          <w:bCs/>
          <w:kern w:val="0"/>
          <w:sz w:val="24"/>
          <w:u w:val="single"/>
          <w:lang w:val="zh-CN"/>
        </w:rPr>
      </w:pPr>
      <w:r>
        <w:rPr>
          <w:rFonts w:hint="eastAsia" w:ascii="仿宋" w:hAnsi="仿宋" w:eastAsia="仿宋" w:cs="仿宋_GB2312"/>
          <w:kern w:val="0"/>
          <w:sz w:val="24"/>
          <w:highlight w:val="none"/>
          <w:lang w:val="zh-CN"/>
        </w:rPr>
        <w:t>2、</w:t>
      </w:r>
      <w:r>
        <w:rPr>
          <w:rFonts w:hint="eastAsia" w:ascii="仿宋" w:hAnsi="仿宋" w:eastAsia="仿宋" w:cs="仿宋_GB2312"/>
          <w:b/>
          <w:bCs/>
          <w:kern w:val="0"/>
          <w:sz w:val="24"/>
          <w:highlight w:val="none"/>
          <w:u w:val="single"/>
          <w:lang w:val="zh-CN"/>
        </w:rPr>
        <w:t>施工招标代理上限费率</w:t>
      </w:r>
      <w:r>
        <w:rPr>
          <w:rFonts w:hint="eastAsia" w:ascii="仿宋" w:hAnsi="仿宋" w:eastAsia="仿宋" w:cs="仿宋_GB2312"/>
          <w:b/>
          <w:bCs/>
          <w:kern w:val="0"/>
          <w:sz w:val="24"/>
          <w:highlight w:val="none"/>
          <w:u w:val="single"/>
          <w:lang w:val="en-US" w:eastAsia="zh-CN"/>
        </w:rPr>
        <w:t>0.662</w:t>
      </w:r>
      <w:r>
        <w:rPr>
          <w:rFonts w:hint="eastAsia" w:ascii="仿宋" w:hAnsi="仿宋" w:eastAsia="仿宋" w:cs="仿宋_GB2312"/>
          <w:b/>
          <w:bCs/>
          <w:kern w:val="0"/>
          <w:sz w:val="24"/>
          <w:highlight w:val="none"/>
          <w:u w:val="single"/>
          <w:lang w:val="zh-CN"/>
        </w:rPr>
        <w:t>‰，造价咨询上限费率</w:t>
      </w:r>
      <w:r>
        <w:rPr>
          <w:rFonts w:hint="eastAsia" w:ascii="仿宋" w:hAnsi="仿宋" w:eastAsia="仿宋" w:cs="仿宋_GB2312"/>
          <w:b/>
          <w:bCs/>
          <w:kern w:val="0"/>
          <w:sz w:val="24"/>
          <w:highlight w:val="none"/>
          <w:u w:val="single"/>
          <w:lang w:val="en-US" w:eastAsia="zh-CN"/>
        </w:rPr>
        <w:t>1.584</w:t>
      </w:r>
      <w:r>
        <w:rPr>
          <w:rFonts w:hint="eastAsia" w:ascii="仿宋" w:hAnsi="仿宋" w:eastAsia="仿宋" w:cs="仿宋_GB2312"/>
          <w:b/>
          <w:bCs/>
          <w:kern w:val="0"/>
          <w:sz w:val="24"/>
          <w:highlight w:val="none"/>
          <w:u w:val="single"/>
          <w:lang w:val="zh-CN"/>
        </w:rPr>
        <w:t>‰，投标总价上限价为</w:t>
      </w:r>
      <w:r>
        <w:rPr>
          <w:rFonts w:hint="eastAsia" w:ascii="仿宋" w:hAnsi="仿宋" w:eastAsia="仿宋" w:cs="仿宋_GB2312"/>
          <w:b/>
          <w:bCs/>
          <w:kern w:val="0"/>
          <w:sz w:val="24"/>
          <w:highlight w:val="none"/>
          <w:u w:val="single"/>
          <w:lang w:val="en-US" w:eastAsia="zh-CN"/>
        </w:rPr>
        <w:t>996260</w:t>
      </w:r>
      <w:r>
        <w:rPr>
          <w:rFonts w:hint="eastAsia" w:ascii="仿宋" w:hAnsi="仿宋" w:eastAsia="仿宋" w:cs="仿宋_GB2312"/>
          <w:b/>
          <w:bCs/>
          <w:kern w:val="0"/>
          <w:sz w:val="24"/>
          <w:highlight w:val="none"/>
          <w:u w:val="single"/>
        </w:rPr>
        <w:t>元（含常驻造价咨询人员补贴 ）</w:t>
      </w:r>
      <w:r>
        <w:rPr>
          <w:rFonts w:hint="eastAsia" w:ascii="仿宋" w:hAnsi="仿宋" w:eastAsia="仿宋" w:cs="仿宋_GB2312"/>
          <w:b/>
          <w:bCs/>
          <w:kern w:val="0"/>
          <w:sz w:val="24"/>
          <w:highlight w:val="none"/>
          <w:u w:val="single"/>
          <w:lang w:val="zh-CN"/>
        </w:rPr>
        <w:t>,超过施工招标代理上限费率、造价咨询上限费率及投标总价上限价的，作无效标处理。小数点后均保留三位（如 1.19</w:t>
      </w:r>
      <w:r>
        <w:rPr>
          <w:rFonts w:hint="eastAsia" w:ascii="仿宋" w:hAnsi="仿宋" w:eastAsia="仿宋" w:cs="仿宋_GB2312"/>
          <w:b/>
          <w:bCs/>
          <w:kern w:val="0"/>
          <w:sz w:val="24"/>
          <w:highlight w:val="none"/>
          <w:u w:val="single"/>
        </w:rPr>
        <w:t>1</w:t>
      </w:r>
      <w:r>
        <w:rPr>
          <w:rFonts w:hint="eastAsia" w:ascii="仿宋" w:hAnsi="仿宋" w:eastAsia="仿宋" w:cs="仿宋_GB2312"/>
          <w:b/>
          <w:bCs/>
          <w:kern w:val="0"/>
          <w:sz w:val="24"/>
          <w:highlight w:val="none"/>
          <w:u w:val="single"/>
          <w:lang w:val="zh-CN"/>
        </w:rPr>
        <w:t>‰），总价精确到元。</w:t>
      </w:r>
    </w:p>
    <w:p>
      <w:pPr>
        <w:pStyle w:val="23"/>
        <w:ind w:firstLine="480"/>
        <w:rPr>
          <w:rFonts w:ascii="仿宋" w:hAnsi="仿宋" w:eastAsia="仿宋" w:cs="仿宋_GB2312"/>
          <w:kern w:val="0"/>
          <w:lang w:val="en-US"/>
        </w:rPr>
      </w:pPr>
      <w:r>
        <w:rPr>
          <w:rFonts w:hint="eastAsia" w:ascii="仿宋" w:hAnsi="仿宋" w:eastAsia="仿宋" w:cs="仿宋_GB2312"/>
          <w:kern w:val="0"/>
          <w:lang w:val="en-US"/>
        </w:rPr>
        <w:t>3、投标总价小写与大写不一致的，以大写为准。</w:t>
      </w:r>
    </w:p>
    <w:p>
      <w:pPr>
        <w:pStyle w:val="23"/>
        <w:ind w:firstLine="480"/>
        <w:rPr>
          <w:rFonts w:ascii="仿宋" w:hAnsi="仿宋" w:eastAsia="仿宋" w:cs="仿宋_GB2312"/>
          <w:kern w:val="0"/>
          <w:lang w:val="en-US"/>
        </w:rPr>
      </w:pPr>
      <w:r>
        <w:rPr>
          <w:rFonts w:hint="eastAsia" w:ascii="仿宋" w:hAnsi="仿宋" w:eastAsia="仿宋" w:cs="仿宋_GB2312"/>
          <w:kern w:val="0"/>
          <w:lang w:val="en-US"/>
        </w:rPr>
        <w:t>4、如果用数字表示的数额与用文字表示的数额不一致时，以文字数额为准。 </w:t>
      </w:r>
    </w:p>
    <w:p>
      <w:pPr>
        <w:pStyle w:val="23"/>
        <w:ind w:firstLine="480"/>
        <w:rPr>
          <w:rFonts w:ascii="仿宋" w:hAnsi="仿宋" w:eastAsia="仿宋" w:cs="仿宋_GB2312"/>
          <w:kern w:val="0"/>
          <w:u w:val="single"/>
          <w:lang w:val="en-US"/>
        </w:rPr>
      </w:pPr>
      <w:r>
        <w:rPr>
          <w:rFonts w:hint="eastAsia" w:ascii="仿宋" w:hAnsi="仿宋" w:eastAsia="仿宋" w:cs="仿宋_GB2312"/>
          <w:kern w:val="0"/>
          <w:u w:val="single"/>
          <w:lang w:val="en-US"/>
        </w:rPr>
        <w:t>5、投标报价中费率与服务金额不一致的，以费率为准修正服务金额，如投标总价与单项服务金额合计不一致的，以单项服务金额为准，修正投标总价。</w:t>
      </w:r>
    </w:p>
    <w:p>
      <w:pPr>
        <w:pStyle w:val="23"/>
        <w:ind w:firstLine="480"/>
        <w:rPr>
          <w:rFonts w:hint="eastAsia" w:ascii="仿宋" w:hAnsi="仿宋" w:eastAsia="仿宋" w:cs="仿宋_GB2312"/>
          <w:snapToGrid w:val="0"/>
          <w:kern w:val="0"/>
          <w:sz w:val="24"/>
          <w:szCs w:val="21"/>
          <w:u w:val="single"/>
          <w:lang w:val="en-US" w:eastAsia="zh-CN" w:bidi="ar-SA"/>
        </w:rPr>
      </w:pPr>
      <w:r>
        <w:rPr>
          <w:rFonts w:hint="eastAsia" w:ascii="仿宋" w:hAnsi="仿宋" w:eastAsia="仿宋" w:cs="仿宋_GB2312"/>
          <w:snapToGrid w:val="0"/>
          <w:kern w:val="0"/>
          <w:sz w:val="24"/>
          <w:szCs w:val="21"/>
          <w:u w:val="single"/>
          <w:lang w:val="en-US" w:eastAsia="zh-CN" w:bidi="ar-SA"/>
        </w:rPr>
        <w:t>6、期望比率为85%-97%；投标比率Xi=投标总价/投标总价上限价。投标单位投标总价经计算后投标比率超出期望比率范围区间的，作废标处理。</w:t>
      </w:r>
    </w:p>
    <w:p>
      <w:pPr>
        <w:spacing w:line="360" w:lineRule="auto"/>
        <w:ind w:right="960" w:firstLine="10440" w:firstLineChars="4350"/>
        <w:jc w:val="right"/>
        <w:rPr>
          <w:rFonts w:ascii="仿宋" w:hAnsi="仿宋" w:eastAsia="仿宋" w:cs="仿宋_GB2312"/>
          <w:sz w:val="24"/>
        </w:rPr>
      </w:pPr>
      <w:r>
        <w:rPr>
          <w:rFonts w:hint="eastAsia" w:ascii="仿宋" w:hAnsi="仿宋" w:eastAsia="仿宋" w:cs="仿宋_GB2312"/>
          <w:sz w:val="24"/>
        </w:rPr>
        <w:t xml:space="preserve"> 投标人名称（电子签名）：                                                                                   日期：  年   月   日</w:t>
      </w:r>
      <w:bookmarkEnd w:id="437"/>
    </w:p>
    <w:sectPr>
      <w:footerReference r:id="rId15" w:type="firs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Futura Hv">
    <w:altName w:val="Arial"/>
    <w:panose1 w:val="00000000000000000000"/>
    <w:charset w:val="00"/>
    <w:family w:val="swiss"/>
    <w:pitch w:val="default"/>
    <w:sig w:usb0="00000000" w:usb1="00000000" w:usb2="00000000" w:usb3="00000000" w:csb0="0000009F"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bookmarkStart w:id="438" w:name="_Toc36110187"/>
    <w:bookmarkStart w:id="439" w:name="_Toc164085800"/>
    <w:bookmarkStart w:id="440" w:name="_Toc131845147"/>
    <w:bookmarkStart w:id="441" w:name="_Toc91899912"/>
    <w:r>
      <w:rPr>
        <w:rFonts w:hint="eastAsia" w:ascii="仿宋_GB2312" w:eastAsia="仿宋_GB2312"/>
        <w:kern w:val="0"/>
        <w:szCs w:val="21"/>
      </w:rPr>
      <w:t xml:space="preserve"> 页</w:t>
    </w:r>
    <w:bookmarkEnd w:id="438"/>
    <w:bookmarkEnd w:id="439"/>
    <w:bookmarkEnd w:id="440"/>
    <w:bookmarkEnd w:id="44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绍兴市柯桥区国有企业采购公开招标文件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w:t>
    </w:r>
    <w:r>
      <w:t xml:space="preserve">  </w:t>
    </w:r>
    <w:r>
      <w:rPr>
        <w:rFonts w:hint="eastAsia"/>
      </w:rPr>
      <w:t xml:space="preserve">                                                        绍兴市柯桥区国有企业采购公开招标文件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0D2C8"/>
    <w:multiLevelType w:val="singleLevel"/>
    <w:tmpl w:val="A510D2C8"/>
    <w:lvl w:ilvl="0" w:tentative="0">
      <w:start w:val="1"/>
      <w:numFmt w:val="chineseCounting"/>
      <w:suff w:val="nothing"/>
      <w:lvlText w:val="%1、"/>
      <w:lvlJc w:val="left"/>
      <w:rPr>
        <w:rFonts w:hint="eastAsia"/>
      </w:r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F70382C"/>
    <w:multiLevelType w:val="singleLevel"/>
    <w:tmpl w:val="0F70382C"/>
    <w:lvl w:ilvl="0" w:tentative="0">
      <w:start w:val="4"/>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00172A27"/>
    <w:rsid w:val="00000278"/>
    <w:rsid w:val="0000031A"/>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279E"/>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739"/>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443"/>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09B"/>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6F27"/>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B60"/>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E608A"/>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5114"/>
    <w:rsid w:val="00236690"/>
    <w:rsid w:val="0023669D"/>
    <w:rsid w:val="00237FA2"/>
    <w:rsid w:val="002403D5"/>
    <w:rsid w:val="00240F67"/>
    <w:rsid w:val="00241144"/>
    <w:rsid w:val="00241606"/>
    <w:rsid w:val="00242510"/>
    <w:rsid w:val="00242F79"/>
    <w:rsid w:val="0024415B"/>
    <w:rsid w:val="002442FF"/>
    <w:rsid w:val="00245565"/>
    <w:rsid w:val="002458C1"/>
    <w:rsid w:val="00246357"/>
    <w:rsid w:val="00246924"/>
    <w:rsid w:val="00247422"/>
    <w:rsid w:val="00247BA2"/>
    <w:rsid w:val="0025184F"/>
    <w:rsid w:val="00251967"/>
    <w:rsid w:val="002527CC"/>
    <w:rsid w:val="00253586"/>
    <w:rsid w:val="002537FC"/>
    <w:rsid w:val="002542F8"/>
    <w:rsid w:val="002543EF"/>
    <w:rsid w:val="00255687"/>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2EDA"/>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A6B"/>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BE8"/>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2DF3"/>
    <w:rsid w:val="002F43E5"/>
    <w:rsid w:val="002F4BA9"/>
    <w:rsid w:val="002F541B"/>
    <w:rsid w:val="002F56B5"/>
    <w:rsid w:val="002F5BFE"/>
    <w:rsid w:val="002F6EF5"/>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2E6"/>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57A93"/>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26"/>
    <w:rsid w:val="00372E9A"/>
    <w:rsid w:val="003735B9"/>
    <w:rsid w:val="00374607"/>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97D90"/>
    <w:rsid w:val="003A0DDD"/>
    <w:rsid w:val="003A12B6"/>
    <w:rsid w:val="003A1855"/>
    <w:rsid w:val="003A2012"/>
    <w:rsid w:val="003A20D5"/>
    <w:rsid w:val="003A24CC"/>
    <w:rsid w:val="003A2EE8"/>
    <w:rsid w:val="003A373C"/>
    <w:rsid w:val="003A5378"/>
    <w:rsid w:val="003A6008"/>
    <w:rsid w:val="003A703F"/>
    <w:rsid w:val="003A77E2"/>
    <w:rsid w:val="003A7E2B"/>
    <w:rsid w:val="003A7E40"/>
    <w:rsid w:val="003B0336"/>
    <w:rsid w:val="003B058A"/>
    <w:rsid w:val="003B0A3A"/>
    <w:rsid w:val="003B0D79"/>
    <w:rsid w:val="003B1CCB"/>
    <w:rsid w:val="003B2930"/>
    <w:rsid w:val="003B2C52"/>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596"/>
    <w:rsid w:val="003E7940"/>
    <w:rsid w:val="003E7F7A"/>
    <w:rsid w:val="003F01BD"/>
    <w:rsid w:val="003F0486"/>
    <w:rsid w:val="003F048E"/>
    <w:rsid w:val="003F0AFF"/>
    <w:rsid w:val="003F26DC"/>
    <w:rsid w:val="003F3EFD"/>
    <w:rsid w:val="003F42FF"/>
    <w:rsid w:val="003F45C2"/>
    <w:rsid w:val="003F4B48"/>
    <w:rsid w:val="003F4DDC"/>
    <w:rsid w:val="003F56B8"/>
    <w:rsid w:val="003F6327"/>
    <w:rsid w:val="003F6FF2"/>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2AC8"/>
    <w:rsid w:val="00413913"/>
    <w:rsid w:val="004139FF"/>
    <w:rsid w:val="00414909"/>
    <w:rsid w:val="00415034"/>
    <w:rsid w:val="00415718"/>
    <w:rsid w:val="004158D0"/>
    <w:rsid w:val="004159A8"/>
    <w:rsid w:val="00415B1A"/>
    <w:rsid w:val="0041690F"/>
    <w:rsid w:val="00416D41"/>
    <w:rsid w:val="00417264"/>
    <w:rsid w:val="004173FB"/>
    <w:rsid w:val="004210C0"/>
    <w:rsid w:val="004210DB"/>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554E"/>
    <w:rsid w:val="004355D4"/>
    <w:rsid w:val="004357B1"/>
    <w:rsid w:val="00435821"/>
    <w:rsid w:val="0043583E"/>
    <w:rsid w:val="00436448"/>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EA"/>
    <w:rsid w:val="00483EF9"/>
    <w:rsid w:val="00484D4D"/>
    <w:rsid w:val="0048664F"/>
    <w:rsid w:val="004868AD"/>
    <w:rsid w:val="00486A43"/>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196E"/>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281E"/>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2B56"/>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779E8"/>
    <w:rsid w:val="005802F9"/>
    <w:rsid w:val="00580DFC"/>
    <w:rsid w:val="005827A7"/>
    <w:rsid w:val="00583D43"/>
    <w:rsid w:val="005846C3"/>
    <w:rsid w:val="00584F04"/>
    <w:rsid w:val="00585623"/>
    <w:rsid w:val="005857F7"/>
    <w:rsid w:val="0058635A"/>
    <w:rsid w:val="005865E3"/>
    <w:rsid w:val="00587D7B"/>
    <w:rsid w:val="005904DB"/>
    <w:rsid w:val="00592825"/>
    <w:rsid w:val="00592DEC"/>
    <w:rsid w:val="00593D6D"/>
    <w:rsid w:val="00594437"/>
    <w:rsid w:val="00594802"/>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CF2"/>
    <w:rsid w:val="005D01C3"/>
    <w:rsid w:val="005D05FF"/>
    <w:rsid w:val="005D0FB4"/>
    <w:rsid w:val="005D1176"/>
    <w:rsid w:val="005D1747"/>
    <w:rsid w:val="005D266D"/>
    <w:rsid w:val="005D2A72"/>
    <w:rsid w:val="005D2BD7"/>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0402"/>
    <w:rsid w:val="0060059A"/>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233D"/>
    <w:rsid w:val="00662D3D"/>
    <w:rsid w:val="00662F1F"/>
    <w:rsid w:val="00665030"/>
    <w:rsid w:val="00665274"/>
    <w:rsid w:val="00665670"/>
    <w:rsid w:val="006659EA"/>
    <w:rsid w:val="006661E8"/>
    <w:rsid w:val="00666424"/>
    <w:rsid w:val="006670D7"/>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417"/>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882"/>
    <w:rsid w:val="006D7A8E"/>
    <w:rsid w:val="006E00E3"/>
    <w:rsid w:val="006E045C"/>
    <w:rsid w:val="006E065E"/>
    <w:rsid w:val="006E0EDB"/>
    <w:rsid w:val="006E17AC"/>
    <w:rsid w:val="006E189B"/>
    <w:rsid w:val="006E1D26"/>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63A2"/>
    <w:rsid w:val="0072655C"/>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4E5D"/>
    <w:rsid w:val="00745262"/>
    <w:rsid w:val="007457D2"/>
    <w:rsid w:val="0074592C"/>
    <w:rsid w:val="00746098"/>
    <w:rsid w:val="00746A3D"/>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989"/>
    <w:rsid w:val="00755BCF"/>
    <w:rsid w:val="00756100"/>
    <w:rsid w:val="00756C5F"/>
    <w:rsid w:val="00756D69"/>
    <w:rsid w:val="00757029"/>
    <w:rsid w:val="007602D4"/>
    <w:rsid w:val="007607D0"/>
    <w:rsid w:val="00760D96"/>
    <w:rsid w:val="00760E0B"/>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72D5"/>
    <w:rsid w:val="00797DD9"/>
    <w:rsid w:val="007A0789"/>
    <w:rsid w:val="007A130E"/>
    <w:rsid w:val="007A18B1"/>
    <w:rsid w:val="007A1BBD"/>
    <w:rsid w:val="007A1F08"/>
    <w:rsid w:val="007A25FA"/>
    <w:rsid w:val="007A317F"/>
    <w:rsid w:val="007A32CA"/>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1A8"/>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19F"/>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B76"/>
    <w:rsid w:val="00833E9A"/>
    <w:rsid w:val="00834FEF"/>
    <w:rsid w:val="00836323"/>
    <w:rsid w:val="00837E9B"/>
    <w:rsid w:val="008404AA"/>
    <w:rsid w:val="008406D7"/>
    <w:rsid w:val="0084074F"/>
    <w:rsid w:val="00840AAC"/>
    <w:rsid w:val="0084181B"/>
    <w:rsid w:val="00841F29"/>
    <w:rsid w:val="008425CC"/>
    <w:rsid w:val="00843BE2"/>
    <w:rsid w:val="008440C9"/>
    <w:rsid w:val="008451EB"/>
    <w:rsid w:val="00845EC1"/>
    <w:rsid w:val="008465B4"/>
    <w:rsid w:val="00846D25"/>
    <w:rsid w:val="00846F14"/>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723"/>
    <w:rsid w:val="00861948"/>
    <w:rsid w:val="00861D4B"/>
    <w:rsid w:val="00862011"/>
    <w:rsid w:val="00862A15"/>
    <w:rsid w:val="00862CC9"/>
    <w:rsid w:val="00862D8E"/>
    <w:rsid w:val="00862EF2"/>
    <w:rsid w:val="008650A5"/>
    <w:rsid w:val="00865C3D"/>
    <w:rsid w:val="00866453"/>
    <w:rsid w:val="0086707F"/>
    <w:rsid w:val="0086734F"/>
    <w:rsid w:val="00867501"/>
    <w:rsid w:val="00867D8E"/>
    <w:rsid w:val="008700C0"/>
    <w:rsid w:val="0087069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4962"/>
    <w:rsid w:val="008D4A3E"/>
    <w:rsid w:val="008D54C0"/>
    <w:rsid w:val="008D5A61"/>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CC9"/>
    <w:rsid w:val="00926F4C"/>
    <w:rsid w:val="0092724A"/>
    <w:rsid w:val="00927710"/>
    <w:rsid w:val="00931445"/>
    <w:rsid w:val="00931A2E"/>
    <w:rsid w:val="00931AB8"/>
    <w:rsid w:val="00931C63"/>
    <w:rsid w:val="00931D10"/>
    <w:rsid w:val="0093218A"/>
    <w:rsid w:val="0093386D"/>
    <w:rsid w:val="00933C6C"/>
    <w:rsid w:val="00933E97"/>
    <w:rsid w:val="00934C8E"/>
    <w:rsid w:val="00935194"/>
    <w:rsid w:val="00936EA5"/>
    <w:rsid w:val="00937114"/>
    <w:rsid w:val="0094015D"/>
    <w:rsid w:val="009418D4"/>
    <w:rsid w:val="00941B13"/>
    <w:rsid w:val="009441DB"/>
    <w:rsid w:val="00944834"/>
    <w:rsid w:val="00944E9B"/>
    <w:rsid w:val="00946128"/>
    <w:rsid w:val="0094633F"/>
    <w:rsid w:val="009475C1"/>
    <w:rsid w:val="009477CB"/>
    <w:rsid w:val="00947BA5"/>
    <w:rsid w:val="00950805"/>
    <w:rsid w:val="00950C0D"/>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4ADC"/>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83D"/>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5C8A"/>
    <w:rsid w:val="009E758E"/>
    <w:rsid w:val="009E7D6B"/>
    <w:rsid w:val="009E7E81"/>
    <w:rsid w:val="009F020A"/>
    <w:rsid w:val="009F05AD"/>
    <w:rsid w:val="009F1109"/>
    <w:rsid w:val="009F143E"/>
    <w:rsid w:val="009F1DE8"/>
    <w:rsid w:val="009F2186"/>
    <w:rsid w:val="009F28DC"/>
    <w:rsid w:val="009F2D49"/>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13C"/>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C3E"/>
    <w:rsid w:val="00A22C4D"/>
    <w:rsid w:val="00A23442"/>
    <w:rsid w:val="00A249D2"/>
    <w:rsid w:val="00A254AB"/>
    <w:rsid w:val="00A25674"/>
    <w:rsid w:val="00A266CC"/>
    <w:rsid w:val="00A26DB4"/>
    <w:rsid w:val="00A27229"/>
    <w:rsid w:val="00A27425"/>
    <w:rsid w:val="00A27478"/>
    <w:rsid w:val="00A3023E"/>
    <w:rsid w:val="00A305C5"/>
    <w:rsid w:val="00A30919"/>
    <w:rsid w:val="00A31D3E"/>
    <w:rsid w:val="00A31F05"/>
    <w:rsid w:val="00A31FD2"/>
    <w:rsid w:val="00A3404D"/>
    <w:rsid w:val="00A341AB"/>
    <w:rsid w:val="00A34290"/>
    <w:rsid w:val="00A355F9"/>
    <w:rsid w:val="00A35AA9"/>
    <w:rsid w:val="00A35D9A"/>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57CB5"/>
    <w:rsid w:val="00A6054E"/>
    <w:rsid w:val="00A60799"/>
    <w:rsid w:val="00A61B7F"/>
    <w:rsid w:val="00A61B91"/>
    <w:rsid w:val="00A62666"/>
    <w:rsid w:val="00A629CA"/>
    <w:rsid w:val="00A63016"/>
    <w:rsid w:val="00A63335"/>
    <w:rsid w:val="00A63685"/>
    <w:rsid w:val="00A642E7"/>
    <w:rsid w:val="00A645AC"/>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132"/>
    <w:rsid w:val="00A82D32"/>
    <w:rsid w:val="00A82EAE"/>
    <w:rsid w:val="00A846A0"/>
    <w:rsid w:val="00A847F9"/>
    <w:rsid w:val="00A849F6"/>
    <w:rsid w:val="00A84F27"/>
    <w:rsid w:val="00A8519C"/>
    <w:rsid w:val="00A85F83"/>
    <w:rsid w:val="00A86019"/>
    <w:rsid w:val="00A86EED"/>
    <w:rsid w:val="00A8733A"/>
    <w:rsid w:val="00A87E58"/>
    <w:rsid w:val="00A9196B"/>
    <w:rsid w:val="00A91BEE"/>
    <w:rsid w:val="00A91D4B"/>
    <w:rsid w:val="00A920B2"/>
    <w:rsid w:val="00A92675"/>
    <w:rsid w:val="00A92A96"/>
    <w:rsid w:val="00A92AF0"/>
    <w:rsid w:val="00A933FE"/>
    <w:rsid w:val="00A937D5"/>
    <w:rsid w:val="00A93C70"/>
    <w:rsid w:val="00A93F07"/>
    <w:rsid w:val="00A94A32"/>
    <w:rsid w:val="00A94AFC"/>
    <w:rsid w:val="00A963C5"/>
    <w:rsid w:val="00A96B4A"/>
    <w:rsid w:val="00A96B65"/>
    <w:rsid w:val="00A971BB"/>
    <w:rsid w:val="00A979AD"/>
    <w:rsid w:val="00A97BDA"/>
    <w:rsid w:val="00AA0779"/>
    <w:rsid w:val="00AA08D6"/>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5364"/>
    <w:rsid w:val="00AF584C"/>
    <w:rsid w:val="00AF5D84"/>
    <w:rsid w:val="00AF669D"/>
    <w:rsid w:val="00AF672C"/>
    <w:rsid w:val="00AF7389"/>
    <w:rsid w:val="00AF7C37"/>
    <w:rsid w:val="00B00378"/>
    <w:rsid w:val="00B00D91"/>
    <w:rsid w:val="00B00E84"/>
    <w:rsid w:val="00B012A0"/>
    <w:rsid w:val="00B0159A"/>
    <w:rsid w:val="00B01EE2"/>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6FFE"/>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5C0"/>
    <w:rsid w:val="00B75A48"/>
    <w:rsid w:val="00B75CC0"/>
    <w:rsid w:val="00B76021"/>
    <w:rsid w:val="00B804F8"/>
    <w:rsid w:val="00B8095A"/>
    <w:rsid w:val="00B81274"/>
    <w:rsid w:val="00B815D3"/>
    <w:rsid w:val="00B823A6"/>
    <w:rsid w:val="00B82640"/>
    <w:rsid w:val="00B83E76"/>
    <w:rsid w:val="00B83FA0"/>
    <w:rsid w:val="00B8443A"/>
    <w:rsid w:val="00B86289"/>
    <w:rsid w:val="00B863B3"/>
    <w:rsid w:val="00B869D3"/>
    <w:rsid w:val="00B86B37"/>
    <w:rsid w:val="00B86E44"/>
    <w:rsid w:val="00B87359"/>
    <w:rsid w:val="00B87B3F"/>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61"/>
    <w:rsid w:val="00BA15DC"/>
    <w:rsid w:val="00BA2220"/>
    <w:rsid w:val="00BA27AB"/>
    <w:rsid w:val="00BA2C82"/>
    <w:rsid w:val="00BA39B9"/>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A1F"/>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6D3"/>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7AC"/>
    <w:rsid w:val="00C07C11"/>
    <w:rsid w:val="00C07D06"/>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679"/>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6029A"/>
    <w:rsid w:val="00C6044C"/>
    <w:rsid w:val="00C61223"/>
    <w:rsid w:val="00C61246"/>
    <w:rsid w:val="00C61460"/>
    <w:rsid w:val="00C618A8"/>
    <w:rsid w:val="00C61A78"/>
    <w:rsid w:val="00C61B5F"/>
    <w:rsid w:val="00C62B88"/>
    <w:rsid w:val="00C634F9"/>
    <w:rsid w:val="00C637D4"/>
    <w:rsid w:val="00C643ED"/>
    <w:rsid w:val="00C64534"/>
    <w:rsid w:val="00C64B1D"/>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6C0C"/>
    <w:rsid w:val="00C776BA"/>
    <w:rsid w:val="00C776CE"/>
    <w:rsid w:val="00C77E23"/>
    <w:rsid w:val="00C81716"/>
    <w:rsid w:val="00C81FE1"/>
    <w:rsid w:val="00C822EB"/>
    <w:rsid w:val="00C832CB"/>
    <w:rsid w:val="00C84085"/>
    <w:rsid w:val="00C840E0"/>
    <w:rsid w:val="00C85E17"/>
    <w:rsid w:val="00C868A7"/>
    <w:rsid w:val="00C87164"/>
    <w:rsid w:val="00C87BD0"/>
    <w:rsid w:val="00C905E5"/>
    <w:rsid w:val="00C90754"/>
    <w:rsid w:val="00C90B95"/>
    <w:rsid w:val="00C90BC4"/>
    <w:rsid w:val="00C90CA9"/>
    <w:rsid w:val="00C90E2C"/>
    <w:rsid w:val="00C91566"/>
    <w:rsid w:val="00C91EBE"/>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1A29"/>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14E4"/>
    <w:rsid w:val="00CE2E2E"/>
    <w:rsid w:val="00CE3790"/>
    <w:rsid w:val="00CE3A51"/>
    <w:rsid w:val="00CE41F9"/>
    <w:rsid w:val="00CE4ED0"/>
    <w:rsid w:val="00CE5553"/>
    <w:rsid w:val="00CE56B8"/>
    <w:rsid w:val="00CE59F6"/>
    <w:rsid w:val="00CE66CD"/>
    <w:rsid w:val="00CE6BA9"/>
    <w:rsid w:val="00CE71C3"/>
    <w:rsid w:val="00CF0AF0"/>
    <w:rsid w:val="00CF1047"/>
    <w:rsid w:val="00CF157E"/>
    <w:rsid w:val="00CF1834"/>
    <w:rsid w:val="00CF1AAA"/>
    <w:rsid w:val="00CF1CE0"/>
    <w:rsid w:val="00CF1EC2"/>
    <w:rsid w:val="00CF2ACF"/>
    <w:rsid w:val="00CF345B"/>
    <w:rsid w:val="00CF46B9"/>
    <w:rsid w:val="00CF475F"/>
    <w:rsid w:val="00CF4FEB"/>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E8F"/>
    <w:rsid w:val="00D412BF"/>
    <w:rsid w:val="00D417C6"/>
    <w:rsid w:val="00D42B0C"/>
    <w:rsid w:val="00D42D6E"/>
    <w:rsid w:val="00D43BC9"/>
    <w:rsid w:val="00D43DEF"/>
    <w:rsid w:val="00D44259"/>
    <w:rsid w:val="00D45DDC"/>
    <w:rsid w:val="00D472E3"/>
    <w:rsid w:val="00D4752E"/>
    <w:rsid w:val="00D47DC2"/>
    <w:rsid w:val="00D5064C"/>
    <w:rsid w:val="00D50C94"/>
    <w:rsid w:val="00D5251C"/>
    <w:rsid w:val="00D525B8"/>
    <w:rsid w:val="00D52F56"/>
    <w:rsid w:val="00D539DA"/>
    <w:rsid w:val="00D54A50"/>
    <w:rsid w:val="00D5538D"/>
    <w:rsid w:val="00D5556D"/>
    <w:rsid w:val="00D55AEE"/>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345"/>
    <w:rsid w:val="00D64F1C"/>
    <w:rsid w:val="00D651CE"/>
    <w:rsid w:val="00D6570C"/>
    <w:rsid w:val="00D65A89"/>
    <w:rsid w:val="00D65F4B"/>
    <w:rsid w:val="00D66F50"/>
    <w:rsid w:val="00D673E0"/>
    <w:rsid w:val="00D675B0"/>
    <w:rsid w:val="00D678BB"/>
    <w:rsid w:val="00D67D81"/>
    <w:rsid w:val="00D67F85"/>
    <w:rsid w:val="00D700BF"/>
    <w:rsid w:val="00D70170"/>
    <w:rsid w:val="00D70552"/>
    <w:rsid w:val="00D70C42"/>
    <w:rsid w:val="00D70D42"/>
    <w:rsid w:val="00D71285"/>
    <w:rsid w:val="00D71ABC"/>
    <w:rsid w:val="00D71FA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392"/>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006"/>
    <w:rsid w:val="00DB6D32"/>
    <w:rsid w:val="00DB6F96"/>
    <w:rsid w:val="00DB71B9"/>
    <w:rsid w:val="00DC0281"/>
    <w:rsid w:val="00DC1395"/>
    <w:rsid w:val="00DC32FC"/>
    <w:rsid w:val="00DC3D89"/>
    <w:rsid w:val="00DC41B1"/>
    <w:rsid w:val="00DC4567"/>
    <w:rsid w:val="00DC4F47"/>
    <w:rsid w:val="00DC5BD0"/>
    <w:rsid w:val="00DC5BE2"/>
    <w:rsid w:val="00DC628E"/>
    <w:rsid w:val="00DC6747"/>
    <w:rsid w:val="00DC6AF3"/>
    <w:rsid w:val="00DC7608"/>
    <w:rsid w:val="00DC761E"/>
    <w:rsid w:val="00DC7CFC"/>
    <w:rsid w:val="00DD09F2"/>
    <w:rsid w:val="00DD100E"/>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5BBC"/>
    <w:rsid w:val="00E46A9C"/>
    <w:rsid w:val="00E47010"/>
    <w:rsid w:val="00E477ED"/>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449"/>
    <w:rsid w:val="00E9078A"/>
    <w:rsid w:val="00E90EBA"/>
    <w:rsid w:val="00E912FD"/>
    <w:rsid w:val="00E92C6E"/>
    <w:rsid w:val="00E92D0B"/>
    <w:rsid w:val="00E93195"/>
    <w:rsid w:val="00E944FE"/>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D28"/>
    <w:rsid w:val="00EA2686"/>
    <w:rsid w:val="00EA2E21"/>
    <w:rsid w:val="00EA2F07"/>
    <w:rsid w:val="00EA37FA"/>
    <w:rsid w:val="00EA380C"/>
    <w:rsid w:val="00EA3870"/>
    <w:rsid w:val="00EA3C2B"/>
    <w:rsid w:val="00EA7308"/>
    <w:rsid w:val="00EB031B"/>
    <w:rsid w:val="00EB0444"/>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26B"/>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E7EEC"/>
    <w:rsid w:val="00EF0D4B"/>
    <w:rsid w:val="00EF0FE6"/>
    <w:rsid w:val="00EF10A9"/>
    <w:rsid w:val="00EF1432"/>
    <w:rsid w:val="00EF1511"/>
    <w:rsid w:val="00EF2C5F"/>
    <w:rsid w:val="00EF3AC4"/>
    <w:rsid w:val="00EF3C0C"/>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E02"/>
    <w:rsid w:val="00F06340"/>
    <w:rsid w:val="00F0665D"/>
    <w:rsid w:val="00F06D42"/>
    <w:rsid w:val="00F07134"/>
    <w:rsid w:val="00F0724D"/>
    <w:rsid w:val="00F07378"/>
    <w:rsid w:val="00F10B81"/>
    <w:rsid w:val="00F117A4"/>
    <w:rsid w:val="00F14536"/>
    <w:rsid w:val="00F14591"/>
    <w:rsid w:val="00F145D3"/>
    <w:rsid w:val="00F14961"/>
    <w:rsid w:val="00F14B4B"/>
    <w:rsid w:val="00F14CBF"/>
    <w:rsid w:val="00F14CD1"/>
    <w:rsid w:val="00F15115"/>
    <w:rsid w:val="00F15C81"/>
    <w:rsid w:val="00F15D8C"/>
    <w:rsid w:val="00F15F18"/>
    <w:rsid w:val="00F1650D"/>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2EF"/>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54B"/>
    <w:rsid w:val="00F52668"/>
    <w:rsid w:val="00F53A44"/>
    <w:rsid w:val="00F53E96"/>
    <w:rsid w:val="00F54E5E"/>
    <w:rsid w:val="00F551DB"/>
    <w:rsid w:val="00F559BE"/>
    <w:rsid w:val="00F561DD"/>
    <w:rsid w:val="00F56FEF"/>
    <w:rsid w:val="00F57521"/>
    <w:rsid w:val="00F60938"/>
    <w:rsid w:val="00F60C7E"/>
    <w:rsid w:val="00F60E0A"/>
    <w:rsid w:val="00F60ECE"/>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362"/>
    <w:rsid w:val="00F67B58"/>
    <w:rsid w:val="00F67E81"/>
    <w:rsid w:val="00F71C68"/>
    <w:rsid w:val="00F724E2"/>
    <w:rsid w:val="00F72764"/>
    <w:rsid w:val="00F74103"/>
    <w:rsid w:val="00F745A4"/>
    <w:rsid w:val="00F74C0C"/>
    <w:rsid w:val="00F751E1"/>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202A51"/>
    <w:rsid w:val="01204575"/>
    <w:rsid w:val="01C27E99"/>
    <w:rsid w:val="0238266B"/>
    <w:rsid w:val="03DD35E4"/>
    <w:rsid w:val="04414865"/>
    <w:rsid w:val="044F5FB5"/>
    <w:rsid w:val="04936845"/>
    <w:rsid w:val="04D408FB"/>
    <w:rsid w:val="05927CC1"/>
    <w:rsid w:val="05AA53DA"/>
    <w:rsid w:val="06283F63"/>
    <w:rsid w:val="065A6178"/>
    <w:rsid w:val="06776037"/>
    <w:rsid w:val="067A0837"/>
    <w:rsid w:val="069209B2"/>
    <w:rsid w:val="07B51E6B"/>
    <w:rsid w:val="082A70B9"/>
    <w:rsid w:val="08DC1E32"/>
    <w:rsid w:val="0A5B7E63"/>
    <w:rsid w:val="0A9D4A91"/>
    <w:rsid w:val="0AA46D50"/>
    <w:rsid w:val="0B482A41"/>
    <w:rsid w:val="0C11379E"/>
    <w:rsid w:val="0C2053F6"/>
    <w:rsid w:val="0C87121B"/>
    <w:rsid w:val="0C88680E"/>
    <w:rsid w:val="0CCF4115"/>
    <w:rsid w:val="0CD21ED4"/>
    <w:rsid w:val="0D5A05B1"/>
    <w:rsid w:val="0D5F0C58"/>
    <w:rsid w:val="0D6B4803"/>
    <w:rsid w:val="0D771D70"/>
    <w:rsid w:val="0DF702FE"/>
    <w:rsid w:val="0E091442"/>
    <w:rsid w:val="0E2B3C5A"/>
    <w:rsid w:val="0EA359BF"/>
    <w:rsid w:val="0F0A35B9"/>
    <w:rsid w:val="0F816ACD"/>
    <w:rsid w:val="0FA270BA"/>
    <w:rsid w:val="1009346D"/>
    <w:rsid w:val="107F16E0"/>
    <w:rsid w:val="10FB6ED7"/>
    <w:rsid w:val="10FC16EA"/>
    <w:rsid w:val="110620B2"/>
    <w:rsid w:val="11163000"/>
    <w:rsid w:val="11847F8E"/>
    <w:rsid w:val="118963A1"/>
    <w:rsid w:val="123A3009"/>
    <w:rsid w:val="127723A9"/>
    <w:rsid w:val="128D6F5E"/>
    <w:rsid w:val="13072A44"/>
    <w:rsid w:val="13303AC5"/>
    <w:rsid w:val="13640F25"/>
    <w:rsid w:val="138527B2"/>
    <w:rsid w:val="13986314"/>
    <w:rsid w:val="14122296"/>
    <w:rsid w:val="14184776"/>
    <w:rsid w:val="142B7220"/>
    <w:rsid w:val="147E4E1C"/>
    <w:rsid w:val="14E21050"/>
    <w:rsid w:val="152E483E"/>
    <w:rsid w:val="15A42F1A"/>
    <w:rsid w:val="15CF5AE0"/>
    <w:rsid w:val="15E94F3A"/>
    <w:rsid w:val="15FC6940"/>
    <w:rsid w:val="16F848F6"/>
    <w:rsid w:val="17701351"/>
    <w:rsid w:val="17DF5516"/>
    <w:rsid w:val="182F595F"/>
    <w:rsid w:val="18D938E6"/>
    <w:rsid w:val="18F338FE"/>
    <w:rsid w:val="19FD6839"/>
    <w:rsid w:val="1A4563DB"/>
    <w:rsid w:val="1A91414C"/>
    <w:rsid w:val="1AB32061"/>
    <w:rsid w:val="1ACF1E76"/>
    <w:rsid w:val="1AE05A27"/>
    <w:rsid w:val="1B2A271F"/>
    <w:rsid w:val="1B724387"/>
    <w:rsid w:val="1BB457E0"/>
    <w:rsid w:val="1BB6133F"/>
    <w:rsid w:val="1BF35191"/>
    <w:rsid w:val="1C3A5553"/>
    <w:rsid w:val="1CE209B9"/>
    <w:rsid w:val="1D236A29"/>
    <w:rsid w:val="1D266CE1"/>
    <w:rsid w:val="1D3963AF"/>
    <w:rsid w:val="1DA7332B"/>
    <w:rsid w:val="1DB41D02"/>
    <w:rsid w:val="1E022140"/>
    <w:rsid w:val="1E093CD7"/>
    <w:rsid w:val="1E217115"/>
    <w:rsid w:val="1E2930EA"/>
    <w:rsid w:val="1E714A66"/>
    <w:rsid w:val="1EB7510C"/>
    <w:rsid w:val="1EC46F2F"/>
    <w:rsid w:val="1EE42987"/>
    <w:rsid w:val="1EF57D12"/>
    <w:rsid w:val="1F743F54"/>
    <w:rsid w:val="1F927DC1"/>
    <w:rsid w:val="1FE868A9"/>
    <w:rsid w:val="21236ACA"/>
    <w:rsid w:val="22B059C4"/>
    <w:rsid w:val="22BB723B"/>
    <w:rsid w:val="2329689A"/>
    <w:rsid w:val="23E44A61"/>
    <w:rsid w:val="240B1E46"/>
    <w:rsid w:val="24142B0B"/>
    <w:rsid w:val="242146F3"/>
    <w:rsid w:val="248544AB"/>
    <w:rsid w:val="25660F04"/>
    <w:rsid w:val="262025D5"/>
    <w:rsid w:val="262B2D33"/>
    <w:rsid w:val="267A47F1"/>
    <w:rsid w:val="272824C4"/>
    <w:rsid w:val="274F43F6"/>
    <w:rsid w:val="28461E7C"/>
    <w:rsid w:val="287D2559"/>
    <w:rsid w:val="28DC04D3"/>
    <w:rsid w:val="29177195"/>
    <w:rsid w:val="2B1343D9"/>
    <w:rsid w:val="2B3B63C9"/>
    <w:rsid w:val="2B574474"/>
    <w:rsid w:val="2BF10171"/>
    <w:rsid w:val="2C58452B"/>
    <w:rsid w:val="2C76065F"/>
    <w:rsid w:val="2C800C4F"/>
    <w:rsid w:val="2CB4675C"/>
    <w:rsid w:val="2CEC7352"/>
    <w:rsid w:val="2DD15014"/>
    <w:rsid w:val="2E1879D8"/>
    <w:rsid w:val="2E693FEF"/>
    <w:rsid w:val="2F8F26BD"/>
    <w:rsid w:val="2FCD0837"/>
    <w:rsid w:val="2FD25781"/>
    <w:rsid w:val="2FEF49EE"/>
    <w:rsid w:val="30254666"/>
    <w:rsid w:val="302679EF"/>
    <w:rsid w:val="30D95FD3"/>
    <w:rsid w:val="31134E7C"/>
    <w:rsid w:val="313268CB"/>
    <w:rsid w:val="319C6071"/>
    <w:rsid w:val="328E7F43"/>
    <w:rsid w:val="3310223A"/>
    <w:rsid w:val="33487709"/>
    <w:rsid w:val="33914F66"/>
    <w:rsid w:val="33D526F6"/>
    <w:rsid w:val="342E63AB"/>
    <w:rsid w:val="346426BD"/>
    <w:rsid w:val="34757781"/>
    <w:rsid w:val="349B2321"/>
    <w:rsid w:val="34BB3D03"/>
    <w:rsid w:val="34D06249"/>
    <w:rsid w:val="34EF0B35"/>
    <w:rsid w:val="35467460"/>
    <w:rsid w:val="35953DE7"/>
    <w:rsid w:val="35AA386B"/>
    <w:rsid w:val="35FE2F11"/>
    <w:rsid w:val="361404A1"/>
    <w:rsid w:val="3614633A"/>
    <w:rsid w:val="365302AE"/>
    <w:rsid w:val="374301D8"/>
    <w:rsid w:val="37730057"/>
    <w:rsid w:val="37DE3B35"/>
    <w:rsid w:val="38D5369C"/>
    <w:rsid w:val="393F295C"/>
    <w:rsid w:val="39884078"/>
    <w:rsid w:val="39D85952"/>
    <w:rsid w:val="3A1A2589"/>
    <w:rsid w:val="3A2B507B"/>
    <w:rsid w:val="3A4C3CE3"/>
    <w:rsid w:val="3AA84995"/>
    <w:rsid w:val="3B3C53EC"/>
    <w:rsid w:val="3B5F1F13"/>
    <w:rsid w:val="3B7A4728"/>
    <w:rsid w:val="3C4A0221"/>
    <w:rsid w:val="3C5F759A"/>
    <w:rsid w:val="3CCE44E4"/>
    <w:rsid w:val="3EBE1982"/>
    <w:rsid w:val="3F0C1519"/>
    <w:rsid w:val="3F2561FA"/>
    <w:rsid w:val="408A54F0"/>
    <w:rsid w:val="40A545D1"/>
    <w:rsid w:val="41742A05"/>
    <w:rsid w:val="41845972"/>
    <w:rsid w:val="41B55CEB"/>
    <w:rsid w:val="422C2C02"/>
    <w:rsid w:val="424405F6"/>
    <w:rsid w:val="42E1381E"/>
    <w:rsid w:val="43486471"/>
    <w:rsid w:val="434C1C7B"/>
    <w:rsid w:val="43D41789"/>
    <w:rsid w:val="44123E6F"/>
    <w:rsid w:val="44EB410C"/>
    <w:rsid w:val="45354E74"/>
    <w:rsid w:val="457A50EF"/>
    <w:rsid w:val="464A50DA"/>
    <w:rsid w:val="46FD5548"/>
    <w:rsid w:val="47CF2EA1"/>
    <w:rsid w:val="47DD7AD0"/>
    <w:rsid w:val="47E50C20"/>
    <w:rsid w:val="48010ED3"/>
    <w:rsid w:val="487F0CA6"/>
    <w:rsid w:val="4B3B2A32"/>
    <w:rsid w:val="4B9C37FE"/>
    <w:rsid w:val="4BEE7C6E"/>
    <w:rsid w:val="4C1910FC"/>
    <w:rsid w:val="4C3B3017"/>
    <w:rsid w:val="4C9444D5"/>
    <w:rsid w:val="4CE83F1B"/>
    <w:rsid w:val="4DB702D3"/>
    <w:rsid w:val="4E7105E9"/>
    <w:rsid w:val="4EF01CCD"/>
    <w:rsid w:val="4F61533B"/>
    <w:rsid w:val="4FAB358E"/>
    <w:rsid w:val="51A0432A"/>
    <w:rsid w:val="51AD32C0"/>
    <w:rsid w:val="51C30881"/>
    <w:rsid w:val="51E20DA7"/>
    <w:rsid w:val="52A96B6F"/>
    <w:rsid w:val="52FB4C31"/>
    <w:rsid w:val="540142C2"/>
    <w:rsid w:val="543A3F36"/>
    <w:rsid w:val="5477021B"/>
    <w:rsid w:val="5477163A"/>
    <w:rsid w:val="550764A4"/>
    <w:rsid w:val="554659C3"/>
    <w:rsid w:val="55512DB6"/>
    <w:rsid w:val="55EF10B1"/>
    <w:rsid w:val="56427575"/>
    <w:rsid w:val="577C0ACF"/>
    <w:rsid w:val="57A47E99"/>
    <w:rsid w:val="58AE4F0C"/>
    <w:rsid w:val="590D5D3B"/>
    <w:rsid w:val="59341835"/>
    <w:rsid w:val="59537C95"/>
    <w:rsid w:val="59C42DDE"/>
    <w:rsid w:val="5A0F010C"/>
    <w:rsid w:val="5A2A7C7B"/>
    <w:rsid w:val="5AAA2B32"/>
    <w:rsid w:val="5B3630C5"/>
    <w:rsid w:val="5BAE50D9"/>
    <w:rsid w:val="5C2D3F91"/>
    <w:rsid w:val="5C3C54A3"/>
    <w:rsid w:val="5C6309F6"/>
    <w:rsid w:val="5C80234E"/>
    <w:rsid w:val="5CC40BF6"/>
    <w:rsid w:val="5D1A7E85"/>
    <w:rsid w:val="5D3B758B"/>
    <w:rsid w:val="5D4D2BAA"/>
    <w:rsid w:val="5DE104C1"/>
    <w:rsid w:val="5E0E058B"/>
    <w:rsid w:val="5E261785"/>
    <w:rsid w:val="5E4F1BB0"/>
    <w:rsid w:val="5E6D1D3F"/>
    <w:rsid w:val="5EE07129"/>
    <w:rsid w:val="5F6F3391"/>
    <w:rsid w:val="5F8403D9"/>
    <w:rsid w:val="5FCC5339"/>
    <w:rsid w:val="5FD21144"/>
    <w:rsid w:val="60AA2CF3"/>
    <w:rsid w:val="61054A27"/>
    <w:rsid w:val="61077514"/>
    <w:rsid w:val="611D2366"/>
    <w:rsid w:val="611F1F8B"/>
    <w:rsid w:val="61AC338F"/>
    <w:rsid w:val="61CF0F9C"/>
    <w:rsid w:val="61DB57A4"/>
    <w:rsid w:val="61DD2632"/>
    <w:rsid w:val="62885958"/>
    <w:rsid w:val="63375F1A"/>
    <w:rsid w:val="63791642"/>
    <w:rsid w:val="645F744A"/>
    <w:rsid w:val="64CE2EAA"/>
    <w:rsid w:val="65056EF3"/>
    <w:rsid w:val="65F269B2"/>
    <w:rsid w:val="65FA69A9"/>
    <w:rsid w:val="66060AEA"/>
    <w:rsid w:val="662E75B1"/>
    <w:rsid w:val="66342C2E"/>
    <w:rsid w:val="663E784C"/>
    <w:rsid w:val="67763E25"/>
    <w:rsid w:val="67FF35A1"/>
    <w:rsid w:val="689762F8"/>
    <w:rsid w:val="68F92CC8"/>
    <w:rsid w:val="69CA5396"/>
    <w:rsid w:val="69E5371F"/>
    <w:rsid w:val="6A047AA8"/>
    <w:rsid w:val="6A250058"/>
    <w:rsid w:val="6A7577E0"/>
    <w:rsid w:val="6A927E4E"/>
    <w:rsid w:val="6ADB46AA"/>
    <w:rsid w:val="6B915546"/>
    <w:rsid w:val="6B950FB3"/>
    <w:rsid w:val="6BE93B0A"/>
    <w:rsid w:val="6C1A459F"/>
    <w:rsid w:val="6DCD28A8"/>
    <w:rsid w:val="6DE8029B"/>
    <w:rsid w:val="6E8E12EF"/>
    <w:rsid w:val="6F73286F"/>
    <w:rsid w:val="707A3405"/>
    <w:rsid w:val="711D4ECD"/>
    <w:rsid w:val="71397984"/>
    <w:rsid w:val="714874B8"/>
    <w:rsid w:val="717464FF"/>
    <w:rsid w:val="71D43752"/>
    <w:rsid w:val="721C21C2"/>
    <w:rsid w:val="73461F54"/>
    <w:rsid w:val="73760242"/>
    <w:rsid w:val="742842E9"/>
    <w:rsid w:val="745E1236"/>
    <w:rsid w:val="74610A4B"/>
    <w:rsid w:val="74812690"/>
    <w:rsid w:val="749C4185"/>
    <w:rsid w:val="75070EA6"/>
    <w:rsid w:val="756E7D31"/>
    <w:rsid w:val="75DA2C18"/>
    <w:rsid w:val="75FD29A4"/>
    <w:rsid w:val="762251B1"/>
    <w:rsid w:val="76566CC1"/>
    <w:rsid w:val="773651D5"/>
    <w:rsid w:val="777F348A"/>
    <w:rsid w:val="784C1B49"/>
    <w:rsid w:val="79271495"/>
    <w:rsid w:val="797A24BD"/>
    <w:rsid w:val="79C90BC8"/>
    <w:rsid w:val="7A28761C"/>
    <w:rsid w:val="7A67303B"/>
    <w:rsid w:val="7AAB1D04"/>
    <w:rsid w:val="7ABA4368"/>
    <w:rsid w:val="7AF00FC3"/>
    <w:rsid w:val="7B257FFD"/>
    <w:rsid w:val="7C2E0AC9"/>
    <w:rsid w:val="7C3764EE"/>
    <w:rsid w:val="7C6F0B02"/>
    <w:rsid w:val="7C98090B"/>
    <w:rsid w:val="7D5E1AEE"/>
    <w:rsid w:val="7D6D10FB"/>
    <w:rsid w:val="7DF676A3"/>
    <w:rsid w:val="7E211ED6"/>
    <w:rsid w:val="7E2F04A3"/>
    <w:rsid w:val="7ED9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16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2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23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11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104"/>
    <w:qFormat/>
    <w:uiPriority w:val="0"/>
    <w:pPr>
      <w:ind w:firstLine="420"/>
    </w:pPr>
    <w:rPr>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2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11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40"/>
    <w:qFormat/>
    <w:uiPriority w:val="0"/>
    <w:pPr>
      <w:jc w:val="left"/>
    </w:pPr>
  </w:style>
  <w:style w:type="paragraph" w:styleId="21">
    <w:name w:val="Salutation"/>
    <w:basedOn w:val="1"/>
    <w:next w:val="1"/>
    <w:link w:val="133"/>
    <w:qFormat/>
    <w:uiPriority w:val="0"/>
    <w:rPr>
      <w:rFonts w:ascii="仿宋_GB2312" w:eastAsia="仿宋_GB2312"/>
      <w:sz w:val="28"/>
      <w:szCs w:val="20"/>
    </w:rPr>
  </w:style>
  <w:style w:type="paragraph" w:styleId="22">
    <w:name w:val="Body Text 3"/>
    <w:basedOn w:val="1"/>
    <w:link w:val="238"/>
    <w:qFormat/>
    <w:uiPriority w:val="0"/>
    <w:pPr>
      <w:jc w:val="center"/>
    </w:pPr>
    <w:rPr>
      <w:szCs w:val="20"/>
    </w:rPr>
  </w:style>
  <w:style w:type="paragraph" w:styleId="23">
    <w:name w:val="Body Text"/>
    <w:basedOn w:val="1"/>
    <w:next w:val="1"/>
    <w:link w:val="8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0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6"/>
    <w:qFormat/>
    <w:uiPriority w:val="0"/>
    <w:pPr>
      <w:ind w:left="100" w:leftChars="2500"/>
    </w:pPr>
    <w:rPr>
      <w:rFonts w:ascii="宋体"/>
      <w:sz w:val="24"/>
      <w:szCs w:val="21"/>
      <w:lang w:val="zh-CN"/>
    </w:rPr>
  </w:style>
  <w:style w:type="paragraph" w:styleId="36">
    <w:name w:val="Body Text Indent 2"/>
    <w:basedOn w:val="1"/>
    <w:link w:val="165"/>
    <w:qFormat/>
    <w:uiPriority w:val="0"/>
    <w:pPr>
      <w:spacing w:line="360" w:lineRule="auto"/>
      <w:ind w:firstLine="601"/>
      <w:textAlignment w:val="baseline"/>
    </w:pPr>
    <w:rPr>
      <w:rFonts w:ascii="宋体"/>
      <w:kern w:val="0"/>
      <w:sz w:val="28"/>
      <w:szCs w:val="20"/>
    </w:rPr>
  </w:style>
  <w:style w:type="paragraph" w:styleId="37">
    <w:name w:val="Balloon Text"/>
    <w:basedOn w:val="1"/>
    <w:link w:val="242"/>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70"/>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0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4"/>
    <w:link w:val="90"/>
    <w:qFormat/>
    <w:uiPriority w:val="0"/>
    <w:pPr>
      <w:adjustRightInd/>
      <w:spacing w:after="120" w:line="240" w:lineRule="auto"/>
      <w:ind w:left="420" w:leftChars="200" w:firstLine="210"/>
    </w:pPr>
    <w:rPr>
      <w:sz w:val="21"/>
    </w:rPr>
  </w:style>
  <w:style w:type="table" w:styleId="61">
    <w:name w:val="Table Grid"/>
    <w:basedOn w:val="6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72">
    <w:name w:val="Char Char2"/>
    <w:qFormat/>
    <w:uiPriority w:val="0"/>
    <w:rPr>
      <w:rFonts w:eastAsia="宋体"/>
      <w:b/>
      <w:bCs/>
      <w:kern w:val="2"/>
      <w:sz w:val="21"/>
      <w:szCs w:val="24"/>
      <w:lang w:val="en-US" w:eastAsia="zh-CN" w:bidi="ar-SA"/>
    </w:rPr>
  </w:style>
  <w:style w:type="character" w:customStyle="1" w:styleId="73">
    <w:name w:val="Char Char5"/>
    <w:qFormat/>
    <w:uiPriority w:val="0"/>
    <w:rPr>
      <w:rFonts w:ascii="宋体" w:hAnsi="Courier New" w:eastAsia="宋体"/>
      <w:kern w:val="2"/>
      <w:sz w:val="21"/>
      <w:lang w:val="en-US" w:eastAsia="zh-CN"/>
    </w:rPr>
  </w:style>
  <w:style w:type="character" w:customStyle="1" w:styleId="74">
    <w:name w:val="标题 1 Char"/>
    <w:link w:val="3"/>
    <w:qFormat/>
    <w:uiPriority w:val="0"/>
    <w:rPr>
      <w:b/>
      <w:bCs/>
      <w:kern w:val="44"/>
      <w:sz w:val="44"/>
      <w:szCs w:val="44"/>
    </w:rPr>
  </w:style>
  <w:style w:type="character" w:customStyle="1" w:styleId="75">
    <w:name w:val="Comment Text Char"/>
    <w:semiHidden/>
    <w:qFormat/>
    <w:locked/>
    <w:uiPriority w:val="0"/>
    <w:rPr>
      <w:rFonts w:ascii="宋体" w:hAnsi="宋体" w:eastAsia="宋体"/>
      <w:kern w:val="2"/>
      <w:sz w:val="24"/>
      <w:lang w:val="en-US" w:eastAsia="zh-CN" w:bidi="ar-SA"/>
    </w:rPr>
  </w:style>
  <w:style w:type="character" w:customStyle="1" w:styleId="76">
    <w:name w:val="正文缩进 Char"/>
    <w:qFormat/>
    <w:uiPriority w:val="0"/>
    <w:rPr>
      <w:rFonts w:eastAsia="宋体"/>
      <w:kern w:val="2"/>
      <w:sz w:val="21"/>
      <w:lang w:val="en-US" w:eastAsia="zh-CN"/>
    </w:rPr>
  </w:style>
  <w:style w:type="character" w:customStyle="1" w:styleId="77">
    <w:name w:val="PI Char"/>
    <w:qFormat/>
    <w:uiPriority w:val="0"/>
    <w:rPr>
      <w:rFonts w:ascii="宋体" w:hAnsi="宋体" w:eastAsia="宋体"/>
      <w:kern w:val="2"/>
      <w:sz w:val="24"/>
      <w:szCs w:val="24"/>
      <w:lang w:val="en-US" w:eastAsia="zh-CN" w:bidi="ar-SA"/>
    </w:rPr>
  </w:style>
  <w:style w:type="character" w:customStyle="1" w:styleId="78">
    <w:name w:val="纯文本 字符"/>
    <w:qFormat/>
    <w:uiPriority w:val="0"/>
    <w:rPr>
      <w:rFonts w:ascii="宋体" w:hAnsi="Courier New" w:eastAsia="宋体" w:cs="Arial"/>
      <w:snapToGrid/>
      <w:kern w:val="2"/>
      <w:sz w:val="21"/>
      <w:szCs w:val="21"/>
      <w:lang w:val="en-US" w:eastAsia="zh-CN" w:bidi="ar-SA"/>
    </w:rPr>
  </w:style>
  <w:style w:type="character" w:customStyle="1" w:styleId="79">
    <w:name w:val="正文文本缩进 Char1"/>
    <w:link w:val="24"/>
    <w:qFormat/>
    <w:uiPriority w:val="0"/>
    <w:rPr>
      <w:rFonts w:ascii="宋体" w:hAnsi="宋体"/>
      <w:kern w:val="2"/>
      <w:sz w:val="24"/>
      <w:szCs w:val="24"/>
    </w:rPr>
  </w:style>
  <w:style w:type="character" w:customStyle="1" w:styleId="80">
    <w:name w:val="tw4winTerm"/>
    <w:qFormat/>
    <w:uiPriority w:val="0"/>
    <w:rPr>
      <w:color w:val="0000FF"/>
    </w:rPr>
  </w:style>
  <w:style w:type="character" w:customStyle="1" w:styleId="81">
    <w:name w:val="big1"/>
    <w:qFormat/>
    <w:uiPriority w:val="0"/>
    <w:rPr>
      <w:rFonts w:hint="eastAsia" w:ascii="宋体" w:hAnsi="宋体" w:eastAsia="宋体"/>
      <w:color w:val="333333"/>
      <w:sz w:val="22"/>
      <w:szCs w:val="22"/>
    </w:rPr>
  </w:style>
  <w:style w:type="character" w:customStyle="1" w:styleId="82">
    <w:name w:val="Heading 7 Char"/>
    <w:qFormat/>
    <w:locked/>
    <w:uiPriority w:val="0"/>
    <w:rPr>
      <w:rFonts w:ascii="宋体" w:hAnsi="宋体" w:eastAsia="宋体"/>
      <w:b/>
      <w:bCs/>
      <w:kern w:val="2"/>
      <w:sz w:val="24"/>
      <w:szCs w:val="24"/>
      <w:lang w:val="en-US" w:eastAsia="zh-CN" w:bidi="ar-SA"/>
    </w:rPr>
  </w:style>
  <w:style w:type="character" w:customStyle="1" w:styleId="83">
    <w:name w:val="bookmark-item"/>
    <w:basedOn w:val="62"/>
    <w:qFormat/>
    <w:uiPriority w:val="0"/>
  </w:style>
  <w:style w:type="character" w:customStyle="1" w:styleId="84">
    <w:name w:val="正文文本 Char1"/>
    <w:link w:val="23"/>
    <w:semiHidden/>
    <w:qFormat/>
    <w:uiPriority w:val="0"/>
    <w:rPr>
      <w:rFonts w:ascii="宋体" w:hAnsi="Arial" w:eastAsia="宋体" w:cs="Arial"/>
      <w:snapToGrid w:val="0"/>
      <w:kern w:val="2"/>
      <w:sz w:val="24"/>
      <w:szCs w:val="21"/>
      <w:lang w:val="zh-CN" w:eastAsia="zh-CN" w:bidi="ar-SA"/>
    </w:rPr>
  </w:style>
  <w:style w:type="character" w:customStyle="1" w:styleId="85">
    <w:name w:val="正文 编号 Char"/>
    <w:qFormat/>
    <w:uiPriority w:val="0"/>
    <w:rPr>
      <w:rFonts w:ascii="仿宋_GB2312" w:hAnsi="仿宋_GB2312" w:eastAsia="仿宋_GB2312"/>
      <w:kern w:val="2"/>
      <w:sz w:val="24"/>
      <w:lang w:bidi="ar-SA"/>
    </w:rPr>
  </w:style>
  <w:style w:type="character" w:customStyle="1" w:styleId="86">
    <w:name w:val="日期 Char"/>
    <w:link w:val="35"/>
    <w:qFormat/>
    <w:uiPriority w:val="0"/>
    <w:rPr>
      <w:rFonts w:ascii="宋体"/>
      <w:kern w:val="2"/>
      <w:sz w:val="24"/>
      <w:szCs w:val="21"/>
      <w:lang w:val="zh-CN"/>
    </w:rPr>
  </w:style>
  <w:style w:type="character" w:customStyle="1" w:styleId="87">
    <w:name w:val="unnamed31"/>
    <w:qFormat/>
    <w:uiPriority w:val="0"/>
    <w:rPr>
      <w:rFonts w:ascii="Tahoma" w:hAnsi="Tahoma" w:eastAsia="宋体"/>
      <w:b/>
      <w:kern w:val="2"/>
      <w:sz w:val="24"/>
      <w:szCs w:val="32"/>
      <w:u w:val="none"/>
      <w:lang w:val="en-US" w:eastAsia="zh-CN" w:bidi="ar-SA"/>
    </w:rPr>
  </w:style>
  <w:style w:type="character" w:customStyle="1" w:styleId="88">
    <w:name w:val="Footer-Even Char1"/>
    <w:qFormat/>
    <w:uiPriority w:val="0"/>
    <w:rPr>
      <w:rFonts w:eastAsia="宋体"/>
      <w:kern w:val="2"/>
      <w:sz w:val="18"/>
      <w:szCs w:val="18"/>
      <w:lang w:val="en-US" w:eastAsia="zh-CN" w:bidi="ar-SA"/>
    </w:rPr>
  </w:style>
  <w:style w:type="character" w:customStyle="1" w:styleId="89">
    <w:name w:val="HTML 预设格式 Char"/>
    <w:link w:val="55"/>
    <w:qFormat/>
    <w:uiPriority w:val="0"/>
    <w:rPr>
      <w:rFonts w:ascii="黑体" w:hAnsi="Courier New" w:eastAsia="黑体"/>
    </w:rPr>
  </w:style>
  <w:style w:type="character" w:customStyle="1" w:styleId="90">
    <w:name w:val="正文首行缩进 2 Char"/>
    <w:link w:val="59"/>
    <w:qFormat/>
    <w:uiPriority w:val="0"/>
    <w:rPr>
      <w:rFonts w:ascii="宋体" w:hAnsi="宋体"/>
      <w:kern w:val="2"/>
      <w:sz w:val="21"/>
      <w:szCs w:val="24"/>
    </w:rPr>
  </w:style>
  <w:style w:type="character" w:customStyle="1" w:styleId="91">
    <w:name w:val="链接"/>
    <w:qFormat/>
    <w:uiPriority w:val="0"/>
    <w:rPr>
      <w:color w:val="0000FF"/>
      <w:sz w:val="21"/>
      <w:szCs w:val="21"/>
      <w:u w:val="single"/>
    </w:rPr>
  </w:style>
  <w:style w:type="character" w:customStyle="1" w:styleId="92">
    <w:name w:val="正文 项目 Char"/>
    <w:qFormat/>
    <w:uiPriority w:val="0"/>
    <w:rPr>
      <w:rFonts w:ascii="仿宋_GB2312" w:hAnsi="仿宋_GB2312" w:eastAsia="仿宋_GB2312"/>
      <w:kern w:val="2"/>
      <w:sz w:val="24"/>
      <w:lang w:bidi="ar-SA"/>
    </w:rPr>
  </w:style>
  <w:style w:type="character" w:customStyle="1" w:styleId="93">
    <w:name w:val="纯文本 Char Char Char"/>
    <w:qFormat/>
    <w:uiPriority w:val="0"/>
    <w:rPr>
      <w:rFonts w:ascii="宋体" w:hAnsi="Courier New" w:eastAsia="宋体"/>
      <w:kern w:val="2"/>
      <w:sz w:val="21"/>
      <w:lang w:val="en-US" w:eastAsia="zh-CN" w:bidi="ar-SA"/>
    </w:rPr>
  </w:style>
  <w:style w:type="character" w:customStyle="1" w:styleId="94">
    <w:name w:val="pt141"/>
    <w:qFormat/>
    <w:uiPriority w:val="0"/>
    <w:rPr>
      <w:color w:val="330066"/>
      <w:sz w:val="22"/>
      <w:szCs w:val="22"/>
    </w:rPr>
  </w:style>
  <w:style w:type="character" w:customStyle="1" w:styleId="95">
    <w:name w:val="dandyren_title1"/>
    <w:qFormat/>
    <w:uiPriority w:val="0"/>
    <w:rPr>
      <w:b/>
      <w:bCs/>
      <w:color w:val="FF6633"/>
      <w:sz w:val="18"/>
      <w:szCs w:val="18"/>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Char Char7"/>
    <w:semiHidden/>
    <w:qFormat/>
    <w:uiPriority w:val="0"/>
    <w:rPr>
      <w:rFonts w:eastAsia="宋体"/>
      <w:kern w:val="2"/>
      <w:sz w:val="21"/>
      <w:szCs w:val="24"/>
      <w:lang w:val="en-US" w:eastAsia="zh-CN" w:bidi="ar-SA"/>
    </w:rPr>
  </w:style>
  <w:style w:type="character" w:customStyle="1" w:styleId="99">
    <w:name w:val="正文（缩进2汉字） Char"/>
    <w:link w:val="100"/>
    <w:qFormat/>
    <w:uiPriority w:val="0"/>
    <w:rPr>
      <w:rFonts w:ascii="宋体"/>
    </w:rPr>
  </w:style>
  <w:style w:type="paragraph" w:customStyle="1" w:styleId="100">
    <w:name w:val="正文（缩进2汉字）"/>
    <w:basedOn w:val="1"/>
    <w:link w:val="9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1">
    <w:name w:val="unnamed11"/>
    <w:qFormat/>
    <w:uiPriority w:val="0"/>
    <w:rPr>
      <w:sz w:val="20"/>
      <w:szCs w:val="20"/>
    </w:rPr>
  </w:style>
  <w:style w:type="character" w:customStyle="1" w:styleId="102">
    <w:name w:val="页眉 Char1"/>
    <w:qFormat/>
    <w:uiPriority w:val="0"/>
    <w:rPr>
      <w:rFonts w:eastAsia="宋体"/>
      <w:kern w:val="2"/>
      <w:sz w:val="18"/>
      <w:szCs w:val="18"/>
      <w:lang w:val="en-US" w:eastAsia="zh-CN" w:bidi="ar-SA"/>
    </w:rPr>
  </w:style>
  <w:style w:type="character" w:customStyle="1" w:styleId="10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4">
    <w:name w:val="正文首行缩进 Char"/>
    <w:link w:val="2"/>
    <w:qFormat/>
    <w:uiPriority w:val="0"/>
    <w:rPr>
      <w:rFonts w:ascii="宋体"/>
      <w:kern w:val="2"/>
      <w:sz w:val="24"/>
      <w:lang w:val="zh-CN"/>
    </w:rPr>
  </w:style>
  <w:style w:type="character" w:customStyle="1" w:styleId="105">
    <w:name w:val="副标题 Char"/>
    <w:link w:val="45"/>
    <w:qFormat/>
    <w:uiPriority w:val="0"/>
    <w:rPr>
      <w:rFonts w:ascii="Arial" w:hAnsi="Arial" w:eastAsia="隶书"/>
      <w:b/>
      <w:bCs/>
      <w:kern w:val="28"/>
      <w:sz w:val="44"/>
      <w:szCs w:val="32"/>
      <w:lang w:val="en-US" w:eastAsia="zh-CN" w:bidi="ar-SA"/>
    </w:rPr>
  </w:style>
  <w:style w:type="character" w:customStyle="1" w:styleId="106">
    <w:name w:val="样式4 Char"/>
    <w:qFormat/>
    <w:uiPriority w:val="0"/>
    <w:rPr>
      <w:rFonts w:ascii="仿宋_GB2312" w:hAnsi="仿宋" w:eastAsia="仿宋_GB2312"/>
      <w:b/>
      <w:kern w:val="2"/>
      <w:sz w:val="32"/>
      <w:szCs w:val="32"/>
      <w:lang w:bidi="ar-SA"/>
    </w:rPr>
  </w:style>
  <w:style w:type="character" w:customStyle="1" w:styleId="107">
    <w:name w:val="font21"/>
    <w:qFormat/>
    <w:uiPriority w:val="0"/>
    <w:rPr>
      <w:rFonts w:hint="eastAsia" w:ascii="宋体" w:hAnsi="宋体" w:eastAsia="宋体"/>
      <w:kern w:val="2"/>
      <w:sz w:val="28"/>
      <w:szCs w:val="28"/>
      <w:lang w:val="en-US" w:eastAsia="zh-CN" w:bidi="ar-SA"/>
    </w:rPr>
  </w:style>
  <w:style w:type="character" w:customStyle="1" w:styleId="108">
    <w:name w:val="正文首行缩进两字 Char"/>
    <w:qFormat/>
    <w:uiPriority w:val="0"/>
    <w:rPr>
      <w:sz w:val="24"/>
      <w:szCs w:val="24"/>
      <w:lang w:val="en-US" w:eastAsia="zh-CN" w:bidi="ar-SA"/>
    </w:rPr>
  </w:style>
  <w:style w:type="character" w:customStyle="1" w:styleId="109">
    <w:name w:val="正文文本缩进 3 Char"/>
    <w:link w:val="51"/>
    <w:qFormat/>
    <w:uiPriority w:val="0"/>
    <w:rPr>
      <w:kern w:val="2"/>
      <w:sz w:val="24"/>
    </w:rPr>
  </w:style>
  <w:style w:type="character" w:customStyle="1" w:styleId="110">
    <w:name w:val="px14"/>
    <w:qFormat/>
    <w:uiPriority w:val="0"/>
    <w:rPr>
      <w:rFonts w:ascii="仿宋_GB2312" w:eastAsia="微软雅黑" w:cs="Times New Roman"/>
      <w:b/>
      <w:kern w:val="2"/>
      <w:sz w:val="32"/>
      <w:szCs w:val="32"/>
      <w:lang w:val="en-US" w:eastAsia="zh-CN" w:bidi="ar-SA"/>
    </w:rPr>
  </w:style>
  <w:style w:type="character" w:customStyle="1" w:styleId="111">
    <w:name w:val="Body Text(ch) Char Char"/>
    <w:qFormat/>
    <w:uiPriority w:val="0"/>
    <w:rPr>
      <w:rFonts w:ascii="宋体"/>
      <w:kern w:val="2"/>
      <w:sz w:val="24"/>
      <w:szCs w:val="21"/>
      <w:lang w:val="zh-CN"/>
    </w:rPr>
  </w:style>
  <w:style w:type="character" w:customStyle="1" w:styleId="112">
    <w:name w:val="题注 Char"/>
    <w:link w:val="17"/>
    <w:qFormat/>
    <w:uiPriority w:val="0"/>
    <w:rPr>
      <w:b/>
      <w:kern w:val="2"/>
      <w:sz w:val="28"/>
    </w:rPr>
  </w:style>
  <w:style w:type="character" w:customStyle="1" w:styleId="113">
    <w:name w:val="标书正文格式 Char"/>
    <w:qFormat/>
    <w:uiPriority w:val="0"/>
    <w:rPr>
      <w:rFonts w:eastAsia="楷体_GB2312"/>
      <w:kern w:val="2"/>
      <w:sz w:val="24"/>
      <w:szCs w:val="24"/>
      <w:lang w:bidi="ar-SA"/>
    </w:rPr>
  </w:style>
  <w:style w:type="character" w:customStyle="1" w:styleId="114">
    <w:name w:val="Balloon Text Char"/>
    <w:semiHidden/>
    <w:qFormat/>
    <w:locked/>
    <w:uiPriority w:val="0"/>
    <w:rPr>
      <w:rFonts w:eastAsia="宋体"/>
      <w:kern w:val="2"/>
      <w:sz w:val="18"/>
      <w:szCs w:val="18"/>
      <w:lang w:val="en-US" w:eastAsia="zh-CN" w:bidi="ar-SA"/>
    </w:rPr>
  </w:style>
  <w:style w:type="character" w:customStyle="1" w:styleId="115">
    <w:name w:val="标题4-dyf Char"/>
    <w:link w:val="116"/>
    <w:qFormat/>
    <w:uiPriority w:val="0"/>
    <w:rPr>
      <w:rFonts w:ascii="Cambria" w:hAnsi="Cambria"/>
      <w:b/>
      <w:bCs/>
      <w:color w:val="000000"/>
      <w:kern w:val="2"/>
      <w:sz w:val="21"/>
      <w:szCs w:val="21"/>
    </w:rPr>
  </w:style>
  <w:style w:type="paragraph" w:customStyle="1" w:styleId="116">
    <w:name w:val="标题4-dyf"/>
    <w:basedOn w:val="6"/>
    <w:link w:val="11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17">
    <w:name w:val="公文正文 Char"/>
    <w:qFormat/>
    <w:uiPriority w:val="0"/>
    <w:rPr>
      <w:rFonts w:ascii="仿宋_GB2312" w:eastAsia="仿宋_GB2312"/>
      <w:kern w:val="2"/>
      <w:sz w:val="24"/>
      <w:szCs w:val="24"/>
      <w:lang w:val="en-US" w:eastAsia="zh-CN" w:bidi="ar-SA"/>
    </w:rPr>
  </w:style>
  <w:style w:type="character" w:customStyle="1" w:styleId="118">
    <w:name w:val="标题 8 Char"/>
    <w:link w:val="10"/>
    <w:qFormat/>
    <w:uiPriority w:val="0"/>
    <w:rPr>
      <w:rFonts w:ascii="Arial" w:hAnsi="Arial" w:eastAsia="黑体"/>
      <w:kern w:val="2"/>
      <w:sz w:val="24"/>
      <w:szCs w:val="24"/>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缩进 Char2"/>
    <w:link w:val="16"/>
    <w:qFormat/>
    <w:uiPriority w:val="0"/>
    <w:rPr>
      <w:rFonts w:ascii="宋体" w:eastAsia="宋体"/>
      <w:snapToGrid w:val="0"/>
      <w:color w:val="000000"/>
      <w:kern w:val="28"/>
      <w:sz w:val="28"/>
      <w:lang w:val="en-US" w:eastAsia="zh-CN" w:bidi="ar-SA"/>
    </w:rPr>
  </w:style>
  <w:style w:type="character" w:customStyle="1" w:styleId="121">
    <w:name w:val="标题 7 Char"/>
    <w:link w:val="9"/>
    <w:qFormat/>
    <w:uiPriority w:val="0"/>
    <w:rPr>
      <w:b/>
      <w:bCs/>
      <w:kern w:val="2"/>
      <w:sz w:val="24"/>
      <w:szCs w:val="24"/>
    </w:rPr>
  </w:style>
  <w:style w:type="character" w:customStyle="1" w:styleId="122">
    <w:name w:val="b11_01b Char"/>
    <w:link w:val="123"/>
    <w:qFormat/>
    <w:uiPriority w:val="0"/>
    <w:rPr>
      <w:rFonts w:ascii="Verdana" w:hAnsi="Verdana"/>
      <w:b/>
      <w:bCs/>
      <w:color w:val="4A82CA"/>
      <w:sz w:val="17"/>
      <w:szCs w:val="17"/>
    </w:rPr>
  </w:style>
  <w:style w:type="paragraph" w:customStyle="1" w:styleId="123">
    <w:name w:val="b11_01b"/>
    <w:basedOn w:val="1"/>
    <w:next w:val="1"/>
    <w:link w:val="12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24">
    <w:name w:val="插图说明 Char"/>
    <w:qFormat/>
    <w:uiPriority w:val="0"/>
    <w:rPr>
      <w:rFonts w:eastAsia="黑体"/>
      <w:sz w:val="24"/>
      <w:lang w:val="en-US" w:eastAsia="zh-CN"/>
    </w:rPr>
  </w:style>
  <w:style w:type="character" w:customStyle="1" w:styleId="125">
    <w:name w:val="hui"/>
    <w:basedOn w:val="62"/>
    <w:qFormat/>
    <w:uiPriority w:val="0"/>
  </w:style>
  <w:style w:type="character" w:customStyle="1" w:styleId="126">
    <w:name w:val="Bold"/>
    <w:qFormat/>
    <w:uiPriority w:val="0"/>
    <w:rPr>
      <w:rFonts w:ascii="Arial" w:hAnsi="Arial" w:eastAsia="黑体" w:cs="Times New Roman"/>
      <w:b/>
      <w:kern w:val="2"/>
      <w:sz w:val="32"/>
      <w:szCs w:val="32"/>
      <w:lang w:val="en-US" w:eastAsia="zh-CN" w:bidi="ar-SA"/>
    </w:rPr>
  </w:style>
  <w:style w:type="character" w:customStyle="1" w:styleId="127">
    <w:name w:val="样式 标题 4h4H4Fab-4T5Ref Heading 1rh1Heading sqlsect 1.2.3.... Char"/>
    <w:link w:val="128"/>
    <w:qFormat/>
    <w:uiPriority w:val="0"/>
    <w:rPr>
      <w:rFonts w:ascii="微软雅黑" w:hAnsi="微软雅黑" w:eastAsia="微软雅黑"/>
      <w:b/>
      <w:bCs/>
      <w:kern w:val="2"/>
      <w:sz w:val="24"/>
      <w:szCs w:val="28"/>
    </w:rPr>
  </w:style>
  <w:style w:type="paragraph" w:customStyle="1" w:styleId="128">
    <w:name w:val="样式 标题 4h4H4Fab-4T5Ref Heading 1rh1Heading sqlsect 1.2.3...."/>
    <w:basedOn w:val="6"/>
    <w:link w:val="12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29">
    <w:name w:val="myp1111"/>
    <w:qFormat/>
    <w:uiPriority w:val="0"/>
    <w:rPr>
      <w:rFonts w:hint="default" w:ascii="ˎ̥" w:hAnsi="ˎ̥"/>
      <w:color w:val="000000"/>
      <w:sz w:val="20"/>
      <w:szCs w:val="20"/>
      <w:u w:val="none"/>
    </w:rPr>
  </w:style>
  <w:style w:type="character" w:customStyle="1" w:styleId="130">
    <w:name w:val="blue1"/>
    <w:basedOn w:val="62"/>
    <w:qFormat/>
    <w:uiPriority w:val="0"/>
  </w:style>
  <w:style w:type="character" w:customStyle="1" w:styleId="131">
    <w:name w:val="普通文字 Char3"/>
    <w:qFormat/>
    <w:uiPriority w:val="0"/>
    <w:rPr>
      <w:rFonts w:ascii="宋体" w:hAnsi="Courier New" w:eastAsia="宋体"/>
      <w:kern w:val="2"/>
      <w:sz w:val="21"/>
      <w:lang w:val="en-US" w:eastAsia="zh-CN" w:bidi="ar-SA"/>
    </w:rPr>
  </w:style>
  <w:style w:type="character" w:customStyle="1" w:styleId="132">
    <w:name w:val="Char Char"/>
    <w:qFormat/>
    <w:uiPriority w:val="0"/>
    <w:rPr>
      <w:rFonts w:ascii="宋体" w:hAnsi="Courier New" w:eastAsia="宋体"/>
      <w:kern w:val="2"/>
      <w:sz w:val="21"/>
      <w:lang w:val="en-US" w:eastAsia="zh-CN" w:bidi="ar-SA"/>
    </w:rPr>
  </w:style>
  <w:style w:type="character" w:customStyle="1" w:styleId="133">
    <w:name w:val="称呼 Char"/>
    <w:link w:val="21"/>
    <w:qFormat/>
    <w:uiPriority w:val="0"/>
    <w:rPr>
      <w:rFonts w:ascii="仿宋_GB2312" w:eastAsia="仿宋_GB2312"/>
      <w:kern w:val="2"/>
      <w:sz w:val="28"/>
    </w:rPr>
  </w:style>
  <w:style w:type="character" w:customStyle="1" w:styleId="134">
    <w:name w:val="样式8 Char"/>
    <w:qFormat/>
    <w:uiPriority w:val="0"/>
    <w:rPr>
      <w:rFonts w:ascii="仿宋_GB2312" w:hAnsi="宋体" w:eastAsia="仿宋_GB2312"/>
      <w:b/>
      <w:bCs/>
      <w:kern w:val="2"/>
      <w:sz w:val="24"/>
      <w:szCs w:val="24"/>
    </w:rPr>
  </w:style>
  <w:style w:type="character" w:customStyle="1" w:styleId="135">
    <w:name w:val="正文 项目2 Char"/>
    <w:basedOn w:val="92"/>
    <w:qFormat/>
    <w:uiPriority w:val="0"/>
  </w:style>
  <w:style w:type="character" w:customStyle="1" w:styleId="136">
    <w:name w:val="tw4winExternal"/>
    <w:qFormat/>
    <w:uiPriority w:val="0"/>
    <w:rPr>
      <w:rFonts w:ascii="Courier New" w:hAnsi="Courier New" w:cs="Courier New"/>
      <w:color w:val="808080"/>
      <w:lang w:val="en-US" w:eastAsia="zh-CN"/>
    </w:rPr>
  </w:style>
  <w:style w:type="character" w:customStyle="1" w:styleId="137">
    <w:name w:val="solutionfonts"/>
    <w:qFormat/>
    <w:uiPriority w:val="0"/>
  </w:style>
  <w:style w:type="character" w:customStyle="1" w:styleId="138">
    <w:name w:val="标书1 Char"/>
    <w:qFormat/>
    <w:uiPriority w:val="0"/>
    <w:rPr>
      <w:rFonts w:eastAsia="宋体"/>
      <w:b/>
      <w:bCs/>
      <w:kern w:val="44"/>
      <w:sz w:val="44"/>
      <w:szCs w:val="44"/>
      <w:lang w:val="en-US" w:eastAsia="zh-CN" w:bidi="ar-SA"/>
    </w:rPr>
  </w:style>
  <w:style w:type="character" w:customStyle="1" w:styleId="139">
    <w:name w:val="Font Style82"/>
    <w:qFormat/>
    <w:uiPriority w:val="99"/>
    <w:rPr>
      <w:rFonts w:ascii="宋体" w:eastAsia="宋体" w:cs="宋体"/>
      <w:color w:val="000000"/>
      <w:sz w:val="14"/>
      <w:szCs w:val="14"/>
    </w:rPr>
  </w:style>
  <w:style w:type="character" w:customStyle="1" w:styleId="140">
    <w:name w:val="副标题 Char1"/>
    <w:qFormat/>
    <w:uiPriority w:val="0"/>
    <w:rPr>
      <w:rFonts w:ascii="Cambria" w:hAnsi="Cambria" w:eastAsia="宋体" w:cs="Times New Roman"/>
      <w:b/>
      <w:bCs/>
      <w:snapToGrid w:val="0"/>
      <w:kern w:val="28"/>
      <w:sz w:val="32"/>
      <w:szCs w:val="32"/>
    </w:rPr>
  </w:style>
  <w:style w:type="character" w:customStyle="1" w:styleId="141">
    <w:name w:val="f141"/>
    <w:qFormat/>
    <w:uiPriority w:val="0"/>
    <w:rPr>
      <w:rFonts w:ascii="Tahoma" w:hAnsi="Tahoma" w:eastAsia="宋体"/>
      <w:b/>
      <w:kern w:val="2"/>
      <w:sz w:val="21"/>
      <w:szCs w:val="21"/>
      <w:lang w:val="en-US" w:eastAsia="zh-CN" w:bidi="ar-SA"/>
    </w:rPr>
  </w:style>
  <w:style w:type="character" w:customStyle="1" w:styleId="142">
    <w:name w:val="hei16b1"/>
    <w:qFormat/>
    <w:uiPriority w:val="0"/>
    <w:rPr>
      <w:rFonts w:hint="default" w:ascii="Arial" w:hAnsi="Arial" w:cs="Arial"/>
      <w:b/>
      <w:bCs/>
      <w:color w:val="000000"/>
      <w:sz w:val="24"/>
      <w:szCs w:val="24"/>
    </w:rPr>
  </w:style>
  <w:style w:type="character" w:customStyle="1" w:styleId="143">
    <w:name w:val="Char Char6"/>
    <w:qFormat/>
    <w:uiPriority w:val="0"/>
    <w:rPr>
      <w:rFonts w:eastAsia="宋体"/>
      <w:kern w:val="2"/>
      <w:sz w:val="21"/>
      <w:szCs w:val="24"/>
      <w:lang w:val="en-US" w:eastAsia="zh-CN" w:bidi="ar-SA"/>
    </w:rPr>
  </w:style>
  <w:style w:type="character" w:customStyle="1" w:styleId="144">
    <w:name w:val="DO_NOT_TRANSLATE"/>
    <w:qFormat/>
    <w:uiPriority w:val="0"/>
    <w:rPr>
      <w:rFonts w:ascii="Courier New" w:hAnsi="Courier New" w:cs="Courier New"/>
      <w:color w:val="800000"/>
      <w:lang w:val="en-US" w:eastAsia="zh-CN"/>
    </w:rPr>
  </w:style>
  <w:style w:type="character" w:customStyle="1" w:styleId="145">
    <w:name w:val="标题 2 Char"/>
    <w:qFormat/>
    <w:uiPriority w:val="0"/>
    <w:rPr>
      <w:rFonts w:ascii="Arial" w:hAnsi="Arial" w:eastAsia="黑体"/>
      <w:b/>
      <w:kern w:val="2"/>
      <w:sz w:val="32"/>
      <w:lang w:val="en-US" w:eastAsia="zh-CN"/>
    </w:rPr>
  </w:style>
  <w:style w:type="character" w:customStyle="1" w:styleId="146">
    <w:name w:val="正文2 Char"/>
    <w:qFormat/>
    <w:uiPriority w:val="0"/>
    <w:rPr>
      <w:rFonts w:eastAsia="宋体"/>
      <w:kern w:val="2"/>
      <w:sz w:val="24"/>
      <w:lang w:val="en-US" w:eastAsia="zh-CN" w:bidi="ar-SA"/>
    </w:rPr>
  </w:style>
  <w:style w:type="character" w:customStyle="1" w:styleId="147">
    <w:name w:val="myp11"/>
    <w:qFormat/>
    <w:uiPriority w:val="0"/>
    <w:rPr>
      <w:rFonts w:ascii="仿宋_GB2312" w:eastAsia="微软雅黑"/>
      <w:b/>
      <w:kern w:val="2"/>
      <w:sz w:val="32"/>
      <w:szCs w:val="32"/>
      <w:lang w:val="en-US" w:eastAsia="zh-CN" w:bidi="ar-SA"/>
    </w:rPr>
  </w:style>
  <w:style w:type="character" w:customStyle="1" w:styleId="148">
    <w:name w:val="正文1 Char"/>
    <w:qFormat/>
    <w:uiPriority w:val="0"/>
    <w:rPr>
      <w:rFonts w:ascii="宋体" w:eastAsia="宋体"/>
      <w:snapToGrid w:val="0"/>
      <w:color w:val="000000"/>
      <w:kern w:val="28"/>
      <w:sz w:val="28"/>
      <w:lang w:val="en-US" w:eastAsia="zh-CN" w:bidi="ar-SA"/>
    </w:rPr>
  </w:style>
  <w:style w:type="character" w:customStyle="1" w:styleId="149">
    <w:name w:val="普通文字 Char Char1"/>
    <w:qFormat/>
    <w:uiPriority w:val="0"/>
    <w:rPr>
      <w:rFonts w:ascii="宋体" w:hAnsi="Courier New"/>
      <w:kern w:val="2"/>
      <w:sz w:val="21"/>
    </w:rPr>
  </w:style>
  <w:style w:type="character" w:customStyle="1" w:styleId="150">
    <w:name w:val="正文缩进 字符"/>
    <w:qFormat/>
    <w:uiPriority w:val="0"/>
    <w:rPr>
      <w:rFonts w:ascii="宋体" w:eastAsia="宋体"/>
      <w:snapToGrid/>
      <w:color w:val="000000"/>
      <w:kern w:val="28"/>
      <w:sz w:val="28"/>
      <w:lang w:val="en-US" w:eastAsia="zh-CN"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正文1 Char1"/>
    <w:qFormat/>
    <w:uiPriority w:val="0"/>
    <w:rPr>
      <w:rFonts w:ascii="仿宋_GB2312" w:hAnsi="Courier New" w:eastAsia="仿宋_GB2312"/>
      <w:kern w:val="28"/>
      <w:sz w:val="24"/>
      <w:szCs w:val="24"/>
      <w:lang w:val="en-US" w:eastAsia="zh-CN"/>
    </w:rPr>
  </w:style>
  <w:style w:type="character" w:customStyle="1" w:styleId="153">
    <w:name w:val="gray6"/>
    <w:basedOn w:val="62"/>
    <w:qFormat/>
    <w:uiPriority w:val="0"/>
  </w:style>
  <w:style w:type="character" w:customStyle="1" w:styleId="154">
    <w:name w:val="页眉 Char"/>
    <w:qFormat/>
    <w:uiPriority w:val="99"/>
    <w:rPr>
      <w:rFonts w:eastAsia="仿宋_GB2312"/>
      <w:kern w:val="2"/>
      <w:sz w:val="18"/>
      <w:lang w:val="en-US" w:eastAsia="zh-CN"/>
    </w:rPr>
  </w:style>
  <w:style w:type="character" w:customStyle="1" w:styleId="155">
    <w:name w:val="content"/>
    <w:qFormat/>
    <w:uiPriority w:val="0"/>
  </w:style>
  <w:style w:type="character" w:customStyle="1" w:styleId="156">
    <w:name w:val="Header Char"/>
    <w:semiHidden/>
    <w:qFormat/>
    <w:locked/>
    <w:uiPriority w:val="0"/>
    <w:rPr>
      <w:rFonts w:eastAsia="宋体"/>
      <w:kern w:val="2"/>
      <w:sz w:val="18"/>
      <w:szCs w:val="18"/>
      <w:lang w:val="en-US" w:eastAsia="zh-CN" w:bidi="ar-SA"/>
    </w:rPr>
  </w:style>
  <w:style w:type="character" w:customStyle="1" w:styleId="157">
    <w:name w:val="纯文本 Char1"/>
    <w:link w:val="158"/>
    <w:qFormat/>
    <w:uiPriority w:val="0"/>
    <w:rPr>
      <w:rFonts w:ascii="宋体" w:hAnsi="Courier New"/>
    </w:rPr>
  </w:style>
  <w:style w:type="paragraph" w:customStyle="1" w:styleId="158">
    <w:name w:val="纯文本1"/>
    <w:basedOn w:val="1"/>
    <w:link w:val="157"/>
    <w:qFormat/>
    <w:uiPriority w:val="0"/>
    <w:pPr>
      <w:adjustRightInd/>
    </w:pPr>
    <w:rPr>
      <w:rFonts w:ascii="宋体" w:hAnsi="Courier New"/>
      <w:kern w:val="0"/>
      <w:sz w:val="20"/>
      <w:szCs w:val="20"/>
    </w:rPr>
  </w:style>
  <w:style w:type="character" w:customStyle="1" w:styleId="159">
    <w:name w:val="带编号样式 Char"/>
    <w:qFormat/>
    <w:uiPriority w:val="0"/>
    <w:rPr>
      <w:rFonts w:ascii="仿宋_GB2312" w:eastAsia="仿宋_GB2312"/>
      <w:color w:val="000000"/>
      <w:sz w:val="24"/>
      <w:lang w:bidi="ar-SA"/>
    </w:rPr>
  </w:style>
  <w:style w:type="character" w:customStyle="1" w:styleId="160">
    <w:name w:val="ca-131"/>
    <w:qFormat/>
    <w:uiPriority w:val="0"/>
    <w:rPr>
      <w:rFonts w:hint="eastAsia" w:ascii="仿宋_GB2312" w:eastAsia="仿宋_GB2312"/>
      <w:b/>
      <w:bCs/>
      <w:color w:val="000000"/>
      <w:spacing w:val="-20"/>
      <w:sz w:val="24"/>
      <w:szCs w:val="24"/>
    </w:rPr>
  </w:style>
  <w:style w:type="character" w:customStyle="1" w:styleId="161">
    <w:name w:val="正文首行缩进 Char Char Char Char Char Char"/>
    <w:qFormat/>
    <w:uiPriority w:val="0"/>
    <w:rPr>
      <w:rFonts w:ascii="宋体" w:eastAsia="宋体"/>
      <w:kern w:val="2"/>
      <w:sz w:val="24"/>
      <w:lang w:val="zh-CN" w:bidi="ar-SA"/>
    </w:rPr>
  </w:style>
  <w:style w:type="character" w:customStyle="1" w:styleId="162">
    <w:name w:val="Char Char12"/>
    <w:qFormat/>
    <w:uiPriority w:val="0"/>
    <w:rPr>
      <w:rFonts w:ascii="仿宋_GB2312" w:eastAsia="仿宋_GB2312"/>
      <w:b/>
      <w:bCs/>
      <w:kern w:val="2"/>
      <w:sz w:val="24"/>
      <w:szCs w:val="24"/>
      <w:lang w:val="zh-CN" w:eastAsia="zh-CN" w:bidi="ar-SA"/>
    </w:rPr>
  </w:style>
  <w:style w:type="character" w:customStyle="1" w:styleId="163">
    <w:name w:val="标题 4 Char"/>
    <w:link w:val="6"/>
    <w:qFormat/>
    <w:uiPriority w:val="0"/>
    <w:rPr>
      <w:rFonts w:ascii="Arial" w:hAnsi="Arial" w:eastAsia="黑体"/>
      <w:b/>
      <w:bCs/>
      <w:kern w:val="2"/>
      <w:sz w:val="28"/>
      <w:szCs w:val="28"/>
      <w:lang w:val="zh-CN"/>
    </w:rPr>
  </w:style>
  <w:style w:type="character" w:customStyle="1" w:styleId="164">
    <w:name w:val="标题 2 Char Char"/>
    <w:qFormat/>
    <w:uiPriority w:val="0"/>
    <w:rPr>
      <w:rFonts w:ascii="楷体_GB2312" w:hAnsi="Arial" w:eastAsia="楷体_GB2312"/>
      <w:b/>
      <w:bCs/>
      <w:kern w:val="2"/>
      <w:sz w:val="24"/>
      <w:szCs w:val="32"/>
      <w:lang w:val="en-US" w:eastAsia="zh-CN" w:bidi="ar-SA"/>
    </w:rPr>
  </w:style>
  <w:style w:type="character" w:customStyle="1" w:styleId="165">
    <w:name w:val="正文文本缩进 2 Char"/>
    <w:link w:val="36"/>
    <w:qFormat/>
    <w:uiPriority w:val="0"/>
    <w:rPr>
      <w:rFonts w:ascii="宋体"/>
      <w:sz w:val="28"/>
    </w:rPr>
  </w:style>
  <w:style w:type="character" w:customStyle="1" w:styleId="166">
    <w:name w:val="tw4winError"/>
    <w:qFormat/>
    <w:uiPriority w:val="0"/>
    <w:rPr>
      <w:rFonts w:ascii="Courier New" w:hAnsi="Courier New" w:cs="Courier New"/>
      <w:color w:val="00FF00"/>
      <w:sz w:val="40"/>
      <w:szCs w:val="40"/>
    </w:rPr>
  </w:style>
  <w:style w:type="character" w:customStyle="1" w:styleId="167">
    <w:name w:val="Char Char4"/>
    <w:qFormat/>
    <w:uiPriority w:val="0"/>
    <w:rPr>
      <w:rFonts w:eastAsia="宋体"/>
      <w:b/>
      <w:sz w:val="24"/>
      <w:lang w:val="en-GB" w:eastAsia="zh-CN" w:bidi="ar-SA"/>
    </w:rPr>
  </w:style>
  <w:style w:type="character" w:customStyle="1" w:styleId="168">
    <w:name w:val="Char Char10"/>
    <w:semiHidden/>
    <w:qFormat/>
    <w:uiPriority w:val="0"/>
    <w:rPr>
      <w:rFonts w:ascii="宋体" w:hAnsi="宋体"/>
      <w:kern w:val="2"/>
      <w:sz w:val="21"/>
      <w:szCs w:val="24"/>
      <w:lang w:val="en-US" w:eastAsia="zh-CN"/>
    </w:rPr>
  </w:style>
  <w:style w:type="character" w:customStyle="1" w:styleId="169">
    <w:name w:val="Ò³Ã¼ Char Char"/>
    <w:qFormat/>
    <w:uiPriority w:val="0"/>
    <w:rPr>
      <w:rFonts w:eastAsia="宋体"/>
      <w:kern w:val="2"/>
      <w:sz w:val="18"/>
      <w:lang w:val="en-US" w:eastAsia="zh-CN" w:bidi="ar-SA"/>
    </w:rPr>
  </w:style>
  <w:style w:type="character" w:customStyle="1" w:styleId="170">
    <w:name w:val="页脚 Char1"/>
    <w:qFormat/>
    <w:uiPriority w:val="0"/>
    <w:rPr>
      <w:rFonts w:eastAsia="宋体"/>
      <w:kern w:val="2"/>
      <w:sz w:val="18"/>
      <w:szCs w:val="18"/>
      <w:lang w:val="en-US" w:eastAsia="zh-CN" w:bidi="ar-SA"/>
    </w:rPr>
  </w:style>
  <w:style w:type="character" w:customStyle="1" w:styleId="171">
    <w:name w:val="c7 style3"/>
    <w:qFormat/>
    <w:uiPriority w:val="0"/>
  </w:style>
  <w:style w:type="character" w:customStyle="1" w:styleId="172">
    <w:name w:val="标准正文格式 Char"/>
    <w:qFormat/>
    <w:uiPriority w:val="0"/>
    <w:rPr>
      <w:rFonts w:ascii="宋体" w:eastAsia="仿宋_GB2312" w:cs="宋体"/>
      <w:color w:val="000000"/>
      <w:sz w:val="24"/>
      <w:lang w:val="en-US" w:eastAsia="zh-CN" w:bidi="ar-SA"/>
    </w:rPr>
  </w:style>
  <w:style w:type="character" w:customStyle="1" w:styleId="173">
    <w:name w:val="javascript"/>
    <w:qFormat/>
    <w:uiPriority w:val="0"/>
  </w:style>
  <w:style w:type="character" w:customStyle="1" w:styleId="174">
    <w:name w:val="Char Char11"/>
    <w:qFormat/>
    <w:locked/>
    <w:uiPriority w:val="0"/>
    <w:rPr>
      <w:rFonts w:ascii="宋体" w:hAnsi="宋体" w:eastAsia="宋体"/>
      <w:b/>
      <w:kern w:val="2"/>
      <w:sz w:val="24"/>
      <w:szCs w:val="24"/>
      <w:lang w:val="en-US" w:eastAsia="zh-CN" w:bidi="ar-SA"/>
    </w:rPr>
  </w:style>
  <w:style w:type="character" w:customStyle="1" w:styleId="175">
    <w:name w:val="Char Char51"/>
    <w:qFormat/>
    <w:uiPriority w:val="0"/>
    <w:rPr>
      <w:rFonts w:ascii="宋体" w:hAnsi="Courier New" w:eastAsia="宋体"/>
      <w:kern w:val="2"/>
      <w:sz w:val="21"/>
      <w:lang w:val="en-US" w:eastAsia="zh-CN"/>
    </w:rPr>
  </w:style>
  <w:style w:type="character" w:customStyle="1" w:styleId="176">
    <w:name w:val="标题 3 Char2"/>
    <w:qFormat/>
    <w:uiPriority w:val="0"/>
    <w:rPr>
      <w:rFonts w:eastAsia="宋体"/>
      <w:b/>
      <w:bCs/>
      <w:kern w:val="2"/>
      <w:sz w:val="32"/>
      <w:szCs w:val="32"/>
      <w:lang w:val="en-US" w:eastAsia="zh-CN" w:bidi="ar-SA"/>
    </w:rPr>
  </w:style>
  <w:style w:type="character" w:customStyle="1" w:styleId="177">
    <w:name w:val="h Char Char"/>
    <w:qFormat/>
    <w:uiPriority w:val="0"/>
    <w:rPr>
      <w:rFonts w:eastAsia="宋体"/>
      <w:kern w:val="2"/>
      <w:sz w:val="18"/>
      <w:lang w:val="en-US" w:eastAsia="zh-CN" w:bidi="ar-SA"/>
    </w:rPr>
  </w:style>
  <w:style w:type="character" w:customStyle="1" w:styleId="178">
    <w:name w:val="普通文字 Char1"/>
    <w:qFormat/>
    <w:uiPriority w:val="0"/>
    <w:rPr>
      <w:rFonts w:ascii="宋体" w:hAnsi="Courier New" w:eastAsia="宋体"/>
      <w:kern w:val="2"/>
      <w:sz w:val="21"/>
      <w:lang w:val="en-US" w:eastAsia="zh-CN"/>
    </w:rPr>
  </w:style>
  <w:style w:type="character" w:customStyle="1" w:styleId="179">
    <w:name w:val="Char Char3"/>
    <w:qFormat/>
    <w:uiPriority w:val="0"/>
    <w:rPr>
      <w:rFonts w:eastAsia="宋体"/>
      <w:kern w:val="2"/>
      <w:sz w:val="21"/>
      <w:szCs w:val="24"/>
      <w:lang w:val="en-US" w:eastAsia="zh-CN" w:bidi="ar-SA"/>
    </w:rPr>
  </w:style>
  <w:style w:type="character" w:customStyle="1" w:styleId="180">
    <w:name w:val="正文文本缩进 字符"/>
    <w:qFormat/>
    <w:uiPriority w:val="0"/>
    <w:rPr>
      <w:rFonts w:ascii="宋体" w:hAnsi="宋体"/>
      <w:kern w:val="2"/>
      <w:sz w:val="24"/>
      <w:szCs w:val="24"/>
    </w:rPr>
  </w:style>
  <w:style w:type="character" w:customStyle="1" w:styleId="181">
    <w:name w:val="No Spacing Char"/>
    <w:link w:val="182"/>
    <w:qFormat/>
    <w:uiPriority w:val="1"/>
    <w:rPr>
      <w:rFonts w:ascii="Calibri" w:hAnsi="Calibri"/>
      <w:sz w:val="22"/>
      <w:szCs w:val="22"/>
      <w:lang w:val="en-US" w:eastAsia="zh-CN" w:bidi="ar-SA"/>
    </w:rPr>
  </w:style>
  <w:style w:type="paragraph" w:customStyle="1" w:styleId="182">
    <w:name w:val="无间隔1"/>
    <w:link w:val="181"/>
    <w:qFormat/>
    <w:uiPriority w:val="1"/>
    <w:rPr>
      <w:rFonts w:ascii="Calibri" w:hAnsi="Calibri" w:eastAsia="宋体" w:cs="Times New Roman"/>
      <w:sz w:val="22"/>
      <w:szCs w:val="22"/>
      <w:lang w:val="en-US" w:eastAsia="zh-CN" w:bidi="ar-SA"/>
    </w:rPr>
  </w:style>
  <w:style w:type="character" w:customStyle="1" w:styleId="183">
    <w:name w:val="h3 Char"/>
    <w:qFormat/>
    <w:uiPriority w:val="0"/>
    <w:rPr>
      <w:rFonts w:eastAsia="宋体"/>
      <w:b/>
      <w:kern w:val="2"/>
      <w:sz w:val="32"/>
      <w:lang w:val="en-US" w:eastAsia="zh-CN" w:bidi="ar-SA"/>
    </w:rPr>
  </w:style>
  <w:style w:type="character" w:customStyle="1" w:styleId="184">
    <w:name w:val="Char Char8"/>
    <w:qFormat/>
    <w:uiPriority w:val="0"/>
    <w:rPr>
      <w:rFonts w:eastAsia="宋体"/>
      <w:b/>
      <w:sz w:val="24"/>
      <w:lang w:val="en-GB" w:eastAsia="zh-CN"/>
    </w:rPr>
  </w:style>
  <w:style w:type="character" w:customStyle="1" w:styleId="185">
    <w:name w:val="批注文字 Char"/>
    <w:qFormat/>
    <w:uiPriority w:val="99"/>
    <w:rPr>
      <w:kern w:val="2"/>
      <w:sz w:val="21"/>
      <w:szCs w:val="24"/>
    </w:rPr>
  </w:style>
  <w:style w:type="character" w:customStyle="1" w:styleId="186">
    <w:name w:val="highlight1"/>
    <w:qFormat/>
    <w:uiPriority w:val="0"/>
    <w:rPr>
      <w:rFonts w:ascii="仿宋_GB2312" w:eastAsia="微软雅黑"/>
      <w:b/>
      <w:kern w:val="2"/>
      <w:sz w:val="23"/>
      <w:szCs w:val="23"/>
      <w:lang w:val="en-US" w:eastAsia="zh-CN" w:bidi="ar-SA"/>
    </w:rPr>
  </w:style>
  <w:style w:type="character" w:customStyle="1" w:styleId="187">
    <w:name w:val="style91"/>
    <w:qFormat/>
    <w:uiPriority w:val="0"/>
    <w:rPr>
      <w:color w:val="333333"/>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正文文本 2 Char"/>
    <w:qFormat/>
    <w:uiPriority w:val="0"/>
    <w:rPr>
      <w:rFonts w:eastAsia="宋体"/>
      <w:kern w:val="2"/>
      <w:sz w:val="21"/>
      <w:szCs w:val="24"/>
      <w:lang w:val="en-US" w:eastAsia="zh-CN" w:bidi="ar-SA"/>
    </w:rPr>
  </w:style>
  <w:style w:type="character" w:customStyle="1" w:styleId="190">
    <w:name w:val="mdeck"/>
    <w:qFormat/>
    <w:uiPriority w:val="0"/>
    <w:rPr>
      <w:rFonts w:ascii="仿宋_GB2312" w:eastAsia="微软雅黑"/>
      <w:b/>
      <w:kern w:val="2"/>
      <w:sz w:val="32"/>
      <w:szCs w:val="32"/>
      <w:lang w:val="en-US" w:eastAsia="zh-CN" w:bidi="ar-SA"/>
    </w:rPr>
  </w:style>
  <w:style w:type="character" w:customStyle="1" w:styleId="191">
    <w:name w:val="哈哈正文 Char"/>
    <w:link w:val="192"/>
    <w:qFormat/>
    <w:uiPriority w:val="0"/>
    <w:rPr>
      <w:rFonts w:ascii="宋体" w:hAnsi="宋体" w:eastAsia="宋体"/>
      <w:kern w:val="2"/>
      <w:sz w:val="24"/>
      <w:lang w:bidi="ar-SA"/>
    </w:rPr>
  </w:style>
  <w:style w:type="paragraph" w:customStyle="1" w:styleId="192">
    <w:name w:val="哈哈正文"/>
    <w:basedOn w:val="1"/>
    <w:link w:val="191"/>
    <w:qFormat/>
    <w:uiPriority w:val="0"/>
    <w:pPr>
      <w:adjustRightInd/>
      <w:spacing w:line="360" w:lineRule="auto"/>
      <w:ind w:firstLine="200" w:firstLineChars="200"/>
    </w:pPr>
    <w:rPr>
      <w:rFonts w:ascii="宋体" w:hAnsi="宋体"/>
      <w:sz w:val="24"/>
      <w:szCs w:val="20"/>
    </w:rPr>
  </w:style>
  <w:style w:type="character" w:customStyle="1" w:styleId="193">
    <w:name w:val="Char Char81"/>
    <w:qFormat/>
    <w:uiPriority w:val="0"/>
    <w:rPr>
      <w:rFonts w:eastAsia="宋体"/>
      <w:b/>
      <w:sz w:val="24"/>
      <w:lang w:val="en-GB" w:eastAsia="zh-CN"/>
    </w:rPr>
  </w:style>
  <w:style w:type="character" w:customStyle="1" w:styleId="194">
    <w:name w:val="此正文 Char"/>
    <w:link w:val="195"/>
    <w:qFormat/>
    <w:uiPriority w:val="0"/>
    <w:rPr>
      <w:kern w:val="2"/>
      <w:sz w:val="24"/>
      <w:szCs w:val="24"/>
    </w:rPr>
  </w:style>
  <w:style w:type="paragraph" w:customStyle="1" w:styleId="195">
    <w:name w:val="此正文"/>
    <w:basedOn w:val="1"/>
    <w:link w:val="194"/>
    <w:qFormat/>
    <w:uiPriority w:val="0"/>
    <w:pPr>
      <w:adjustRightInd/>
      <w:spacing w:line="360" w:lineRule="auto"/>
      <w:ind w:firstLine="200" w:firstLineChars="200"/>
    </w:pPr>
    <w:rPr>
      <w:sz w:val="24"/>
    </w:rPr>
  </w:style>
  <w:style w:type="character" w:customStyle="1" w:styleId="196">
    <w:name w:val="批注主题 Char"/>
    <w:qFormat/>
    <w:uiPriority w:val="0"/>
    <w:rPr>
      <w:rFonts w:eastAsia="宋体"/>
      <w:b/>
      <w:bCs/>
      <w:kern w:val="2"/>
      <w:sz w:val="21"/>
      <w:szCs w:val="24"/>
      <w:lang w:val="en-US" w:eastAsia="zh-CN" w:bidi="ar-SA"/>
    </w:rPr>
  </w:style>
  <w:style w:type="character" w:customStyle="1" w:styleId="197">
    <w:name w:val="Footer-Even Char"/>
    <w:qFormat/>
    <w:uiPriority w:val="0"/>
    <w:rPr>
      <w:rFonts w:eastAsia="宋体"/>
      <w:kern w:val="2"/>
      <w:sz w:val="18"/>
      <w:lang w:val="en-US" w:eastAsia="zh-CN" w:bidi="ar-SA"/>
    </w:rPr>
  </w:style>
  <w:style w:type="character" w:customStyle="1" w:styleId="198">
    <w:name w:val="普通文字 Char1 Char"/>
    <w:qFormat/>
    <w:uiPriority w:val="0"/>
    <w:rPr>
      <w:rFonts w:ascii="宋体" w:hAnsi="Courier New" w:eastAsia="宋体"/>
      <w:kern w:val="2"/>
      <w:sz w:val="21"/>
      <w:szCs w:val="24"/>
      <w:lang w:val="en-US" w:eastAsia="zh-CN" w:bidi="ar-SA"/>
    </w:rPr>
  </w:style>
  <w:style w:type="character" w:customStyle="1" w:styleId="19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0">
    <w:name w:val="Used by Word for text of Help footnotes Char Char"/>
    <w:semiHidden/>
    <w:qFormat/>
    <w:uiPriority w:val="0"/>
    <w:rPr>
      <w:rFonts w:ascii="Times New Roman" w:hAnsi="Times New Roman" w:eastAsia="宋体" w:cs="Times New Roman"/>
      <w:sz w:val="20"/>
      <w:szCs w:val="20"/>
    </w:rPr>
  </w:style>
  <w:style w:type="character" w:customStyle="1" w:styleId="201">
    <w:name w:val="Document Map Char"/>
    <w:semiHidden/>
    <w:qFormat/>
    <w:locked/>
    <w:uiPriority w:val="0"/>
    <w:rPr>
      <w:rFonts w:eastAsia="宋体"/>
      <w:kern w:val="2"/>
      <w:sz w:val="21"/>
      <w:szCs w:val="24"/>
      <w:lang w:val="en-US" w:eastAsia="zh-CN" w:bidi="ar-SA"/>
    </w:rPr>
  </w:style>
  <w:style w:type="character" w:customStyle="1" w:styleId="20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03">
    <w:name w:val="正文文本缩进 Char"/>
    <w:qFormat/>
    <w:uiPriority w:val="0"/>
    <w:rPr>
      <w:rFonts w:ascii="宋体" w:hAnsi="宋体"/>
      <w:kern w:val="2"/>
      <w:sz w:val="24"/>
      <w:szCs w:val="24"/>
    </w:rPr>
  </w:style>
  <w:style w:type="character" w:customStyle="1" w:styleId="204">
    <w:name w:val="文本正文 Char Char"/>
    <w:qFormat/>
    <w:locked/>
    <w:uiPriority w:val="0"/>
    <w:rPr>
      <w:sz w:val="24"/>
      <w:lang w:bidi="ar-SA"/>
    </w:rPr>
  </w:style>
  <w:style w:type="character" w:customStyle="1" w:styleId="2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06">
    <w:name w:val="样式7 Char"/>
    <w:qFormat/>
    <w:uiPriority w:val="0"/>
    <w:rPr>
      <w:rFonts w:ascii="仿宋_GB2312" w:hAnsi="仿宋" w:eastAsia="仿宋_GB2312"/>
      <w:b/>
      <w:kern w:val="2"/>
      <w:sz w:val="24"/>
      <w:szCs w:val="24"/>
    </w:rPr>
  </w:style>
  <w:style w:type="character" w:customStyle="1" w:styleId="207">
    <w:name w:val="表正文 Char"/>
    <w:qFormat/>
    <w:uiPriority w:val="0"/>
    <w:rPr>
      <w:rFonts w:ascii="宋体" w:eastAsia="宋体"/>
      <w:snapToGrid w:val="0"/>
      <w:color w:val="000000"/>
      <w:kern w:val="28"/>
      <w:sz w:val="28"/>
      <w:lang w:val="en-US" w:eastAsia="zh-CN" w:bidi="ar-SA"/>
    </w:rPr>
  </w:style>
  <w:style w:type="character" w:customStyle="1" w:styleId="208">
    <w:name w:val="样式3 Char"/>
    <w:basedOn w:val="209"/>
    <w:qFormat/>
    <w:uiPriority w:val="0"/>
  </w:style>
  <w:style w:type="character" w:customStyle="1" w:styleId="209">
    <w:name w:val="样式2 Char"/>
    <w:qFormat/>
    <w:uiPriority w:val="0"/>
    <w:rPr>
      <w:rFonts w:ascii="仿宋_GB2312" w:hAnsi="仿宋" w:eastAsia="仿宋_GB2312" w:cs="仿宋_GB2312"/>
      <w:b/>
      <w:bCs/>
      <w:sz w:val="32"/>
      <w:szCs w:val="30"/>
      <w:lang w:val="zh-CN"/>
    </w:rPr>
  </w:style>
  <w:style w:type="character" w:customStyle="1" w:styleId="210">
    <w:name w:val="pt9"/>
    <w:qFormat/>
    <w:uiPriority w:val="0"/>
    <w:rPr>
      <w:rFonts w:ascii="仿宋_GB2312" w:eastAsia="微软雅黑"/>
      <w:b/>
      <w:kern w:val="2"/>
      <w:sz w:val="32"/>
      <w:szCs w:val="32"/>
      <w:lang w:val="en-US" w:eastAsia="zh-CN" w:bidi="ar-SA"/>
    </w:rPr>
  </w:style>
  <w:style w:type="character" w:customStyle="1" w:styleId="211">
    <w:name w:val="冯广丽 Char"/>
    <w:link w:val="212"/>
    <w:qFormat/>
    <w:uiPriority w:val="0"/>
    <w:rPr>
      <w:rFonts w:ascii="宋体" w:hAnsi="宋体"/>
      <w:kern w:val="2"/>
      <w:sz w:val="24"/>
      <w:szCs w:val="22"/>
    </w:rPr>
  </w:style>
  <w:style w:type="paragraph" w:customStyle="1" w:styleId="212">
    <w:name w:val="冯广丽"/>
    <w:basedOn w:val="1"/>
    <w:link w:val="211"/>
    <w:qFormat/>
    <w:uiPriority w:val="0"/>
    <w:pPr>
      <w:adjustRightInd/>
      <w:spacing w:line="360" w:lineRule="auto"/>
      <w:ind w:firstLine="480" w:firstLineChars="200"/>
    </w:pPr>
    <w:rPr>
      <w:rFonts w:ascii="宋体" w:hAnsi="宋体"/>
      <w:sz w:val="24"/>
      <w:szCs w:val="22"/>
    </w:rPr>
  </w:style>
  <w:style w:type="character" w:customStyle="1" w:styleId="213">
    <w:name w:val="二级标题 Char Char"/>
    <w:qFormat/>
    <w:uiPriority w:val="0"/>
    <w:rPr>
      <w:rFonts w:ascii="宋体" w:hAnsi="宋体" w:eastAsia="宋体"/>
      <w:b/>
      <w:snapToGrid w:val="0"/>
      <w:kern w:val="2"/>
      <w:sz w:val="24"/>
      <w:szCs w:val="24"/>
      <w:lang w:val="en-US" w:eastAsia="zh-CN" w:bidi="ar-SA"/>
    </w:rPr>
  </w:style>
  <w:style w:type="character" w:customStyle="1" w:styleId="214">
    <w:name w:val="表正文 Char1"/>
    <w:qFormat/>
    <w:uiPriority w:val="0"/>
    <w:rPr>
      <w:rFonts w:ascii="宋体" w:eastAsia="宋体"/>
      <w:snapToGrid w:val="0"/>
      <w:color w:val="000000"/>
      <w:kern w:val="28"/>
      <w:sz w:val="28"/>
    </w:rPr>
  </w:style>
  <w:style w:type="character" w:customStyle="1" w:styleId="215">
    <w:name w:val="Table Text Char1"/>
    <w:qFormat/>
    <w:uiPriority w:val="0"/>
    <w:rPr>
      <w:rFonts w:eastAsia="宋体"/>
      <w:sz w:val="24"/>
      <w:szCs w:val="24"/>
      <w:lang w:val="en-US" w:eastAsia="zh-CN" w:bidi="ar-SA"/>
    </w:rPr>
  </w:style>
  <w:style w:type="character" w:customStyle="1" w:styleId="216">
    <w:name w:val="正文非缩进 Char"/>
    <w:qFormat/>
    <w:uiPriority w:val="0"/>
    <w:rPr>
      <w:rFonts w:ascii="宋体" w:eastAsia="宋体"/>
      <w:snapToGrid w:val="0"/>
      <w:color w:val="000000"/>
      <w:kern w:val="28"/>
      <w:sz w:val="28"/>
      <w:lang w:val="en-US" w:eastAsia="zh-CN" w:bidi="ar-SA"/>
    </w:rPr>
  </w:style>
  <w:style w:type="character" w:customStyle="1" w:styleId="217">
    <w:name w:val="shadow11"/>
    <w:qFormat/>
    <w:uiPriority w:val="0"/>
    <w:rPr>
      <w:color w:val="000000"/>
      <w:sz w:val="21"/>
    </w:rPr>
  </w:style>
  <w:style w:type="character" w:customStyle="1" w:styleId="218">
    <w:name w:val="large1"/>
    <w:qFormat/>
    <w:uiPriority w:val="0"/>
    <w:rPr>
      <w:rFonts w:hint="eastAsia" w:ascii="宋体" w:hAnsi="宋体" w:eastAsia="宋体"/>
      <w:sz w:val="21"/>
      <w:szCs w:val="21"/>
    </w:rPr>
  </w:style>
  <w:style w:type="character" w:customStyle="1" w:styleId="219">
    <w:name w:val="HTML 地址 Char"/>
    <w:link w:val="29"/>
    <w:qFormat/>
    <w:uiPriority w:val="0"/>
    <w:rPr>
      <w:rFonts w:ascii="宋体" w:hAnsi="宋体"/>
      <w:i/>
      <w:iCs/>
      <w:sz w:val="24"/>
      <w:szCs w:val="24"/>
    </w:rPr>
  </w:style>
  <w:style w:type="character" w:customStyle="1" w:styleId="220">
    <w:name w:val="样式 样式 标题 4h4H4Fab-4T5Ref Heading 1rh1Heading sqlsect 1.2.3.... +... Char"/>
    <w:link w:val="221"/>
    <w:qFormat/>
    <w:uiPriority w:val="0"/>
    <w:rPr>
      <w:rFonts w:ascii="微软雅黑" w:hAnsi="微软雅黑" w:eastAsia="微软雅黑"/>
      <w:b/>
      <w:bCs/>
      <w:kern w:val="2"/>
      <w:sz w:val="24"/>
      <w:szCs w:val="28"/>
    </w:rPr>
  </w:style>
  <w:style w:type="paragraph" w:customStyle="1" w:styleId="221">
    <w:name w:val="样式 样式 标题 4h4H4Fab-4T5Ref Heading 1rh1Heading sqlsect 1.2.3.... +..."/>
    <w:basedOn w:val="128"/>
    <w:link w:val="220"/>
    <w:qFormat/>
    <w:uiPriority w:val="0"/>
  </w:style>
  <w:style w:type="character" w:customStyle="1" w:styleId="222">
    <w:name w:val="Char Char21"/>
    <w:qFormat/>
    <w:uiPriority w:val="0"/>
    <w:rPr>
      <w:rFonts w:eastAsia="宋体"/>
      <w:b/>
      <w:bCs/>
      <w:kern w:val="2"/>
      <w:sz w:val="21"/>
      <w:szCs w:val="24"/>
      <w:lang w:val="en-US" w:eastAsia="zh-CN" w:bidi="ar-SA"/>
    </w:rPr>
  </w:style>
  <w:style w:type="character" w:customStyle="1" w:styleId="223">
    <w:name w:val="标题 1 Char Char"/>
    <w:qFormat/>
    <w:uiPriority w:val="0"/>
    <w:rPr>
      <w:rFonts w:hint="eastAsia" w:ascii="宋体" w:hAnsi="宋体" w:eastAsia="宋体"/>
      <w:b/>
      <w:spacing w:val="-2"/>
      <w:sz w:val="24"/>
      <w:lang w:val="en-US" w:eastAsia="zh-CN" w:bidi="ar-SA"/>
    </w:rPr>
  </w:style>
  <w:style w:type="character" w:customStyle="1" w:styleId="224">
    <w:name w:val="标题 5 Char"/>
    <w:link w:val="7"/>
    <w:qFormat/>
    <w:uiPriority w:val="0"/>
    <w:rPr>
      <w:b/>
      <w:bCs/>
      <w:kern w:val="2"/>
      <w:sz w:val="28"/>
      <w:szCs w:val="28"/>
    </w:rPr>
  </w:style>
  <w:style w:type="character" w:customStyle="1" w:styleId="225">
    <w:name w:val="标题 4 Char1"/>
    <w:semiHidden/>
    <w:qFormat/>
    <w:uiPriority w:val="9"/>
    <w:rPr>
      <w:rFonts w:ascii="Cambria" w:hAnsi="Cambria" w:eastAsia="宋体" w:cs="Times New Roman"/>
      <w:b/>
      <w:bCs/>
      <w:kern w:val="2"/>
      <w:sz w:val="28"/>
      <w:szCs w:val="28"/>
    </w:rPr>
  </w:style>
  <w:style w:type="character" w:customStyle="1" w:styleId="226">
    <w:name w:val="h3 Char1"/>
    <w:qFormat/>
    <w:uiPriority w:val="0"/>
    <w:rPr>
      <w:rFonts w:eastAsia="宋体"/>
      <w:b/>
      <w:bCs/>
      <w:kern w:val="2"/>
      <w:sz w:val="32"/>
      <w:szCs w:val="32"/>
      <w:lang w:bidi="ar-SA"/>
    </w:rPr>
  </w:style>
  <w:style w:type="character" w:customStyle="1" w:styleId="227">
    <w:name w:val="正文2 Char Char"/>
    <w:link w:val="228"/>
    <w:qFormat/>
    <w:uiPriority w:val="0"/>
    <w:rPr>
      <w:rFonts w:eastAsia="宋体"/>
      <w:kern w:val="2"/>
      <w:sz w:val="24"/>
      <w:lang w:val="en-US" w:eastAsia="zh-CN" w:bidi="ar-SA"/>
    </w:rPr>
  </w:style>
  <w:style w:type="paragraph" w:customStyle="1" w:styleId="228">
    <w:name w:val="正文2"/>
    <w:basedOn w:val="1"/>
    <w:link w:val="227"/>
    <w:qFormat/>
    <w:uiPriority w:val="0"/>
    <w:pPr>
      <w:spacing w:before="156" w:line="360" w:lineRule="auto"/>
      <w:ind w:firstLine="510" w:firstLineChars="200"/>
    </w:pPr>
    <w:rPr>
      <w:sz w:val="24"/>
      <w:szCs w:val="20"/>
    </w:rPr>
  </w:style>
  <w:style w:type="character" w:customStyle="1" w:styleId="229">
    <w:name w:val="FA正文 Char Char"/>
    <w:qFormat/>
    <w:uiPriority w:val="0"/>
    <w:rPr>
      <w:rFonts w:hAnsi="宋体"/>
      <w:kern w:val="2"/>
      <w:sz w:val="24"/>
      <w:lang w:bidi="ar-SA"/>
    </w:rPr>
  </w:style>
  <w:style w:type="character" w:customStyle="1" w:styleId="230">
    <w:name w:val="zbggmain style9"/>
    <w:qFormat/>
    <w:uiPriority w:val="0"/>
  </w:style>
  <w:style w:type="character" w:customStyle="1" w:styleId="231">
    <w:name w:val="首行缩进 Char"/>
    <w:qFormat/>
    <w:uiPriority w:val="0"/>
    <w:rPr>
      <w:rFonts w:ascii="宋体" w:eastAsia="宋体"/>
      <w:kern w:val="2"/>
      <w:sz w:val="24"/>
      <w:lang w:val="en-US" w:eastAsia="zh-CN" w:bidi="ar-SA"/>
    </w:rPr>
  </w:style>
  <w:style w:type="character" w:customStyle="1" w:styleId="232">
    <w:name w:val="tw4winMark"/>
    <w:qFormat/>
    <w:uiPriority w:val="0"/>
    <w:rPr>
      <w:rFonts w:ascii="Courier New" w:hAnsi="Courier New" w:cs="Courier New"/>
      <w:vanish/>
      <w:color w:val="800080"/>
      <w:sz w:val="24"/>
      <w:szCs w:val="24"/>
      <w:vertAlign w:val="subscript"/>
    </w:rPr>
  </w:style>
  <w:style w:type="character" w:customStyle="1" w:styleId="233">
    <w:name w:val="tw4winPopup"/>
    <w:qFormat/>
    <w:uiPriority w:val="0"/>
    <w:rPr>
      <w:rFonts w:ascii="Courier New" w:hAnsi="Courier New" w:cs="Courier New"/>
      <w:color w:val="008000"/>
      <w:lang w:val="en-US" w:eastAsia="zh-CN"/>
    </w:rPr>
  </w:style>
  <w:style w:type="character" w:customStyle="1" w:styleId="234">
    <w:name w:val="样式 宋体"/>
    <w:qFormat/>
    <w:uiPriority w:val="0"/>
    <w:rPr>
      <w:rFonts w:ascii="宋体" w:hAnsi="宋体"/>
      <w:sz w:val="24"/>
    </w:rPr>
  </w:style>
  <w:style w:type="character" w:customStyle="1" w:styleId="235">
    <w:name w:val="标题 Char"/>
    <w:qFormat/>
    <w:uiPriority w:val="0"/>
    <w:rPr>
      <w:rFonts w:eastAsia="宋体"/>
      <w:b/>
      <w:sz w:val="24"/>
      <w:lang w:val="en-GB" w:eastAsia="zh-CN" w:bidi="ar-SA"/>
    </w:rPr>
  </w:style>
  <w:style w:type="character" w:customStyle="1" w:styleId="236">
    <w:name w:val="标题 6 Char"/>
    <w:link w:val="8"/>
    <w:qFormat/>
    <w:uiPriority w:val="0"/>
    <w:rPr>
      <w:rFonts w:ascii="Arial" w:hAnsi="Arial" w:eastAsia="黑体"/>
      <w:b/>
      <w:bCs/>
      <w:kern w:val="2"/>
      <w:sz w:val="24"/>
      <w:szCs w:val="24"/>
    </w:rPr>
  </w:style>
  <w:style w:type="character" w:customStyle="1" w:styleId="237">
    <w:name w:val="Char Char61"/>
    <w:qFormat/>
    <w:uiPriority w:val="0"/>
    <w:rPr>
      <w:rFonts w:eastAsia="宋体"/>
      <w:kern w:val="2"/>
      <w:sz w:val="21"/>
      <w:szCs w:val="24"/>
      <w:lang w:val="en-US" w:eastAsia="zh-CN" w:bidi="ar-SA"/>
    </w:rPr>
  </w:style>
  <w:style w:type="character" w:customStyle="1" w:styleId="238">
    <w:name w:val="正文文本 3 Char"/>
    <w:link w:val="22"/>
    <w:qFormat/>
    <w:uiPriority w:val="0"/>
    <w:rPr>
      <w:kern w:val="2"/>
      <w:sz w:val="21"/>
    </w:rPr>
  </w:style>
  <w:style w:type="character" w:customStyle="1" w:styleId="239">
    <w:name w:val="message1"/>
    <w:qFormat/>
    <w:uiPriority w:val="0"/>
    <w:rPr>
      <w:rFonts w:hint="default" w:ascii="Tahoma" w:hAnsi="Tahoma" w:cs="Tahoma"/>
      <w:sz w:val="18"/>
      <w:szCs w:val="18"/>
    </w:rPr>
  </w:style>
  <w:style w:type="character" w:customStyle="1" w:styleId="240">
    <w:name w:val="批注文字 Char1"/>
    <w:link w:val="20"/>
    <w:qFormat/>
    <w:uiPriority w:val="0"/>
    <w:rPr>
      <w:kern w:val="2"/>
      <w:sz w:val="21"/>
      <w:szCs w:val="24"/>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批注框文本 Char"/>
    <w:link w:val="37"/>
    <w:semiHidden/>
    <w:qFormat/>
    <w:uiPriority w:val="0"/>
    <w:rPr>
      <w:kern w:val="2"/>
      <w:sz w:val="18"/>
      <w:szCs w:val="18"/>
    </w:rPr>
  </w:style>
  <w:style w:type="character" w:customStyle="1" w:styleId="243">
    <w:name w:val="tw4winInternal"/>
    <w:qFormat/>
    <w:uiPriority w:val="0"/>
    <w:rPr>
      <w:rFonts w:ascii="Courier New" w:hAnsi="Courier New" w:cs="Courier New"/>
      <w:color w:val="FF0000"/>
      <w:lang w:val="en-US" w:eastAsia="zh-CN"/>
    </w:rPr>
  </w:style>
  <w:style w:type="character" w:customStyle="1" w:styleId="244">
    <w:name w:val="Footer Char"/>
    <w:qFormat/>
    <w:locked/>
    <w:uiPriority w:val="0"/>
    <w:rPr>
      <w:rFonts w:eastAsia="宋体"/>
      <w:kern w:val="2"/>
      <w:sz w:val="18"/>
      <w:lang w:val="en-US" w:eastAsia="zh-CN" w:bidi="ar-SA"/>
    </w:rPr>
  </w:style>
  <w:style w:type="character" w:customStyle="1" w:styleId="245">
    <w:name w:val="Char Char41"/>
    <w:qFormat/>
    <w:uiPriority w:val="0"/>
    <w:rPr>
      <w:rFonts w:eastAsia="宋体"/>
      <w:b/>
      <w:sz w:val="24"/>
      <w:lang w:val="en-GB" w:eastAsia="zh-CN" w:bidi="ar-SA"/>
    </w:rPr>
  </w:style>
  <w:style w:type="character" w:customStyle="1" w:styleId="246">
    <w:name w:val="页脚 Char"/>
    <w:qFormat/>
    <w:uiPriority w:val="99"/>
    <w:rPr>
      <w:rFonts w:eastAsia="仿宋_GB2312"/>
      <w:kern w:val="2"/>
      <w:sz w:val="18"/>
      <w:lang w:val="en-US" w:eastAsia="zh-CN"/>
    </w:rPr>
  </w:style>
  <w:style w:type="character" w:customStyle="1" w:styleId="247">
    <w:name w:val="gf正文1 Char"/>
    <w:qFormat/>
    <w:uiPriority w:val="0"/>
    <w:rPr>
      <w:rFonts w:ascii="宋体" w:hAnsi="宋体" w:eastAsia="宋体" w:cs="宋体"/>
      <w:kern w:val="2"/>
      <w:sz w:val="24"/>
      <w:szCs w:val="24"/>
      <w:lang w:val="en-US" w:eastAsia="zh-CN" w:bidi="ar-SA"/>
    </w:rPr>
  </w:style>
  <w:style w:type="character" w:customStyle="1" w:styleId="248">
    <w:name w:val="正文缩进 Char1"/>
    <w:qFormat/>
    <w:uiPriority w:val="0"/>
    <w:rPr>
      <w:rFonts w:ascii="宋体" w:eastAsia="宋体"/>
      <w:snapToGrid w:val="0"/>
      <w:color w:val="000000"/>
      <w:kern w:val="28"/>
      <w:sz w:val="28"/>
      <w:lang w:val="en-US" w:eastAsia="zh-CN" w:bidi="ar-SA"/>
    </w:rPr>
  </w:style>
  <w:style w:type="character" w:customStyle="1" w:styleId="249">
    <w:name w:val="Char Char91"/>
    <w:qFormat/>
    <w:uiPriority w:val="0"/>
    <w:rPr>
      <w:rFonts w:eastAsia="宋体"/>
      <w:kern w:val="2"/>
      <w:sz w:val="18"/>
      <w:szCs w:val="18"/>
      <w:lang w:val="en-US" w:eastAsia="zh-CN" w:bidi="ar-SA"/>
    </w:rPr>
  </w:style>
  <w:style w:type="character" w:customStyle="1" w:styleId="250">
    <w:name w:val="正文文本 Char"/>
    <w:qFormat/>
    <w:uiPriority w:val="0"/>
    <w:rPr>
      <w:rFonts w:eastAsia="宋体"/>
      <w:kern w:val="2"/>
      <w:sz w:val="24"/>
      <w:szCs w:val="24"/>
      <w:lang w:val="en-US" w:eastAsia="zh-CN" w:bidi="ar-SA"/>
    </w:rPr>
  </w:style>
  <w:style w:type="character" w:customStyle="1" w:styleId="251">
    <w:name w:val="标书表格字体格式 Char"/>
    <w:qFormat/>
    <w:uiPriority w:val="0"/>
    <w:rPr>
      <w:kern w:val="2"/>
      <w:sz w:val="21"/>
      <w:szCs w:val="24"/>
      <w:lang w:bidi="ar-SA"/>
    </w:rPr>
  </w:style>
  <w:style w:type="character" w:customStyle="1" w:styleId="252">
    <w:name w:val="style36"/>
    <w:basedOn w:val="62"/>
    <w:qFormat/>
    <w:uiPriority w:val="0"/>
  </w:style>
  <w:style w:type="character" w:customStyle="1" w:styleId="253">
    <w:name w:val="签名 Char"/>
    <w:link w:val="40"/>
    <w:qFormat/>
    <w:uiPriority w:val="0"/>
    <w:rPr>
      <w:rFonts w:eastAsia="仿宋_GB2312"/>
      <w:sz w:val="24"/>
    </w:rPr>
  </w:style>
  <w:style w:type="character" w:customStyle="1" w:styleId="254">
    <w:name w:val="hui3"/>
    <w:qFormat/>
    <w:uiPriority w:val="0"/>
    <w:rPr>
      <w:color w:val="333333"/>
    </w:rPr>
  </w:style>
  <w:style w:type="character" w:customStyle="1" w:styleId="255">
    <w:name w:val="方案正文 Char"/>
    <w:qFormat/>
    <w:uiPriority w:val="0"/>
    <w:rPr>
      <w:rFonts w:ascii="仿宋_GB2312" w:eastAsia="仿宋_GB2312"/>
      <w:b/>
      <w:color w:val="000000"/>
      <w:kern w:val="2"/>
      <w:sz w:val="24"/>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apple-converted-space"/>
    <w:qFormat/>
    <w:uiPriority w:val="0"/>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文档结构图 Char"/>
    <w:qFormat/>
    <w:uiPriority w:val="0"/>
    <w:rPr>
      <w:rFonts w:eastAsia="宋体"/>
      <w:kern w:val="2"/>
      <w:sz w:val="21"/>
      <w:szCs w:val="24"/>
      <w:lang w:val="en-US" w:eastAsia="zh-CN" w:bidi="ar-SA"/>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正文非缩进 Char3"/>
    <w:qFormat/>
    <w:uiPriority w:val="0"/>
    <w:rPr>
      <w:rFonts w:ascii="宋体" w:eastAsia="宋体"/>
      <w:snapToGrid w:val="0"/>
      <w:color w:val="000000"/>
      <w:kern w:val="28"/>
      <w:sz w:val="28"/>
      <w:lang w:val="en-US" w:eastAsia="zh-CN" w:bidi="ar-SA"/>
    </w:rPr>
  </w:style>
  <w:style w:type="character" w:customStyle="1" w:styleId="262">
    <w:name w:val="md"/>
    <w:basedOn w:val="62"/>
    <w:qFormat/>
    <w:uiPriority w:val="0"/>
  </w:style>
  <w:style w:type="character" w:customStyle="1" w:styleId="263">
    <w:name w:val="dectext1"/>
    <w:qFormat/>
    <w:uiPriority w:val="0"/>
    <w:rPr>
      <w:rFonts w:ascii="宋体" w:hAnsi="宋体" w:eastAsia="宋体"/>
      <w:color w:val="333333"/>
      <w:sz w:val="21"/>
      <w:szCs w:val="21"/>
      <w:u w:val="none"/>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t21"/>
    <w:qFormat/>
    <w:uiPriority w:val="0"/>
    <w:rPr>
      <w:rFonts w:ascii="仿宋_GB2312" w:eastAsia="微软雅黑"/>
      <w:b/>
      <w:kern w:val="2"/>
      <w:sz w:val="23"/>
      <w:szCs w:val="23"/>
      <w:lang w:val="en-US" w:eastAsia="zh-CN" w:bidi="ar-SA"/>
    </w:rPr>
  </w:style>
  <w:style w:type="character" w:customStyle="1" w:styleId="266">
    <w:name w:val="冯 Char"/>
    <w:link w:val="267"/>
    <w:qFormat/>
    <w:uiPriority w:val="0"/>
    <w:rPr>
      <w:rFonts w:ascii="宋体" w:hAnsi="宋体"/>
      <w:color w:val="000000"/>
      <w:sz w:val="24"/>
      <w:szCs w:val="24"/>
    </w:rPr>
  </w:style>
  <w:style w:type="paragraph" w:customStyle="1" w:styleId="267">
    <w:name w:val="冯"/>
    <w:basedOn w:val="1"/>
    <w:link w:val="266"/>
    <w:qFormat/>
    <w:uiPriority w:val="0"/>
    <w:pPr>
      <w:widowControl/>
      <w:adjustRightInd/>
      <w:spacing w:line="360" w:lineRule="auto"/>
      <w:ind w:firstLine="480" w:firstLineChars="200"/>
    </w:pPr>
    <w:rPr>
      <w:rFonts w:ascii="宋体" w:hAnsi="宋体"/>
      <w:color w:val="000000"/>
      <w:kern w:val="0"/>
      <w:sz w:val="24"/>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表格 Char Char"/>
    <w:qFormat/>
    <w:uiPriority w:val="0"/>
    <w:rPr>
      <w:rFonts w:ascii="宋体" w:hAnsi="宋体" w:eastAsia="宋体"/>
      <w:lang w:bidi="ar-SA"/>
    </w:rPr>
  </w:style>
  <w:style w:type="character" w:customStyle="1" w:styleId="270">
    <w:name w:val="脚注文本 Char"/>
    <w:link w:val="48"/>
    <w:qFormat/>
    <w:uiPriority w:val="0"/>
    <w:rPr>
      <w:color w:val="0000FF"/>
      <w:sz w:val="21"/>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 w:val="21"/>
      <w:szCs w:val="21"/>
      <w:lang w:val="en-US" w:eastAsia="zh-CN" w:bidi="ar-SA"/>
    </w:rPr>
  </w:style>
  <w:style w:type="paragraph" w:customStyle="1" w:styleId="275">
    <w:name w:val="Item List"/>
    <w:link w:val="2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6">
    <w:name w:val="Char Char121"/>
    <w:qFormat/>
    <w:uiPriority w:val="0"/>
    <w:rPr>
      <w:rFonts w:ascii="仿宋_GB2312" w:eastAsia="仿宋_GB2312"/>
      <w:b/>
      <w:bCs/>
      <w:kern w:val="2"/>
      <w:sz w:val="24"/>
      <w:szCs w:val="24"/>
      <w:lang w:val="zh-CN" w:eastAsia="zh-CN" w:bidi="ar-SA"/>
    </w:rPr>
  </w:style>
  <w:style w:type="character" w:customStyle="1" w:styleId="277">
    <w:name w:val="纯文本 Char_0"/>
    <w:link w:val="278"/>
    <w:qFormat/>
    <w:uiPriority w:val="0"/>
    <w:rPr>
      <w:rFonts w:ascii="宋体" w:hAnsi="Courier New"/>
      <w:kern w:val="2"/>
      <w:sz w:val="21"/>
      <w:szCs w:val="21"/>
      <w:lang w:val="en-US" w:eastAsia="zh-CN"/>
    </w:rPr>
  </w:style>
  <w:style w:type="paragraph" w:customStyle="1" w:styleId="278">
    <w:name w:val="纯文本_0_0"/>
    <w:basedOn w:val="279"/>
    <w:link w:val="277"/>
    <w:qFormat/>
    <w:uiPriority w:val="0"/>
    <w:rPr>
      <w:rFonts w:ascii="宋体" w:hAnsi="Courier New"/>
      <w:szCs w:val="21"/>
    </w:rPr>
  </w:style>
  <w:style w:type="paragraph" w:customStyle="1" w:styleId="2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8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284">
    <w:name w:val="WW-正文文字缩进 2"/>
    <w:basedOn w:val="1"/>
    <w:qFormat/>
    <w:uiPriority w:val="0"/>
    <w:pPr>
      <w:suppressAutoHyphens/>
      <w:adjustRightInd/>
      <w:ind w:firstLine="420"/>
    </w:pPr>
    <w:rPr>
      <w:kern w:val="1"/>
      <w:szCs w:val="20"/>
    </w:rPr>
  </w:style>
  <w:style w:type="paragraph" w:customStyle="1" w:styleId="28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6">
    <w:name w:val="标书表格字体格式"/>
    <w:next w:val="287"/>
    <w:qFormat/>
    <w:uiPriority w:val="0"/>
    <w:rPr>
      <w:rFonts w:ascii="Times New Roman" w:hAnsi="Times New Roman" w:eastAsia="宋体" w:cs="Times New Roman"/>
      <w:kern w:val="2"/>
      <w:sz w:val="21"/>
      <w:szCs w:val="24"/>
      <w:lang w:val="en-US" w:eastAsia="zh-CN" w:bidi="ar-SA"/>
    </w:rPr>
  </w:style>
  <w:style w:type="paragraph" w:customStyle="1" w:styleId="28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88">
    <w:name w:val="Char2"/>
    <w:basedOn w:val="1"/>
    <w:qFormat/>
    <w:uiPriority w:val="0"/>
    <w:rPr>
      <w:rFonts w:ascii="仿宋_GB2312" w:eastAsia="仿宋_GB2312"/>
      <w:b/>
      <w:sz w:val="32"/>
      <w:szCs w:val="32"/>
    </w:rPr>
  </w:style>
  <w:style w:type="paragraph" w:customStyle="1" w:styleId="2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29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数字标题6"/>
    <w:basedOn w:val="8"/>
    <w:next w:val="1"/>
    <w:qFormat/>
    <w:uiPriority w:val="0"/>
    <w:pPr>
      <w:tabs>
        <w:tab w:val="left" w:pos="480"/>
        <w:tab w:val="left" w:pos="1080"/>
      </w:tabs>
      <w:ind w:left="480" w:hanging="480"/>
    </w:pPr>
    <w:rPr>
      <w:rFonts w:ascii="Times New Roman" w:hAnsi="Times New Roman" w:eastAsia="宋体"/>
      <w:i/>
    </w:rPr>
  </w:style>
  <w:style w:type="paragraph" w:customStyle="1" w:styleId="292">
    <w:name w:val="Char Char1 Char Char Char Char Char Char"/>
    <w:basedOn w:val="1"/>
    <w:qFormat/>
    <w:uiPriority w:val="0"/>
    <w:rPr>
      <w:rFonts w:ascii="仿宋_GB2312" w:eastAsia="仿宋_GB2312"/>
      <w:b/>
      <w:sz w:val="32"/>
      <w:szCs w:val="20"/>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文章标题"/>
    <w:next w:val="29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95">
    <w:name w:val="封面公司名"/>
    <w:qFormat/>
    <w:uiPriority w:val="0"/>
    <w:pPr>
      <w:jc w:val="center"/>
    </w:pPr>
    <w:rPr>
      <w:rFonts w:ascii="Arial" w:hAnsi="Arial" w:eastAsia="楷体_GB2312" w:cs="宋体"/>
      <w:bCs/>
      <w:kern w:val="2"/>
      <w:sz w:val="28"/>
      <w:lang w:val="en-US" w:eastAsia="zh-CN" w:bidi="ar-SA"/>
    </w:rPr>
  </w:style>
  <w:style w:type="paragraph" w:customStyle="1" w:styleId="29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297">
    <w:name w:val="Char1 Char Char Char1"/>
    <w:basedOn w:val="1"/>
    <w:qFormat/>
    <w:uiPriority w:val="0"/>
    <w:pPr>
      <w:adjustRightInd/>
      <w:ind w:firstLine="200" w:firstLineChars="200"/>
    </w:pPr>
    <w:rPr>
      <w:rFonts w:ascii="Tahoma" w:hAnsi="Tahoma"/>
      <w:sz w:val="24"/>
      <w:szCs w:val="20"/>
    </w:rPr>
  </w:style>
  <w:style w:type="paragraph" w:customStyle="1" w:styleId="298">
    <w:name w:val="Bulleting First Indent 1"/>
    <w:basedOn w:val="2"/>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29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3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06">
    <w:name w:val="表格（小）"/>
    <w:basedOn w:val="1"/>
    <w:qFormat/>
    <w:uiPriority w:val="0"/>
    <w:pPr>
      <w:adjustRightInd/>
      <w:snapToGrid w:val="0"/>
      <w:spacing w:line="300" w:lineRule="auto"/>
    </w:pPr>
    <w:rPr>
      <w:rFonts w:eastAsia="仿宋"/>
      <w:szCs w:val="21"/>
    </w:rPr>
  </w:style>
  <w:style w:type="paragraph" w:customStyle="1" w:styleId="30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0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309">
    <w:name w:val="Char11"/>
    <w:basedOn w:val="1"/>
    <w:qFormat/>
    <w:uiPriority w:val="0"/>
    <w:pPr>
      <w:tabs>
        <w:tab w:val="left" w:pos="432"/>
      </w:tabs>
      <w:adjustRightInd/>
      <w:spacing w:beforeLines="50" w:afterLines="50"/>
      <w:ind w:left="432" w:hanging="432" w:firstLineChars="200"/>
    </w:pPr>
    <w:rPr>
      <w:sz w:val="24"/>
    </w:rPr>
  </w:style>
  <w:style w:type="paragraph" w:customStyle="1" w:styleId="31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1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312">
    <w:name w:val="标书标题3"/>
    <w:basedOn w:val="5"/>
    <w:qFormat/>
    <w:uiPriority w:val="0"/>
    <w:pPr>
      <w:keepLines w:val="0"/>
      <w:widowControl/>
      <w:snapToGrid w:val="0"/>
      <w:spacing w:before="120" w:after="60" w:line="300" w:lineRule="auto"/>
      <w:ind w:left="0" w:firstLine="0"/>
      <w:jc w:val="left"/>
    </w:pPr>
    <w:rPr>
      <w:rFonts w:ascii="Arial Narrow" w:hAnsi="Arial Narrow" w:eastAsia="仿宋_GB2312"/>
      <w:b w:val="0"/>
      <w:bCs w:val="0"/>
      <w:color w:val="000000"/>
      <w:kern w:val="0"/>
      <w:sz w:val="28"/>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5">
    <w:name w:val="Char19"/>
    <w:basedOn w:val="1"/>
    <w:qFormat/>
    <w:uiPriority w:val="0"/>
    <w:pPr>
      <w:adjustRightInd/>
    </w:pPr>
    <w:rPr>
      <w:szCs w:val="20"/>
    </w:rPr>
  </w:style>
  <w:style w:type="paragraph" w:customStyle="1" w:styleId="3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7">
    <w:name w:val="正文 首行缩进:  2 字符 Char"/>
    <w:basedOn w:val="1"/>
    <w:qFormat/>
    <w:uiPriority w:val="0"/>
    <w:pPr>
      <w:adjustRightInd/>
      <w:spacing w:line="360" w:lineRule="auto"/>
      <w:ind w:firstLine="480"/>
    </w:pPr>
    <w:rPr>
      <w:rFonts w:cs="宋体"/>
      <w:sz w:val="24"/>
      <w:szCs w:val="20"/>
    </w:rPr>
  </w:style>
  <w:style w:type="paragraph" w:customStyle="1" w:styleId="3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21">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2">
    <w:name w:val="样式1 + (中宋体"/>
    <w:basedOn w:val="323"/>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3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2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25">
    <w:name w:val="带编号样式"/>
    <w:basedOn w:val="326"/>
    <w:qFormat/>
    <w:uiPriority w:val="0"/>
    <w:pPr>
      <w:tabs>
        <w:tab w:val="left" w:pos="840"/>
      </w:tabs>
      <w:snapToGrid w:val="0"/>
      <w:ind w:left="840" w:hanging="420" w:firstLineChars="0"/>
    </w:pPr>
    <w:rPr>
      <w:rFonts w:ascii="仿宋_GB2312" w:eastAsia="仿宋_GB2312"/>
      <w:color w:val="000000"/>
    </w:rPr>
  </w:style>
  <w:style w:type="paragraph" w:customStyle="1" w:styleId="326">
    <w:name w:val="文本正文 Char"/>
    <w:basedOn w:val="1"/>
    <w:qFormat/>
    <w:uiPriority w:val="0"/>
    <w:pPr>
      <w:spacing w:line="360" w:lineRule="auto"/>
      <w:ind w:firstLine="200" w:firstLineChars="200"/>
    </w:pPr>
    <w:rPr>
      <w:kern w:val="0"/>
      <w:sz w:val="24"/>
      <w:szCs w:val="20"/>
    </w:rPr>
  </w:style>
  <w:style w:type="paragraph" w:customStyle="1" w:styleId="3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8">
    <w:name w:val="Char Char Char Char Char Char Char Char Char Char"/>
    <w:basedOn w:val="1"/>
    <w:qFormat/>
    <w:uiPriority w:val="0"/>
    <w:rPr>
      <w:rFonts w:ascii="仿宋_GB2312" w:eastAsia="仿宋_GB2312"/>
      <w:b/>
      <w:sz w:val="32"/>
      <w:szCs w:val="32"/>
    </w:rPr>
  </w:style>
  <w:style w:type="paragraph" w:customStyle="1" w:styleId="32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30">
    <w:name w:val="正文文字表格居中"/>
    <w:basedOn w:val="1"/>
    <w:next w:val="54"/>
    <w:qFormat/>
    <w:uiPriority w:val="0"/>
    <w:pPr>
      <w:snapToGrid w:val="0"/>
      <w:spacing w:line="360" w:lineRule="auto"/>
    </w:pPr>
    <w:rPr>
      <w:rFonts w:ascii="宋体"/>
      <w:b/>
      <w:sz w:val="24"/>
      <w:szCs w:val="20"/>
    </w:rPr>
  </w:style>
  <w:style w:type="paragraph" w:customStyle="1" w:styleId="331">
    <w:name w:val="修订1"/>
    <w:qFormat/>
    <w:uiPriority w:val="0"/>
    <w:rPr>
      <w:rFonts w:ascii="Times New Roman" w:hAnsi="Times New Roman" w:eastAsia="宋体" w:cs="Times New Roman"/>
      <w:kern w:val="2"/>
      <w:sz w:val="21"/>
      <w:lang w:val="en-US" w:eastAsia="zh-CN" w:bidi="ar-SA"/>
    </w:rPr>
  </w:style>
  <w:style w:type="paragraph" w:customStyle="1" w:styleId="332">
    <w:name w:val="Char2 Char Char"/>
    <w:basedOn w:val="1"/>
    <w:qFormat/>
    <w:uiPriority w:val="0"/>
    <w:pPr>
      <w:adjustRightInd/>
    </w:pPr>
    <w:rPr>
      <w:rFonts w:ascii="Tahoma" w:hAnsi="Tahoma"/>
      <w:sz w:val="24"/>
      <w:szCs w:val="20"/>
    </w:rPr>
  </w:style>
  <w:style w:type="paragraph" w:customStyle="1" w:styleId="33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35">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8">
    <w:name w:val="列出段落2"/>
    <w:basedOn w:val="1"/>
    <w:qFormat/>
    <w:uiPriority w:val="0"/>
    <w:pPr>
      <w:adjustRightInd/>
      <w:ind w:firstLine="420" w:firstLineChars="200"/>
    </w:pPr>
    <w:rPr>
      <w:rFonts w:ascii="宋体" w:hAnsi="宋体"/>
      <w:sz w:val="24"/>
    </w:rPr>
  </w:style>
  <w:style w:type="paragraph" w:customStyle="1" w:styleId="3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4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MM Topic 1"/>
    <w:basedOn w:val="3"/>
    <w:qFormat/>
    <w:uiPriority w:val="0"/>
    <w:pPr>
      <w:tabs>
        <w:tab w:val="left" w:pos="840"/>
      </w:tabs>
      <w:adjustRightInd/>
      <w:ind w:left="840" w:hanging="420"/>
    </w:pPr>
  </w:style>
  <w:style w:type="paragraph" w:customStyle="1" w:styleId="342">
    <w:name w:val="样式7"/>
    <w:basedOn w:val="343"/>
    <w:next w:val="1"/>
    <w:qFormat/>
    <w:uiPriority w:val="0"/>
    <w:pPr>
      <w:spacing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46">
    <w:name w:val="三级条标题"/>
    <w:basedOn w:val="347"/>
    <w:next w:val="350"/>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50"/>
    <w:qFormat/>
    <w:uiPriority w:val="0"/>
    <w:pPr>
      <w:tabs>
        <w:tab w:val="left" w:pos="1260"/>
        <w:tab w:val="left" w:pos="1680"/>
        <w:tab w:val="left" w:pos="2100"/>
      </w:tabs>
      <w:ind w:left="0"/>
      <w:outlineLvl w:val="3"/>
    </w:pPr>
  </w:style>
  <w:style w:type="paragraph" w:customStyle="1" w:styleId="348">
    <w:name w:val="一级条标题"/>
    <w:basedOn w:val="349"/>
    <w:next w:val="350"/>
    <w:qFormat/>
    <w:uiPriority w:val="0"/>
    <w:pPr>
      <w:tabs>
        <w:tab w:val="left" w:pos="1260"/>
        <w:tab w:val="left" w:pos="1680"/>
      </w:tabs>
      <w:spacing w:beforeLines="0" w:afterLines="0"/>
      <w:ind w:left="1680"/>
      <w:outlineLvl w:val="2"/>
    </w:pPr>
  </w:style>
  <w:style w:type="paragraph" w:customStyle="1" w:styleId="349">
    <w:name w:val="章标题"/>
    <w:next w:val="3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Char Char Char Char Char Char Char Char"/>
    <w:basedOn w:val="1"/>
    <w:qFormat/>
    <w:uiPriority w:val="0"/>
    <w:pPr>
      <w:tabs>
        <w:tab w:val="left" w:pos="360"/>
      </w:tabs>
    </w:pPr>
    <w:rPr>
      <w:sz w:val="24"/>
      <w:szCs w:val="20"/>
    </w:rPr>
  </w:style>
  <w:style w:type="paragraph" w:customStyle="1" w:styleId="352">
    <w:name w:val="小节"/>
    <w:basedOn w:val="5"/>
    <w:qFormat/>
    <w:uiPriority w:val="0"/>
    <w:pPr>
      <w:adjustRightInd/>
      <w:spacing w:before="200" w:after="200" w:line="560" w:lineRule="exact"/>
      <w:ind w:left="0" w:firstLine="0"/>
      <w:jc w:val="left"/>
    </w:pPr>
    <w:rPr>
      <w:rFonts w:ascii="宋体" w:hAnsi="宋体"/>
      <w:bCs w:val="0"/>
      <w:color w:val="000000"/>
      <w:spacing w:val="10"/>
      <w:kern w:val="24"/>
      <w:sz w:val="28"/>
    </w:rPr>
  </w:style>
  <w:style w:type="paragraph" w:customStyle="1" w:styleId="3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默认段落字体 Para Char Char Char Char Char Char Char Char Char1 Char Char Char Char"/>
    <w:basedOn w:val="1"/>
    <w:qFormat/>
    <w:uiPriority w:val="0"/>
    <w:pPr>
      <w:adjustRightInd/>
    </w:pPr>
    <w:rPr>
      <w:rFonts w:ascii="Tahoma" w:hAnsi="Tahoma"/>
      <w:sz w:val="24"/>
      <w:szCs w:val="20"/>
    </w:rPr>
  </w:style>
  <w:style w:type="paragraph" w:styleId="3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58">
    <w:name w:val="Char Char Char Char Char Char Char"/>
    <w:basedOn w:val="1"/>
    <w:qFormat/>
    <w:uiPriority w:val="0"/>
    <w:rPr>
      <w:rFonts w:ascii="仿宋_GB2312" w:eastAsia="仿宋_GB2312"/>
      <w:b/>
      <w:sz w:val="32"/>
      <w:szCs w:val="32"/>
    </w:rPr>
  </w:style>
  <w:style w:type="paragraph" w:customStyle="1" w:styleId="359">
    <w:name w:val="样式 样式2 + 左侧:  1 字符 右侧:  1 字符"/>
    <w:basedOn w:val="360"/>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6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2">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63">
    <w:name w:val="Char Char Char1 Char"/>
    <w:basedOn w:val="1"/>
    <w:qFormat/>
    <w:uiPriority w:val="0"/>
    <w:rPr>
      <w:szCs w:val="20"/>
    </w:rPr>
  </w:style>
  <w:style w:type="paragraph" w:customStyle="1" w:styleId="3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6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6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7">
    <w:name w:val="Char1 Char Char Char5"/>
    <w:basedOn w:val="1"/>
    <w:qFormat/>
    <w:uiPriority w:val="0"/>
    <w:pPr>
      <w:adjustRightInd/>
      <w:ind w:firstLine="200" w:firstLineChars="200"/>
    </w:pPr>
    <w:rPr>
      <w:rFonts w:ascii="Tahoma" w:hAnsi="Tahoma"/>
      <w:sz w:val="24"/>
      <w:szCs w:val="20"/>
    </w:rPr>
  </w:style>
  <w:style w:type="paragraph" w:customStyle="1" w:styleId="3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69">
    <w:name w:val="Char"/>
    <w:basedOn w:val="1"/>
    <w:qFormat/>
    <w:uiPriority w:val="0"/>
    <w:rPr>
      <w:rFonts w:ascii="仿宋_GB2312" w:eastAsia="仿宋_GB2312"/>
      <w:b/>
      <w:sz w:val="32"/>
      <w:szCs w:val="32"/>
    </w:rPr>
  </w:style>
  <w:style w:type="paragraph" w:customStyle="1" w:styleId="370">
    <w:name w:val="Char Char1"/>
    <w:basedOn w:val="1"/>
    <w:qFormat/>
    <w:uiPriority w:val="0"/>
    <w:pPr>
      <w:widowControl/>
      <w:spacing w:after="160" w:line="240" w:lineRule="exact"/>
      <w:jc w:val="left"/>
    </w:pPr>
    <w:rPr>
      <w:rFonts w:eastAsia="仿宋_GB2312"/>
      <w:sz w:val="28"/>
    </w:rPr>
  </w:style>
  <w:style w:type="paragraph" w:customStyle="1" w:styleId="37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72">
    <w:name w:val="Table Text"/>
    <w:basedOn w:val="1"/>
    <w:qFormat/>
    <w:uiPriority w:val="0"/>
    <w:pPr>
      <w:widowControl/>
      <w:spacing w:before="60" w:after="60"/>
      <w:jc w:val="left"/>
    </w:pPr>
    <w:rPr>
      <w:kern w:val="0"/>
      <w:sz w:val="24"/>
    </w:rPr>
  </w:style>
  <w:style w:type="paragraph" w:customStyle="1" w:styleId="3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5">
    <w:name w:val="标书标题4"/>
    <w:basedOn w:val="6"/>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376">
    <w:name w:val="bullet"/>
    <w:basedOn w:val="1"/>
    <w:qFormat/>
    <w:uiPriority w:val="0"/>
    <w:pPr>
      <w:tabs>
        <w:tab w:val="left" w:pos="840"/>
      </w:tabs>
      <w:adjustRightInd/>
      <w:ind w:left="840" w:hanging="420"/>
    </w:pPr>
  </w:style>
  <w:style w:type="paragraph" w:customStyle="1" w:styleId="37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78">
    <w:name w:val="样式3"/>
    <w:basedOn w:val="360"/>
    <w:qFormat/>
    <w:uiPriority w:val="0"/>
    <w:pPr>
      <w:spacing w:beforeLines="100"/>
      <w:jc w:val="left"/>
    </w:pPr>
  </w:style>
  <w:style w:type="paragraph" w:customStyle="1" w:styleId="379">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80">
    <w:name w:val="Char Char Char Char Char Char Char Char Char Char Char Char1 Char"/>
    <w:basedOn w:val="1"/>
    <w:qFormat/>
    <w:uiPriority w:val="0"/>
    <w:rPr>
      <w:rFonts w:ascii="Tahoma" w:hAnsi="Tahoma" w:cs="仿宋_GB2312"/>
      <w:sz w:val="24"/>
      <w:szCs w:val="20"/>
    </w:rPr>
  </w:style>
  <w:style w:type="paragraph" w:customStyle="1" w:styleId="381">
    <w:name w:val="样式 标题 3标题 3 Char第二层条h33Bold Headbh章标题1小标题level_3PIM 3..."/>
    <w:basedOn w:val="5"/>
    <w:qFormat/>
    <w:uiPriority w:val="0"/>
    <w:pPr>
      <w:snapToGrid w:val="0"/>
      <w:spacing w:before="0" w:after="0" w:line="360" w:lineRule="auto"/>
      <w:ind w:left="0" w:firstLine="0"/>
    </w:pPr>
    <w:rPr>
      <w:rFonts w:ascii="黑体" w:hAnsi="宋体" w:eastAsia="黑体" w:cs="宋体"/>
      <w:b w:val="0"/>
      <w:bCs w:val="0"/>
      <w:color w:val="000000"/>
      <w:kern w:val="0"/>
      <w:sz w:val="28"/>
      <w:szCs w:val="20"/>
    </w:rPr>
  </w:style>
  <w:style w:type="paragraph" w:customStyle="1" w:styleId="382">
    <w:name w:val="Char1 Char Char Char2"/>
    <w:basedOn w:val="1"/>
    <w:qFormat/>
    <w:uiPriority w:val="0"/>
    <w:pPr>
      <w:adjustRightInd/>
      <w:ind w:firstLine="200" w:firstLineChars="200"/>
    </w:pPr>
    <w:rPr>
      <w:rFonts w:ascii="Tahoma" w:hAnsi="Tahoma"/>
      <w:sz w:val="24"/>
      <w:szCs w:val="20"/>
    </w:rPr>
  </w:style>
  <w:style w:type="paragraph" w:customStyle="1" w:styleId="38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8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5">
    <w:name w:val="数字标题3"/>
    <w:basedOn w:val="5"/>
    <w:next w:val="1"/>
    <w:qFormat/>
    <w:uiPriority w:val="0"/>
    <w:pPr>
      <w:spacing w:line="240" w:lineRule="auto"/>
      <w:ind w:left="0" w:firstLine="0"/>
    </w:pPr>
    <w:rPr>
      <w:sz w:val="28"/>
      <w:szCs w:val="28"/>
    </w:rPr>
  </w:style>
  <w:style w:type="paragraph" w:customStyle="1" w:styleId="3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87">
    <w:name w:val="MM Topic 4"/>
    <w:basedOn w:val="6"/>
    <w:qFormat/>
    <w:uiPriority w:val="0"/>
    <w:pPr>
      <w:tabs>
        <w:tab w:val="left" w:pos="840"/>
        <w:tab w:val="left" w:pos="2100"/>
        <w:tab w:val="clear" w:pos="864"/>
      </w:tabs>
      <w:adjustRightInd/>
      <w:ind w:left="840" w:hanging="420"/>
    </w:pPr>
    <w:rPr>
      <w:lang w:val="en-US"/>
    </w:rPr>
  </w:style>
  <w:style w:type="paragraph" w:customStyle="1" w:styleId="388">
    <w:name w:val="Char1 Char Char Char"/>
    <w:basedOn w:val="1"/>
    <w:qFormat/>
    <w:uiPriority w:val="0"/>
    <w:rPr>
      <w:rFonts w:ascii="Tahoma" w:hAnsi="Tahoma"/>
      <w:sz w:val="24"/>
      <w:szCs w:val="20"/>
    </w:rPr>
  </w:style>
  <w:style w:type="paragraph" w:customStyle="1" w:styleId="389">
    <w:name w:val="正文段"/>
    <w:basedOn w:val="1"/>
    <w:qFormat/>
    <w:uiPriority w:val="0"/>
    <w:pPr>
      <w:widowControl/>
      <w:snapToGrid w:val="0"/>
      <w:spacing w:afterLines="50"/>
      <w:ind w:firstLine="200" w:firstLineChars="200"/>
    </w:pPr>
    <w:rPr>
      <w:kern w:val="0"/>
      <w:sz w:val="24"/>
      <w:szCs w:val="20"/>
    </w:rPr>
  </w:style>
  <w:style w:type="paragraph" w:customStyle="1" w:styleId="390">
    <w:name w:val="样式 标题 4PIM 4H4h4bulletblbbH41H42H43H44H45H46H47H48...1"/>
    <w:basedOn w:val="6"/>
    <w:qFormat/>
    <w:uiPriority w:val="0"/>
    <w:pPr>
      <w:widowControl/>
      <w:jc w:val="left"/>
    </w:pPr>
    <w:rPr>
      <w:rFonts w:cs="宋体"/>
      <w:sz w:val="24"/>
      <w:szCs w:val="20"/>
    </w:rPr>
  </w:style>
  <w:style w:type="paragraph" w:customStyle="1" w:styleId="391">
    <w:name w:val="Char Char Char1 Char1"/>
    <w:basedOn w:val="1"/>
    <w:qFormat/>
    <w:uiPriority w:val="0"/>
    <w:rPr>
      <w:szCs w:val="20"/>
    </w:rPr>
  </w:style>
  <w:style w:type="paragraph" w:customStyle="1" w:styleId="3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394">
    <w:name w:val="文档正文"/>
    <w:basedOn w:val="1"/>
    <w:qFormat/>
    <w:uiPriority w:val="0"/>
    <w:pPr>
      <w:spacing w:line="480" w:lineRule="atLeast"/>
      <w:ind w:firstLine="567"/>
      <w:textAlignment w:val="baseline"/>
    </w:pPr>
    <w:rPr>
      <w:kern w:val="0"/>
      <w:sz w:val="24"/>
      <w:szCs w:val="20"/>
    </w:rPr>
  </w:style>
  <w:style w:type="paragraph" w:customStyle="1" w:styleId="39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正文（标题三）"/>
    <w:basedOn w:val="1"/>
    <w:qFormat/>
    <w:uiPriority w:val="0"/>
    <w:pPr>
      <w:spacing w:line="360" w:lineRule="auto"/>
      <w:ind w:firstLine="200" w:firstLineChars="200"/>
    </w:pPr>
    <w:rPr>
      <w:sz w:val="24"/>
    </w:rPr>
  </w:style>
  <w:style w:type="paragraph" w:customStyle="1" w:styleId="39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399">
    <w:name w:val="正文 项目2"/>
    <w:basedOn w:val="400"/>
    <w:qFormat/>
    <w:uiPriority w:val="0"/>
    <w:pPr>
      <w:tabs>
        <w:tab w:val="left" w:pos="840"/>
      </w:tabs>
      <w:spacing w:after="0"/>
      <w:ind w:left="900"/>
    </w:pPr>
  </w:style>
  <w:style w:type="paragraph" w:customStyle="1" w:styleId="40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1">
    <w:name w:val="Bulleted List"/>
    <w:basedOn w:val="1"/>
    <w:qFormat/>
    <w:uiPriority w:val="0"/>
    <w:pPr>
      <w:tabs>
        <w:tab w:val="left" w:pos="1260"/>
      </w:tabs>
      <w:adjustRightInd/>
      <w:ind w:left="1260" w:hanging="420"/>
    </w:pPr>
  </w:style>
  <w:style w:type="paragraph" w:customStyle="1" w:styleId="40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0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0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0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06">
    <w:name w:val="Char Char13"/>
    <w:basedOn w:val="1"/>
    <w:qFormat/>
    <w:uiPriority w:val="0"/>
    <w:pPr>
      <w:widowControl/>
      <w:spacing w:after="160" w:line="240" w:lineRule="exact"/>
      <w:jc w:val="left"/>
    </w:pPr>
    <w:rPr>
      <w:rFonts w:eastAsia="仿宋_GB2312"/>
      <w:sz w:val="28"/>
    </w:rPr>
  </w:style>
  <w:style w:type="paragraph" w:customStyle="1" w:styleId="407">
    <w:name w:val="0"/>
    <w:basedOn w:val="1"/>
    <w:qFormat/>
    <w:uiPriority w:val="0"/>
    <w:pPr>
      <w:widowControl/>
    </w:pPr>
    <w:rPr>
      <w:kern w:val="0"/>
      <w:sz w:val="24"/>
      <w:szCs w:val="20"/>
    </w:rPr>
  </w:style>
  <w:style w:type="paragraph" w:customStyle="1" w:styleId="408">
    <w:name w:val="Char3 Char Char Char"/>
    <w:basedOn w:val="1"/>
    <w:qFormat/>
    <w:uiPriority w:val="0"/>
    <w:pPr>
      <w:widowControl/>
      <w:adjustRightInd/>
      <w:spacing w:after="160" w:line="240" w:lineRule="exact"/>
      <w:jc w:val="left"/>
    </w:pPr>
    <w:rPr>
      <w:szCs w:val="20"/>
    </w:rPr>
  </w:style>
  <w:style w:type="paragraph" w:customStyle="1" w:styleId="40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10">
    <w:name w:val="标题4_自定义"/>
    <w:basedOn w:val="6"/>
    <w:qFormat/>
    <w:uiPriority w:val="0"/>
    <w:pPr>
      <w:adjustRightInd/>
      <w:spacing w:before="0" w:after="0" w:line="360" w:lineRule="auto"/>
      <w:ind w:left="0" w:firstLine="0"/>
    </w:pPr>
    <w:rPr>
      <w:rFonts w:ascii="Verdana" w:eastAsia="Verdana"/>
      <w:sz w:val="21"/>
      <w:lang w:val="en-US"/>
    </w:rPr>
  </w:style>
  <w:style w:type="paragraph" w:customStyle="1" w:styleId="41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12">
    <w:name w:val="Char Char11 Char Char Char Char Char Char Char Char Char"/>
    <w:basedOn w:val="1"/>
    <w:qFormat/>
    <w:uiPriority w:val="0"/>
    <w:pPr>
      <w:spacing w:line="360" w:lineRule="auto"/>
    </w:pPr>
    <w:rPr>
      <w:szCs w:val="20"/>
    </w:rPr>
  </w:style>
  <w:style w:type="paragraph" w:customStyle="1" w:styleId="413">
    <w:name w:val="Char Char Char Char Char Char Char Char1"/>
    <w:basedOn w:val="1"/>
    <w:qFormat/>
    <w:uiPriority w:val="0"/>
    <w:pPr>
      <w:tabs>
        <w:tab w:val="left" w:pos="360"/>
      </w:tabs>
    </w:pPr>
    <w:rPr>
      <w:sz w:val="24"/>
      <w:szCs w:val="20"/>
    </w:rPr>
  </w:style>
  <w:style w:type="paragraph" w:customStyle="1" w:styleId="414">
    <w:name w:val="左对齐表格文字"/>
    <w:basedOn w:val="1"/>
    <w:qFormat/>
    <w:uiPriority w:val="0"/>
    <w:pPr>
      <w:adjustRightInd/>
      <w:ind w:firstLine="200" w:firstLineChars="200"/>
      <w:jc w:val="right"/>
    </w:pPr>
  </w:style>
  <w:style w:type="paragraph" w:customStyle="1" w:styleId="41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1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1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2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21">
    <w:name w:val="表格内文"/>
    <w:basedOn w:val="1"/>
    <w:qFormat/>
    <w:uiPriority w:val="0"/>
    <w:pPr>
      <w:adjustRightInd/>
      <w:spacing w:line="360" w:lineRule="auto"/>
    </w:pPr>
    <w:rPr>
      <w:rFonts w:ascii="宋体" w:hAnsi="宋体" w:cs="宋体"/>
      <w:color w:val="000000"/>
      <w:szCs w:val="20"/>
    </w:rPr>
  </w:style>
  <w:style w:type="paragraph" w:customStyle="1" w:styleId="42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2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42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表格标题2"/>
    <w:basedOn w:val="421"/>
    <w:qFormat/>
    <w:uiPriority w:val="0"/>
    <w:rPr>
      <w:b/>
    </w:rPr>
  </w:style>
  <w:style w:type="paragraph" w:customStyle="1" w:styleId="42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42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3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33">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3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35">
    <w:name w:val="标题五"/>
    <w:basedOn w:val="1"/>
    <w:qFormat/>
    <w:uiPriority w:val="0"/>
    <w:pPr>
      <w:adjustRightInd/>
      <w:spacing w:beforeLines="50" w:line="360" w:lineRule="auto"/>
    </w:pPr>
    <w:rPr>
      <w:b/>
      <w:sz w:val="24"/>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Char3"/>
    <w:basedOn w:val="1"/>
    <w:qFormat/>
    <w:uiPriority w:val="0"/>
    <w:pPr>
      <w:adjustRightInd/>
      <w:ind w:firstLine="200" w:firstLineChars="200"/>
    </w:pPr>
    <w:rPr>
      <w:rFonts w:ascii="Tahoma" w:hAnsi="Tahoma"/>
      <w:sz w:val="24"/>
      <w:szCs w:val="20"/>
    </w:rPr>
  </w:style>
  <w:style w:type="paragraph" w:customStyle="1" w:styleId="438">
    <w:name w:val="单元格居中"/>
    <w:basedOn w:val="1"/>
    <w:qFormat/>
    <w:uiPriority w:val="0"/>
    <w:pPr>
      <w:adjustRightInd/>
      <w:spacing w:line="360" w:lineRule="auto"/>
      <w:jc w:val="center"/>
    </w:pPr>
    <w:rPr>
      <w:sz w:val="24"/>
    </w:rPr>
  </w:style>
  <w:style w:type="paragraph" w:customStyle="1" w:styleId="439">
    <w:name w:val="有符号正文"/>
    <w:basedOn w:val="1"/>
    <w:qFormat/>
    <w:uiPriority w:val="0"/>
    <w:pPr>
      <w:adjustRightInd/>
      <w:spacing w:line="400" w:lineRule="exact"/>
      <w:ind w:firstLine="200" w:firstLineChars="200"/>
    </w:pPr>
    <w:rPr>
      <w:rFonts w:ascii="Arial" w:hAnsi="Arial"/>
    </w:rPr>
  </w:style>
  <w:style w:type="paragraph" w:customStyle="1" w:styleId="44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Char Char Char Char Char Char Char1"/>
    <w:basedOn w:val="1"/>
    <w:qFormat/>
    <w:uiPriority w:val="0"/>
    <w:rPr>
      <w:rFonts w:ascii="仿宋_GB2312" w:eastAsia="仿宋_GB2312"/>
      <w:b/>
      <w:sz w:val="32"/>
      <w:szCs w:val="32"/>
    </w:rPr>
  </w:style>
  <w:style w:type="paragraph" w:customStyle="1" w:styleId="44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4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46">
    <w:name w:val="表文字"/>
    <w:qFormat/>
    <w:uiPriority w:val="0"/>
    <w:rPr>
      <w:rFonts w:ascii="宋体" w:hAnsi="Times New Roman" w:eastAsia="宋体" w:cs="Times New Roman"/>
      <w:kern w:val="2"/>
      <w:lang w:val="en-US" w:eastAsia="zh-CN" w:bidi="ar-SA"/>
    </w:rPr>
  </w:style>
  <w:style w:type="paragraph" w:customStyle="1" w:styleId="44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450">
    <w:name w:val="trademark"/>
    <w:qFormat/>
    <w:uiPriority w:val="0"/>
    <w:pPr>
      <w:spacing w:after="60"/>
    </w:pPr>
    <w:rPr>
      <w:rFonts w:ascii="Futura Bk" w:hAnsi="Futura Bk" w:eastAsia="宋体" w:cs="Times New Roman"/>
      <w:sz w:val="15"/>
      <w:lang w:val="en-US" w:eastAsia="en-US" w:bidi="ar-SA"/>
    </w:rPr>
  </w:style>
  <w:style w:type="paragraph" w:customStyle="1" w:styleId="4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211"/>
    <w:basedOn w:val="1"/>
    <w:qFormat/>
    <w:uiPriority w:val="0"/>
    <w:rPr>
      <w:rFonts w:ascii="仿宋_GB2312" w:eastAsia="仿宋_GB2312"/>
      <w:b/>
      <w:sz w:val="32"/>
      <w:szCs w:val="32"/>
    </w:rPr>
  </w:style>
  <w:style w:type="paragraph" w:customStyle="1" w:styleId="454">
    <w:name w:val="Char Char1 Char Char Char"/>
    <w:basedOn w:val="1"/>
    <w:qFormat/>
    <w:uiPriority w:val="0"/>
    <w:rPr>
      <w:rFonts w:ascii="仿宋_GB2312" w:eastAsia="仿宋_GB2312"/>
      <w:b/>
      <w:sz w:val="32"/>
      <w:szCs w:val="20"/>
    </w:rPr>
  </w:style>
  <w:style w:type="paragraph" w:customStyle="1" w:styleId="455">
    <w:name w:val="五级条标题"/>
    <w:basedOn w:val="456"/>
    <w:next w:val="350"/>
    <w:qFormat/>
    <w:uiPriority w:val="0"/>
    <w:pPr>
      <w:tabs>
        <w:tab w:val="left" w:pos="1260"/>
        <w:tab w:val="left" w:pos="1680"/>
        <w:tab w:val="left" w:pos="2100"/>
        <w:tab w:val="left" w:pos="2940"/>
        <w:tab w:val="left" w:pos="3360"/>
      </w:tabs>
      <w:ind w:left="3360"/>
      <w:outlineLvl w:val="6"/>
    </w:pPr>
  </w:style>
  <w:style w:type="paragraph" w:customStyle="1" w:styleId="456">
    <w:name w:val="四级条标题"/>
    <w:basedOn w:val="346"/>
    <w:next w:val="350"/>
    <w:qFormat/>
    <w:uiPriority w:val="0"/>
    <w:pPr>
      <w:tabs>
        <w:tab w:val="left" w:pos="2940"/>
        <w:tab w:val="clear" w:pos="2520"/>
      </w:tabs>
      <w:ind w:left="2940"/>
      <w:outlineLvl w:val="5"/>
    </w:pPr>
  </w:style>
  <w:style w:type="paragraph" w:customStyle="1" w:styleId="45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5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60">
    <w:name w:val="Char2 Char Char Char"/>
    <w:basedOn w:val="1"/>
    <w:qFormat/>
    <w:uiPriority w:val="0"/>
    <w:rPr>
      <w:rFonts w:ascii="仿宋_GB2312" w:eastAsia="仿宋_GB2312"/>
      <w:b/>
      <w:sz w:val="32"/>
      <w:szCs w:val="32"/>
    </w:rPr>
  </w:style>
  <w:style w:type="paragraph" w:customStyle="1" w:styleId="46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Char31"/>
    <w:basedOn w:val="1"/>
    <w:qFormat/>
    <w:uiPriority w:val="0"/>
    <w:pPr>
      <w:adjustRightInd/>
    </w:pPr>
    <w:rPr>
      <w:rFonts w:ascii="仿宋_GB2312" w:eastAsia="仿宋_GB2312"/>
      <w:b/>
      <w:sz w:val="32"/>
      <w:szCs w:val="32"/>
    </w:rPr>
  </w:style>
  <w:style w:type="paragraph" w:customStyle="1" w:styleId="4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6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6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6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471">
    <w:name w:val="默认段落字体 Para Char"/>
    <w:basedOn w:val="1"/>
    <w:qFormat/>
    <w:uiPriority w:val="0"/>
    <w:rPr>
      <w:rFonts w:ascii="Tahoma" w:hAnsi="Tahoma"/>
      <w:sz w:val="24"/>
      <w:szCs w:val="20"/>
    </w:rPr>
  </w:style>
  <w:style w:type="paragraph" w:customStyle="1" w:styleId="472">
    <w:name w:val="Char Char11 Char Char Char"/>
    <w:basedOn w:val="1"/>
    <w:qFormat/>
    <w:uiPriority w:val="0"/>
    <w:pPr>
      <w:spacing w:line="360" w:lineRule="auto"/>
    </w:pPr>
    <w:rPr>
      <w:szCs w:val="20"/>
    </w:rPr>
  </w:style>
  <w:style w:type="paragraph" w:customStyle="1" w:styleId="47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74">
    <w:name w:val="Char Char111"/>
    <w:basedOn w:val="1"/>
    <w:qFormat/>
    <w:uiPriority w:val="0"/>
    <w:pPr>
      <w:spacing w:line="360" w:lineRule="auto"/>
    </w:pPr>
    <w:rPr>
      <w:szCs w:val="20"/>
    </w:rPr>
  </w:style>
  <w:style w:type="paragraph" w:customStyle="1" w:styleId="47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76">
    <w:name w:val="标书标题2"/>
    <w:basedOn w:val="4"/>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7">
    <w:name w:val="标准小四"/>
    <w:basedOn w:val="1"/>
    <w:qFormat/>
    <w:uiPriority w:val="0"/>
    <w:pPr>
      <w:spacing w:line="360" w:lineRule="auto"/>
      <w:ind w:firstLine="480" w:firstLineChars="200"/>
    </w:pPr>
    <w:rPr>
      <w:rFonts w:ascii="Arial" w:hAnsi="Arial"/>
      <w:sz w:val="24"/>
      <w:szCs w:val="21"/>
    </w:rPr>
  </w:style>
  <w:style w:type="paragraph" w:customStyle="1" w:styleId="47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79">
    <w:name w:val="正文（首行缩进2字符）"/>
    <w:basedOn w:val="1"/>
    <w:qFormat/>
    <w:uiPriority w:val="0"/>
    <w:pPr>
      <w:adjustRightInd/>
      <w:spacing w:line="360" w:lineRule="auto"/>
      <w:ind w:firstLine="480" w:firstLineChars="200"/>
    </w:pPr>
    <w:rPr>
      <w:sz w:val="24"/>
      <w:szCs w:val="20"/>
    </w:rPr>
  </w:style>
  <w:style w:type="paragraph" w:customStyle="1" w:styleId="48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81">
    <w:name w:val="MM Topic 3"/>
    <w:basedOn w:val="5"/>
    <w:qFormat/>
    <w:uiPriority w:val="0"/>
    <w:pPr>
      <w:tabs>
        <w:tab w:val="left" w:pos="840"/>
        <w:tab w:val="left" w:pos="1680"/>
      </w:tabs>
      <w:adjustRightInd/>
      <w:ind w:left="840" w:hanging="420"/>
    </w:pPr>
  </w:style>
  <w:style w:type="paragraph" w:customStyle="1" w:styleId="4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3">
    <w:name w:val="彩色列表 - 强调文字颜色 11"/>
    <w:basedOn w:val="1"/>
    <w:qFormat/>
    <w:uiPriority w:val="0"/>
    <w:pPr>
      <w:adjustRightInd/>
      <w:ind w:firstLine="420" w:firstLineChars="200"/>
    </w:pPr>
    <w:rPr>
      <w:rFonts w:ascii="Calibri" w:hAnsi="Calibri"/>
      <w:szCs w:val="22"/>
    </w:rPr>
  </w:style>
  <w:style w:type="paragraph" w:customStyle="1" w:styleId="484">
    <w:name w:val="Char Char1 Char1"/>
    <w:basedOn w:val="1"/>
    <w:qFormat/>
    <w:uiPriority w:val="0"/>
    <w:rPr>
      <w:rFonts w:ascii="仿宋_GB2312" w:eastAsia="仿宋_GB2312"/>
      <w:b/>
      <w:sz w:val="32"/>
      <w:szCs w:val="32"/>
    </w:rPr>
  </w:style>
  <w:style w:type="paragraph" w:customStyle="1" w:styleId="48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8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87">
    <w:name w:val="数字标题5"/>
    <w:basedOn w:val="7"/>
    <w:next w:val="1"/>
    <w:qFormat/>
    <w:uiPriority w:val="0"/>
    <w:pPr>
      <w:tabs>
        <w:tab w:val="left" w:pos="480"/>
        <w:tab w:val="left" w:pos="1080"/>
      </w:tabs>
      <w:ind w:left="480" w:hanging="480"/>
    </w:pPr>
  </w:style>
  <w:style w:type="paragraph" w:customStyle="1" w:styleId="488">
    <w:name w:val="Char Char Char Char Char Char Char Char Char Char1"/>
    <w:basedOn w:val="1"/>
    <w:qFormat/>
    <w:uiPriority w:val="0"/>
    <w:rPr>
      <w:rFonts w:ascii="仿宋_GB2312" w:eastAsia="仿宋_GB2312"/>
      <w:b/>
      <w:sz w:val="32"/>
      <w:szCs w:val="32"/>
    </w:rPr>
  </w:style>
  <w:style w:type="paragraph" w:customStyle="1" w:styleId="48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9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93">
    <w:name w:val="4"/>
    <w:basedOn w:val="1"/>
    <w:next w:val="36"/>
    <w:qFormat/>
    <w:uiPriority w:val="0"/>
    <w:pPr>
      <w:spacing w:after="120" w:line="480" w:lineRule="auto"/>
      <w:ind w:left="420" w:leftChars="200"/>
    </w:pPr>
    <w:rPr>
      <w:sz w:val="24"/>
      <w:szCs w:val="20"/>
    </w:rPr>
  </w:style>
  <w:style w:type="paragraph" w:customStyle="1" w:styleId="4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5">
    <w:name w:val="Char Char11 Char Char Char Char Char Char Char Char Char1"/>
    <w:basedOn w:val="1"/>
    <w:qFormat/>
    <w:uiPriority w:val="0"/>
    <w:pPr>
      <w:spacing w:line="360" w:lineRule="auto"/>
    </w:pPr>
    <w:rPr>
      <w:szCs w:val="20"/>
    </w:rPr>
  </w:style>
  <w:style w:type="paragraph" w:customStyle="1" w:styleId="4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9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98">
    <w:name w:val="TOC 标题1"/>
    <w:basedOn w:val="3"/>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12"/>
    <w:basedOn w:val="1"/>
    <w:qFormat/>
    <w:uiPriority w:val="0"/>
    <w:rPr>
      <w:rFonts w:ascii="仿宋_GB2312" w:eastAsia="仿宋_GB2312"/>
      <w:b/>
      <w:sz w:val="32"/>
      <w:szCs w:val="3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0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0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8">
    <w:name w:val="EB_表格"/>
    <w:basedOn w:val="1"/>
    <w:qFormat/>
    <w:uiPriority w:val="0"/>
    <w:pPr>
      <w:adjustRightInd/>
      <w:spacing w:line="300" w:lineRule="auto"/>
      <w:jc w:val="center"/>
    </w:pPr>
  </w:style>
  <w:style w:type="paragraph" w:customStyle="1" w:styleId="509">
    <w:name w:val="Char Char Char Char Char Char Char Char Char Char Char1 Char"/>
    <w:basedOn w:val="1"/>
    <w:qFormat/>
    <w:uiPriority w:val="0"/>
    <w:pPr>
      <w:adjustRightInd/>
    </w:pPr>
    <w:rPr>
      <w:rFonts w:ascii="Tahoma" w:hAnsi="Tahoma"/>
      <w:sz w:val="24"/>
    </w:rPr>
  </w:style>
  <w:style w:type="paragraph" w:customStyle="1" w:styleId="510">
    <w:name w:val="Char Char1 Char Char Char Char Char Char1"/>
    <w:basedOn w:val="1"/>
    <w:qFormat/>
    <w:uiPriority w:val="0"/>
    <w:rPr>
      <w:rFonts w:ascii="仿宋_GB2312" w:eastAsia="仿宋_GB2312"/>
      <w:b/>
      <w:sz w:val="32"/>
      <w:szCs w:val="20"/>
    </w:rPr>
  </w:style>
  <w:style w:type="paragraph" w:customStyle="1" w:styleId="51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12">
    <w:name w:val="默认段落样式"/>
    <w:basedOn w:val="228"/>
    <w:qFormat/>
    <w:uiPriority w:val="0"/>
    <w:pPr>
      <w:spacing w:before="0"/>
      <w:ind w:firstLine="480"/>
      <w:outlineLvl w:val="2"/>
    </w:pPr>
    <w:rPr>
      <w:rFonts w:ascii="仿宋_GB2312" w:hAnsi="宋体" w:eastAsia="仿宋_GB2312"/>
      <w:color w:val="000000"/>
      <w:szCs w:val="24"/>
    </w:rPr>
  </w:style>
  <w:style w:type="paragraph" w:customStyle="1" w:styleId="5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20">
    <w:name w:val="Char3 Char Char Char1"/>
    <w:basedOn w:val="1"/>
    <w:qFormat/>
    <w:uiPriority w:val="0"/>
    <w:pPr>
      <w:widowControl/>
      <w:adjustRightInd/>
      <w:spacing w:after="160" w:line="240" w:lineRule="exact"/>
      <w:jc w:val="left"/>
    </w:pPr>
    <w:rPr>
      <w:szCs w:val="20"/>
    </w:rPr>
  </w:style>
  <w:style w:type="paragraph" w:customStyle="1" w:styleId="521">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5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2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52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2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29">
    <w:name w:val="Char1 Char Char Char3"/>
    <w:basedOn w:val="1"/>
    <w:qFormat/>
    <w:uiPriority w:val="0"/>
    <w:pPr>
      <w:adjustRightInd/>
      <w:ind w:firstLine="200" w:firstLineChars="200"/>
    </w:pPr>
    <w:rPr>
      <w:rFonts w:ascii="Tahoma" w:hAnsi="Tahoma"/>
      <w:sz w:val="24"/>
      <w:szCs w:val="20"/>
    </w:rPr>
  </w:style>
  <w:style w:type="paragraph" w:customStyle="1" w:styleId="53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1">
    <w:name w:val="Char Char14"/>
    <w:basedOn w:val="1"/>
    <w:qFormat/>
    <w:uiPriority w:val="0"/>
    <w:pPr>
      <w:spacing w:line="360" w:lineRule="auto"/>
    </w:pPr>
    <w:rPr>
      <w:rFonts w:ascii="Tahoma" w:hAnsi="Tahoma"/>
      <w:sz w:val="24"/>
      <w:szCs w:val="20"/>
    </w:rPr>
  </w:style>
  <w:style w:type="paragraph" w:customStyle="1" w:styleId="53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3">
    <w:name w:val="Char1 Char Char Char4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3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3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3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39">
    <w:name w:val="Char Char Char Char Char Char Char Char Char Char Char Char1 Char1"/>
    <w:basedOn w:val="1"/>
    <w:qFormat/>
    <w:uiPriority w:val="0"/>
    <w:rPr>
      <w:rFonts w:ascii="Tahoma" w:hAnsi="Tahoma" w:cs="仿宋_GB2312"/>
      <w:sz w:val="24"/>
      <w:szCs w:val="20"/>
    </w:rPr>
  </w:style>
  <w:style w:type="paragraph" w:customStyle="1" w:styleId="54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4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4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3">
    <w:name w:val="彩色列表 - 强调文字颜色 12"/>
    <w:basedOn w:val="1"/>
    <w:qFormat/>
    <w:uiPriority w:val="0"/>
    <w:pPr>
      <w:adjustRightInd/>
      <w:ind w:firstLine="420" w:firstLineChars="200"/>
    </w:pPr>
    <w:rPr>
      <w:rFonts w:ascii="Calibri" w:hAnsi="Calibri"/>
      <w:szCs w:val="22"/>
    </w:rPr>
  </w:style>
  <w:style w:type="paragraph" w:customStyle="1" w:styleId="544">
    <w:name w:val="默认段落字体 Para Char Char Char Char Char Char Char"/>
    <w:basedOn w:val="1"/>
    <w:qFormat/>
    <w:uiPriority w:val="0"/>
    <w:rPr>
      <w:rFonts w:eastAsia="仿宋_GB2312"/>
      <w:sz w:val="28"/>
      <w:szCs w:val="20"/>
    </w:rPr>
  </w:style>
  <w:style w:type="paragraph" w:customStyle="1" w:styleId="545">
    <w:name w:val="Char13"/>
    <w:basedOn w:val="1"/>
    <w:qFormat/>
    <w:uiPriority w:val="0"/>
    <w:rPr>
      <w:rFonts w:ascii="仿宋_GB2312" w:eastAsia="仿宋_GB2312"/>
      <w:b/>
      <w:sz w:val="32"/>
      <w:szCs w:val="32"/>
    </w:rPr>
  </w:style>
  <w:style w:type="paragraph" w:customStyle="1" w:styleId="54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5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50">
    <w:name w:val="数字标题4"/>
    <w:basedOn w:val="6"/>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4">
    <w:name w:val="Char2 Char Char1"/>
    <w:basedOn w:val="1"/>
    <w:qFormat/>
    <w:uiPriority w:val="0"/>
    <w:pPr>
      <w:adjustRightInd/>
    </w:pPr>
    <w:rPr>
      <w:rFonts w:ascii="Tahoma" w:hAnsi="Tahoma"/>
      <w:sz w:val="24"/>
      <w:szCs w:val="20"/>
    </w:rPr>
  </w:style>
  <w:style w:type="paragraph" w:customStyle="1" w:styleId="555">
    <w:name w:val="Char Char Char"/>
    <w:basedOn w:val="1"/>
    <w:qFormat/>
    <w:uiPriority w:val="0"/>
    <w:rPr>
      <w:rFonts w:ascii="Tahoma" w:hAnsi="Tahoma"/>
      <w:sz w:val="24"/>
      <w:szCs w:val="20"/>
    </w:rPr>
  </w:style>
  <w:style w:type="paragraph" w:customStyle="1" w:styleId="556">
    <w:name w:val="索引 11"/>
    <w:basedOn w:val="1"/>
    <w:next w:val="1"/>
    <w:qFormat/>
    <w:uiPriority w:val="0"/>
    <w:pPr>
      <w:adjustRightInd/>
      <w:spacing w:line="360" w:lineRule="auto"/>
    </w:pPr>
    <w:rPr>
      <w:rFonts w:ascii="仿宋_GB2312" w:eastAsia="仿宋_GB2312"/>
      <w:sz w:val="24"/>
      <w:szCs w:val="20"/>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9">
    <w:name w:val="a1"/>
    <w:basedOn w:val="1"/>
    <w:qFormat/>
    <w:uiPriority w:val="0"/>
    <w:pPr>
      <w:widowControl/>
      <w:spacing w:line="300" w:lineRule="atLeast"/>
      <w:jc w:val="left"/>
    </w:pPr>
    <w:rPr>
      <w:rFonts w:ascii="宋体" w:hAnsi="宋体"/>
      <w:kern w:val="0"/>
      <w:sz w:val="18"/>
      <w:szCs w:val="20"/>
    </w:rPr>
  </w:style>
  <w:style w:type="paragraph" w:customStyle="1" w:styleId="560">
    <w:name w:val="默认段落字体 Para Char Char Char Char"/>
    <w:basedOn w:val="1"/>
    <w:qFormat/>
    <w:uiPriority w:val="0"/>
    <w:pPr>
      <w:spacing w:line="360" w:lineRule="auto"/>
    </w:pPr>
    <w:rPr>
      <w:szCs w:val="20"/>
    </w:rPr>
  </w:style>
  <w:style w:type="paragraph" w:customStyle="1" w:styleId="561">
    <w:name w:val="Char Char4 Char Char"/>
    <w:basedOn w:val="1"/>
    <w:qFormat/>
    <w:uiPriority w:val="0"/>
    <w:pPr>
      <w:widowControl/>
      <w:adjustRightInd/>
      <w:spacing w:after="160" w:line="240" w:lineRule="exact"/>
      <w:jc w:val="left"/>
    </w:pPr>
  </w:style>
  <w:style w:type="paragraph" w:customStyle="1" w:styleId="56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63">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564">
    <w:name w:val="Char Char1 Char Char1 Char Char1"/>
    <w:basedOn w:val="1"/>
    <w:qFormat/>
    <w:uiPriority w:val="0"/>
    <w:pPr>
      <w:tabs>
        <w:tab w:val="left" w:pos="840"/>
      </w:tabs>
      <w:ind w:left="840" w:hanging="420"/>
    </w:pPr>
    <w:rPr>
      <w:rFonts w:ascii="Tahoma" w:hAnsi="Tahoma"/>
      <w:sz w:val="24"/>
    </w:rPr>
  </w:style>
  <w:style w:type="paragraph" w:customStyle="1" w:styleId="56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6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6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6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69">
    <w:name w:val="正文21"/>
    <w:basedOn w:val="1"/>
    <w:qFormat/>
    <w:uiPriority w:val="0"/>
    <w:pPr>
      <w:adjustRightInd/>
      <w:spacing w:before="156" w:line="360" w:lineRule="auto"/>
      <w:ind w:firstLine="510" w:firstLineChars="200"/>
    </w:pPr>
    <w:rPr>
      <w:sz w:val="24"/>
      <w:szCs w:val="20"/>
    </w:rPr>
  </w:style>
  <w:style w:type="paragraph" w:customStyle="1" w:styleId="57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71">
    <w:name w:val="Char Char Char Char2"/>
    <w:basedOn w:val="1"/>
    <w:qFormat/>
    <w:uiPriority w:val="0"/>
    <w:rPr>
      <w:rFonts w:ascii="Tahoma" w:hAnsi="Tahoma"/>
      <w:sz w:val="24"/>
      <w:szCs w:val="20"/>
    </w:rPr>
  </w:style>
  <w:style w:type="paragraph" w:customStyle="1" w:styleId="572">
    <w:name w:val="MM Empty"/>
    <w:basedOn w:val="1"/>
    <w:qFormat/>
    <w:uiPriority w:val="0"/>
    <w:pPr>
      <w:adjustRightInd/>
    </w:pPr>
  </w:style>
  <w:style w:type="paragraph" w:customStyle="1" w:styleId="573">
    <w:name w:val="CM14"/>
    <w:basedOn w:val="336"/>
    <w:next w:val="336"/>
    <w:qFormat/>
    <w:uiPriority w:val="0"/>
    <w:pPr>
      <w:spacing w:after="68"/>
    </w:pPr>
    <w:rPr>
      <w:rFonts w:ascii="FHLHE E+ Futura Bk" w:eastAsia="FHLHE E+ Futura Bk" w:cs="Times New Roman"/>
      <w:color w:val="auto"/>
    </w:rPr>
  </w:style>
  <w:style w:type="paragraph" w:customStyle="1" w:styleId="574">
    <w:name w:val="封面"/>
    <w:basedOn w:val="1"/>
    <w:qFormat/>
    <w:uiPriority w:val="0"/>
    <w:pPr>
      <w:spacing w:line="360" w:lineRule="atLeast"/>
      <w:jc w:val="right"/>
      <w:textAlignment w:val="baseline"/>
    </w:pPr>
    <w:rPr>
      <w:rFonts w:ascii="Symbol" w:hAnsi="Symbol"/>
      <w:kern w:val="0"/>
      <w:szCs w:val="20"/>
    </w:rPr>
  </w:style>
  <w:style w:type="paragraph" w:customStyle="1" w:styleId="575">
    <w:name w:val="加粗正文"/>
    <w:basedOn w:val="1"/>
    <w:qFormat/>
    <w:uiPriority w:val="0"/>
    <w:pPr>
      <w:adjustRightInd/>
      <w:spacing w:beforeLines="50" w:afterLines="50" w:line="360" w:lineRule="auto"/>
      <w:ind w:firstLine="422" w:firstLineChars="200"/>
    </w:pPr>
    <w:rPr>
      <w:b/>
      <w:bCs/>
      <w:szCs w:val="21"/>
    </w:rPr>
  </w:style>
  <w:style w:type="paragraph" w:customStyle="1" w:styleId="57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77">
    <w:name w:val="Char Char11 Char Char Char1"/>
    <w:basedOn w:val="1"/>
    <w:qFormat/>
    <w:uiPriority w:val="0"/>
    <w:pPr>
      <w:spacing w:line="360" w:lineRule="auto"/>
    </w:pPr>
    <w:rPr>
      <w:szCs w:val="20"/>
    </w:rPr>
  </w:style>
  <w:style w:type="paragraph" w:customStyle="1" w:styleId="5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列表内容"/>
    <w:basedOn w:val="1"/>
    <w:next w:val="1"/>
    <w:qFormat/>
    <w:uiPriority w:val="0"/>
    <w:pPr>
      <w:widowControl/>
      <w:tabs>
        <w:tab w:val="left" w:pos="840"/>
      </w:tabs>
      <w:ind w:left="840" w:hanging="420"/>
      <w:jc w:val="left"/>
    </w:pPr>
    <w:rPr>
      <w:kern w:val="0"/>
      <w:sz w:val="18"/>
    </w:rPr>
  </w:style>
  <w:style w:type="paragraph" w:customStyle="1" w:styleId="580">
    <w:name w:val="图中文字"/>
    <w:basedOn w:val="1"/>
    <w:qFormat/>
    <w:uiPriority w:val="0"/>
    <w:pPr>
      <w:snapToGrid w:val="0"/>
      <w:spacing w:line="0" w:lineRule="atLeast"/>
      <w:ind w:firstLine="200" w:firstLineChars="200"/>
      <w:jc w:val="center"/>
    </w:pPr>
    <w:rPr>
      <w:sz w:val="24"/>
      <w:szCs w:val="20"/>
    </w:rPr>
  </w:style>
  <w:style w:type="paragraph" w:customStyle="1" w:styleId="58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8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Char2 Char Char Char1"/>
    <w:basedOn w:val="1"/>
    <w:qFormat/>
    <w:uiPriority w:val="0"/>
    <w:rPr>
      <w:rFonts w:ascii="仿宋_GB2312" w:eastAsia="仿宋_GB2312"/>
      <w:b/>
      <w:sz w:val="32"/>
      <w:szCs w:val="32"/>
    </w:rPr>
  </w:style>
  <w:style w:type="paragraph" w:customStyle="1" w:styleId="587">
    <w:name w:val="TOC 标题2"/>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8">
    <w:name w:val="样式 正文文本缩进 + 段前: 2 字符"/>
    <w:basedOn w:val="1"/>
    <w:qFormat/>
    <w:uiPriority w:val="0"/>
    <w:pPr>
      <w:adjustRightInd/>
      <w:ind w:left="420" w:leftChars="200"/>
      <w:jc w:val="left"/>
    </w:pPr>
    <w:rPr>
      <w:sz w:val="28"/>
      <w:szCs w:val="20"/>
      <w:lang w:eastAsia="zh-TW"/>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9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92">
    <w:name w:val="MM Topic 5"/>
    <w:basedOn w:val="7"/>
    <w:qFormat/>
    <w:uiPriority w:val="0"/>
    <w:pPr>
      <w:tabs>
        <w:tab w:val="left" w:pos="840"/>
        <w:tab w:val="left" w:pos="2520"/>
      </w:tabs>
      <w:adjustRightInd/>
      <w:ind w:left="840" w:hanging="420"/>
    </w:pPr>
  </w:style>
  <w:style w:type="paragraph" w:customStyle="1" w:styleId="5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9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99">
    <w:name w:val="正文文字 2"/>
    <w:basedOn w:val="336"/>
    <w:next w:val="336"/>
    <w:qFormat/>
    <w:uiPriority w:val="0"/>
    <w:rPr>
      <w:rFonts w:ascii="宋体" w:eastAsia="宋体" w:cs="Times New Roman"/>
      <w:color w:val="auto"/>
    </w:rPr>
  </w:style>
  <w:style w:type="paragraph" w:customStyle="1" w:styleId="6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01">
    <w:name w:val="_Style 12"/>
    <w:basedOn w:val="19"/>
    <w:qFormat/>
    <w:uiPriority w:val="0"/>
    <w:pPr>
      <w:snapToGrid w:val="0"/>
      <w:spacing w:line="360" w:lineRule="auto"/>
    </w:pPr>
  </w:style>
  <w:style w:type="paragraph" w:customStyle="1" w:styleId="6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03">
    <w:name w:val="p0"/>
    <w:basedOn w:val="1"/>
    <w:qFormat/>
    <w:uiPriority w:val="0"/>
    <w:pPr>
      <w:widowControl/>
      <w:adjustRightInd/>
    </w:pPr>
    <w:rPr>
      <w:kern w:val="0"/>
      <w:szCs w:val="21"/>
    </w:rPr>
  </w:style>
  <w:style w:type="paragraph" w:customStyle="1" w:styleId="604">
    <w:name w:val="P1"/>
    <w:basedOn w:val="1"/>
    <w:qFormat/>
    <w:uiPriority w:val="0"/>
    <w:pPr>
      <w:adjustRightInd/>
      <w:spacing w:line="288" w:lineRule="auto"/>
      <w:ind w:firstLine="425" w:firstLineChars="200"/>
    </w:pPr>
  </w:style>
  <w:style w:type="paragraph" w:customStyle="1" w:styleId="605">
    <w:name w:val="Thf"/>
    <w:basedOn w:val="606"/>
    <w:qFormat/>
    <w:uiPriority w:val="0"/>
    <w:pPr>
      <w:ind w:left="0"/>
    </w:pPr>
  </w:style>
  <w:style w:type="paragraph" w:customStyle="1" w:styleId="60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07">
    <w:name w:val="单元格左对齐"/>
    <w:basedOn w:val="1"/>
    <w:qFormat/>
    <w:uiPriority w:val="0"/>
    <w:pPr>
      <w:adjustRightInd/>
      <w:spacing w:line="360" w:lineRule="auto"/>
    </w:pPr>
    <w:rPr>
      <w:sz w:val="24"/>
    </w:rPr>
  </w:style>
  <w:style w:type="paragraph" w:customStyle="1" w:styleId="60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10">
    <w:name w:val="Char21"/>
    <w:basedOn w:val="1"/>
    <w:qFormat/>
    <w:uiPriority w:val="0"/>
    <w:pPr>
      <w:adjustRightInd/>
      <w:ind w:firstLine="200" w:firstLineChars="200"/>
    </w:pPr>
    <w:rPr>
      <w:rFonts w:ascii="仿宋_GB2312" w:eastAsia="仿宋_GB2312"/>
      <w:b/>
      <w:sz w:val="32"/>
      <w:szCs w:val="32"/>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Char1 Char Char Char4"/>
    <w:basedOn w:val="1"/>
    <w:qFormat/>
    <w:uiPriority w:val="0"/>
    <w:pPr>
      <w:adjustRightInd/>
      <w:ind w:firstLine="200" w:firstLineChars="200"/>
    </w:pPr>
    <w:rPr>
      <w:rFonts w:ascii="Tahoma" w:hAnsi="Tahoma"/>
      <w:sz w:val="24"/>
      <w:szCs w:val="20"/>
    </w:rPr>
  </w:style>
  <w:style w:type="paragraph" w:customStyle="1" w:styleId="61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14">
    <w:name w:val="FA正文"/>
    <w:basedOn w:val="1"/>
    <w:qFormat/>
    <w:uiPriority w:val="0"/>
    <w:pPr>
      <w:spacing w:line="360" w:lineRule="auto"/>
      <w:ind w:firstLine="480" w:firstLineChars="200"/>
    </w:pPr>
    <w:rPr>
      <w:rFonts w:hAnsi="宋体"/>
      <w:sz w:val="24"/>
      <w:szCs w:val="20"/>
    </w:rPr>
  </w:style>
  <w:style w:type="paragraph" w:styleId="615">
    <w:name w:val="List Paragraph"/>
    <w:basedOn w:val="1"/>
    <w:qFormat/>
    <w:uiPriority w:val="34"/>
    <w:pPr>
      <w:spacing w:line="360" w:lineRule="auto"/>
      <w:ind w:firstLine="200" w:firstLineChars="200"/>
    </w:pPr>
    <w:rPr>
      <w:rFonts w:eastAsia="楷体_GB2312" w:cs="Lucida Sans"/>
      <w:sz w:val="24"/>
    </w:rPr>
  </w:style>
  <w:style w:type="paragraph" w:customStyle="1" w:styleId="616">
    <w:name w:val="样式 标题 3H3 + 两端对齐"/>
    <w:basedOn w:val="5"/>
    <w:qFormat/>
    <w:uiPriority w:val="0"/>
    <w:pPr>
      <w:keepLines w:val="0"/>
      <w:spacing w:before="0" w:after="0" w:line="240" w:lineRule="auto"/>
      <w:ind w:left="0" w:firstLine="0"/>
      <w:jc w:val="left"/>
    </w:pPr>
    <w:rPr>
      <w:rFonts w:cs="宋体"/>
      <w:sz w:val="21"/>
      <w:szCs w:val="20"/>
    </w:rPr>
  </w:style>
  <w:style w:type="paragraph" w:customStyle="1" w:styleId="617">
    <w:name w:val="Char Char1 Char Char Char1"/>
    <w:basedOn w:val="1"/>
    <w:qFormat/>
    <w:uiPriority w:val="0"/>
    <w:rPr>
      <w:rFonts w:ascii="仿宋_GB2312" w:eastAsia="仿宋_GB2312"/>
      <w:b/>
      <w:sz w:val="32"/>
      <w:szCs w:val="32"/>
    </w:rPr>
  </w:style>
  <w:style w:type="paragraph" w:customStyle="1" w:styleId="618">
    <w:name w:val="数字标题1"/>
    <w:basedOn w:val="3"/>
    <w:next w:val="1"/>
    <w:qFormat/>
    <w:uiPriority w:val="0"/>
    <w:pPr>
      <w:tabs>
        <w:tab w:val="left" w:pos="480"/>
      </w:tabs>
      <w:ind w:left="480" w:hanging="480"/>
    </w:pPr>
  </w:style>
  <w:style w:type="paragraph" w:customStyle="1" w:styleId="619">
    <w:name w:val="List Paragraph1"/>
    <w:basedOn w:val="1"/>
    <w:qFormat/>
    <w:uiPriority w:val="34"/>
    <w:pPr>
      <w:spacing w:line="360" w:lineRule="auto"/>
      <w:ind w:firstLine="200" w:firstLineChars="200"/>
    </w:pPr>
    <w:rPr>
      <w:rFonts w:eastAsia="楷体_GB2312" w:cs="Lucida Sans"/>
      <w:sz w:val="24"/>
    </w:rPr>
  </w:style>
  <w:style w:type="paragraph" w:customStyle="1" w:styleId="6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2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62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28">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character" w:customStyle="1" w:styleId="629">
    <w:name w:val="fontstyle01"/>
    <w:basedOn w:val="62"/>
    <w:qFormat/>
    <w:uiPriority w:val="0"/>
    <w:rPr>
      <w:rFonts w:hint="eastAsia" w:ascii="宋体" w:hAnsi="宋体" w:eastAsia="宋体" w:cs="宋体"/>
      <w:color w:val="000000"/>
      <w:sz w:val="24"/>
      <w:szCs w:val="24"/>
    </w:rPr>
  </w:style>
  <w:style w:type="paragraph" w:customStyle="1" w:styleId="630">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741E10-1EE0-4291-8F0E-AA4742EABF1F}">
  <ds:schemaRefs/>
</ds:datastoreItem>
</file>

<file path=docProps/app.xml><?xml version="1.0" encoding="utf-8"?>
<Properties xmlns="http://schemas.openxmlformats.org/officeDocument/2006/extended-properties" xmlns:vt="http://schemas.openxmlformats.org/officeDocument/2006/docPropsVTypes">
  <Template>Normal</Template>
  <Pages>61</Pages>
  <Words>29284</Words>
  <Characters>31393</Characters>
  <Lines>241</Lines>
  <Paragraphs>68</Paragraphs>
  <TotalTime>2</TotalTime>
  <ScaleCrop>false</ScaleCrop>
  <LinksUpToDate>false</LinksUpToDate>
  <CharactersWithSpaces>32513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2023-03-01T11:49:00Z</dcterms:created>
  <dc:creator>玥</dc:creator>
  <cp:lastModifiedBy>沈涛</cp:lastModifiedBy>
  <cp:lastPrinted>2020-09-23T02:09:00Z</cp:lastPrinted>
  <dcterms:modified xsi:type="dcterms:W3CDTF">2024-02-20T01:43:36Z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24DC3EE71FAD4994987168A10B3C70DE_13</vt:lpwstr>
  </property>
  <property fmtid="{D5CDD505-2E9C-101B-9397-08002B2CF9AE}" pid="4" name="commondata">
    <vt:lpwstr>eyJoZGlkIjoiODFmYmMyZjEwNmQ4NDQ2NjViNTZlYzU2ZDAyZGYzYzYifQ==</vt:lpwstr>
  </property>
</Properties>
</file>