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52B">
      <w:pPr>
        <w:rPr>
          <w:rFonts w:hint="eastAsia" w:ascii="黑体" w:hAnsi="黑体" w:eastAsia="黑体"/>
          <w:color w:val="auto"/>
          <w:sz w:val="32"/>
          <w:szCs w:val="32"/>
          <w:highlight w:val="none"/>
          <w:lang w:eastAsia="zh-CN"/>
        </w:rPr>
      </w:pPr>
    </w:p>
    <w:p w14:paraId="06C72DAE">
      <w:pPr>
        <w:jc w:val="center"/>
        <w:rPr>
          <w:rFonts w:hint="eastAsia" w:ascii="黑体" w:hAnsi="黑体" w:eastAsia="黑体"/>
          <w:color w:val="auto"/>
          <w:spacing w:val="5760"/>
          <w:w w:val="100"/>
          <w:kern w:val="0"/>
          <w:sz w:val="36"/>
          <w:szCs w:val="36"/>
          <w:highlight w:val="none"/>
          <w:fitText w:val="6120" w:id="-1002138880"/>
          <w:lang w:val="en-US" w:eastAsia="zh-CN"/>
        </w:rPr>
      </w:pPr>
    </w:p>
    <w:p w14:paraId="0B001271">
      <w:pPr>
        <w:jc w:val="center"/>
        <w:rPr>
          <w:rFonts w:hint="eastAsia" w:ascii="宋体" w:hAnsi="宋体" w:eastAsia="宋体" w:cs="宋体"/>
          <w:b/>
          <w:bCs/>
          <w:color w:val="auto"/>
          <w:kern w:val="0"/>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兵团政府采购项目</w:t>
      </w:r>
    </w:p>
    <w:p w14:paraId="01CD27AD">
      <w:pPr>
        <w:jc w:val="center"/>
        <w:rPr>
          <w:rFonts w:hint="eastAsia" w:ascii="宋体" w:hAnsi="宋体" w:eastAsia="宋体" w:cs="宋体"/>
          <w:b/>
          <w:bCs/>
          <w:color w:val="auto"/>
          <w:kern w:val="0"/>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公开招标文件示范文本</w:t>
      </w:r>
    </w:p>
    <w:p w14:paraId="2348539C">
      <w:pPr>
        <w:jc w:val="center"/>
        <w:rPr>
          <w:rFonts w:hint="eastAsia" w:ascii="宋体" w:hAnsi="宋体" w:eastAsia="宋体" w:cs="宋体"/>
          <w:b/>
          <w:bCs/>
          <w:color w:val="auto"/>
          <w:kern w:val="0"/>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（服务）</w:t>
      </w:r>
    </w:p>
    <w:p w14:paraId="5DC44D9A">
      <w:pPr>
        <w:jc w:val="center"/>
        <w:rPr>
          <w:rFonts w:hint="eastAsia" w:ascii="宋体" w:hAnsi="宋体" w:eastAsia="宋体" w:cs="宋体"/>
          <w:b/>
          <w:bCs/>
          <w:color w:val="auto"/>
          <w:kern w:val="0"/>
          <w:sz w:val="60"/>
          <w:szCs w:val="60"/>
          <w:highlight w:val="none"/>
          <w:lang w:val="en-US" w:eastAsia="zh-CN"/>
        </w:rPr>
      </w:pPr>
      <w:bookmarkStart w:id="0" w:name="_Hlk164181180"/>
      <w:r>
        <w:rPr>
          <w:rFonts w:hint="eastAsia" w:ascii="宋体" w:hAnsi="宋体" w:eastAsia="宋体" w:cs="宋体"/>
          <w:b/>
          <w:bCs/>
          <w:color w:val="auto"/>
          <w:kern w:val="0"/>
          <w:sz w:val="60"/>
          <w:szCs w:val="60"/>
          <w:highlight w:val="none"/>
          <w:lang w:val="en-US" w:eastAsia="zh-CN"/>
        </w:rPr>
        <w:t>（2025年版）</w:t>
      </w:r>
    </w:p>
    <w:bookmarkEnd w:id="0"/>
    <w:p w14:paraId="7757DFAA">
      <w:pPr>
        <w:spacing w:line="240" w:lineRule="auto"/>
        <w:jc w:val="center"/>
        <w:rPr>
          <w:rFonts w:ascii="黑体" w:hAnsi="黑体" w:eastAsia="黑体"/>
          <w:color w:val="auto"/>
          <w:sz w:val="52"/>
          <w:szCs w:val="52"/>
          <w:highlight w:val="none"/>
        </w:rPr>
      </w:pPr>
    </w:p>
    <w:p w14:paraId="67E856E7">
      <w:pPr>
        <w:spacing w:line="240" w:lineRule="auto"/>
        <w:jc w:val="center"/>
        <w:rPr>
          <w:rFonts w:ascii="黑体" w:hAnsi="黑体" w:eastAsia="黑体"/>
          <w:color w:val="auto"/>
          <w:sz w:val="52"/>
          <w:szCs w:val="52"/>
          <w:highlight w:val="none"/>
        </w:rPr>
      </w:pPr>
    </w:p>
    <w:p w14:paraId="6E97F6A4">
      <w:pPr>
        <w:spacing w:line="240" w:lineRule="auto"/>
        <w:jc w:val="center"/>
        <w:rPr>
          <w:rFonts w:ascii="黑体" w:hAnsi="黑体" w:eastAsia="黑体"/>
          <w:color w:val="auto"/>
          <w:sz w:val="52"/>
          <w:szCs w:val="52"/>
          <w:highlight w:val="none"/>
        </w:rPr>
      </w:pPr>
    </w:p>
    <w:p w14:paraId="5B5CFFCE">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cs="宋体"/>
          <w:color w:val="auto"/>
          <w:sz w:val="36"/>
          <w:szCs w:val="36"/>
          <w:highlight w:val="none"/>
          <w:u w:val="single"/>
          <w:lang w:val="en-US" w:eastAsia="zh-CN"/>
        </w:rPr>
        <w:t>TCHY-2025-41ZC</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99C4CDE">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cs="宋体"/>
          <w:color w:val="auto"/>
          <w:sz w:val="36"/>
          <w:szCs w:val="36"/>
          <w:highlight w:val="none"/>
          <w:u w:val="single"/>
          <w:lang w:val="en-US" w:eastAsia="zh-CN"/>
        </w:rPr>
        <w:t>第十师一八五团</w:t>
      </w:r>
      <w:r>
        <w:rPr>
          <w:rFonts w:hint="eastAsia" w:ascii="宋体" w:hAnsi="宋体" w:eastAsia="宋体" w:cs="宋体"/>
          <w:color w:val="auto"/>
          <w:sz w:val="36"/>
          <w:szCs w:val="36"/>
          <w:highlight w:val="none"/>
          <w:u w:val="single"/>
        </w:rPr>
        <w:t>2025年农村公路日常养护管理</w:t>
      </w:r>
    </w:p>
    <w:p w14:paraId="316ED0D4">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采购人：</w:t>
      </w:r>
      <w:r>
        <w:rPr>
          <w:rFonts w:hint="eastAsia" w:cs="宋体"/>
          <w:color w:val="auto"/>
          <w:sz w:val="36"/>
          <w:szCs w:val="36"/>
          <w:highlight w:val="none"/>
          <w:u w:val="single"/>
          <w:lang w:val="en-US" w:eastAsia="zh-CN"/>
        </w:rPr>
        <w:t>新疆生产建设兵团</w:t>
      </w:r>
      <w:r>
        <w:rPr>
          <w:rFonts w:hint="eastAsia" w:ascii="宋体" w:hAnsi="宋体" w:eastAsia="宋体" w:cs="宋体"/>
          <w:color w:val="auto"/>
          <w:sz w:val="36"/>
          <w:szCs w:val="36"/>
          <w:highlight w:val="none"/>
          <w:u w:val="single"/>
        </w:rPr>
        <w:t>第十师一八五团城镇和生态保护中心</w:t>
      </w:r>
    </w:p>
    <w:p w14:paraId="55B2AE18">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u w:val="single"/>
        </w:rPr>
        <w:t xml:space="preserve">新疆泰诚宏远工程管理咨询有限公司                           </w:t>
      </w:r>
    </w:p>
    <w:p w14:paraId="351C4D59">
      <w:pPr>
        <w:rPr>
          <w:rFonts w:ascii="黑体" w:hAnsi="黑体" w:eastAsia="黑体"/>
          <w:color w:val="auto"/>
          <w:highlight w:val="none"/>
        </w:rPr>
      </w:pPr>
    </w:p>
    <w:p w14:paraId="320C1BF6">
      <w:pPr>
        <w:ind w:left="420" w:leftChars="175"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 xml:space="preserve">   </w:t>
      </w:r>
    </w:p>
    <w:p w14:paraId="3B2CDAF9">
      <w:pPr>
        <w:jc w:val="center"/>
        <w:rPr>
          <w:rFonts w:hint="eastAsia" w:ascii="黑体" w:hAnsi="黑体" w:eastAsia="黑体"/>
          <w:color w:val="auto"/>
          <w:sz w:val="48"/>
          <w:szCs w:val="48"/>
          <w:highlight w:val="none"/>
        </w:rPr>
      </w:pPr>
    </w:p>
    <w:p w14:paraId="0BD23774">
      <w:pPr>
        <w:jc w:val="both"/>
        <w:rPr>
          <w:rFonts w:hint="eastAsia" w:ascii="黑体" w:hAnsi="黑体" w:eastAsia="黑体"/>
          <w:color w:val="auto"/>
          <w:sz w:val="48"/>
          <w:szCs w:val="48"/>
          <w:highlight w:val="none"/>
        </w:rPr>
      </w:pPr>
    </w:p>
    <w:p w14:paraId="2E6E0FD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454D4D3">
      <w:pPr>
        <w:pStyle w:val="21"/>
        <w:keepNext w:val="0"/>
        <w:keepLines w:val="0"/>
        <w:pageBreakBefore w:val="0"/>
        <w:widowControl w:val="0"/>
        <w:tabs>
          <w:tab w:val="left" w:pos="960"/>
          <w:tab w:val="right" w:leader="dot" w:pos="829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30050A07">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"1-4"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_Toc8881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 xml:space="preserve">第一章 </w:t>
      </w:r>
      <w:r>
        <w:rPr>
          <w:rFonts w:hint="eastAsia" w:ascii="宋体" w:hAnsi="宋体" w:eastAsia="宋体" w:cs="宋体"/>
          <w:sz w:val="24"/>
          <w:szCs w:val="24"/>
          <w:highlight w:val="none"/>
          <w:lang w:val="en-US" w:eastAsia="zh-CN"/>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_Toc8881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452B92F">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_Toc29167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hr-HR" w:eastAsia="zh-CN" w:bidi="ar-SA"/>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_Toc29167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916E5C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_Toc32632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二、申请</w:t>
      </w:r>
      <w:r>
        <w:rPr>
          <w:rFonts w:hint="eastAsia" w:ascii="宋体" w:hAnsi="宋体" w:eastAsia="宋体" w:cs="宋体"/>
          <w:bCs/>
          <w:kern w:val="2"/>
          <w:sz w:val="24"/>
          <w:szCs w:val="24"/>
          <w:highlight w:val="none"/>
          <w:lang w:val="hr-HR" w:eastAsia="zh-CN" w:bidi="ar-SA"/>
        </w:rPr>
        <w:t>人</w:t>
      </w:r>
      <w:r>
        <w:rPr>
          <w:rFonts w:hint="eastAsia" w:ascii="宋体" w:hAnsi="宋体" w:eastAsia="宋体" w:cs="宋体"/>
          <w:bCs/>
          <w:kern w:val="2"/>
          <w:sz w:val="24"/>
          <w:szCs w:val="24"/>
          <w:highlight w:val="none"/>
          <w:lang w:val="en-US" w:eastAsia="zh-CN" w:bidi="ar-SA"/>
        </w:rPr>
        <w:t>的</w:t>
      </w:r>
      <w:r>
        <w:rPr>
          <w:rFonts w:hint="eastAsia" w:ascii="宋体" w:hAnsi="宋体" w:eastAsia="宋体" w:cs="宋体"/>
          <w:bCs/>
          <w:kern w:val="2"/>
          <w:sz w:val="24"/>
          <w:szCs w:val="24"/>
          <w:highlight w:val="none"/>
          <w:lang w:val="hr-HR" w:eastAsia="zh-CN" w:bidi="ar-SA"/>
        </w:rPr>
        <w:t>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_Toc32632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18D33F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_Toc27149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kern w:val="2"/>
          <w:sz w:val="24"/>
          <w:szCs w:val="24"/>
          <w:highlight w:val="none"/>
          <w:lang w:val="hr-HR" w:eastAsia="zh-CN" w:bidi="ar-SA"/>
        </w:rPr>
        <w:t>获取招标文件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_Toc27149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5C1DFD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_Toc13809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四、</w:t>
      </w:r>
      <w:r>
        <w:rPr>
          <w:rFonts w:hint="eastAsia" w:ascii="宋体" w:hAnsi="宋体" w:eastAsia="宋体" w:cs="宋体"/>
          <w:bCs/>
          <w:kern w:val="2"/>
          <w:sz w:val="24"/>
          <w:szCs w:val="24"/>
          <w:highlight w:val="none"/>
          <w:lang w:val="hr-HR" w:eastAsia="zh-CN" w:bidi="ar-SA"/>
        </w:rPr>
        <w:t>提交投标文件截止时间</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hr-HR" w:eastAsia="zh-CN" w:bidi="ar-SA"/>
        </w:rPr>
        <w:t>开标时间、递交方式和</w:t>
      </w:r>
      <w:r>
        <w:rPr>
          <w:rFonts w:hint="eastAsia" w:ascii="宋体" w:hAnsi="宋体" w:eastAsia="宋体" w:cs="宋体"/>
          <w:bCs/>
          <w:kern w:val="2"/>
          <w:sz w:val="24"/>
          <w:szCs w:val="24"/>
          <w:highlight w:val="none"/>
          <w:lang w:val="en-US" w:eastAsia="zh-CN" w:bidi="ar-SA"/>
        </w:rPr>
        <w:t>开标</w:t>
      </w:r>
      <w:r>
        <w:rPr>
          <w:rFonts w:hint="eastAsia" w:ascii="宋体" w:hAnsi="宋体" w:eastAsia="宋体" w:cs="宋体"/>
          <w:bCs/>
          <w:kern w:val="2"/>
          <w:sz w:val="24"/>
          <w:szCs w:val="24"/>
          <w:highlight w:val="none"/>
          <w:lang w:val="hr-HR" w:eastAsia="zh-CN" w:bidi="ar-SA"/>
        </w:rPr>
        <w:t>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_Toc13809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EC1200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_Toc8144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五、</w:t>
      </w:r>
      <w:r>
        <w:rPr>
          <w:rFonts w:hint="eastAsia" w:ascii="宋体" w:hAnsi="宋体" w:eastAsia="宋体" w:cs="宋体"/>
          <w:bCs/>
          <w:kern w:val="2"/>
          <w:sz w:val="24"/>
          <w:szCs w:val="24"/>
          <w:highlight w:val="none"/>
          <w:lang w:val="hr-HR" w:eastAsia="zh-CN" w:bidi="ar-SA"/>
        </w:rPr>
        <w:t>公告期限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_Toc8144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484105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_Toc26687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六、</w:t>
      </w:r>
      <w:r>
        <w:rPr>
          <w:rFonts w:hint="eastAsia" w:ascii="宋体" w:hAnsi="宋体" w:eastAsia="宋体" w:cs="宋体"/>
          <w:bCs/>
          <w:kern w:val="2"/>
          <w:sz w:val="24"/>
          <w:szCs w:val="24"/>
          <w:highlight w:val="none"/>
          <w:lang w:val="hr-HR" w:eastAsia="zh-CN" w:bidi="ar-SA"/>
        </w:rPr>
        <w:t>其他补充事宜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_Toc26687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E95125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_Toc28862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七、</w:t>
      </w:r>
      <w:r>
        <w:rPr>
          <w:rFonts w:hint="eastAsia" w:ascii="宋体" w:hAnsi="宋体" w:eastAsia="宋体" w:cs="宋体"/>
          <w:bCs/>
          <w:kern w:val="2"/>
          <w:sz w:val="24"/>
          <w:szCs w:val="24"/>
          <w:highlight w:val="none"/>
          <w:lang w:val="hr-HR" w:eastAsia="zh-CN" w:bidi="ar-SA"/>
        </w:rPr>
        <w:t>对本次</w:t>
      </w:r>
      <w:r>
        <w:rPr>
          <w:rFonts w:hint="eastAsia" w:ascii="宋体" w:hAnsi="宋体" w:eastAsia="宋体" w:cs="宋体"/>
          <w:bCs/>
          <w:kern w:val="2"/>
          <w:sz w:val="24"/>
          <w:szCs w:val="24"/>
          <w:highlight w:val="none"/>
          <w:lang w:val="en-US" w:eastAsia="zh-CN" w:bidi="ar-SA"/>
        </w:rPr>
        <w:t>招标</w:t>
      </w:r>
      <w:r>
        <w:rPr>
          <w:rFonts w:hint="eastAsia" w:ascii="宋体" w:hAnsi="宋体" w:eastAsia="宋体" w:cs="宋体"/>
          <w:bCs/>
          <w:kern w:val="2"/>
          <w:sz w:val="24"/>
          <w:szCs w:val="24"/>
          <w:highlight w:val="none"/>
          <w:lang w:val="hr-HR" w:eastAsia="zh-CN" w:bidi="ar-SA"/>
        </w:rPr>
        <w:t>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_Toc28862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3E31873">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_Toc5645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_Toc5645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42EBD6D">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_Toc32038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一、投标人须知前附表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_Toc32038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20C55F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_Toc18554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_Toc18554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F2739AB">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_Toc21746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_Toc21746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18EC31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_Toc24725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一、采购标的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_Toc24725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D23380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_Toc4366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二、商务要求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_Toc4366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7A05BD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_Toc10153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三、技术要求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_Toc10153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68FE9DE">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_Toc17715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第四章 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_Toc17715 \h </w:instrText>
      </w:r>
      <w:r>
        <w:rPr>
          <w:rFonts w:hint="eastAsia" w:ascii="宋体" w:hAnsi="宋体" w:eastAsia="宋体" w:cs="宋体"/>
          <w:sz w:val="24"/>
          <w:szCs w:val="24"/>
        </w:rPr>
        <w:fldChar w:fldCharType="separate"/>
      </w:r>
      <w:r>
        <w:rPr>
          <w:rFonts w:hint="eastAsia" w:ascii="宋体" w:hAnsi="宋体" w:eastAsia="宋体" w:cs="宋体"/>
          <w:sz w:val="24"/>
          <w:szCs w:val="24"/>
        </w:rPr>
        <w:t>- 39 -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DE7FEF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_Toc31801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一、资格审查程序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_Toc31801 \h </w:instrText>
      </w:r>
      <w:r>
        <w:rPr>
          <w:rFonts w:hint="eastAsia" w:ascii="宋体" w:hAnsi="宋体" w:eastAsia="宋体" w:cs="宋体"/>
          <w:sz w:val="24"/>
          <w:szCs w:val="24"/>
        </w:rPr>
        <w:fldChar w:fldCharType="separate"/>
      </w:r>
      <w:r>
        <w:rPr>
          <w:rFonts w:hint="eastAsia" w:ascii="宋体" w:hAnsi="宋体" w:eastAsia="宋体" w:cs="宋体"/>
          <w:sz w:val="24"/>
          <w:szCs w:val="24"/>
        </w:rPr>
        <w:t>- 39 -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54606B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_Toc19754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二、资格审查要求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_Toc19754 \h </w:instrText>
      </w:r>
      <w:r>
        <w:rPr>
          <w:rFonts w:hint="eastAsia" w:ascii="宋体" w:hAnsi="宋体" w:eastAsia="宋体" w:cs="宋体"/>
          <w:sz w:val="24"/>
          <w:szCs w:val="24"/>
        </w:rPr>
        <w:fldChar w:fldCharType="separate"/>
      </w:r>
      <w:r>
        <w:rPr>
          <w:rFonts w:hint="eastAsia" w:ascii="宋体" w:hAnsi="宋体" w:eastAsia="宋体" w:cs="宋体"/>
          <w:sz w:val="24"/>
          <w:szCs w:val="24"/>
        </w:rPr>
        <w:t>- 39 -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8515CE9">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_Toc18814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第五章 评标方法及标准</w:t>
      </w:r>
      <w:r>
        <w:rPr>
          <w:rFonts w:hint="eastAsia" w:ascii="宋体" w:hAnsi="宋体" w:eastAsia="宋体" w:cs="宋体"/>
          <w:bCs/>
          <w:kern w:val="2"/>
          <w:sz w:val="24"/>
          <w:szCs w:val="24"/>
          <w:highlight w:val="none"/>
          <w:lang w:val="hr-HR" w:eastAsia="zh-CN" w:bidi="ar-SA"/>
        </w:rPr>
        <w:t>【</w:t>
      </w:r>
      <w:r>
        <w:rPr>
          <w:rFonts w:hint="eastAsia" w:ascii="宋体" w:hAnsi="宋体" w:eastAsia="宋体" w:cs="宋体"/>
          <w:bCs/>
          <w:kern w:val="44"/>
          <w:sz w:val="24"/>
          <w:szCs w:val="24"/>
          <w:highlight w:val="none"/>
          <w:lang w:val="en-US" w:eastAsia="zh-CN" w:bidi="ar-SA"/>
        </w:rPr>
        <w:t>综合评分法</w:t>
      </w:r>
      <w:r>
        <w:rPr>
          <w:rFonts w:hint="eastAsia" w:ascii="宋体" w:hAnsi="宋体" w:eastAsia="宋体" w:cs="宋体"/>
          <w:bCs/>
          <w:kern w:val="2"/>
          <w:sz w:val="24"/>
          <w:szCs w:val="24"/>
          <w:highlight w:val="none"/>
          <w:lang w:val="hr-HR" w:eastAsia="zh-CN" w:bidi="ar-SA"/>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_Toc18814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0056AA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eastAsia="zh-CN"/>
        </w:rPr>
        <w:t>一、评标</w:t>
      </w:r>
      <w:r>
        <w:rPr>
          <w:rFonts w:hint="eastAsia" w:ascii="宋体" w:hAnsi="宋体" w:eastAsia="宋体" w:cs="宋体"/>
          <w:sz w:val="24"/>
          <w:szCs w:val="24"/>
          <w:highlight w:val="none"/>
          <w:lang w:val="en-US" w:eastAsia="zh-CN"/>
        </w:rPr>
        <w:t>方</w:t>
      </w:r>
      <w:r>
        <w:rPr>
          <w:rFonts w:hint="eastAsia" w:ascii="宋体" w:hAnsi="宋体" w:eastAsia="宋体" w:cs="宋体"/>
          <w:sz w:val="24"/>
          <w:szCs w:val="24"/>
          <w:highlight w:val="none"/>
          <w:lang w:val="zh-CN" w:eastAsia="zh-CN"/>
        </w:rPr>
        <w:t>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_Toc21370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9316F4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_Toc4945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zh-CN" w:eastAsia="zh-CN"/>
        </w:rPr>
        <w:t>、评标程序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_Toc4945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EAB5C1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_Toc14768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eastAsia="zh-CN"/>
        </w:rPr>
        <w:t>三、评标</w:t>
      </w:r>
      <w:r>
        <w:rPr>
          <w:rFonts w:hint="eastAsia" w:ascii="宋体" w:hAnsi="宋体" w:eastAsia="宋体" w:cs="宋体"/>
          <w:sz w:val="24"/>
          <w:szCs w:val="24"/>
          <w:highlight w:val="none"/>
          <w:lang w:val="en-US" w:eastAsia="zh-CN"/>
        </w:rPr>
        <w:t>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_Toc14768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4F6207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val="zh-CN" w:eastAsia="zh-CN"/>
        </w:rPr>
        <w:t>、评标标准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_Toc2099 \h </w:instrText>
      </w:r>
      <w:r>
        <w:rPr>
          <w:rFonts w:hint="eastAsia" w:ascii="宋体" w:hAnsi="宋体" w:eastAsia="宋体" w:cs="宋体"/>
          <w:sz w:val="24"/>
          <w:szCs w:val="24"/>
        </w:rPr>
        <w:fldChar w:fldCharType="separate"/>
      </w:r>
      <w:r>
        <w:rPr>
          <w:rFonts w:hint="eastAsia" w:ascii="宋体" w:hAnsi="宋体" w:eastAsia="宋体" w:cs="宋体"/>
          <w:sz w:val="24"/>
          <w:szCs w:val="24"/>
        </w:rPr>
        <w:t>- 47 -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EB52BED">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_Toc17112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zh-CN" w:eastAsia="zh-CN" w:bidi="ar-SA"/>
        </w:rPr>
        <w:t>第六章 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_Toc17112 \h </w:instrText>
      </w:r>
      <w:r>
        <w:rPr>
          <w:rFonts w:hint="eastAsia" w:ascii="宋体" w:hAnsi="宋体" w:eastAsia="宋体" w:cs="宋体"/>
          <w:sz w:val="24"/>
          <w:szCs w:val="24"/>
        </w:rPr>
        <w:fldChar w:fldCharType="separate"/>
      </w:r>
      <w:r>
        <w:rPr>
          <w:rFonts w:hint="eastAsia" w:ascii="宋体" w:hAnsi="宋体" w:eastAsia="宋体" w:cs="宋体"/>
          <w:sz w:val="24"/>
          <w:szCs w:val="24"/>
        </w:rPr>
        <w:t>- 51 -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712887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_Toc9350 </w:instrText>
      </w:r>
      <w:r>
        <w:rPr>
          <w:rFonts w:hint="eastAsia" w:ascii="宋体" w:hAnsi="宋体" w:eastAsia="宋体" w:cs="宋体"/>
          <w:sz w:val="24"/>
          <w:szCs w:val="24"/>
          <w:highlight w:val="none"/>
        </w:rPr>
        <w:fldChar w:fldCharType="separate"/>
      </w:r>
      <w:r>
        <w:rPr>
          <w:rFonts w:hint="eastAsia" w:ascii="宋体" w:hAnsi="宋体" w:eastAsia="宋体" w:cs="宋体"/>
          <w:bCs/>
          <w:spacing w:val="-20"/>
          <w:kern w:val="44"/>
          <w:sz w:val="24"/>
          <w:szCs w:val="24"/>
          <w:highlight w:val="none"/>
          <w:lang w:val="en-US" w:eastAsia="zh-CN" w:bidi="ar-SA"/>
        </w:rPr>
        <w:t>政府采购合同参考范本</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_Toc22704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w:t>
      </w:r>
      <w:r>
        <w:rPr>
          <w:rFonts w:hint="eastAsia" w:ascii="宋体" w:hAnsi="宋体" w:eastAsia="宋体" w:cs="宋体"/>
          <w:bCs/>
          <w:spacing w:val="-20"/>
          <w:kern w:val="44"/>
          <w:sz w:val="24"/>
          <w:szCs w:val="24"/>
          <w:highlight w:val="none"/>
          <w:lang w:val="en-US" w:eastAsia="zh-CN" w:bidi="ar-SA"/>
        </w:rPr>
        <w:t>服务类</w:t>
      </w:r>
      <w:r>
        <w:rPr>
          <w:rFonts w:hint="eastAsia" w:ascii="宋体" w:hAnsi="宋体" w:eastAsia="宋体" w:cs="宋体"/>
          <w:sz w:val="24"/>
          <w:szCs w:val="24"/>
          <w:highlight w:val="none"/>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_Toc22704 \h </w:instrText>
      </w:r>
      <w:r>
        <w:rPr>
          <w:rFonts w:hint="eastAsia" w:ascii="宋体" w:hAnsi="宋体" w:eastAsia="宋体" w:cs="宋体"/>
          <w:sz w:val="24"/>
          <w:szCs w:val="24"/>
        </w:rPr>
        <w:fldChar w:fldCharType="separate"/>
      </w:r>
      <w:r>
        <w:rPr>
          <w:rFonts w:hint="eastAsia" w:ascii="宋体" w:hAnsi="宋体" w:eastAsia="宋体" w:cs="宋体"/>
          <w:sz w:val="24"/>
          <w:szCs w:val="24"/>
        </w:rPr>
        <w:t>- 51 -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5769604">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_Toc4770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第七章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_Toc4770 \h </w:instrText>
      </w:r>
      <w:r>
        <w:rPr>
          <w:rFonts w:hint="eastAsia" w:ascii="宋体" w:hAnsi="宋体" w:eastAsia="宋体" w:cs="宋体"/>
          <w:sz w:val="24"/>
          <w:szCs w:val="24"/>
        </w:rPr>
        <w:fldChar w:fldCharType="separate"/>
      </w:r>
      <w:r>
        <w:rPr>
          <w:rFonts w:hint="eastAsia" w:ascii="宋体" w:hAnsi="宋体" w:eastAsia="宋体" w:cs="宋体"/>
          <w:sz w:val="24"/>
          <w:szCs w:val="24"/>
        </w:rPr>
        <w:t>- 60 -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D2CCB9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_Toc29969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_Toc26966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资格证明文件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_Toc26966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- 61 -</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0860DF0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_Toc25215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一、满足《中华人民共和国政府采购法》第二十二条规定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_Toc25215 \h </w:instrText>
      </w:r>
      <w:r>
        <w:rPr>
          <w:rFonts w:hint="eastAsia" w:ascii="宋体" w:hAnsi="宋体" w:eastAsia="宋体" w:cs="宋体"/>
          <w:sz w:val="24"/>
          <w:szCs w:val="24"/>
        </w:rPr>
        <w:fldChar w:fldCharType="separate"/>
      </w:r>
      <w:r>
        <w:rPr>
          <w:rFonts w:hint="eastAsia" w:ascii="宋体" w:hAnsi="宋体" w:eastAsia="宋体" w:cs="宋体"/>
          <w:sz w:val="24"/>
          <w:szCs w:val="24"/>
        </w:rPr>
        <w:t>- 62 -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A3C0BD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_Toc21383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w:t>
      </w:r>
      <w:r>
        <w:rPr>
          <w:rFonts w:hint="eastAsia" w:ascii="宋体" w:hAnsi="宋体" w:eastAsia="宋体" w:cs="宋体"/>
          <w:bCs/>
          <w:kern w:val="2"/>
          <w:sz w:val="24"/>
          <w:szCs w:val="24"/>
          <w:highlight w:val="none"/>
          <w:lang w:val="zh-CN" w:eastAsia="zh-CN" w:bidi="ar-SA"/>
        </w:rPr>
        <w:t>联合体协议书</w:t>
      </w:r>
      <w:r>
        <w:rPr>
          <w:rFonts w:hint="eastAsia" w:ascii="宋体" w:hAnsi="宋体" w:eastAsia="宋体" w:cs="宋体"/>
          <w:bCs w:val="0"/>
          <w:kern w:val="2"/>
          <w:sz w:val="24"/>
          <w:szCs w:val="24"/>
          <w:highlight w:val="none"/>
          <w:lang w:val="zh-CN" w:eastAsia="zh-CN" w:bidi="ar-SA"/>
        </w:rPr>
        <w:t>【如适用】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_Toc21383 \h </w:instrText>
      </w:r>
      <w:r>
        <w:rPr>
          <w:rFonts w:hint="eastAsia" w:ascii="宋体" w:hAnsi="宋体" w:eastAsia="宋体" w:cs="宋体"/>
          <w:sz w:val="24"/>
          <w:szCs w:val="24"/>
        </w:rPr>
        <w:fldChar w:fldCharType="separate"/>
      </w:r>
      <w:r>
        <w:rPr>
          <w:rFonts w:hint="eastAsia" w:ascii="宋体" w:hAnsi="宋体" w:eastAsia="宋体" w:cs="宋体"/>
          <w:sz w:val="24"/>
          <w:szCs w:val="24"/>
        </w:rPr>
        <w:t>- 65 -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E87DBA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_Toc31421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kern w:val="2"/>
          <w:sz w:val="24"/>
          <w:szCs w:val="24"/>
          <w:highlight w:val="none"/>
          <w:lang w:val="zh-CN" w:eastAsia="zh-CN" w:bidi="ar-SA"/>
        </w:rPr>
        <w:t>分包意向协议书</w:t>
      </w:r>
      <w:r>
        <w:rPr>
          <w:rFonts w:hint="eastAsia" w:ascii="宋体" w:hAnsi="宋体" w:eastAsia="宋体" w:cs="宋体"/>
          <w:bCs w:val="0"/>
          <w:kern w:val="2"/>
          <w:sz w:val="24"/>
          <w:szCs w:val="24"/>
          <w:highlight w:val="none"/>
          <w:lang w:val="zh-CN" w:eastAsia="zh-CN" w:bidi="ar-SA"/>
        </w:rPr>
        <w:t>【如适用】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_Toc31421 \h </w:instrText>
      </w:r>
      <w:r>
        <w:rPr>
          <w:rFonts w:hint="eastAsia" w:ascii="宋体" w:hAnsi="宋体" w:eastAsia="宋体" w:cs="宋体"/>
          <w:sz w:val="24"/>
          <w:szCs w:val="24"/>
        </w:rPr>
        <w:fldChar w:fldCharType="separate"/>
      </w:r>
      <w:r>
        <w:rPr>
          <w:rFonts w:hint="eastAsia" w:ascii="宋体" w:hAnsi="宋体" w:eastAsia="宋体" w:cs="宋体"/>
          <w:sz w:val="24"/>
          <w:szCs w:val="24"/>
        </w:rPr>
        <w:t>- 67 -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3C3D87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_Toc8875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四、落实政府采购政策相关证明文件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_Toc8875 \h </w:instrText>
      </w:r>
      <w:r>
        <w:rPr>
          <w:rFonts w:hint="eastAsia" w:ascii="宋体" w:hAnsi="宋体" w:eastAsia="宋体" w:cs="宋体"/>
          <w:sz w:val="24"/>
          <w:szCs w:val="24"/>
        </w:rPr>
        <w:fldChar w:fldCharType="separate"/>
      </w:r>
      <w:r>
        <w:rPr>
          <w:rFonts w:hint="eastAsia" w:ascii="宋体" w:hAnsi="宋体" w:eastAsia="宋体" w:cs="宋体"/>
          <w:sz w:val="24"/>
          <w:szCs w:val="24"/>
        </w:rPr>
        <w:t>- 69 -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52A62F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_Toc24696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五、不参与围标串标承诺书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_Toc24696 \h </w:instrText>
      </w:r>
      <w:r>
        <w:rPr>
          <w:rFonts w:hint="eastAsia" w:ascii="宋体" w:hAnsi="宋体" w:eastAsia="宋体" w:cs="宋体"/>
          <w:sz w:val="24"/>
          <w:szCs w:val="24"/>
        </w:rPr>
        <w:fldChar w:fldCharType="separate"/>
      </w:r>
      <w:r>
        <w:rPr>
          <w:rFonts w:hint="eastAsia" w:ascii="宋体" w:hAnsi="宋体" w:eastAsia="宋体" w:cs="宋体"/>
          <w:sz w:val="24"/>
          <w:szCs w:val="24"/>
        </w:rPr>
        <w:t>- 82 -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C32C8D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_Toc2869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六、</w:t>
      </w:r>
      <w:r>
        <w:rPr>
          <w:rFonts w:hint="eastAsia" w:ascii="宋体" w:hAnsi="宋体" w:eastAsia="宋体" w:cs="宋体"/>
          <w:bCs/>
          <w:kern w:val="2"/>
          <w:sz w:val="24"/>
          <w:szCs w:val="24"/>
          <w:highlight w:val="none"/>
          <w:lang w:val="zh-CN" w:eastAsia="zh-CN" w:bidi="ar-SA"/>
        </w:rPr>
        <w:t>其他资格证明文件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_Toc2869 \h </w:instrText>
      </w:r>
      <w:r>
        <w:rPr>
          <w:rFonts w:hint="eastAsia" w:ascii="宋体" w:hAnsi="宋体" w:eastAsia="宋体" w:cs="宋体"/>
          <w:sz w:val="24"/>
          <w:szCs w:val="24"/>
        </w:rPr>
        <w:fldChar w:fldCharType="separate"/>
      </w:r>
      <w:r>
        <w:rPr>
          <w:rFonts w:hint="eastAsia" w:ascii="宋体" w:hAnsi="宋体" w:eastAsia="宋体" w:cs="宋体"/>
          <w:sz w:val="24"/>
          <w:szCs w:val="24"/>
        </w:rPr>
        <w:t>- 83 -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DBADA0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_Toc19075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_Toc11387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报价文件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_Toc11387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- 84 -</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6D7D40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_Toc28928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一、开标一览表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_Toc28928 \h </w:instrText>
      </w:r>
      <w:r>
        <w:rPr>
          <w:rFonts w:hint="eastAsia" w:ascii="宋体" w:hAnsi="宋体" w:eastAsia="宋体" w:cs="宋体"/>
          <w:sz w:val="24"/>
          <w:szCs w:val="24"/>
        </w:rPr>
        <w:fldChar w:fldCharType="separate"/>
      </w:r>
      <w:r>
        <w:rPr>
          <w:rFonts w:hint="eastAsia" w:ascii="宋体" w:hAnsi="宋体" w:eastAsia="宋体" w:cs="宋体"/>
          <w:sz w:val="24"/>
          <w:szCs w:val="24"/>
        </w:rPr>
        <w:t>- 85 -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CAC21E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_Toc17062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_Toc17062 \h </w:instrText>
      </w:r>
      <w:r>
        <w:rPr>
          <w:rFonts w:hint="eastAsia" w:ascii="宋体" w:hAnsi="宋体" w:eastAsia="宋体" w:cs="宋体"/>
          <w:sz w:val="24"/>
          <w:szCs w:val="24"/>
        </w:rPr>
        <w:fldChar w:fldCharType="separate"/>
      </w:r>
      <w:r>
        <w:rPr>
          <w:rFonts w:hint="eastAsia" w:ascii="宋体" w:hAnsi="宋体" w:eastAsia="宋体" w:cs="宋体"/>
          <w:sz w:val="24"/>
          <w:szCs w:val="24"/>
        </w:rPr>
        <w:t>- 86 -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3B3DDF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_Toc27080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_Toc15320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val="en-US" w:eastAsia="zh-CN"/>
        </w:rPr>
        <w:t>商务技术文件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_Toc15320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- 87 -</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4BE45D1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_Toc23604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_Toc23604 \h </w:instrText>
      </w:r>
      <w:r>
        <w:rPr>
          <w:rFonts w:hint="eastAsia" w:ascii="宋体" w:hAnsi="宋体" w:eastAsia="宋体" w:cs="宋体"/>
          <w:sz w:val="24"/>
          <w:szCs w:val="24"/>
        </w:rPr>
        <w:fldChar w:fldCharType="separate"/>
      </w:r>
      <w:r>
        <w:rPr>
          <w:rFonts w:hint="eastAsia" w:ascii="宋体" w:hAnsi="宋体" w:eastAsia="宋体" w:cs="宋体"/>
          <w:sz w:val="24"/>
          <w:szCs w:val="24"/>
        </w:rPr>
        <w:t>- 88 -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760C8A8">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_Toc12459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_Toc12459 \h </w:instrText>
      </w:r>
      <w:r>
        <w:rPr>
          <w:rFonts w:hint="eastAsia" w:ascii="宋体" w:hAnsi="宋体" w:eastAsia="宋体" w:cs="宋体"/>
          <w:sz w:val="24"/>
          <w:szCs w:val="24"/>
        </w:rPr>
        <w:fldChar w:fldCharType="separate"/>
      </w:r>
      <w:r>
        <w:rPr>
          <w:rFonts w:hint="eastAsia" w:ascii="宋体" w:hAnsi="宋体" w:eastAsia="宋体" w:cs="宋体"/>
          <w:sz w:val="24"/>
          <w:szCs w:val="24"/>
        </w:rPr>
        <w:t>- 90 -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FD950F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_Toc26391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_Toc26391 \h </w:instrText>
      </w:r>
      <w:r>
        <w:rPr>
          <w:rFonts w:hint="eastAsia" w:ascii="宋体" w:hAnsi="宋体" w:eastAsia="宋体" w:cs="宋体"/>
          <w:sz w:val="24"/>
          <w:szCs w:val="24"/>
        </w:rPr>
        <w:fldChar w:fldCharType="separate"/>
      </w:r>
      <w:r>
        <w:rPr>
          <w:rFonts w:hint="eastAsia" w:ascii="宋体" w:hAnsi="宋体" w:eastAsia="宋体" w:cs="宋体"/>
          <w:sz w:val="24"/>
          <w:szCs w:val="24"/>
        </w:rPr>
        <w:t>- 91 -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2977EF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_Toc27408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四、</w:t>
      </w:r>
      <w:r>
        <w:rPr>
          <w:rFonts w:hint="eastAsia" w:ascii="宋体" w:hAnsi="宋体" w:eastAsia="宋体" w:cs="宋体"/>
          <w:bCs/>
          <w:kern w:val="2"/>
          <w:sz w:val="24"/>
          <w:szCs w:val="24"/>
          <w:highlight w:val="none"/>
          <w:lang w:val="zh-CN" w:eastAsia="zh-CN" w:bidi="ar-SA"/>
        </w:rPr>
        <w:t>政府采购</w:t>
      </w: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lang w:val="zh-CN" w:eastAsia="zh-CN" w:bidi="ar-SA"/>
        </w:rPr>
        <w:t>廉洁自律承诺书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_Toc27408 \h </w:instrText>
      </w:r>
      <w:r>
        <w:rPr>
          <w:rFonts w:hint="eastAsia" w:ascii="宋体" w:hAnsi="宋体" w:eastAsia="宋体" w:cs="宋体"/>
          <w:sz w:val="24"/>
          <w:szCs w:val="24"/>
        </w:rPr>
        <w:fldChar w:fldCharType="separate"/>
      </w:r>
      <w:r>
        <w:rPr>
          <w:rFonts w:hint="eastAsia" w:ascii="宋体" w:hAnsi="宋体" w:eastAsia="宋体" w:cs="宋体"/>
          <w:sz w:val="24"/>
          <w:szCs w:val="24"/>
        </w:rPr>
        <w:t>- 92 -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78CAD2B">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_Toc24923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highlight w:val="none"/>
          <w:lang w:val="en-US" w:eastAsia="zh-CN" w:bidi="ar-SA"/>
        </w:rPr>
        <w:t>五、</w:t>
      </w:r>
      <w:r>
        <w:rPr>
          <w:rFonts w:hint="eastAsia" w:ascii="宋体" w:hAnsi="宋体" w:eastAsia="宋体" w:cs="宋体"/>
          <w:bCs/>
          <w:kern w:val="2"/>
          <w:sz w:val="24"/>
          <w:szCs w:val="24"/>
          <w:highlight w:val="none"/>
          <w:lang w:val="zh-CN" w:eastAsia="zh-CN" w:bidi="ar-SA"/>
        </w:rPr>
        <w:t>实质性响应一览表【</w:t>
      </w:r>
      <w:r>
        <w:rPr>
          <w:rFonts w:hint="eastAsia" w:ascii="宋体" w:hAnsi="宋体" w:eastAsia="宋体" w:cs="宋体"/>
          <w:bCs/>
          <w:kern w:val="2"/>
          <w:sz w:val="24"/>
          <w:szCs w:val="24"/>
          <w:highlight w:val="none"/>
          <w:lang w:val="en-US" w:eastAsia="zh-CN" w:bidi="ar-SA"/>
        </w:rPr>
        <w:t>本表须与第五章的一致】</w:t>
      </w:r>
      <w:r>
        <w:rPr>
          <w:rFonts w:hint="eastAsia" w:ascii="宋体" w:hAnsi="宋体" w:eastAsia="宋体" w:cs="宋体"/>
          <w:bCs/>
          <w:kern w:val="2"/>
          <w:sz w:val="24"/>
          <w:szCs w:val="24"/>
          <w:highlight w:val="none"/>
          <w:lang w:val="en-US" w:eastAsia="zh-CN" w:bidi="ar-SA"/>
        </w:rPr>
        <w:tab/>
      </w:r>
      <w:r>
        <w:rPr>
          <w:rFonts w:hint="eastAsia" w:ascii="宋体" w:hAnsi="宋体" w:eastAsia="宋体" w:cs="宋体"/>
          <w:bCs/>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PAGEREF _Toc24923 \h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highlight w:val="none"/>
          <w:lang w:val="en-US" w:eastAsia="zh-CN" w:bidi="ar-SA"/>
        </w:rPr>
        <w:t>- 93 -</w:t>
      </w:r>
      <w:r>
        <w:rPr>
          <w:rFonts w:hint="eastAsia" w:ascii="宋体" w:hAnsi="宋体" w:eastAsia="宋体" w:cs="宋体"/>
          <w:bCs/>
          <w:kern w:val="2"/>
          <w:sz w:val="24"/>
          <w:szCs w:val="24"/>
          <w:highlight w:val="none"/>
          <w:lang w:val="en-US" w:eastAsia="zh-CN" w:bidi="ar-SA"/>
        </w:rPr>
        <w:fldChar w:fldCharType="end"/>
      </w:r>
      <w:r>
        <w:rPr>
          <w:rFonts w:hint="eastAsia" w:ascii="宋体" w:hAnsi="宋体" w:eastAsia="宋体" w:cs="宋体"/>
          <w:bCs/>
          <w:kern w:val="2"/>
          <w:sz w:val="24"/>
          <w:szCs w:val="24"/>
          <w:highlight w:val="none"/>
          <w:lang w:val="en-US" w:eastAsia="zh-CN" w:bidi="ar-SA"/>
        </w:rPr>
        <w:fldChar w:fldCharType="end"/>
      </w:r>
    </w:p>
    <w:p w14:paraId="67F7DB1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Cs/>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_Toc20481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highlight w:val="none"/>
          <w:lang w:val="en-US" w:eastAsia="zh-CN" w:bidi="ar-SA"/>
        </w:rPr>
        <w:t>六、商务响应偏离表</w:t>
      </w:r>
      <w:r>
        <w:rPr>
          <w:rFonts w:hint="eastAsia" w:ascii="宋体" w:hAnsi="宋体" w:eastAsia="宋体" w:cs="宋体"/>
          <w:bCs/>
          <w:kern w:val="2"/>
          <w:sz w:val="24"/>
          <w:szCs w:val="24"/>
          <w:highlight w:val="none"/>
          <w:lang w:val="en-US" w:eastAsia="zh-CN" w:bidi="ar-SA"/>
        </w:rPr>
        <w:tab/>
      </w:r>
      <w:r>
        <w:rPr>
          <w:rFonts w:hint="eastAsia" w:ascii="宋体" w:hAnsi="宋体" w:eastAsia="宋体" w:cs="宋体"/>
          <w:bCs/>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PAGEREF _Toc20481 \h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highlight w:val="none"/>
          <w:lang w:val="en-US" w:eastAsia="zh-CN" w:bidi="ar-SA"/>
        </w:rPr>
        <w:t>- 94 -</w:t>
      </w:r>
      <w:r>
        <w:rPr>
          <w:rFonts w:hint="eastAsia" w:ascii="宋体" w:hAnsi="宋体" w:eastAsia="宋体" w:cs="宋体"/>
          <w:bCs/>
          <w:kern w:val="2"/>
          <w:sz w:val="24"/>
          <w:szCs w:val="24"/>
          <w:highlight w:val="none"/>
          <w:lang w:val="en-US" w:eastAsia="zh-CN" w:bidi="ar-SA"/>
        </w:rPr>
        <w:fldChar w:fldCharType="end"/>
      </w:r>
      <w:r>
        <w:rPr>
          <w:rFonts w:hint="eastAsia" w:ascii="宋体" w:hAnsi="宋体" w:eastAsia="宋体" w:cs="宋体"/>
          <w:bCs/>
          <w:kern w:val="2"/>
          <w:sz w:val="24"/>
          <w:szCs w:val="24"/>
          <w:highlight w:val="none"/>
          <w:lang w:val="en-US" w:eastAsia="zh-CN" w:bidi="ar-SA"/>
        </w:rPr>
        <w:fldChar w:fldCharType="end"/>
      </w:r>
    </w:p>
    <w:p w14:paraId="0EECAB18">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_Toc18155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七、业绩证明文件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_Toc18155 \h </w:instrText>
      </w:r>
      <w:r>
        <w:rPr>
          <w:rFonts w:hint="eastAsia" w:ascii="宋体" w:hAnsi="宋体" w:eastAsia="宋体" w:cs="宋体"/>
          <w:sz w:val="24"/>
          <w:szCs w:val="24"/>
        </w:rPr>
        <w:fldChar w:fldCharType="separate"/>
      </w:r>
      <w:r>
        <w:rPr>
          <w:rFonts w:hint="eastAsia" w:ascii="宋体" w:hAnsi="宋体" w:eastAsia="宋体" w:cs="宋体"/>
          <w:sz w:val="24"/>
          <w:szCs w:val="24"/>
        </w:rPr>
        <w:t>- 95 -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CA6BCC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_Toc13134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八、拟派项目团队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_Toc13134 \h </w:instrText>
      </w:r>
      <w:r>
        <w:rPr>
          <w:rFonts w:hint="eastAsia" w:ascii="宋体" w:hAnsi="宋体" w:eastAsia="宋体" w:cs="宋体"/>
          <w:sz w:val="24"/>
          <w:szCs w:val="24"/>
        </w:rPr>
        <w:fldChar w:fldCharType="separate"/>
      </w:r>
      <w:r>
        <w:rPr>
          <w:rFonts w:hint="eastAsia" w:ascii="宋体" w:hAnsi="宋体" w:eastAsia="宋体" w:cs="宋体"/>
          <w:sz w:val="24"/>
          <w:szCs w:val="24"/>
        </w:rPr>
        <w:t>- 96 -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58D790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_Toc28083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九、技术响应偏离表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_Toc28083 \h </w:instrText>
      </w:r>
      <w:r>
        <w:rPr>
          <w:rFonts w:hint="eastAsia" w:ascii="宋体" w:hAnsi="宋体" w:eastAsia="宋体" w:cs="宋体"/>
          <w:sz w:val="24"/>
          <w:szCs w:val="24"/>
        </w:rPr>
        <w:fldChar w:fldCharType="separate"/>
      </w:r>
      <w:r>
        <w:rPr>
          <w:rFonts w:hint="eastAsia" w:ascii="宋体" w:hAnsi="宋体" w:eastAsia="宋体" w:cs="宋体"/>
          <w:sz w:val="24"/>
          <w:szCs w:val="24"/>
        </w:rPr>
        <w:t>- 97 -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7361D5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_Toc9988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十、技术方案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_Toc9988 \h </w:instrText>
      </w:r>
      <w:r>
        <w:rPr>
          <w:rFonts w:hint="eastAsia" w:ascii="宋体" w:hAnsi="宋体" w:eastAsia="宋体" w:cs="宋体"/>
          <w:sz w:val="24"/>
          <w:szCs w:val="24"/>
        </w:rPr>
        <w:fldChar w:fldCharType="separate"/>
      </w:r>
      <w:r>
        <w:rPr>
          <w:rFonts w:hint="eastAsia" w:ascii="宋体" w:hAnsi="宋体" w:eastAsia="宋体" w:cs="宋体"/>
          <w:sz w:val="24"/>
          <w:szCs w:val="24"/>
        </w:rPr>
        <w:t>- 98 -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70DEC5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_Toc19458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十一、其他文件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_Toc19458 \h </w:instrText>
      </w:r>
      <w:r>
        <w:rPr>
          <w:rFonts w:hint="eastAsia" w:ascii="宋体" w:hAnsi="宋体" w:eastAsia="宋体" w:cs="宋体"/>
          <w:sz w:val="24"/>
          <w:szCs w:val="24"/>
        </w:rPr>
        <w:fldChar w:fldCharType="separate"/>
      </w:r>
      <w:r>
        <w:rPr>
          <w:rFonts w:hint="eastAsia" w:ascii="宋体" w:hAnsi="宋体" w:eastAsia="宋体" w:cs="宋体"/>
          <w:sz w:val="24"/>
          <w:szCs w:val="24"/>
        </w:rPr>
        <w:t>- 99 -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1788E8F">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29DD1FC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Cs w:val="24"/>
          <w:highlight w:val="none"/>
        </w:rPr>
        <w:fldChar w:fldCharType="end"/>
      </w:r>
      <w:bookmarkStart w:id="1" w:name="_Toc155185859"/>
      <w:bookmarkStart w:id="2" w:name="_Toc8881"/>
      <w:bookmarkStart w:id="3" w:name="_Hlk130458318"/>
      <w:r>
        <w:rPr>
          <w:rFonts w:hint="eastAsia" w:ascii="宋体" w:hAnsi="宋体" w:eastAsia="宋体" w:cs="宋体"/>
          <w:b/>
          <w:bCs/>
          <w:color w:val="auto"/>
          <w:kern w:val="44"/>
          <w:sz w:val="36"/>
          <w:szCs w:val="36"/>
          <w:highlight w:val="none"/>
          <w:lang w:val="en-US" w:eastAsia="zh-CN" w:bidi="ar-SA"/>
        </w:rPr>
        <w:t xml:space="preserve">第一章 </w:t>
      </w:r>
      <w:bookmarkEnd w:id="1"/>
      <w:r>
        <w:rPr>
          <w:rFonts w:hint="eastAsia" w:ascii="宋体" w:hAnsi="宋体" w:eastAsia="宋体" w:cs="宋体"/>
          <w:color w:val="auto"/>
          <w:sz w:val="36"/>
          <w:szCs w:val="36"/>
          <w:highlight w:val="none"/>
          <w:lang w:val="en-US" w:eastAsia="zh-CN"/>
        </w:rPr>
        <w:t>招标公告</w:t>
      </w:r>
      <w:bookmarkEnd w:id="2"/>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12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D0F96B">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4" w:name="_Toc576"/>
            <w:bookmarkStart w:id="5" w:name="_Toc26706"/>
            <w:bookmarkStart w:id="6" w:name="_Toc32473"/>
            <w:bookmarkStart w:id="7" w:name="_Toc109900248"/>
            <w:bookmarkStart w:id="8" w:name="_Toc109899829"/>
            <w:bookmarkStart w:id="9" w:name="_Toc28359089"/>
            <w:bookmarkStart w:id="10" w:name="_Toc140132745"/>
            <w:bookmarkStart w:id="11" w:name="_Toc28359012"/>
            <w:bookmarkStart w:id="12" w:name="_Toc35393629"/>
            <w:bookmarkStart w:id="13" w:name="_Toc44583628"/>
            <w:bookmarkStart w:id="14" w:name="_Toc155185860"/>
            <w:bookmarkStart w:id="15" w:name="_Toc35393798"/>
            <w:bookmarkStart w:id="16" w:name="_Toc109899410"/>
            <w:r>
              <w:rPr>
                <w:rFonts w:hint="eastAsia"/>
                <w:color w:val="auto"/>
                <w:sz w:val="24"/>
                <w:szCs w:val="24"/>
                <w:highlight w:val="none"/>
                <w:lang w:val="en-US" w:eastAsia="zh-CN"/>
              </w:rPr>
              <w:t>项目概况：</w:t>
            </w:r>
            <w:bookmarkEnd w:id="4"/>
            <w:bookmarkEnd w:id="5"/>
            <w:bookmarkEnd w:id="6"/>
          </w:p>
          <w:p w14:paraId="42E3A809">
            <w:pPr>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en-US" w:eastAsia="zh-CN" w:bidi="ar-SA"/>
              </w:rPr>
              <w:t>第十师一八五团</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2025年农村公路日常养护管理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theme="minorBidi"/>
                <w:iCs/>
                <w:color w:val="000000" w:themeColor="text1"/>
                <w:kern w:val="2"/>
                <w:sz w:val="24"/>
                <w:szCs w:val="24"/>
                <w:highlight w:val="none"/>
                <w:u w:val="single"/>
                <w:shd w:val="clear" w:color="auto" w:fill="FFFFFF" w:themeFill="background1"/>
                <w:lang w:val="hr-HR" w:eastAsia="zh-CN" w:bidi="ar-SA"/>
                <w14:textFill>
                  <w14:solidFill>
                    <w14:schemeClr w14:val="tx1"/>
                  </w14:solidFill>
                </w14:textFill>
              </w:rPr>
              <w:t>政采云平台：http://www.zcygov.cn</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Cs/>
                <w:color w:val="auto"/>
                <w:kern w:val="2"/>
                <w:sz w:val="24"/>
                <w:szCs w:val="24"/>
                <w:highlight w:val="none"/>
                <w:u w:val="single"/>
                <w:shd w:val="clear" w:color="auto" w:fill="FFFFFF" w:themeFill="background1"/>
                <w:lang w:val="en-US" w:eastAsia="zh-CN" w:bidi="ar-SA"/>
              </w:rPr>
              <w:t>2025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年</w:t>
            </w:r>
            <w:r>
              <w:rPr>
                <w:rFonts w:hint="eastAsia" w:cstheme="minorBidi"/>
                <w:iCs/>
                <w:color w:val="auto"/>
                <w:kern w:val="2"/>
                <w:sz w:val="24"/>
                <w:szCs w:val="24"/>
                <w:highlight w:val="none"/>
                <w:u w:val="single"/>
                <w:shd w:val="clear" w:color="auto" w:fill="FFFFFF" w:themeFill="background1"/>
                <w:lang w:val="en-US" w:eastAsia="zh-CN" w:bidi="ar-SA"/>
              </w:rPr>
              <w:t>7</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月</w:t>
            </w:r>
            <w:r>
              <w:rPr>
                <w:rFonts w:hint="eastAsia" w:cstheme="minorBidi"/>
                <w:iCs/>
                <w:color w:val="auto"/>
                <w:kern w:val="2"/>
                <w:sz w:val="24"/>
                <w:szCs w:val="24"/>
                <w:highlight w:val="none"/>
                <w:u w:val="single"/>
                <w:shd w:val="clear" w:color="auto" w:fill="FFFFFF" w:themeFill="background1"/>
                <w:lang w:val="en-US" w:eastAsia="zh-CN" w:bidi="ar-SA"/>
              </w:rPr>
              <w:t>21</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日</w:t>
            </w:r>
            <w:r>
              <w:rPr>
                <w:rFonts w:hint="eastAsia" w:cstheme="minorBidi"/>
                <w:iCs/>
                <w:color w:val="auto"/>
                <w:kern w:val="2"/>
                <w:sz w:val="24"/>
                <w:szCs w:val="24"/>
                <w:highlight w:val="none"/>
                <w:u w:val="single"/>
                <w:shd w:val="clear" w:color="auto" w:fill="FFFFFF" w:themeFill="background1"/>
                <w:lang w:val="en-US" w:eastAsia="zh-CN" w:bidi="ar-SA"/>
              </w:rPr>
              <w:t>10时</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cstheme="minorBidi"/>
                <w:iCs/>
                <w:color w:val="auto"/>
                <w:kern w:val="2"/>
                <w:sz w:val="24"/>
                <w:szCs w:val="24"/>
                <w:highlight w:val="none"/>
                <w:u w:val="single"/>
                <w:shd w:val="clear" w:color="auto" w:fill="FFFFFF" w:themeFill="background1"/>
                <w:lang w:val="en-US" w:eastAsia="zh-CN" w:bidi="ar-SA"/>
              </w:rPr>
              <w:t>30</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北京时间）前递交投标文件。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17" w:name="_Toc29167"/>
      <w:r>
        <w:rPr>
          <w:rFonts w:hint="eastAsia" w:ascii="宋体" w:hAnsi="宋体" w:eastAsia="宋体" w:cs="宋体"/>
          <w:b/>
          <w:bCs/>
          <w:color w:val="auto"/>
          <w:kern w:val="2"/>
          <w:sz w:val="24"/>
          <w:szCs w:val="24"/>
          <w:highlight w:val="none"/>
          <w:lang w:val="hr-HR" w:eastAsia="zh-CN" w:bidi="ar-SA"/>
        </w:rPr>
        <w:t>一、项目基本情况</w:t>
      </w:r>
      <w:bookmarkEnd w:id="7"/>
      <w:bookmarkEnd w:id="8"/>
      <w:bookmarkEnd w:id="9"/>
      <w:bookmarkEnd w:id="10"/>
      <w:bookmarkEnd w:id="11"/>
      <w:bookmarkEnd w:id="12"/>
      <w:bookmarkEnd w:id="13"/>
      <w:bookmarkEnd w:id="14"/>
      <w:bookmarkEnd w:id="15"/>
      <w:bookmarkEnd w:id="16"/>
      <w:bookmarkEnd w:id="17"/>
    </w:p>
    <w:p w14:paraId="590E39A6">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hr-HR"/>
        </w:rPr>
        <w:t>1.项目编号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TCHY-2025-41ZC</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hr-HR"/>
        </w:rPr>
        <w:t xml:space="preserve"> </w:t>
      </w:r>
    </w:p>
    <w:p w14:paraId="544AA4B7">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.项目名称：</w:t>
      </w:r>
      <w:r>
        <w:rPr>
          <w:rFonts w:hint="eastAsia" w:ascii="宋体" w:hAnsi="宋体" w:eastAsia="宋体" w:cstheme="minorBidi"/>
          <w:iCs/>
          <w:color w:val="auto"/>
          <w:kern w:val="2"/>
          <w:sz w:val="24"/>
          <w:szCs w:val="24"/>
          <w:highlight w:val="none"/>
          <w:u w:val="single"/>
          <w:shd w:val="clear" w:color="auto" w:fill="FFFFFF" w:themeFill="background1"/>
          <w:lang w:val="en-US" w:eastAsia="zh-CN" w:bidi="ar-SA"/>
        </w:rPr>
        <w:t>第十师一八五团</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2025年农村公路日常养护管理</w:t>
      </w:r>
    </w:p>
    <w:p w14:paraId="3CE35A7E">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.采购方式：公开招标</w:t>
      </w:r>
    </w:p>
    <w:p w14:paraId="78A90596">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hr-HR"/>
        </w:rPr>
        <w:t>预算金额：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44.3310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hr-HR"/>
        </w:rPr>
        <w:t>万元</w:t>
      </w:r>
    </w:p>
    <w:p w14:paraId="7851BE2C">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rPr>
        <w:t xml:space="preserve">.最高限价： </w:t>
      </w:r>
      <w:r>
        <w:rPr>
          <w:rFonts w:hint="eastAsia" w:cs="宋体"/>
          <w:color w:val="auto"/>
          <w:sz w:val="24"/>
          <w:szCs w:val="24"/>
          <w:highlight w:val="none"/>
          <w:u w:val="single"/>
          <w:lang w:val="en-US" w:eastAsia="zh-CN"/>
        </w:rPr>
        <w:t>44.3310</w:t>
      </w:r>
      <w:r>
        <w:rPr>
          <w:rFonts w:hint="eastAsia" w:ascii="宋体" w:hAnsi="宋体" w:eastAsia="宋体" w:cs="宋体"/>
          <w:color w:val="auto"/>
          <w:sz w:val="24"/>
          <w:szCs w:val="24"/>
          <w:highlight w:val="none"/>
          <w:lang w:val="hr-HR"/>
        </w:rPr>
        <w:t>万元</w:t>
      </w:r>
    </w:p>
    <w:p w14:paraId="2EEBF935">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hr-HR" w:eastAsia="zh-CN"/>
        </w:rPr>
        <w:t>.采购需求：</w:t>
      </w:r>
      <w:r>
        <w:rPr>
          <w:rFonts w:hint="eastAsia" w:ascii="宋体" w:hAnsi="宋体" w:eastAsia="宋体" w:cs="宋体"/>
          <w:color w:val="auto"/>
          <w:sz w:val="24"/>
          <w:szCs w:val="24"/>
          <w:highlight w:val="none"/>
          <w:lang w:val="en-US" w:eastAsia="zh-CN"/>
        </w:rPr>
        <w:t>对一八五团辖区内总长218.5公里的道路，进行公路路肩边坡修整、路面清扫、路肩边坡杂草清除、道路标识牌清洁、道路桥涵疏通以及路域垃圾捡拾等养护工作，具体服务内容详见第三章采购需求。</w:t>
      </w:r>
    </w:p>
    <w:p w14:paraId="6F952280">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7.合同服务履行期限：</w:t>
      </w:r>
      <w:r>
        <w:rPr>
          <w:rFonts w:hint="eastAsia" w:ascii="宋体" w:hAnsi="宋体" w:eastAsia="宋体" w:cs="宋体"/>
          <w:color w:val="auto"/>
          <w:sz w:val="24"/>
          <w:szCs w:val="24"/>
          <w:highlight w:val="none"/>
          <w:u w:val="single"/>
          <w:lang w:val="en-US" w:eastAsia="zh-CN"/>
        </w:rPr>
        <w:t>自合同签订之日起至2025年11月10日止。由招标人定期考核及不定期抽查，对中标人服务情况进行考核，如达不到行业标准或服务要求，可随时解除合同。</w:t>
      </w:r>
    </w:p>
    <w:p w14:paraId="4B098642">
      <w:pPr>
        <w:pStyle w:val="36"/>
        <w:spacing w:line="360" w:lineRule="auto"/>
        <w:rPr>
          <w:rFonts w:hint="eastAsia" w:ascii="宋体" w:hAnsi="宋体" w:eastAsia="宋体" w:cs="宋体"/>
          <w:color w:val="auto"/>
          <w:sz w:val="24"/>
          <w:szCs w:val="24"/>
          <w:highlight w:val="none"/>
          <w:lang w:val="en-US" w:eastAsia="zh-CN"/>
        </w:rPr>
      </w:pPr>
      <w:bookmarkStart w:id="18" w:name="_Toc28359013"/>
      <w:bookmarkStart w:id="19" w:name="_Toc35393799"/>
      <w:bookmarkStart w:id="20" w:name="_Toc44583629"/>
      <w:bookmarkStart w:id="21" w:name="_Toc35393630"/>
      <w:bookmarkStart w:id="22" w:name="_Toc28359090"/>
      <w:r>
        <w:rPr>
          <w:rFonts w:hint="eastAsia" w:ascii="宋体" w:hAnsi="宋体" w:eastAsia="宋体" w:cs="宋体"/>
          <w:color w:val="auto"/>
          <w:sz w:val="24"/>
          <w:szCs w:val="24"/>
          <w:highlight w:val="none"/>
          <w:lang w:val="en-US" w:eastAsia="zh-CN"/>
        </w:rPr>
        <w:t>8.</w:t>
      </w:r>
      <w:bookmarkStart w:id="23" w:name="_Hlk162011358"/>
      <w:r>
        <w:rPr>
          <w:rFonts w:hint="eastAsia" w:ascii="宋体" w:hAnsi="宋体" w:eastAsia="宋体" w:cs="宋体"/>
          <w:color w:val="auto"/>
          <w:sz w:val="24"/>
          <w:szCs w:val="24"/>
          <w:highlight w:val="none"/>
          <w:lang w:val="en-US" w:eastAsia="zh-CN"/>
        </w:rPr>
        <w:t>本项目是否接受联合体投标：□是</w:t>
      </w:r>
      <w:bookmarkEnd w:id="23"/>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w:t>
      </w:r>
    </w:p>
    <w:p w14:paraId="1EEB1622">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4" w:name="_Toc109900249"/>
      <w:bookmarkStart w:id="25" w:name="_Toc140132746"/>
      <w:bookmarkStart w:id="26" w:name="_Toc32632"/>
      <w:bookmarkStart w:id="27" w:name="_Toc109899411"/>
      <w:bookmarkStart w:id="28" w:name="_Toc155185861"/>
      <w:bookmarkStart w:id="29" w:name="_Toc109899830"/>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18"/>
      <w:bookmarkEnd w:id="19"/>
      <w:bookmarkEnd w:id="20"/>
      <w:bookmarkEnd w:id="21"/>
      <w:bookmarkEnd w:id="22"/>
      <w:bookmarkEnd w:id="24"/>
      <w:bookmarkEnd w:id="25"/>
      <w:bookmarkEnd w:id="26"/>
      <w:bookmarkEnd w:id="27"/>
      <w:bookmarkEnd w:id="28"/>
      <w:bookmarkEnd w:id="29"/>
    </w:p>
    <w:p w14:paraId="4A6A8664">
      <w:pPr>
        <w:spacing w:line="360" w:lineRule="auto"/>
        <w:ind w:firstLine="480" w:firstLineChars="200"/>
        <w:rPr>
          <w:rFonts w:hint="eastAsia" w:ascii="宋体" w:hAnsi="宋体" w:eastAsia="宋体" w:cs="宋体"/>
          <w:color w:val="auto"/>
          <w:sz w:val="24"/>
          <w:szCs w:val="24"/>
          <w:highlight w:val="none"/>
          <w:lang w:val="en-US" w:eastAsia="zh-CN"/>
        </w:rPr>
      </w:pPr>
      <w:bookmarkStart w:id="30" w:name="_Hlk89807755"/>
      <w:bookmarkStart w:id="31" w:name="_Toc35393631"/>
      <w:bookmarkStart w:id="32" w:name="_Toc28359091"/>
      <w:bookmarkStart w:id="33" w:name="_Toc44583630"/>
      <w:bookmarkStart w:id="34" w:name="_Toc28359014"/>
      <w:bookmarkStart w:id="35" w:name="_Toc35393800"/>
      <w:r>
        <w:rPr>
          <w:rFonts w:hint="eastAsia" w:ascii="宋体" w:hAnsi="宋体" w:eastAsia="宋体" w:cs="宋体"/>
          <w:color w:val="auto"/>
          <w:sz w:val="24"/>
          <w:szCs w:val="24"/>
          <w:highlight w:val="none"/>
          <w:lang w:val="en-US" w:eastAsia="zh-CN"/>
        </w:rPr>
        <w:t>1.满足《中华人民共和国政府采购法》第二十二条规定；</w:t>
      </w:r>
    </w:p>
    <w:p w14:paraId="3632724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r>
        <w:rPr>
          <w:rFonts w:hint="eastAsia" w:ascii="宋体" w:hAnsi="宋体" w:eastAsia="宋体" w:cs="宋体"/>
          <w:color w:val="auto"/>
          <w:sz w:val="24"/>
          <w:szCs w:val="24"/>
          <w:highlight w:val="none"/>
          <w:u w:val="none"/>
          <w:lang w:val="en-US" w:eastAsia="zh-CN"/>
        </w:rPr>
        <w:t>本服务项目为专门面向中小企业采购，服务全部由符合政策要求的中小企业承接（说明：监狱企业、残疾人福利性单位视同小型、微型企业），供应商应按招标文件中的格式提供声明函或证明材料</w:t>
      </w:r>
      <w:r>
        <w:rPr>
          <w:rFonts w:hint="eastAsia" w:cs="宋体"/>
          <w:color w:val="auto"/>
          <w:sz w:val="24"/>
          <w:szCs w:val="24"/>
          <w:highlight w:val="none"/>
          <w:u w:val="none"/>
          <w:lang w:val="en-US" w:eastAsia="zh-CN"/>
        </w:rPr>
        <w:t>；</w:t>
      </w:r>
    </w:p>
    <w:p w14:paraId="5AC8ADF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cs="宋体"/>
          <w:color w:val="auto"/>
          <w:sz w:val="24"/>
          <w:szCs w:val="24"/>
          <w:highlight w:val="none"/>
          <w:lang w:val="en-US" w:eastAsia="zh-CN"/>
        </w:rPr>
        <w:t>无</w:t>
      </w:r>
    </w:p>
    <w:p w14:paraId="69D2AB04">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4.其他资格要求：</w:t>
      </w:r>
    </w:p>
    <w:p w14:paraId="040E7358">
      <w:pPr>
        <w:pStyle w:val="36"/>
        <w:spacing w:line="360" w:lineRule="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hr-HR"/>
        </w:rPr>
        <w:t>法定代表人或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hr-HR"/>
        </w:rPr>
        <w:t>负责人为同一人或者存在</w:t>
      </w:r>
      <w:r>
        <w:rPr>
          <w:rFonts w:hint="eastAsia" w:ascii="宋体" w:hAnsi="宋体" w:eastAsia="宋体" w:cs="宋体"/>
          <w:color w:val="auto"/>
          <w:sz w:val="24"/>
          <w:szCs w:val="24"/>
          <w:highlight w:val="none"/>
          <w:lang w:val="en-US" w:eastAsia="zh-CN"/>
        </w:rPr>
        <w:t>直接</w:t>
      </w:r>
      <w:r>
        <w:rPr>
          <w:rFonts w:hint="eastAsia" w:ascii="宋体" w:hAnsi="宋体" w:eastAsia="宋体" w:cs="宋体"/>
          <w:color w:val="auto"/>
          <w:sz w:val="24"/>
          <w:szCs w:val="24"/>
          <w:highlight w:val="none"/>
          <w:lang w:val="hr-HR"/>
        </w:rPr>
        <w:t>控股、管理关系的</w:t>
      </w:r>
      <w:r>
        <w:rPr>
          <w:rFonts w:hint="eastAsia" w:ascii="宋体" w:hAnsi="宋体" w:eastAsia="宋体" w:cs="宋体"/>
          <w:color w:val="auto"/>
          <w:sz w:val="24"/>
          <w:szCs w:val="24"/>
          <w:highlight w:val="none"/>
          <w:lang w:val="en-US" w:eastAsia="zh-CN"/>
        </w:rPr>
        <w:t>不同供应商</w:t>
      </w:r>
      <w:r>
        <w:rPr>
          <w:rFonts w:hint="eastAsia" w:ascii="宋体" w:hAnsi="宋体" w:eastAsia="宋体" w:cs="宋体"/>
          <w:color w:val="auto"/>
          <w:sz w:val="24"/>
          <w:szCs w:val="24"/>
          <w:highlight w:val="none"/>
          <w:lang w:val="hr-HR"/>
        </w:rPr>
        <w:t>，不得参加同一合同项下的政府采购活动。</w:t>
      </w:r>
    </w:p>
    <w:p w14:paraId="68099EEC">
      <w:pPr>
        <w:pStyle w:val="36"/>
        <w:spacing w:line="360" w:lineRule="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除单一来源采购项目外，为采购项目提供整体设计、规范编制或者项目管理、监理、检测等服务的供应商，不得再参加该采购项目的其他采购活动。</w:t>
      </w:r>
    </w:p>
    <w:p w14:paraId="1F555688">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hr-HR"/>
        </w:rPr>
        <w:t>供应商的信用行为</w:t>
      </w: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hr-HR"/>
        </w:rPr>
        <w:t>在</w:t>
      </w:r>
      <w:r>
        <w:rPr>
          <w:rFonts w:hint="eastAsia" w:ascii="宋体" w:hAnsi="宋体" w:eastAsia="宋体" w:cs="宋体"/>
          <w:color w:val="auto"/>
          <w:sz w:val="24"/>
          <w:szCs w:val="24"/>
          <w:highlight w:val="none"/>
          <w:lang w:val="en-US" w:eastAsia="zh-CN"/>
        </w:rPr>
        <w:t>资格审查阶段经查询，未被列入“失信被执行人”、“重大税收违法失信主体”、“政府采购严重违法失信行为记录名单”其中之一</w:t>
      </w:r>
      <w:r>
        <w:rPr>
          <w:rFonts w:hint="eastAsia" w:ascii="宋体" w:hAnsi="宋体" w:eastAsia="宋体" w:cs="宋体"/>
          <w:color w:val="auto"/>
          <w:sz w:val="24"/>
          <w:szCs w:val="24"/>
          <w:highlight w:val="none"/>
          <w:lang w:val="hr-HR"/>
        </w:rPr>
        <w:t>。如有以上不良信用记录</w:t>
      </w:r>
      <w:r>
        <w:rPr>
          <w:rFonts w:hint="eastAsia" w:ascii="宋体" w:hAnsi="宋体" w:eastAsia="宋体" w:cs="宋体"/>
          <w:color w:val="auto"/>
          <w:sz w:val="24"/>
          <w:szCs w:val="24"/>
          <w:highlight w:val="none"/>
          <w:lang w:val="en-US" w:eastAsia="zh-CN"/>
        </w:rPr>
        <w:t>之一的，</w:t>
      </w:r>
      <w:r>
        <w:rPr>
          <w:rFonts w:hint="eastAsia" w:ascii="宋体" w:hAnsi="宋体" w:eastAsia="宋体" w:cs="宋体"/>
          <w:color w:val="auto"/>
          <w:sz w:val="24"/>
          <w:szCs w:val="24"/>
          <w:highlight w:val="none"/>
          <w:lang w:val="hr-HR"/>
        </w:rPr>
        <w:t>其</w:t>
      </w:r>
      <w:r>
        <w:rPr>
          <w:rFonts w:hint="eastAsia" w:ascii="宋体" w:hAnsi="宋体" w:eastAsia="宋体" w:cs="宋体"/>
          <w:b/>
          <w:bCs/>
          <w:color w:val="auto"/>
          <w:sz w:val="24"/>
          <w:szCs w:val="24"/>
          <w:highlight w:val="none"/>
          <w:lang w:val="hr-HR"/>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none"/>
          <w:lang w:val="en-US" w:eastAsia="zh-CN"/>
        </w:rPr>
        <w:t xml:space="preserve">              </w:t>
      </w:r>
    </w:p>
    <w:bookmarkEnd w:id="30"/>
    <w:p w14:paraId="17F1ED4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6" w:name="_Toc109899412"/>
      <w:bookmarkStart w:id="37" w:name="_Toc155185862"/>
      <w:bookmarkStart w:id="38" w:name="_Toc109900250"/>
      <w:bookmarkStart w:id="39" w:name="_Toc109899831"/>
      <w:bookmarkStart w:id="40" w:name="_Toc27149"/>
      <w:bookmarkStart w:id="41" w:name="_Toc140132747"/>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1"/>
      <w:bookmarkEnd w:id="32"/>
      <w:bookmarkEnd w:id="33"/>
      <w:bookmarkEnd w:id="34"/>
      <w:bookmarkEnd w:id="35"/>
      <w:bookmarkEnd w:id="36"/>
      <w:bookmarkEnd w:id="37"/>
      <w:bookmarkEnd w:id="38"/>
      <w:bookmarkEnd w:id="39"/>
      <w:bookmarkEnd w:id="40"/>
      <w:bookmarkEnd w:id="41"/>
      <w:r>
        <w:rPr>
          <w:rFonts w:hint="eastAsia" w:ascii="宋体" w:hAnsi="宋体" w:eastAsia="宋体" w:cs="宋体"/>
          <w:b/>
          <w:bCs/>
          <w:color w:val="auto"/>
          <w:kern w:val="2"/>
          <w:sz w:val="24"/>
          <w:szCs w:val="24"/>
          <w:highlight w:val="none"/>
          <w:lang w:val="hr-HR" w:eastAsia="zh-CN" w:bidi="ar-SA"/>
        </w:rPr>
        <w:t xml:space="preserve"> </w:t>
      </w:r>
    </w:p>
    <w:p w14:paraId="7F0135DE">
      <w:pPr>
        <w:pStyle w:val="36"/>
        <w:spacing w:line="360" w:lineRule="auto"/>
        <w:rPr>
          <w:rFonts w:hint="eastAsia" w:ascii="宋体" w:hAnsi="宋体" w:eastAsia="宋体" w:cs="宋体"/>
          <w:color w:val="auto"/>
          <w:sz w:val="24"/>
          <w:szCs w:val="24"/>
          <w:highlight w:val="none"/>
          <w:lang w:val="hr-HR"/>
        </w:rPr>
      </w:pPr>
      <w:bookmarkStart w:id="42" w:name="_Hlk130457234"/>
      <w:bookmarkStart w:id="43" w:name="_Hlk130457261"/>
      <w:bookmarkStart w:id="44" w:name="_Toc35393801"/>
      <w:bookmarkStart w:id="45" w:name="_Toc28359015"/>
      <w:bookmarkStart w:id="46" w:name="_Hlk130457327"/>
      <w:bookmarkStart w:id="47" w:name="_Toc28359092"/>
      <w:bookmarkStart w:id="48" w:name="_Toc35393632"/>
      <w:r>
        <w:rPr>
          <w:rFonts w:hint="eastAsia" w:ascii="宋体" w:hAnsi="宋体" w:eastAsia="宋体" w:cs="宋体"/>
          <w:color w:val="auto"/>
          <w:sz w:val="24"/>
          <w:szCs w:val="24"/>
          <w:highlight w:val="none"/>
          <w:lang w:val="hr-HR"/>
        </w:rPr>
        <w:t>1.时间：</w:t>
      </w:r>
      <w:r>
        <w:rPr>
          <w:rFonts w:hint="eastAsia"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lang w:val="hr-HR"/>
        </w:rPr>
        <w:t>至</w:t>
      </w:r>
      <w:r>
        <w:rPr>
          <w:rFonts w:hint="eastAsia"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7</w:t>
      </w:r>
      <w:bookmarkStart w:id="836" w:name="_GoBack"/>
      <w:bookmarkEnd w:id="836"/>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时</w:t>
      </w:r>
      <w:r>
        <w:rPr>
          <w:rFonts w:hint="eastAsia" w:cs="宋体"/>
          <w:color w:val="auto"/>
          <w:sz w:val="24"/>
          <w:szCs w:val="24"/>
          <w:highlight w:val="none"/>
          <w:u w:val="single"/>
          <w:lang w:val="en-US" w:eastAsia="zh-CN"/>
        </w:rPr>
        <w:t>59</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lang w:val="hr-HR"/>
        </w:rPr>
        <w:t>（北京时间）。</w:t>
      </w:r>
    </w:p>
    <w:bookmarkEnd w:id="42"/>
    <w:p w14:paraId="34FD69CE">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hr-HR"/>
        </w:rPr>
        <w:t>：</w:t>
      </w:r>
      <w:bookmarkStart w:id="49" w:name="_Hlk89807779"/>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w:t>
      </w:r>
      <w:bookmarkEnd w:id="49"/>
    </w:p>
    <w:p w14:paraId="5DDD414F">
      <w:pPr>
        <w:pStyle w:val="36"/>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hr-HR"/>
        </w:rPr>
        <w:t>3.</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投标供应商登录政采云平台</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lang w:val="en-US"/>
        </w:rPr>
        <w:t>在线申请</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lang w:val="en-US"/>
        </w:rPr>
        <w:t>获取</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val="en-US"/>
        </w:rPr>
        <w:t>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进入</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项目采购</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应用</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在获取采购文件菜单中选择项目</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申请获取采购文件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w:t>
      </w:r>
    </w:p>
    <w:p w14:paraId="42A40251">
      <w:pPr>
        <w:pStyle w:val="36"/>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4.售价：0元。</w:t>
      </w:r>
      <w:r>
        <w:rPr>
          <w:rFonts w:hint="eastAsia" w:ascii="宋体" w:hAnsi="宋体" w:eastAsia="宋体" w:cs="宋体"/>
          <w:color w:val="auto"/>
          <w:sz w:val="24"/>
          <w:szCs w:val="24"/>
          <w:highlight w:val="none"/>
          <w:lang w:val="hr-HR"/>
        </w:rPr>
        <w:t xml:space="preserve"> </w:t>
      </w:r>
    </w:p>
    <w:bookmarkEnd w:id="43"/>
    <w:bookmarkEnd w:id="44"/>
    <w:bookmarkEnd w:id="45"/>
    <w:bookmarkEnd w:id="46"/>
    <w:bookmarkEnd w:id="47"/>
    <w:bookmarkEnd w:id="48"/>
    <w:p w14:paraId="62F5362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50" w:name="_Toc155185863"/>
      <w:bookmarkStart w:id="51" w:name="_Toc109899413"/>
      <w:bookmarkStart w:id="52" w:name="_Toc140132748"/>
      <w:bookmarkStart w:id="53" w:name="_Toc109900251"/>
      <w:bookmarkStart w:id="54" w:name="_Toc109899832"/>
      <w:bookmarkStart w:id="55" w:name="_Toc13809"/>
      <w:bookmarkStart w:id="56" w:name="_Hlk130457395"/>
      <w:bookmarkStart w:id="57" w:name="_Toc28359017"/>
      <w:bookmarkStart w:id="58" w:name="_Toc35393634"/>
      <w:bookmarkStart w:id="59" w:name="_Toc28359094"/>
      <w:bookmarkStart w:id="60" w:name="_Toc44583633"/>
      <w:bookmarkStart w:id="61" w:name="_Toc35393803"/>
      <w:r>
        <w:rPr>
          <w:rFonts w:hint="eastAsia" w:ascii="宋体" w:hAnsi="宋体" w:eastAsia="宋体" w:cs="宋体"/>
          <w:b/>
          <w:bCs/>
          <w:color w:val="auto"/>
          <w:kern w:val="2"/>
          <w:sz w:val="24"/>
          <w:szCs w:val="24"/>
          <w:highlight w:val="none"/>
          <w:lang w:val="en-US" w:eastAsia="zh-CN" w:bidi="ar-SA"/>
        </w:rPr>
        <w:t>四、</w:t>
      </w:r>
      <w:bookmarkEnd w:id="50"/>
      <w:bookmarkEnd w:id="51"/>
      <w:bookmarkEnd w:id="52"/>
      <w:bookmarkEnd w:id="53"/>
      <w:bookmarkEnd w:id="54"/>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5"/>
    </w:p>
    <w:p w14:paraId="2D110B47">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1.截止时间</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开标时间：</w:t>
      </w:r>
      <w:r>
        <w:rPr>
          <w:rFonts w:hint="eastAsia"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时</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w:t>
      </w:r>
    </w:p>
    <w:p w14:paraId="51B173F3">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2.递交方式：</w:t>
      </w:r>
      <w:bookmarkStart w:id="62" w:name="_Hlk89807823"/>
      <w:r>
        <w:rPr>
          <w:rFonts w:hint="eastAsia" w:ascii="宋体" w:hAnsi="宋体" w:eastAsia="宋体" w:cs="宋体"/>
          <w:color w:val="auto"/>
          <w:sz w:val="24"/>
          <w:szCs w:val="24"/>
          <w:highlight w:val="none"/>
        </w:rPr>
        <w:t>在兵团政府采购电子交易云平台（网址：https://www.zcygov.cn/）进入“项目采购”应用，在投标文件上传菜单中选择项目进行上传。</w:t>
      </w:r>
      <w:bookmarkEnd w:id="62"/>
    </w:p>
    <w:p w14:paraId="276D3E17">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w:t>
      </w:r>
      <w:r>
        <w:rPr>
          <w:rFonts w:hint="eastAsia" w:ascii="宋体" w:hAnsi="宋体" w:eastAsia="宋体" w:cs="宋体"/>
          <w:color w:val="auto"/>
          <w:sz w:val="24"/>
          <w:szCs w:val="24"/>
          <w:highlight w:val="none"/>
          <w:lang w:val="en-US"/>
        </w:rPr>
        <w:t>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rPr>
        <w:t>登录政采云平台https</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//www.zcygov.cn/，进入项目采购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开</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lang w:val="en-US"/>
        </w:rPr>
        <w:t>评标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右边选择对应项目点击“进入项目”进入开标大厅</w:t>
      </w:r>
      <w:r>
        <w:rPr>
          <w:rFonts w:hint="eastAsia" w:ascii="宋体" w:hAnsi="宋体" w:eastAsia="宋体" w:cs="宋体"/>
          <w:color w:val="auto"/>
          <w:sz w:val="24"/>
          <w:szCs w:val="24"/>
          <w:highlight w:val="none"/>
        </w:rPr>
        <w:t>。</w:t>
      </w:r>
    </w:p>
    <w:bookmarkEnd w:id="56"/>
    <w:p w14:paraId="679A69E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3" w:name="_Toc155185864"/>
      <w:bookmarkStart w:id="64" w:name="_Toc109899414"/>
      <w:bookmarkStart w:id="65" w:name="_Toc8144"/>
      <w:bookmarkStart w:id="66" w:name="_Toc109900252"/>
      <w:bookmarkStart w:id="67" w:name="_Toc109899833"/>
      <w:bookmarkStart w:id="68" w:name="_Toc140132749"/>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7"/>
      <w:bookmarkEnd w:id="58"/>
      <w:bookmarkEnd w:id="59"/>
      <w:bookmarkEnd w:id="60"/>
      <w:bookmarkEnd w:id="61"/>
      <w:bookmarkEnd w:id="63"/>
      <w:bookmarkEnd w:id="64"/>
      <w:bookmarkEnd w:id="65"/>
      <w:bookmarkEnd w:id="66"/>
      <w:bookmarkEnd w:id="67"/>
      <w:bookmarkEnd w:id="68"/>
    </w:p>
    <w:p w14:paraId="32028F42">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自招标公告发布之日起5个工作日。</w:t>
      </w:r>
    </w:p>
    <w:p w14:paraId="20DD1AA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9" w:name="_Toc109899415"/>
      <w:bookmarkStart w:id="70" w:name="_Toc140132750"/>
      <w:bookmarkStart w:id="71" w:name="_Toc35393635"/>
      <w:bookmarkStart w:id="72" w:name="_Toc109899834"/>
      <w:bookmarkStart w:id="73" w:name="_Toc109900253"/>
      <w:bookmarkStart w:id="74" w:name="_Toc35393804"/>
      <w:bookmarkStart w:id="75" w:name="_Toc155185865"/>
      <w:bookmarkStart w:id="76" w:name="_Toc44583634"/>
      <w:bookmarkStart w:id="77" w:name="_Toc26687"/>
      <w:bookmarkStart w:id="78" w:name="_Toc28359096"/>
      <w:bookmarkStart w:id="79" w:name="_Toc28359019"/>
      <w:bookmarkStart w:id="80" w:name="_Toc35393637"/>
      <w:bookmarkStart w:id="81" w:name="_Toc35393806"/>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69"/>
      <w:bookmarkEnd w:id="70"/>
      <w:bookmarkEnd w:id="71"/>
      <w:bookmarkEnd w:id="72"/>
      <w:bookmarkEnd w:id="73"/>
      <w:bookmarkEnd w:id="74"/>
      <w:bookmarkEnd w:id="75"/>
      <w:bookmarkEnd w:id="76"/>
      <w:bookmarkEnd w:id="77"/>
    </w:p>
    <w:p w14:paraId="743BCBD0">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本项目实行网上投标，采用电子投标文件；</w:t>
      </w:r>
    </w:p>
    <w:p w14:paraId="1175B44A">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各投标人应在开标前应确保成为政采云平台供应商，并完成CA数字证书（符合国密标准）申领。因未注册入库、未办理CA数字证书等原因造成无法投标或投标失败等后果由投标人自行承担。有意向参与兵团区域电子开评标的投标人，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34AAF104">
      <w:pPr>
        <w:pStyle w:val="3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投标人自身原因导致在规定时间内无法正常解密的（如：浏览器故障、未安装相关驱动、网络故障、加密CA与解密CA不一致等），视为投标人自动弃标。</w:t>
      </w:r>
    </w:p>
    <w:bookmarkEnd w:id="3"/>
    <w:bookmarkEnd w:id="78"/>
    <w:bookmarkEnd w:id="79"/>
    <w:bookmarkEnd w:id="80"/>
    <w:bookmarkEnd w:id="81"/>
    <w:p w14:paraId="770017AE">
      <w:pPr>
        <w:pStyle w:val="38"/>
        <w:numPr>
          <w:ilvl w:val="0"/>
          <w:numId w:val="0"/>
        </w:numPr>
        <w:spacing w:line="360" w:lineRule="auto"/>
        <w:ind w:firstLine="480" w:firstLineChars="200"/>
        <w:rPr>
          <w:rFonts w:hint="eastAsia" w:ascii="宋体" w:hAnsi="宋体" w:eastAsia="宋体" w:cs="Times New Roman"/>
          <w:color w:val="000000" w:themeColor="text1"/>
          <w:kern w:val="2"/>
          <w:highlight w:val="none"/>
          <w14:textFill>
            <w14:solidFill>
              <w14:schemeClr w14:val="tx1"/>
            </w14:solidFill>
          </w14:textFill>
        </w:rPr>
      </w:pPr>
      <w:bookmarkStart w:id="82" w:name="_Toc155185866"/>
      <w:bookmarkStart w:id="83" w:name="_Toc109900254"/>
      <w:bookmarkStart w:id="84" w:name="_Toc140132751"/>
      <w:bookmarkStart w:id="85" w:name="_Toc109899416"/>
      <w:bookmarkStart w:id="86" w:name="_Toc28359095"/>
      <w:bookmarkStart w:id="87" w:name="_Toc28359018"/>
      <w:bookmarkStart w:id="88" w:name="_Toc44583635"/>
      <w:bookmarkStart w:id="89" w:name="_Toc35393636"/>
      <w:bookmarkStart w:id="90" w:name="_Toc109899835"/>
      <w:bookmarkStart w:id="91" w:name="_Toc35393805"/>
      <w:bookmarkStart w:id="92" w:name="_Toc28862"/>
      <w:r>
        <w:rPr>
          <w:rFonts w:hint="eastAsia" w:ascii="宋体" w:hAnsi="宋体"/>
          <w:color w:val="000000" w:themeColor="text1"/>
          <w:kern w:val="2"/>
          <w:highlight w:val="none"/>
          <w:lang w:val="en-US" w:eastAsia="zh-CN"/>
          <w14:textFill>
            <w14:solidFill>
              <w14:schemeClr w14:val="tx1"/>
            </w14:solidFill>
          </w14:textFill>
        </w:rPr>
        <w:t>4.</w:t>
      </w:r>
      <w:r>
        <w:rPr>
          <w:rFonts w:hint="eastAsia" w:ascii="宋体" w:hAnsi="宋体"/>
          <w:color w:val="000000" w:themeColor="text1"/>
          <w:kern w:val="2"/>
          <w:highlight w:val="none"/>
          <w14:textFill>
            <w14:solidFill>
              <w14:schemeClr w14:val="tx1"/>
            </w14:solidFill>
          </w14:textFill>
        </w:rPr>
        <w:t>逾期上传或者未上传指定地点的投标文件，采购人不予受理。</w:t>
      </w:r>
    </w:p>
    <w:p w14:paraId="7A14A1A2">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highlight w:val="none"/>
          <w:lang w:val="en-US" w:eastAsia="zh-CN"/>
          <w14:textFill>
            <w14:solidFill>
              <w14:schemeClr w14:val="tx1"/>
            </w14:solidFill>
          </w14:textFill>
        </w:rPr>
        <w:t>5</w:t>
      </w:r>
      <w:r>
        <w:rPr>
          <w:rFonts w:hint="eastAsia" w:eastAsia="宋体"/>
          <w:color w:val="000000" w:themeColor="text1"/>
          <w:kern w:val="2"/>
          <w:highlight w:val="none"/>
          <w:lang w:val="en-US" w:eastAsia="zh-CN"/>
          <w14:textFill>
            <w14:solidFill>
              <w14:schemeClr w14:val="tx1"/>
            </w14:solidFill>
          </w14:textFill>
        </w:rPr>
        <w:t>.</w:t>
      </w:r>
      <w:r>
        <w:rPr>
          <w:rFonts w:hint="eastAsia" w:ascii="宋体" w:hAnsi="宋体" w:eastAsia="宋体" w:cs="Times New Roman"/>
          <w:color w:val="000000" w:themeColor="text1"/>
          <w:kern w:val="2"/>
          <w:highlight w:val="none"/>
          <w:lang w:eastAsia="zh-CN"/>
          <w14:textFill>
            <w14:solidFill>
              <w14:schemeClr w14:val="tx1"/>
            </w14:solidFill>
          </w14:textFill>
        </w:rPr>
        <w:t>本项目</w:t>
      </w:r>
      <w:r>
        <w:rPr>
          <w:rFonts w:hint="eastAsia" w:ascii="宋体" w:hAnsi="宋体" w:eastAsia="宋体" w:cs="Times New Roman"/>
          <w:color w:val="000000" w:themeColor="text1"/>
          <w:kern w:val="2"/>
          <w:highlight w:val="none"/>
          <w14:textFill>
            <w14:solidFill>
              <w14:schemeClr w14:val="tx1"/>
            </w14:solidFill>
          </w14:textFill>
        </w:rPr>
        <w:t>需要落实的政府采购政策：《国务院办公厅关于建立政府强制采购节能产品制度的通知》（国办发[2007]51号）</w:t>
      </w:r>
      <w:r>
        <w:rPr>
          <w:rFonts w:hint="eastAsia" w:ascii="宋体" w:hAnsi="宋体" w:eastAsia="宋体" w:cs="Times New Roman"/>
          <w:color w:val="000000" w:themeColor="text1"/>
          <w:kern w:val="2"/>
          <w:highlight w:val="none"/>
          <w:lang w:eastAsia="zh-CN"/>
          <w14:textFill>
            <w14:solidFill>
              <w14:schemeClr w14:val="tx1"/>
            </w14:solidFill>
          </w14:textFill>
        </w:rPr>
        <w:t>、</w:t>
      </w:r>
      <w:r>
        <w:rPr>
          <w:rFonts w:hint="eastAsia" w:ascii="宋体" w:hAnsi="宋体" w:eastAsia="宋体" w:cs="Times New Roman"/>
          <w:color w:val="000000" w:themeColor="text1"/>
          <w:kern w:val="2"/>
          <w:highlight w:val="none"/>
          <w14:textFill>
            <w14:solidFill>
              <w14:schemeClr w14:val="tx1"/>
            </w14:solidFill>
          </w14:textFill>
        </w:rPr>
        <w:t>《关于调整优化节能产品、环境标志产品政府</w:t>
      </w:r>
      <w:r>
        <w:rPr>
          <w:rFonts w:hint="eastAsia" w:ascii="宋体" w:hAnsi="宋体" w:eastAsia="宋体" w:cs="Times New Roman"/>
          <w:color w:val="000000" w:themeColor="text1"/>
          <w:kern w:val="2"/>
          <w:highlight w:val="none"/>
          <w:lang w:eastAsia="zh-CN"/>
          <w14:textFill>
            <w14:solidFill>
              <w14:schemeClr w14:val="tx1"/>
            </w14:solidFill>
          </w14:textFill>
        </w:rPr>
        <w:t>采购</w:t>
      </w:r>
      <w:r>
        <w:rPr>
          <w:rFonts w:hint="eastAsia" w:ascii="宋体" w:hAnsi="宋体" w:eastAsia="宋体" w:cs="Times New Roman"/>
          <w:color w:val="000000" w:themeColor="text1"/>
          <w:kern w:val="2"/>
          <w:highlight w:val="none"/>
          <w14:textFill>
            <w14:solidFill>
              <w14:schemeClr w14:val="tx1"/>
            </w14:solidFill>
          </w14:textFill>
        </w:rPr>
        <w:t>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中国残疾人联合会关于促进残疾人就业政府采购政策的通知》财库〔2017〕141号、兵财库【2021】7号关于转发《政府采购促进中小企业发展管理办法》的通知</w:t>
      </w:r>
      <w:r>
        <w:rPr>
          <w:rFonts w:hint="eastAsia" w:ascii="宋体" w:hAnsi="宋体" w:eastAsia="宋体" w:cs="Times New Roman"/>
          <w:color w:val="000000" w:themeColor="text1"/>
          <w:kern w:val="2"/>
          <w:highlight w:val="none"/>
          <w:lang w:eastAsia="zh-CN"/>
          <w14:textFill>
            <w14:solidFill>
              <w14:schemeClr w14:val="tx1"/>
            </w14:solidFill>
          </w14:textFill>
        </w:rPr>
        <w:t>、《国务院关于印发扎实稳住经济一揽子政策措施的通知》（国发〔2022〕12号）</w:t>
      </w:r>
      <w:r>
        <w:rPr>
          <w:rFonts w:hint="eastAsia" w:ascii="宋体" w:hAnsi="宋体" w:eastAsia="宋体" w:cs="Times New Roman"/>
          <w:color w:val="000000" w:themeColor="text1"/>
          <w:kern w:val="2"/>
          <w:highlight w:val="none"/>
          <w14:textFill>
            <w14:solidFill>
              <w14:schemeClr w14:val="tx1"/>
            </w14:solidFill>
          </w14:textFill>
        </w:rPr>
        <w:t>。</w:t>
      </w:r>
    </w:p>
    <w:p w14:paraId="723251BD">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r>
        <w:rPr>
          <w:rFonts w:hint="eastAsia" w:ascii="宋体" w:hAnsi="宋体" w:eastAsia="宋体" w:cs="宋体"/>
          <w:b/>
          <w:bCs/>
          <w:color w:val="auto"/>
          <w:kern w:val="2"/>
          <w:sz w:val="24"/>
          <w:szCs w:val="24"/>
          <w:highlight w:val="none"/>
          <w:lang w:val="en-US" w:eastAsia="zh-CN" w:bidi="ar-SA"/>
        </w:rPr>
        <w:t>七、</w:t>
      </w:r>
      <w:bookmarkEnd w:id="82"/>
      <w:bookmarkEnd w:id="83"/>
      <w:bookmarkEnd w:id="84"/>
      <w:bookmarkEnd w:id="85"/>
      <w:bookmarkEnd w:id="86"/>
      <w:bookmarkEnd w:id="87"/>
      <w:bookmarkEnd w:id="88"/>
      <w:bookmarkEnd w:id="89"/>
      <w:bookmarkEnd w:id="90"/>
      <w:bookmarkEnd w:id="91"/>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2"/>
    </w:p>
    <w:p w14:paraId="7B213880">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0D86049">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lang w:val="en-US" w:eastAsia="zh-CN"/>
        </w:rPr>
        <w:t>新疆生产建设兵团</w:t>
      </w:r>
      <w:r>
        <w:rPr>
          <w:rFonts w:hint="eastAsia" w:ascii="宋体" w:hAnsi="宋体" w:eastAsia="宋体" w:cs="宋体"/>
          <w:color w:val="auto"/>
          <w:sz w:val="24"/>
          <w:highlight w:val="none"/>
          <w:u w:val="single"/>
        </w:rPr>
        <w:t>第十师一八五团城镇和生态保护中心</w:t>
      </w:r>
    </w:p>
    <w:p w14:paraId="7666CBE9">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第十师一八五团</w:t>
      </w:r>
    </w:p>
    <w:p w14:paraId="465793B6">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bookmarkStart w:id="93" w:name="_Hlk46775675"/>
      <w:r>
        <w:rPr>
          <w:rFonts w:hint="eastAsia" w:ascii="宋体" w:hAnsi="宋体" w:eastAsia="宋体" w:cs="宋体"/>
          <w:color w:val="auto"/>
          <w:sz w:val="24"/>
          <w:highlight w:val="none"/>
          <w:u w:val="single"/>
        </w:rPr>
        <w:t>13070339188</w:t>
      </w:r>
    </w:p>
    <w:bookmarkEnd w:id="93"/>
    <w:p w14:paraId="5DDC5322">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94" w:name="_Toc28359097"/>
      <w:bookmarkStart w:id="95" w:name="_Toc35393807"/>
      <w:bookmarkStart w:id="96" w:name="_Toc28359020"/>
      <w:bookmarkStart w:id="97" w:name="_Toc35393638"/>
      <w:r>
        <w:rPr>
          <w:rFonts w:hint="eastAsia" w:ascii="宋体" w:hAnsi="宋体" w:eastAsia="宋体" w:cs="宋体"/>
          <w:color w:val="auto"/>
          <w:sz w:val="24"/>
          <w:highlight w:val="none"/>
        </w:rPr>
        <w:t>2.采购代理机构信息</w:t>
      </w:r>
      <w:bookmarkEnd w:id="94"/>
      <w:bookmarkEnd w:id="95"/>
      <w:bookmarkEnd w:id="96"/>
      <w:bookmarkEnd w:id="97"/>
    </w:p>
    <w:p w14:paraId="0789E5CD">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98" w:name="_Toc35393639"/>
      <w:bookmarkStart w:id="99" w:name="_Toc28359021"/>
      <w:bookmarkStart w:id="100" w:name="_Toc28359098"/>
      <w:bookmarkStart w:id="101" w:name="_Toc35393808"/>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新疆泰诚宏远工程管理咨询有限公司</w:t>
      </w:r>
    </w:p>
    <w:p w14:paraId="0899C9DA">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新疆北屯市军垦街道昆仑街800-2-3</w:t>
      </w:r>
    </w:p>
    <w:p w14:paraId="72E0AD24">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联系方式：</w:t>
      </w:r>
      <w:r>
        <w:rPr>
          <w:rFonts w:hint="eastAsia" w:cs="宋体"/>
          <w:color w:val="auto"/>
          <w:sz w:val="24"/>
          <w:szCs w:val="24"/>
          <w:highlight w:val="none"/>
          <w:u w:val="single"/>
          <w:lang w:val="en-US" w:eastAsia="zh-CN"/>
        </w:rPr>
        <w:t>15009063856</w:t>
      </w:r>
    </w:p>
    <w:p w14:paraId="3D50EAA6">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项目联系方式</w:t>
      </w:r>
    </w:p>
    <w:bookmarkEnd w:id="98"/>
    <w:bookmarkEnd w:id="99"/>
    <w:bookmarkEnd w:id="100"/>
    <w:bookmarkEnd w:id="101"/>
    <w:p w14:paraId="104B7234">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cs="宋体"/>
          <w:color w:val="auto"/>
          <w:sz w:val="24"/>
          <w:szCs w:val="24"/>
          <w:highlight w:val="none"/>
          <w:u w:val="single"/>
          <w:lang w:val="en-US" w:eastAsia="zh-CN"/>
        </w:rPr>
        <w:t>李娜</w:t>
      </w:r>
    </w:p>
    <w:p w14:paraId="3ADF3AE0">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电话：</w:t>
      </w:r>
      <w:r>
        <w:rPr>
          <w:rFonts w:hint="eastAsia" w:cs="宋体"/>
          <w:color w:val="auto"/>
          <w:sz w:val="24"/>
          <w:szCs w:val="24"/>
          <w:highlight w:val="none"/>
          <w:u w:val="single"/>
          <w:lang w:val="en-US" w:eastAsia="zh-CN"/>
        </w:rPr>
        <w:t>15009063856</w:t>
      </w:r>
    </w:p>
    <w:p w14:paraId="353479CE">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6A56ADB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102" w:name="_Toc155185867"/>
      <w:bookmarkStart w:id="103" w:name="_Toc5645"/>
      <w:r>
        <w:rPr>
          <w:rFonts w:hint="eastAsia" w:ascii="宋体" w:hAnsi="宋体" w:eastAsia="宋体" w:cs="宋体"/>
          <w:b/>
          <w:bCs/>
          <w:color w:val="auto"/>
          <w:kern w:val="44"/>
          <w:sz w:val="36"/>
          <w:szCs w:val="36"/>
          <w:highlight w:val="none"/>
          <w:lang w:val="en-US" w:eastAsia="zh-CN" w:bidi="ar-SA"/>
        </w:rPr>
        <w:t>第二章 投标人须知</w:t>
      </w:r>
      <w:bookmarkEnd w:id="102"/>
      <w:bookmarkEnd w:id="103"/>
    </w:p>
    <w:p w14:paraId="75B79534">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4" w:name="_Toc155185868"/>
      <w:bookmarkStart w:id="105" w:name="_Toc32038"/>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04"/>
      <w:bookmarkEnd w:id="105"/>
    </w:p>
    <w:p w14:paraId="7F3ACB7A">
      <w:pPr>
        <w:pStyle w:val="36"/>
        <w:keepNext w:val="0"/>
        <w:keepLines w:val="0"/>
        <w:pageBreakBefore w:val="0"/>
        <w:widowControl w:val="0"/>
        <w:kinsoku/>
        <w:overflowPunct/>
        <w:topLinePunct w:val="0"/>
        <w:autoSpaceDE/>
        <w:autoSpaceDN/>
        <w:bidi w:val="0"/>
        <w:adjustRightInd/>
        <w:snapToGrid/>
        <w:textAlignment w:val="auto"/>
        <w:rPr>
          <w:rFonts w:hint="default" w:eastAsia="宋体"/>
          <w:color w:val="auto"/>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r>
        <w:rPr>
          <w:rFonts w:hint="eastAsia" w:ascii="宋体" w:hAnsi="宋体" w:eastAsia="宋体"/>
          <w:color w:val="auto"/>
          <w:highlight w:val="none"/>
          <w:lang w:val="en-US" w:eastAsia="zh-CN"/>
        </w:rPr>
        <w:t>。</w:t>
      </w:r>
    </w:p>
    <w:tbl>
      <w:tblPr>
        <w:tblStyle w:val="29"/>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5" w:hRule="atLeast"/>
        </w:trPr>
        <w:tc>
          <w:tcPr>
            <w:tcW w:w="970" w:type="dxa"/>
            <w:vAlign w:val="center"/>
          </w:tcPr>
          <w:p w14:paraId="60441C76">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38" w:type="dxa"/>
            <w:shd w:val="clear" w:color="auto" w:fill="auto"/>
            <w:vAlign w:val="center"/>
          </w:tcPr>
          <w:p w14:paraId="3D9DB5F0">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服务包含的内容</w:t>
            </w:r>
          </w:p>
        </w:tc>
        <w:tc>
          <w:tcPr>
            <w:tcW w:w="6700" w:type="dxa"/>
            <w:shd w:val="clear" w:color="auto" w:fill="auto"/>
            <w:vAlign w:val="center"/>
          </w:tcPr>
          <w:p w14:paraId="6A9B68BA">
            <w:pPr>
              <w:pStyle w:val="36"/>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主要内容：</w:t>
            </w:r>
            <w:r>
              <w:rPr>
                <w:rFonts w:hint="eastAsia" w:ascii="宋体" w:hAnsi="宋体" w:eastAsia="宋体" w:cs="宋体"/>
                <w:color w:val="auto"/>
                <w:sz w:val="24"/>
                <w:szCs w:val="24"/>
                <w:highlight w:val="none"/>
                <w:u w:val="single"/>
                <w:lang w:val="en-US" w:eastAsia="zh-CN"/>
              </w:rPr>
              <w:t>对一八五团辖区内总长218.5公里的道路，进行公路路肩边坡修整、路面清扫、路肩边坡杂草清除、道路标识牌清洁、道路桥涵疏通以及路域垃圾捡拾等养护工作。</w:t>
            </w:r>
          </w:p>
          <w:p w14:paraId="15D5290A">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□其他内容：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88" w:hRule="atLeast"/>
        </w:trPr>
        <w:tc>
          <w:tcPr>
            <w:tcW w:w="970" w:type="dxa"/>
            <w:vAlign w:val="center"/>
          </w:tcPr>
          <w:p w14:paraId="3A13689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738" w:type="dxa"/>
            <w:vAlign w:val="center"/>
          </w:tcPr>
          <w:p w14:paraId="117C18AE">
            <w:pPr>
              <w:pStyle w:val="48"/>
              <w:rPr>
                <w:rFonts w:hint="eastAsia" w:ascii="宋体" w:hAnsi="宋体" w:eastAsia="宋体" w:cs="宋体"/>
                <w:color w:val="auto"/>
                <w:sz w:val="24"/>
                <w:szCs w:val="24"/>
                <w:highlight w:val="none"/>
              </w:rPr>
            </w:pPr>
            <w:bookmarkStart w:id="106" w:name="_Hlk143529175"/>
            <w:r>
              <w:rPr>
                <w:rFonts w:hint="eastAsia" w:ascii="宋体" w:hAnsi="宋体" w:eastAsia="宋体" w:cs="宋体"/>
                <w:color w:val="auto"/>
                <w:sz w:val="24"/>
                <w:szCs w:val="24"/>
                <w:highlight w:val="none"/>
              </w:rPr>
              <w:t>现场考察</w:t>
            </w:r>
            <w:bookmarkEnd w:id="106"/>
          </w:p>
        </w:tc>
        <w:tc>
          <w:tcPr>
            <w:tcW w:w="6700" w:type="dxa"/>
            <w:vAlign w:val="center"/>
          </w:tcPr>
          <w:p w14:paraId="36549596">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938D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24" w:hRule="atLeast"/>
        </w:trPr>
        <w:tc>
          <w:tcPr>
            <w:tcW w:w="970" w:type="dxa"/>
            <w:shd w:val="clear" w:color="auto" w:fill="auto"/>
            <w:vAlign w:val="center"/>
          </w:tcPr>
          <w:p w14:paraId="72B7B10E">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9.5</w:t>
            </w:r>
          </w:p>
        </w:tc>
        <w:tc>
          <w:tcPr>
            <w:tcW w:w="1738" w:type="dxa"/>
            <w:shd w:val="clear" w:color="auto" w:fill="auto"/>
            <w:vAlign w:val="center"/>
          </w:tcPr>
          <w:p w14:paraId="52021959">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答疑会</w:t>
            </w:r>
          </w:p>
        </w:tc>
        <w:tc>
          <w:tcPr>
            <w:tcW w:w="6700" w:type="dxa"/>
            <w:shd w:val="clear" w:color="auto" w:fill="auto"/>
            <w:vAlign w:val="center"/>
          </w:tcPr>
          <w:p w14:paraId="632E2EEB">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6646290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7A836479">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CC81D0">
            <w:pPr>
              <w:pStyle w:val="48"/>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738" w:type="dxa"/>
            <w:vAlign w:val="center"/>
          </w:tcPr>
          <w:p w14:paraId="14B3667D">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3D637E0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方式：</w:t>
            </w:r>
          </w:p>
          <w:p w14:paraId="0DD19460">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在供应商客户端中按照格式填写询问函，并在生成询问函后加盖电子印章提交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其他询问方式：</w:t>
            </w:r>
            <w:r>
              <w:rPr>
                <w:rFonts w:hint="eastAsia" w:cs="宋体"/>
                <w:color w:val="auto"/>
                <w:sz w:val="24"/>
                <w:szCs w:val="24"/>
                <w:highlight w:val="none"/>
                <w:u w:val="single"/>
                <w:lang w:val="en-US" w:eastAsia="zh-CN"/>
              </w:rPr>
              <w:t>电话联系本项目联系人</w:t>
            </w:r>
            <w:r>
              <w:rPr>
                <w:rFonts w:hint="eastAsia" w:ascii="宋体" w:hAnsi="宋体" w:eastAsia="宋体" w:cs="宋体"/>
                <w:color w:val="auto"/>
                <w:sz w:val="24"/>
                <w:szCs w:val="24"/>
                <w:highlight w:val="none"/>
              </w:rPr>
              <w:t>。</w:t>
            </w:r>
          </w:p>
          <w:p w14:paraId="09E4A188">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开标前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738" w:type="dxa"/>
            <w:vAlign w:val="center"/>
          </w:tcPr>
          <w:p w14:paraId="79A1D807">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DB59B05">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738" w:type="dxa"/>
            <w:vAlign w:val="center"/>
          </w:tcPr>
          <w:p w14:paraId="02D54664">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3C884172">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BD0D880">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5559D2C2">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   %</w:t>
            </w:r>
            <w:r>
              <w:rPr>
                <w:rFonts w:hint="eastAsia" w:ascii="宋体" w:hAnsi="宋体" w:eastAsia="宋体" w:cs="宋体"/>
                <w:color w:val="auto"/>
                <w:sz w:val="24"/>
                <w:szCs w:val="24"/>
                <w:highlight w:val="none"/>
                <w:lang w:eastAsia="zh-CN"/>
              </w:rPr>
              <w:t>。</w:t>
            </w:r>
          </w:p>
          <w:p w14:paraId="34F4AD60">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□定额收取：人民币       元</w:t>
            </w:r>
            <w:r>
              <w:rPr>
                <w:rFonts w:hint="eastAsia" w:ascii="宋体" w:hAnsi="宋体" w:eastAsia="宋体" w:cs="宋体"/>
                <w:color w:val="auto"/>
                <w:sz w:val="24"/>
                <w:szCs w:val="24"/>
                <w:highlight w:val="none"/>
                <w:lang w:eastAsia="zh-CN"/>
              </w:rPr>
              <w:t>。</w:t>
            </w:r>
          </w:p>
          <w:p w14:paraId="4A8F5A6C">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28B7763F">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投标人可自主选择以支票、汇票、本票、电汇、转账、网银、保函等非现金形式缴纳或提交保证金。</w:t>
            </w:r>
          </w:p>
          <w:p w14:paraId="5D768E72">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收取单位：</w:t>
            </w:r>
            <w:r>
              <w:rPr>
                <w:rFonts w:hint="eastAsia" w:ascii="宋体" w:hAnsi="宋体" w:eastAsia="宋体" w:cs="宋体"/>
                <w:color w:val="000000" w:themeColor="text1"/>
                <w:sz w:val="24"/>
                <w:szCs w:val="24"/>
                <w:highlight w:val="none"/>
                <w:u w:val="single"/>
                <w14:textFill>
                  <w14:solidFill>
                    <w14:schemeClr w14:val="tx1"/>
                  </w14:solidFill>
                </w14:textFill>
              </w:rPr>
              <w:t>新疆泰诚宏远工程管理咨询有限公司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auto"/>
                <w:sz w:val="24"/>
                <w:szCs w:val="24"/>
                <w:highlight w:val="none"/>
              </w:rPr>
              <w:t xml:space="preserve">                    </w:t>
            </w:r>
          </w:p>
          <w:p w14:paraId="07866961">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4.收取账号：</w:t>
            </w:r>
            <w:r>
              <w:rPr>
                <w:rFonts w:hint="eastAsia" w:ascii="宋体" w:hAnsi="宋体" w:eastAsia="宋体" w:cs="宋体"/>
                <w:color w:val="000000" w:themeColor="text1"/>
                <w:sz w:val="24"/>
                <w:szCs w:val="24"/>
                <w:highlight w:val="none"/>
                <w:u w:val="single"/>
                <w14:textFill>
                  <w14:solidFill>
                    <w14:schemeClr w14:val="tx1"/>
                  </w14:solidFill>
                </w14:textFill>
              </w:rPr>
              <w:t>30861301040008401</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auto"/>
                <w:sz w:val="24"/>
                <w:szCs w:val="24"/>
                <w:highlight w:val="none"/>
              </w:rPr>
              <w:t xml:space="preserve">        </w:t>
            </w:r>
          </w:p>
          <w:p w14:paraId="17DF33CB">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退还时间：</w:t>
            </w:r>
            <w:r>
              <w:rPr>
                <w:rFonts w:hint="eastAsia" w:ascii="宋体" w:hAnsi="宋体" w:eastAsia="宋体" w:cs="宋体"/>
                <w:color w:val="000000" w:themeColor="text1"/>
                <w:sz w:val="24"/>
                <w:szCs w:val="24"/>
                <w:highlight w:val="none"/>
                <w:u w:val="single"/>
                <w14:textFill>
                  <w14:solidFill>
                    <w14:schemeClr w14:val="tx1"/>
                  </w14:solidFill>
                </w14:textFill>
              </w:rPr>
              <w:t>自中标通知书发出之日起5个工作日内退还未中标供应商的投标保证金，自政府采购合同签订之日起5个工作日内退还中标供应商的投标保证金。</w:t>
            </w:r>
            <w:r>
              <w:rPr>
                <w:rFonts w:hint="eastAsia" w:ascii="宋体" w:hAnsi="宋体" w:eastAsia="宋体" w:cs="宋体"/>
                <w:color w:val="auto"/>
                <w:sz w:val="24"/>
                <w:szCs w:val="24"/>
                <w:highlight w:val="none"/>
              </w:rPr>
              <w:t xml:space="preserve">         </w:t>
            </w:r>
          </w:p>
          <w:p w14:paraId="327EF0E4">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注意事项：</w:t>
            </w:r>
          </w:p>
          <w:p w14:paraId="61AE35B7">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3FCC627E">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保证金的，受益人和收取单位须为采购人。</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37" w:hRule="atLeast"/>
        </w:trPr>
        <w:tc>
          <w:tcPr>
            <w:tcW w:w="970" w:type="dxa"/>
            <w:vAlign w:val="center"/>
          </w:tcPr>
          <w:p w14:paraId="0FAEE6C9">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738" w:type="dxa"/>
            <w:vAlign w:val="center"/>
          </w:tcPr>
          <w:p w14:paraId="1A5D11C5">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4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4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1.样品制作的标准和要求：</w:t>
            </w:r>
            <w:r>
              <w:rPr>
                <w:rFonts w:hint="eastAsia" w:cs="宋体"/>
                <w:color w:val="auto"/>
                <w:sz w:val="24"/>
                <w:szCs w:val="24"/>
                <w:highlight w:val="none"/>
                <w:u w:val="single"/>
                <w:lang w:val="en-US" w:eastAsia="zh-CN"/>
              </w:rPr>
              <w:t xml:space="preserve">     /     </w:t>
            </w:r>
            <w:r>
              <w:rPr>
                <w:rFonts w:hint="eastAsia"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36410A9">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2.是否需要随样品提交相关检测报告： </w:t>
            </w:r>
          </w:p>
          <w:p w14:paraId="4042F79A">
            <w:pPr>
              <w:pStyle w:val="48"/>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48"/>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4.未中标人样品退还：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5.中标人样品保管、封存及退还：</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 xml:space="preserve">； </w:t>
            </w:r>
          </w:p>
          <w:p w14:paraId="5F60BBB0">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6.其他要求（如有）：</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 xml:space="preserve">。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2250462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4CE72DC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738" w:type="dxa"/>
            <w:vAlign w:val="center"/>
          </w:tcPr>
          <w:p w14:paraId="35FB661A">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4C7DC32D">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r>
              <w:rPr>
                <w:rFonts w:hint="eastAsia" w:ascii="宋体" w:hAnsi="宋体" w:eastAsia="宋体" w:cs="宋体"/>
                <w:color w:val="auto"/>
                <w:sz w:val="24"/>
                <w:szCs w:val="24"/>
                <w:highlight w:val="none"/>
              </w:rPr>
              <w:t>。</w:t>
            </w:r>
          </w:p>
        </w:tc>
      </w:tr>
      <w:tr w14:paraId="399AC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76" w:hRule="atLeast"/>
        </w:trPr>
        <w:tc>
          <w:tcPr>
            <w:tcW w:w="970" w:type="dxa"/>
            <w:shd w:val="clear" w:color="auto" w:fill="auto"/>
            <w:vAlign w:val="center"/>
          </w:tcPr>
          <w:p w14:paraId="04FC7979">
            <w:pPr>
              <w:pStyle w:val="4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28.1</w:t>
            </w:r>
          </w:p>
        </w:tc>
        <w:tc>
          <w:tcPr>
            <w:tcW w:w="1738" w:type="dxa"/>
            <w:shd w:val="clear" w:color="auto" w:fill="auto"/>
            <w:vAlign w:val="center"/>
          </w:tcPr>
          <w:p w14:paraId="60878EA1">
            <w:pPr>
              <w:pStyle w:val="4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评标委员会</w:t>
            </w:r>
            <w:r>
              <w:rPr>
                <w:rFonts w:hint="eastAsia" w:ascii="宋体" w:hAnsi="宋体" w:eastAsia="宋体" w:cs="宋体"/>
                <w:i w:val="0"/>
                <w:iCs w:val="0"/>
                <w:color w:val="000000" w:themeColor="text1"/>
                <w:sz w:val="24"/>
                <w:szCs w:val="24"/>
                <w:highlight w:val="none"/>
                <w14:textFill>
                  <w14:solidFill>
                    <w14:schemeClr w14:val="tx1"/>
                  </w14:solidFill>
                </w14:textFill>
              </w:rPr>
              <w:t>的组成</w:t>
            </w:r>
          </w:p>
        </w:tc>
        <w:tc>
          <w:tcPr>
            <w:tcW w:w="6700" w:type="dxa"/>
            <w:shd w:val="clear" w:color="auto" w:fill="auto"/>
            <w:vAlign w:val="center"/>
          </w:tcPr>
          <w:p w14:paraId="7898C9C1">
            <w:pPr>
              <w:pStyle w:val="48"/>
              <w:rPr>
                <w:rFonts w:hint="eastAsia" w:ascii="宋体" w:hAnsi="宋体" w:eastAsia="宋体" w:cs="宋体"/>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评审专家人数：</w:t>
            </w:r>
            <w:r>
              <w:rPr>
                <w:rFonts w:hint="eastAsia" w:ascii="宋体" w:hAnsi="宋体" w:eastAsia="宋体" w:cs="宋体"/>
                <w:i w:val="0"/>
                <w:i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人，其中采购人代表人</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i w:val="0"/>
                <w:iCs w:val="0"/>
                <w:color w:val="000000" w:themeColor="text1"/>
                <w:sz w:val="24"/>
                <w:szCs w:val="24"/>
                <w:highlight w:val="none"/>
                <w:u w:val="single"/>
                <w:lang w:eastAsia="zh-CN"/>
                <w14:textFill>
                  <w14:solidFill>
                    <w14:schemeClr w14:val="tx1"/>
                  </w14:solidFill>
                </w14:textFill>
              </w:rPr>
              <w:t>1</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人，专家评委</w:t>
            </w:r>
            <w:r>
              <w:rPr>
                <w:rFonts w:hint="eastAsia" w:ascii="宋体" w:hAnsi="宋体" w:eastAsia="宋体" w:cs="宋体"/>
                <w:i w:val="0"/>
                <w:i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4-5</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人。</w:t>
            </w:r>
          </w:p>
          <w:p w14:paraId="3BA65676">
            <w:pPr>
              <w:pStyle w:val="4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评审专家确定方式：在兵团政采云专家库中随机抽取</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76" w:hRule="atLeast"/>
        </w:trPr>
        <w:tc>
          <w:tcPr>
            <w:tcW w:w="970" w:type="dxa"/>
            <w:vAlign w:val="center"/>
          </w:tcPr>
          <w:p w14:paraId="23FC94CD">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738" w:type="dxa"/>
            <w:vAlign w:val="center"/>
          </w:tcPr>
          <w:p w14:paraId="5A1E858C">
            <w:pPr>
              <w:pStyle w:val="48"/>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48"/>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48"/>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3" w:hRule="atLeast"/>
        </w:trPr>
        <w:tc>
          <w:tcPr>
            <w:tcW w:w="970" w:type="dxa"/>
            <w:vAlign w:val="center"/>
          </w:tcPr>
          <w:p w14:paraId="42D57B39">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738" w:type="dxa"/>
            <w:vAlign w:val="center"/>
          </w:tcPr>
          <w:p w14:paraId="109515DE">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EEEE9B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738" w:type="dxa"/>
            <w:vAlign w:val="center"/>
          </w:tcPr>
          <w:p w14:paraId="266C355B">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48"/>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16D85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shd w:val="clear" w:color="auto" w:fill="auto"/>
            <w:vAlign w:val="center"/>
          </w:tcPr>
          <w:p w14:paraId="1B46F00E">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shd w:val="clear" w:color="auto" w:fill="auto"/>
            <w:vAlign w:val="center"/>
          </w:tcPr>
          <w:p w14:paraId="2789643E">
            <w:pPr>
              <w:pStyle w:val="48"/>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700" w:type="dxa"/>
            <w:shd w:val="clear" w:color="auto" w:fill="auto"/>
            <w:vAlign w:val="center"/>
          </w:tcPr>
          <w:p w14:paraId="6976A72E">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446453BE">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□免收</w:t>
            </w:r>
          </w:p>
          <w:p w14:paraId="14858B73">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合同价的 </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p>
          <w:p w14:paraId="2795CC0D">
            <w:pPr>
              <w:pStyle w:val="4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172638B8">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0CEDF721">
            <w:pPr>
              <w:pStyle w:val="52"/>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782BC737">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收取单位：</w:t>
            </w:r>
            <w:r>
              <w:rPr>
                <w:rFonts w:hint="eastAsia" w:cs="宋体"/>
                <w:color w:val="auto"/>
                <w:sz w:val="24"/>
                <w:szCs w:val="24"/>
                <w:highlight w:val="none"/>
                <w:lang w:val="en-US" w:eastAsia="zh-CN"/>
              </w:rPr>
              <w:t xml:space="preserve">新疆生产建设兵团第十师一八五团城镇和生态保护中心     </w:t>
            </w:r>
            <w:r>
              <w:rPr>
                <w:rFonts w:hint="eastAsia" w:ascii="宋体" w:hAnsi="宋体" w:eastAsia="宋体" w:cs="宋体"/>
                <w:color w:val="auto"/>
                <w:sz w:val="24"/>
                <w:szCs w:val="24"/>
                <w:highlight w:val="none"/>
              </w:rPr>
              <w:t xml:space="preserve">                      </w:t>
            </w:r>
          </w:p>
          <w:p w14:paraId="221565EA">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cs="宋体"/>
                <w:color w:val="auto"/>
                <w:sz w:val="24"/>
                <w:szCs w:val="24"/>
                <w:highlight w:val="none"/>
                <w:lang w:val="en-US" w:eastAsia="zh-CN"/>
              </w:rPr>
              <w:t>联系甲方</w:t>
            </w:r>
            <w:r>
              <w:rPr>
                <w:rFonts w:hint="eastAsia" w:ascii="宋体" w:hAnsi="宋体" w:eastAsia="宋体" w:cs="宋体"/>
                <w:color w:val="auto"/>
                <w:sz w:val="24"/>
                <w:szCs w:val="24"/>
                <w:highlight w:val="none"/>
              </w:rPr>
              <w:t xml:space="preserve">            </w:t>
            </w:r>
          </w:p>
          <w:p w14:paraId="41B3BE7D">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退还时间：</w:t>
            </w:r>
            <w:r>
              <w:rPr>
                <w:rFonts w:hint="eastAsia" w:cs="宋体"/>
                <w:color w:val="auto"/>
                <w:sz w:val="24"/>
                <w:szCs w:val="24"/>
                <w:highlight w:val="none"/>
                <w:lang w:val="en-US" w:eastAsia="zh-CN"/>
              </w:rPr>
              <w:t>项目验收合格后</w:t>
            </w:r>
            <w:r>
              <w:rPr>
                <w:rFonts w:hint="eastAsia" w:ascii="宋体" w:hAnsi="宋体" w:eastAsia="宋体" w:cs="宋体"/>
                <w:color w:val="auto"/>
                <w:sz w:val="24"/>
                <w:szCs w:val="24"/>
                <w:highlight w:val="none"/>
              </w:rPr>
              <w:t xml:space="preserve">             </w:t>
            </w:r>
          </w:p>
          <w:p w14:paraId="32E52EF0">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1033F0D6">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257AE723">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2" w:hRule="atLeast"/>
        </w:trPr>
        <w:tc>
          <w:tcPr>
            <w:tcW w:w="970" w:type="dxa"/>
            <w:vAlign w:val="center"/>
          </w:tcPr>
          <w:p w14:paraId="600814BC">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738" w:type="dxa"/>
            <w:vAlign w:val="center"/>
          </w:tcPr>
          <w:p w14:paraId="74D19386">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48"/>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48"/>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___； </w:t>
            </w:r>
          </w:p>
          <w:p w14:paraId="71BE067E">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___； </w:t>
            </w:r>
          </w:p>
          <w:p w14:paraId="2F04DF99">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___。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738" w:type="dxa"/>
            <w:vAlign w:val="center"/>
          </w:tcPr>
          <w:p w14:paraId="6B25F509">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4E409645">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递交方式：</w:t>
            </w:r>
            <w:r>
              <w:rPr>
                <w:rFonts w:hint="eastAsia" w:ascii="宋体" w:hAnsi="宋体" w:cs="宋体"/>
                <w:color w:val="auto"/>
                <w:sz w:val="24"/>
                <w:szCs w:val="24"/>
                <w:highlight w:val="none"/>
                <w:u w:val="single"/>
                <w:lang w:val="en-US" w:eastAsia="zh-CN"/>
              </w:rPr>
              <w:t>书面递交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zh-CN" w:eastAsia="zh-CN" w:bidi="ar-SA"/>
              </w:rPr>
              <w:t xml:space="preserve">              </w:t>
            </w:r>
          </w:p>
          <w:p w14:paraId="73ADE8CD">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接收部门：</w:t>
            </w:r>
            <w:r>
              <w:rPr>
                <w:rFonts w:hint="eastAsia" w:ascii="宋体" w:hAnsi="宋体" w:eastAsia="宋体" w:cs="宋体"/>
                <w:color w:val="auto"/>
                <w:kern w:val="2"/>
                <w:sz w:val="24"/>
                <w:szCs w:val="24"/>
                <w:highlight w:val="none"/>
                <w:u w:val="single"/>
                <w:lang w:val="zh-CN" w:eastAsia="zh-CN" w:bidi="ar-SA"/>
              </w:rPr>
              <w:t>新疆泰诚宏远工程管理咨询有限公司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zh-CN" w:eastAsia="zh-CN" w:bidi="ar-SA"/>
              </w:rPr>
              <w:t xml:space="preserve">              </w:t>
            </w:r>
          </w:p>
          <w:p w14:paraId="282AB03D">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联系电话：</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5009063856</w:t>
            </w:r>
            <w:r>
              <w:rPr>
                <w:rFonts w:hint="eastAsia" w:ascii="宋体" w:hAnsi="宋体" w:eastAsia="宋体" w:cs="宋体"/>
                <w:color w:val="auto"/>
                <w:kern w:val="2"/>
                <w:sz w:val="24"/>
                <w:szCs w:val="24"/>
                <w:highlight w:val="none"/>
                <w:lang w:val="zh-CN" w:eastAsia="zh-CN" w:bidi="ar-SA"/>
              </w:rPr>
              <w:t xml:space="preserve">              </w:t>
            </w:r>
          </w:p>
          <w:p w14:paraId="30211831">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通讯地址：</w:t>
            </w:r>
            <w:r>
              <w:rPr>
                <w:rFonts w:hint="eastAsia" w:ascii="宋体" w:hAnsi="宋体" w:eastAsia="宋体" w:cs="宋体"/>
                <w:color w:val="auto"/>
                <w:sz w:val="24"/>
                <w:szCs w:val="24"/>
                <w:highlight w:val="none"/>
                <w:u w:val="single"/>
              </w:rPr>
              <w:t xml:space="preserve">新疆北屯市军垦街道昆仑街800-2-3 </w:t>
            </w:r>
            <w:r>
              <w:rPr>
                <w:rFonts w:hint="eastAsia" w:ascii="宋体" w:hAnsi="宋体" w:eastAsia="宋体" w:cs="宋体"/>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80" w:hRule="atLeast"/>
        </w:trPr>
        <w:tc>
          <w:tcPr>
            <w:tcW w:w="970" w:type="dxa"/>
            <w:vAlign w:val="center"/>
          </w:tcPr>
          <w:p w14:paraId="422A3CDD">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vAlign w:val="center"/>
          </w:tcPr>
          <w:p w14:paraId="1782DE5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572A09A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75684927">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u w:val="single"/>
              </w:rPr>
              <w:t xml:space="preserve"> 参考国家发展计划委员会“计价格（2002）1980号”文件、“发改办价格[2003]857号”文及发改办价格〔2011〕534号文收取。</w:t>
            </w:r>
          </w:p>
          <w:p w14:paraId="1368AF2C">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领取中标通知书前</w:t>
            </w:r>
            <w:r>
              <w:rPr>
                <w:rFonts w:hint="eastAsia" w:ascii="宋体" w:hAnsi="宋体" w:eastAsia="宋体" w:cs="宋体"/>
                <w:color w:val="auto"/>
                <w:sz w:val="24"/>
                <w:szCs w:val="24"/>
                <w:highlight w:val="none"/>
                <w:u w:val="single"/>
              </w:rPr>
              <w:t xml:space="preserve"> </w:t>
            </w:r>
          </w:p>
          <w:p w14:paraId="76384588">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转账</w:t>
            </w:r>
            <w:r>
              <w:rPr>
                <w:rFonts w:hint="eastAsia" w:ascii="宋体" w:hAnsi="宋体" w:eastAsia="宋体" w:cs="宋体"/>
                <w:color w:val="auto"/>
                <w:sz w:val="24"/>
                <w:szCs w:val="24"/>
                <w:highlight w:val="none"/>
                <w:u w:val="single"/>
              </w:rPr>
              <w:t xml:space="preserve"> </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51" w:hRule="atLeast"/>
        </w:trPr>
        <w:tc>
          <w:tcPr>
            <w:tcW w:w="970" w:type="dxa"/>
            <w:vAlign w:val="center"/>
          </w:tcPr>
          <w:p w14:paraId="6F1BF37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738" w:type="dxa"/>
            <w:vAlign w:val="center"/>
          </w:tcPr>
          <w:p w14:paraId="5D860FC6">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4" w:hRule="atLeast"/>
        </w:trPr>
        <w:tc>
          <w:tcPr>
            <w:tcW w:w="970" w:type="dxa"/>
            <w:vAlign w:val="center"/>
          </w:tcPr>
          <w:p w14:paraId="06648806">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738" w:type="dxa"/>
            <w:vAlign w:val="center"/>
          </w:tcPr>
          <w:p w14:paraId="34AA448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2"/>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73"/>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665" w:hRule="atLeast"/>
        </w:trPr>
        <w:tc>
          <w:tcPr>
            <w:tcW w:w="970" w:type="dxa"/>
            <w:vAlign w:val="center"/>
          </w:tcPr>
          <w:p w14:paraId="3AAFC5B3">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738" w:type="dxa"/>
            <w:vAlign w:val="center"/>
          </w:tcPr>
          <w:p w14:paraId="59931474">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48"/>
              <w:rPr>
                <w:rFonts w:hint="eastAsia" w:ascii="宋体" w:hAnsi="宋体" w:eastAsia="宋体" w:cs="宋体"/>
                <w:color w:val="auto"/>
                <w:sz w:val="24"/>
                <w:szCs w:val="24"/>
                <w:highlight w:val="none"/>
                <w:lang w:val="en-US" w:eastAsia="zh-CN"/>
              </w:rPr>
            </w:pPr>
            <w:r>
              <w:rPr>
                <w:rStyle w:val="32"/>
                <w:rFonts w:hint="eastAsia" w:ascii="宋体" w:hAnsi="宋体" w:eastAsia="宋体" w:cs="宋体"/>
                <w:b w:val="0"/>
                <w:color w:val="auto"/>
                <w:sz w:val="24"/>
                <w:szCs w:val="24"/>
                <w:highlight w:val="none"/>
                <w:lang w:val="en-US" w:eastAsia="zh-CN"/>
              </w:rPr>
              <w:t>参照后附</w:t>
            </w:r>
            <w:r>
              <w:rPr>
                <w:rStyle w:val="32"/>
                <w:rFonts w:hint="eastAsia" w:ascii="宋体" w:hAnsi="宋体" w:eastAsia="宋体" w:cs="宋体"/>
                <w:b w:val="0"/>
                <w:color w:val="auto"/>
                <w:sz w:val="24"/>
                <w:szCs w:val="24"/>
                <w:highlight w:val="none"/>
                <w:lang w:eastAsia="zh-CN"/>
              </w:rPr>
              <w:t>《</w:t>
            </w:r>
            <w:r>
              <w:rPr>
                <w:rStyle w:val="32"/>
                <w:rFonts w:hint="eastAsia" w:ascii="宋体" w:hAnsi="宋体" w:eastAsia="宋体" w:cs="宋体"/>
                <w:b w:val="0"/>
                <w:color w:val="auto"/>
                <w:sz w:val="24"/>
                <w:szCs w:val="24"/>
                <w:highlight w:val="none"/>
              </w:rPr>
              <w:t>工信部联企业〔2011〕300号</w:t>
            </w:r>
            <w:r>
              <w:rPr>
                <w:rStyle w:val="32"/>
                <w:rFonts w:hint="eastAsia" w:ascii="宋体" w:hAnsi="宋体" w:eastAsia="宋体" w:cs="宋体"/>
                <w:b w:val="0"/>
                <w:color w:val="auto"/>
                <w:sz w:val="24"/>
                <w:szCs w:val="24"/>
                <w:highlight w:val="none"/>
                <w:lang w:eastAsia="zh-CN"/>
              </w:rPr>
              <w:t>》</w:t>
            </w:r>
          </w:p>
        </w:tc>
        <w:tc>
          <w:tcPr>
            <w:tcW w:w="6700" w:type="dxa"/>
            <w:vAlign w:val="center"/>
          </w:tcPr>
          <w:p w14:paraId="56AC7DD6">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r>
              <w:rPr>
                <w:rFonts w:hint="eastAsia" w:ascii="宋体" w:hAnsi="宋体" w:eastAsia="宋体" w:cs="宋体"/>
                <w:color w:val="auto"/>
                <w:kern w:val="0"/>
                <w:sz w:val="24"/>
                <w:szCs w:val="24"/>
                <w:highlight w:val="none"/>
                <w:vertAlign w:val="baseline"/>
                <w:lang w:val="en-US" w:eastAsia="zh-CN" w:bidi="ar"/>
              </w:rPr>
              <w:t>其他未列明行业</w:t>
            </w:r>
          </w:p>
        </w:tc>
      </w:tr>
      <w:tr w14:paraId="4C8E5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72" w:hRule="atLeast"/>
        </w:trPr>
        <w:tc>
          <w:tcPr>
            <w:tcW w:w="970" w:type="dxa"/>
            <w:shd w:val="clear" w:color="auto" w:fill="auto"/>
            <w:vAlign w:val="center"/>
          </w:tcPr>
          <w:p w14:paraId="213F4586">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43.5</w:t>
            </w:r>
          </w:p>
        </w:tc>
        <w:tc>
          <w:tcPr>
            <w:tcW w:w="1738" w:type="dxa"/>
            <w:shd w:val="clear" w:color="auto" w:fill="auto"/>
            <w:vAlign w:val="center"/>
          </w:tcPr>
          <w:p w14:paraId="7C0C8321">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1D89079E">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产品纳入创新产品应用示范推荐目录内企业、所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产品获得节能产品或环境标志产品认证证书的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报价给予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74" w:hRule="atLeast"/>
        </w:trPr>
        <w:tc>
          <w:tcPr>
            <w:tcW w:w="970" w:type="dxa"/>
            <w:tcBorders>
              <w:right w:val="single" w:color="auto" w:sz="4" w:space="0"/>
            </w:tcBorders>
            <w:vAlign w:val="center"/>
          </w:tcPr>
          <w:p w14:paraId="08D3F63A">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738" w:type="dxa"/>
            <w:tcBorders>
              <w:left w:val="single" w:color="auto" w:sz="4" w:space="0"/>
              <w:right w:val="single" w:color="auto" w:sz="4" w:space="0"/>
            </w:tcBorders>
            <w:vAlign w:val="center"/>
          </w:tcPr>
          <w:p w14:paraId="651753D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5E3751D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合同融资政策</w:t>
            </w:r>
          </w:p>
        </w:tc>
        <w:tc>
          <w:tcPr>
            <w:tcW w:w="6700" w:type="dxa"/>
            <w:tcBorders>
              <w:left w:val="single" w:color="auto" w:sz="4" w:space="0"/>
            </w:tcBorders>
            <w:vAlign w:val="center"/>
          </w:tcPr>
          <w:p w14:paraId="4377B3E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有融资需求的中标人在获得政府采购中标通知书后，即可向开展“政采贷”业务的金融机构提出申请，金融机构依据政府采购中标通知书和政府采购合同，为中小微企业提供融资服务。</w:t>
            </w:r>
          </w:p>
          <w:p w14:paraId="247FAD7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渠道和方式：</w:t>
            </w:r>
            <w:r>
              <w:rPr>
                <w:rFonts w:hint="eastAsia" w:ascii="宋体" w:hAnsi="宋体" w:eastAsia="宋体" w:cs="宋体"/>
                <w:color w:val="auto"/>
                <w:sz w:val="24"/>
                <w:szCs w:val="24"/>
                <w:highlight w:val="none"/>
                <w:u w:val="single"/>
                <w:lang w:eastAsia="zh-CN"/>
              </w:rPr>
              <w:t>拨打金融服务热线</w:t>
            </w:r>
            <w:r>
              <w:rPr>
                <w:rFonts w:hint="eastAsia" w:ascii="宋体" w:hAnsi="宋体" w:eastAsia="宋体" w:cs="宋体"/>
                <w:color w:val="auto"/>
                <w:sz w:val="24"/>
                <w:szCs w:val="24"/>
                <w:highlight w:val="none"/>
                <w:u w:val="single"/>
                <w:lang w:val="en-US" w:eastAsia="zh-CN"/>
              </w:rPr>
              <w:t>95763咨询</w:t>
            </w:r>
            <w:r>
              <w:rPr>
                <w:rFonts w:hint="eastAsia" w:ascii="宋体" w:hAnsi="宋体" w:eastAsia="宋体" w:cs="宋体"/>
                <w:color w:val="auto"/>
                <w:sz w:val="24"/>
                <w:szCs w:val="24"/>
                <w:highlight w:val="none"/>
              </w:rPr>
              <w:t>。</w:t>
            </w:r>
          </w:p>
          <w:p w14:paraId="5D7FBF5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“政采贷”融资指引：在取得政府采购中标通知书后，可访问“</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，查看和联系第三方平台或者金融机构，商洽融资事项，确定融资意向。中标人签署政府采购中标合同后，登录“</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，选择意向产品进行申请，并填写相关信息，“</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将中标人融资申请信息推送第三方平台、意向金融机构。</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02" w:hRule="atLeast"/>
        </w:trPr>
        <w:tc>
          <w:tcPr>
            <w:tcW w:w="970" w:type="dxa"/>
            <w:tcBorders>
              <w:right w:val="single" w:color="auto" w:sz="4" w:space="0"/>
            </w:tcBorders>
            <w:vAlign w:val="center"/>
          </w:tcPr>
          <w:p w14:paraId="59449E7E">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tcBorders>
              <w:right w:val="single" w:color="auto" w:sz="4" w:space="0"/>
            </w:tcBorders>
            <w:vAlign w:val="center"/>
          </w:tcPr>
          <w:p w14:paraId="7068A1E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48509A24">
            <w:pPr>
              <w:pStyle w:val="48"/>
              <w:rPr>
                <w:rFonts w:hint="eastAsia" w:ascii="宋体" w:hAnsi="宋体" w:eastAsia="宋体" w:cs="宋体"/>
                <w:color w:val="auto"/>
                <w:sz w:val="24"/>
                <w:szCs w:val="24"/>
                <w:highlight w:val="none"/>
                <w:lang w:eastAsia="zh-CN"/>
              </w:rPr>
            </w:pPr>
            <w:r>
              <w:rPr>
                <w:rFonts w:hint="eastAsia" w:ascii="宋体" w:hAnsi="宋体"/>
                <w:color w:val="000000" w:themeColor="text1"/>
                <w:sz w:val="24"/>
                <w:szCs w:val="24"/>
                <w:lang w:val="en-US" w:eastAsia="zh-CN"/>
                <w14:textFill>
                  <w14:solidFill>
                    <w14:schemeClr w14:val="tx1"/>
                  </w14:solidFill>
                </w14:textFill>
              </w:rPr>
              <w:t>投标</w:t>
            </w:r>
            <w:r>
              <w:rPr>
                <w:rFonts w:hint="eastAsia" w:ascii="宋体" w:hAnsi="宋体"/>
                <w:color w:val="000000" w:themeColor="text1"/>
                <w:sz w:val="24"/>
                <w:szCs w:val="24"/>
                <w14:textFill>
                  <w14:solidFill>
                    <w14:schemeClr w14:val="tx1"/>
                  </w14:solidFill>
                </w14:textFill>
              </w:rPr>
              <w:t>单位在中标后，</w:t>
            </w:r>
            <w:r>
              <w:rPr>
                <w:rFonts w:hint="eastAsia" w:ascii="宋体" w:hAnsi="宋体"/>
                <w:color w:val="000000" w:themeColor="text1"/>
                <w:sz w:val="24"/>
                <w:szCs w:val="24"/>
                <w:lang w:val="en-US" w:eastAsia="zh-CN"/>
                <w14:textFill>
                  <w14:solidFill>
                    <w14:schemeClr w14:val="tx1"/>
                  </w14:solidFill>
                </w14:textFill>
              </w:rPr>
              <w:t>向</w:t>
            </w:r>
            <w:r>
              <w:rPr>
                <w:rFonts w:hint="eastAsia" w:ascii="宋体" w:hAnsi="宋体" w:eastAsia="宋体"/>
                <w:color w:val="000000" w:themeColor="text1"/>
                <w:sz w:val="24"/>
                <w:szCs w:val="24"/>
                <w:lang w:val="zh-CN" w:eastAsia="zh-CN"/>
                <w14:textFill>
                  <w14:solidFill>
                    <w14:schemeClr w14:val="tx1"/>
                  </w14:solidFill>
                </w14:textFill>
              </w:rPr>
              <w:t>新疆泰诚宏远工程管理咨询有限公司（新疆北屯市军垦街道昆仑街800-2-3）提交</w:t>
            </w:r>
            <w:r>
              <w:rPr>
                <w:rFonts w:hint="eastAsia" w:ascii="宋体" w:hAnsi="宋体"/>
                <w:color w:val="000000" w:themeColor="text1"/>
                <w:sz w:val="24"/>
                <w:szCs w:val="24"/>
                <w14:textFill>
                  <w14:solidFill>
                    <w14:schemeClr w14:val="tx1"/>
                  </w14:solidFill>
                </w14:textFill>
              </w:rPr>
              <w:t>2套纸质投标文件，纸质投标文件与网上提交的电子投标文件一致。</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前三年或前五年，以此类推。如：递交投标文件时间为  年  月  日，则“近三年”是指  年  月  日至  年  月  日。</w:t>
            </w:r>
          </w:p>
          <w:p w14:paraId="6F66C89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02BD92A9">
      <w:pPr>
        <w:rPr>
          <w:color w:val="auto"/>
          <w:highlight w:val="none"/>
        </w:rPr>
      </w:pPr>
    </w:p>
    <w:p w14:paraId="43A4992E">
      <w:pPr>
        <w:rPr>
          <w:rFonts w:hint="eastAsia" w:eastAsia="宋体" w:asciiTheme="majorHAnsi" w:hAnsiTheme="majorHAnsi" w:cstheme="majorBidi"/>
          <w:b/>
          <w:bCs/>
          <w:color w:val="auto"/>
          <w:kern w:val="2"/>
          <w:sz w:val="32"/>
          <w:szCs w:val="32"/>
          <w:highlight w:val="none"/>
          <w:lang w:val="en-US" w:eastAsia="zh-CN" w:bidi="ar-SA"/>
        </w:rPr>
      </w:pPr>
      <w:bookmarkStart w:id="107" w:name="_Toc155185869"/>
      <w:r>
        <w:rPr>
          <w:rFonts w:hint="eastAsia" w:eastAsia="宋体" w:asciiTheme="majorHAnsi" w:hAnsiTheme="majorHAnsi" w:cstheme="majorBidi"/>
          <w:b/>
          <w:bCs/>
          <w:color w:val="auto"/>
          <w:kern w:val="2"/>
          <w:sz w:val="32"/>
          <w:szCs w:val="32"/>
          <w:highlight w:val="none"/>
          <w:lang w:val="en-US" w:eastAsia="zh-CN" w:bidi="ar-SA"/>
        </w:rPr>
        <w:br w:type="page"/>
      </w:r>
    </w:p>
    <w:p w14:paraId="410914FC">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8" w:name="_Toc18554"/>
      <w:r>
        <w:rPr>
          <w:rFonts w:hint="eastAsia" w:eastAsia="宋体" w:asciiTheme="majorHAnsi" w:hAnsiTheme="majorHAnsi" w:cstheme="majorBidi"/>
          <w:b/>
          <w:bCs/>
          <w:color w:val="auto"/>
          <w:kern w:val="2"/>
          <w:sz w:val="28"/>
          <w:szCs w:val="28"/>
          <w:highlight w:val="none"/>
          <w:lang w:val="en-US" w:eastAsia="zh-CN" w:bidi="ar-SA"/>
        </w:rPr>
        <w:t>二、投标人须知</w:t>
      </w:r>
      <w:bookmarkEnd w:id="107"/>
      <w:bookmarkEnd w:id="108"/>
    </w:p>
    <w:p w14:paraId="604D77A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09" w:name="_Toc163492822"/>
      <w:bookmarkStart w:id="110" w:name="_Toc28135"/>
      <w:bookmarkStart w:id="111" w:name="_Toc9308"/>
      <w:bookmarkStart w:id="112" w:name="_Toc155185870"/>
      <w:bookmarkStart w:id="113" w:name="_Toc5011"/>
      <w:r>
        <w:rPr>
          <w:rFonts w:hint="eastAsia" w:ascii="宋体" w:hAnsi="宋体" w:eastAsia="宋体" w:cs="宋体"/>
          <w:b/>
          <w:bCs/>
          <w:color w:val="auto"/>
          <w:kern w:val="2"/>
          <w:sz w:val="24"/>
          <w:szCs w:val="24"/>
          <w:highlight w:val="none"/>
          <w:lang w:val="en-US" w:eastAsia="zh-CN" w:bidi="ar-SA"/>
        </w:rPr>
        <w:t>（一）总则</w:t>
      </w:r>
      <w:bookmarkEnd w:id="109"/>
      <w:bookmarkEnd w:id="110"/>
      <w:bookmarkEnd w:id="111"/>
      <w:bookmarkEnd w:id="112"/>
      <w:bookmarkEnd w:id="113"/>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4" w:name="_Toc31233"/>
      <w:bookmarkStart w:id="115" w:name="_Toc24126"/>
      <w:bookmarkStart w:id="116" w:name="_Toc163492823"/>
      <w:bookmarkStart w:id="117" w:name="_Toc155095689"/>
      <w:bookmarkStart w:id="118" w:name="_Toc1399"/>
      <w:bookmarkStart w:id="119" w:name="_Toc109897532"/>
      <w:bookmarkStart w:id="120" w:name="_Toc22777"/>
      <w:bookmarkStart w:id="121" w:name="_Toc109900469"/>
      <w:bookmarkStart w:id="122" w:name="_Toc109899631"/>
      <w:bookmarkStart w:id="123" w:name="_Toc109900050"/>
      <w:r>
        <w:rPr>
          <w:rFonts w:hint="eastAsia" w:ascii="宋体" w:hAnsi="宋体" w:eastAsia="宋体" w:cs="宋体"/>
          <w:b/>
          <w:bCs/>
          <w:color w:val="auto"/>
          <w:kern w:val="2"/>
          <w:sz w:val="24"/>
          <w:szCs w:val="24"/>
          <w:highlight w:val="none"/>
          <w:lang w:val="en-US" w:eastAsia="zh-CN" w:bidi="ar-SA"/>
        </w:rPr>
        <w:t>1.适用范围</w:t>
      </w:r>
      <w:bookmarkEnd w:id="114"/>
      <w:bookmarkEnd w:id="115"/>
      <w:bookmarkEnd w:id="116"/>
      <w:bookmarkEnd w:id="117"/>
      <w:bookmarkEnd w:id="118"/>
      <w:bookmarkEnd w:id="119"/>
      <w:bookmarkEnd w:id="120"/>
      <w:bookmarkEnd w:id="121"/>
      <w:bookmarkEnd w:id="122"/>
      <w:bookmarkEnd w:id="123"/>
    </w:p>
    <w:p w14:paraId="3896363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4" w:name="_Toc11043"/>
      <w:bookmarkStart w:id="125" w:name="_Toc11954"/>
      <w:bookmarkStart w:id="126" w:name="_Toc163492824"/>
      <w:bookmarkStart w:id="127" w:name="_Toc8394"/>
      <w:r>
        <w:rPr>
          <w:rFonts w:hint="eastAsia" w:ascii="宋体" w:hAnsi="宋体" w:eastAsia="宋体" w:cs="宋体"/>
          <w:b/>
          <w:bCs/>
          <w:color w:val="auto"/>
          <w:kern w:val="2"/>
          <w:sz w:val="24"/>
          <w:szCs w:val="24"/>
          <w:highlight w:val="none"/>
          <w:lang w:val="en-US" w:eastAsia="zh-CN" w:bidi="ar-SA"/>
        </w:rPr>
        <w:t>2.基本定义</w:t>
      </w:r>
      <w:bookmarkEnd w:id="124"/>
      <w:bookmarkEnd w:id="125"/>
      <w:bookmarkEnd w:id="126"/>
      <w:bookmarkEnd w:id="127"/>
    </w:p>
    <w:p w14:paraId="768D70C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lang w:val="en-US" w:eastAsia="zh-CN"/>
        </w:rPr>
        <w:t>委托的采购代理机构</w:t>
      </w:r>
      <w:r>
        <w:rPr>
          <w:rFonts w:hint="eastAsia" w:ascii="宋体" w:hAnsi="宋体" w:eastAsia="宋体" w:cs="宋体"/>
          <w:color w:val="auto"/>
          <w:sz w:val="24"/>
          <w:szCs w:val="24"/>
          <w:highlight w:val="none"/>
        </w:rPr>
        <w:t>。</w:t>
      </w:r>
    </w:p>
    <w:p w14:paraId="26D5074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 服务包含的内容见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w:t>
      </w:r>
    </w:p>
    <w:p w14:paraId="214DD75F">
      <w:pPr>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shd w:val="clear" w:color="auto" w:fill="FFFFFF" w:themeFill="background1"/>
        </w:rPr>
        <w:t>2.6投标人（也称“供应商”、“申请人”）：指向采购人提供货物、工程或者服务的法人、其他组织或者自然人。</w:t>
      </w:r>
      <w:r>
        <w:rPr>
          <w:rFonts w:hint="eastAsia" w:ascii="宋体" w:hAnsi="宋体" w:eastAsia="宋体" w:cs="宋体"/>
          <w:color w:val="auto"/>
          <w:sz w:val="24"/>
          <w:szCs w:val="24"/>
          <w:highlight w:val="none"/>
        </w:rPr>
        <w:t>分支机构不得参加政府采购活动，但银行、保险、石油石化、电力、电信等</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行业特殊</w:t>
      </w:r>
      <w:r>
        <w:rPr>
          <w:rFonts w:hint="eastAsia" w:ascii="宋体" w:hAnsi="宋体" w:eastAsia="宋体" w:cs="宋体"/>
          <w:color w:val="auto"/>
          <w:sz w:val="24"/>
          <w:szCs w:val="24"/>
          <w:highlight w:val="none"/>
          <w:lang w:val="en-US" w:eastAsia="zh-CN"/>
        </w:rPr>
        <w:t>情况的</w:t>
      </w:r>
      <w:r>
        <w:rPr>
          <w:rFonts w:hint="eastAsia" w:ascii="宋体" w:hAnsi="宋体" w:eastAsia="宋体" w:cs="宋体"/>
          <w:color w:val="auto"/>
          <w:sz w:val="24"/>
          <w:szCs w:val="24"/>
          <w:highlight w:val="none"/>
        </w:rPr>
        <w:t>除外。本项目的投标人须满足以下条件：</w:t>
      </w:r>
    </w:p>
    <w:p w14:paraId="2518C53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2.6.1具备《中华人民共和国政府采购法》第二十二条规定的条件，遵守本项目采购人本级和上级财政部门政府采购的有关规定。</w:t>
      </w:r>
    </w:p>
    <w:p w14:paraId="7674516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2.6.2以招标公告中发布的方式依法获得了本项目的招标文件。</w:t>
      </w:r>
    </w:p>
    <w:p w14:paraId="0DE24F0D">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2.6.3符合本招标文件规定并参加投标的供应商。</w:t>
      </w:r>
    </w:p>
    <w:p w14:paraId="5FC27D1B">
      <w:pPr>
        <w:pStyle w:val="36"/>
        <w:keepNext w:val="0"/>
        <w:keepLines w:val="0"/>
        <w:pageBreakBefore w:val="0"/>
        <w:widowControl w:val="0"/>
        <w:kinsoku/>
        <w:overflowPunct/>
        <w:topLinePunct w:val="0"/>
        <w:autoSpaceDE/>
        <w:autoSpaceDN/>
        <w:bidi w:val="0"/>
        <w:adjustRightIn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iCs/>
          <w:color w:val="auto"/>
          <w:sz w:val="24"/>
          <w:szCs w:val="24"/>
          <w:highlight w:val="none"/>
          <w:shd w:val="clear" w:color="auto" w:fill="FFFFFF" w:themeFill="background1"/>
        </w:rPr>
        <w:t>潜在投标人、潜在供应商</w:t>
      </w:r>
      <w:r>
        <w:rPr>
          <w:rFonts w:hint="eastAsia" w:ascii="宋体" w:hAnsi="宋体" w:eastAsia="宋体" w:cs="宋体"/>
          <w:iCs/>
          <w:color w:val="auto"/>
          <w:sz w:val="24"/>
          <w:szCs w:val="24"/>
          <w:highlight w:val="none"/>
          <w:shd w:val="clear" w:color="auto" w:fill="FFFFFF" w:themeFill="background1"/>
          <w:lang w:eastAsia="zh-CN"/>
        </w:rPr>
        <w:t>：</w:t>
      </w:r>
      <w:r>
        <w:rPr>
          <w:rFonts w:hint="eastAsia" w:ascii="宋体" w:hAnsi="宋体" w:eastAsia="宋体" w:cs="宋体"/>
          <w:iCs/>
          <w:color w:val="auto"/>
          <w:sz w:val="24"/>
          <w:szCs w:val="24"/>
          <w:highlight w:val="none"/>
          <w:shd w:val="clear" w:color="auto" w:fill="FFFFFF" w:themeFill="background1"/>
          <w:lang w:val="en-US" w:eastAsia="zh-CN"/>
        </w:rPr>
        <w:t>指</w:t>
      </w:r>
      <w:r>
        <w:rPr>
          <w:rFonts w:hint="eastAsia" w:ascii="宋体" w:hAnsi="宋体" w:eastAsia="宋体" w:cs="宋体"/>
          <w:color w:val="auto"/>
          <w:sz w:val="24"/>
          <w:szCs w:val="24"/>
          <w:highlight w:val="none"/>
          <w:lang w:val="en-US" w:eastAsia="zh-CN"/>
        </w:rPr>
        <w:t>符合本招标文件规定的供应商</w:t>
      </w:r>
      <w:r>
        <w:rPr>
          <w:rFonts w:hint="eastAsia" w:ascii="宋体" w:hAnsi="宋体" w:eastAsia="宋体" w:cs="宋体"/>
          <w:color w:val="auto"/>
          <w:sz w:val="24"/>
          <w:szCs w:val="24"/>
          <w:highlight w:val="none"/>
        </w:rPr>
        <w:t>。</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8" w:name="_Toc140132758"/>
      <w:bookmarkStart w:id="129" w:name="_Toc163492825"/>
      <w:bookmarkStart w:id="130" w:name="_Toc15923"/>
      <w:bookmarkStart w:id="131" w:name="_Toc22315"/>
      <w:bookmarkStart w:id="132" w:name="_Toc27150"/>
      <w:r>
        <w:rPr>
          <w:rFonts w:hint="eastAsia" w:ascii="宋体" w:hAnsi="宋体" w:eastAsia="宋体" w:cs="宋体"/>
          <w:b/>
          <w:bCs/>
          <w:color w:val="auto"/>
          <w:kern w:val="2"/>
          <w:sz w:val="24"/>
          <w:szCs w:val="24"/>
          <w:highlight w:val="none"/>
          <w:lang w:val="en-US" w:eastAsia="zh-CN" w:bidi="ar-SA"/>
        </w:rPr>
        <w:t>3.资金来源</w:t>
      </w:r>
      <w:bookmarkEnd w:id="128"/>
      <w:bookmarkEnd w:id="129"/>
      <w:bookmarkEnd w:id="130"/>
      <w:bookmarkEnd w:id="131"/>
      <w:bookmarkEnd w:id="132"/>
    </w:p>
    <w:p w14:paraId="76E8C14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3.1资金来源：</w:t>
      </w:r>
      <w:r>
        <w:rPr>
          <w:rFonts w:hint="eastAsia" w:ascii="宋体" w:hAnsi="宋体" w:eastAsia="宋体" w:cs="宋体"/>
          <w:color w:val="auto"/>
          <w:sz w:val="24"/>
          <w:szCs w:val="24"/>
          <w:highlight w:val="none"/>
          <w:lang w:val="en-US" w:eastAsia="zh-CN"/>
        </w:rPr>
        <w:t>为财政性资金即</w:t>
      </w:r>
      <w:r>
        <w:rPr>
          <w:rFonts w:hint="eastAsia" w:ascii="宋体" w:hAnsi="宋体" w:eastAsia="宋体" w:cs="宋体"/>
          <w:color w:val="auto"/>
          <w:sz w:val="24"/>
          <w:szCs w:val="24"/>
          <w:highlight w:val="none"/>
        </w:rPr>
        <w:t>纳入预算管理的资金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3" w:name="_Toc4285"/>
      <w:bookmarkStart w:id="134" w:name="_Toc163492826"/>
      <w:bookmarkStart w:id="135" w:name="_Toc21872"/>
      <w:bookmarkStart w:id="136" w:name="_Toc140132760"/>
      <w:bookmarkStart w:id="137" w:name="_Toc15559"/>
      <w:r>
        <w:rPr>
          <w:rFonts w:hint="eastAsia" w:ascii="宋体" w:hAnsi="宋体" w:eastAsia="宋体" w:cs="宋体"/>
          <w:b/>
          <w:bCs/>
          <w:color w:val="auto"/>
          <w:kern w:val="2"/>
          <w:sz w:val="24"/>
          <w:szCs w:val="24"/>
          <w:highlight w:val="none"/>
          <w:lang w:val="en-US" w:eastAsia="zh-CN" w:bidi="ar-SA"/>
        </w:rPr>
        <w:t>4.投标人资格要求</w:t>
      </w:r>
      <w:bookmarkEnd w:id="133"/>
      <w:bookmarkEnd w:id="134"/>
      <w:bookmarkEnd w:id="135"/>
      <w:bookmarkEnd w:id="136"/>
      <w:bookmarkEnd w:id="137"/>
    </w:p>
    <w:p w14:paraId="522AD9C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4.1投标人资格要求：见“</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p>
    <w:p w14:paraId="3B57853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lang w:val="zh-CN" w:eastAsia="zh-CN"/>
        </w:rPr>
        <w:t>”规定接受联合体投标的，还应遵守以下规定：</w:t>
      </w:r>
    </w:p>
    <w:p w14:paraId="512308F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1两个以上的自然人、法人或者其他组织可以组成一个联合体，以一个</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的身份共同参加政府采购。</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以联合体形式进行政府采购的，参加联合体的供应商均应当具备《</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iCs/>
          <w:color w:val="auto"/>
          <w:kern w:val="2"/>
          <w:sz w:val="24"/>
          <w:szCs w:val="24"/>
          <w:highlight w:val="none"/>
          <w:shd w:val="clear" w:color="auto" w:fill="FFFFFF" w:themeFill="background1"/>
          <w:lang w:val="zh-CN" w:eastAsia="zh-CN" w:bidi="ar-SA"/>
        </w:rPr>
        <w:t>》第二十二条规定的条件。</w:t>
      </w:r>
    </w:p>
    <w:p w14:paraId="7EFB49B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2.2</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联合体各方应按招标文件提供的格式签订联合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作为投标文件的一部分提交，该协议书对联合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Cs/>
          <w:color w:val="auto"/>
          <w:kern w:val="2"/>
          <w:sz w:val="24"/>
          <w:szCs w:val="24"/>
          <w:highlight w:val="none"/>
          <w:shd w:val="clear" w:color="auto" w:fill="FFFFFF" w:themeFill="background1"/>
          <w:lang w:val="zh-CN" w:eastAsia="zh-CN" w:bidi="ar-SA"/>
        </w:rPr>
        <w:t>均具有法律约束力。</w:t>
      </w:r>
    </w:p>
    <w:p w14:paraId="5343E5B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4.2.3</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Cs/>
          <w:color w:val="auto"/>
          <w:kern w:val="2"/>
          <w:sz w:val="24"/>
          <w:szCs w:val="24"/>
          <w:highlight w:val="none"/>
          <w:shd w:val="clear" w:color="auto" w:fill="FFFFFF" w:themeFill="background1"/>
          <w:lang w:val="en-US" w:eastAsia="zh-CN" w:bidi="ar-SA"/>
        </w:rPr>
        <w:t>同一合同项下的</w:t>
      </w:r>
      <w:r>
        <w:rPr>
          <w:rFonts w:hint="eastAsia" w:ascii="宋体" w:hAnsi="宋体" w:eastAsia="宋体" w:cs="宋体"/>
          <w:iCs/>
          <w:color w:val="auto"/>
          <w:kern w:val="2"/>
          <w:sz w:val="24"/>
          <w:szCs w:val="24"/>
          <w:highlight w:val="none"/>
          <w:shd w:val="clear" w:color="auto" w:fill="FFFFFF" w:themeFill="background1"/>
          <w:lang w:val="zh-CN" w:eastAsia="zh-CN" w:bidi="ar-SA"/>
        </w:rPr>
        <w:t>投标，否则相关投标将被认定为</w:t>
      </w:r>
      <w:r>
        <w:rPr>
          <w:rFonts w:hint="eastAsia" w:ascii="宋体" w:hAnsi="宋体" w:eastAsia="宋体" w:cs="宋体"/>
          <w:b/>
          <w:bCs/>
          <w:iCs/>
          <w:color w:val="auto"/>
          <w:kern w:val="2"/>
          <w:sz w:val="24"/>
          <w:szCs w:val="24"/>
          <w:highlight w:val="none"/>
          <w:shd w:val="clear" w:color="auto" w:fill="FFFFFF" w:themeFill="background1"/>
          <w:lang w:val="zh-CN" w:eastAsia="zh-CN" w:bidi="ar-SA"/>
        </w:rPr>
        <w:t>投标无效</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2E60D00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宋体"/>
          <w:iCs/>
          <w:color w:val="auto"/>
          <w:kern w:val="2"/>
          <w:sz w:val="24"/>
          <w:szCs w:val="24"/>
          <w:highlight w:val="none"/>
          <w:shd w:val="clear" w:color="auto" w:fill="FFFFFF" w:themeFill="background1"/>
          <w:lang w:val="en-US" w:eastAsia="zh-CN" w:bidi="ar-SA"/>
        </w:rPr>
        <w:t>的</w:t>
      </w:r>
      <w:r>
        <w:rPr>
          <w:rFonts w:hint="eastAsia" w:ascii="宋体" w:hAnsi="宋体" w:eastAsia="宋体" w:cs="宋体"/>
          <w:iCs/>
          <w:color w:val="auto"/>
          <w:kern w:val="2"/>
          <w:sz w:val="24"/>
          <w:szCs w:val="24"/>
          <w:highlight w:val="none"/>
          <w:shd w:val="clear" w:color="auto" w:fill="FFFFFF" w:themeFill="background1"/>
          <w:lang w:val="zh-CN" w:eastAsia="zh-CN" w:bidi="ar-SA"/>
        </w:rPr>
        <w:t>，联合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投标</w:t>
      </w:r>
      <w:r>
        <w:rPr>
          <w:rFonts w:hint="eastAsia" w:ascii="宋体" w:hAnsi="宋体" w:eastAsia="宋体" w:cs="宋体"/>
          <w:iCs/>
          <w:color w:val="auto"/>
          <w:kern w:val="2"/>
          <w:sz w:val="24"/>
          <w:szCs w:val="24"/>
          <w:highlight w:val="none"/>
          <w:shd w:val="clear" w:color="auto" w:fill="FFFFFF" w:themeFill="background1"/>
          <w:lang w:val="en-US" w:eastAsia="zh-CN" w:bidi="ar-SA"/>
        </w:rPr>
        <w:t>合同</w:t>
      </w:r>
      <w:r>
        <w:rPr>
          <w:rFonts w:hint="eastAsia" w:ascii="宋体" w:hAnsi="宋体" w:eastAsia="宋体" w:cs="宋体"/>
          <w:iCs/>
          <w:color w:val="auto"/>
          <w:kern w:val="2"/>
          <w:sz w:val="24"/>
          <w:szCs w:val="24"/>
          <w:highlight w:val="none"/>
          <w:shd w:val="clear" w:color="auto" w:fill="FFFFFF" w:themeFill="background1"/>
          <w:lang w:val="zh-CN" w:eastAsia="zh-CN" w:bidi="ar-SA"/>
        </w:rPr>
        <w:t>总金额的比例。</w:t>
      </w:r>
    </w:p>
    <w:p w14:paraId="7127D16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.6</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联合体中标</w:t>
      </w:r>
      <w:r>
        <w:rPr>
          <w:rFonts w:hint="eastAsia" w:ascii="宋体" w:hAnsi="宋体" w:eastAsia="宋体" w:cs="宋体"/>
          <w:iCs/>
          <w:color w:val="auto"/>
          <w:kern w:val="2"/>
          <w:sz w:val="24"/>
          <w:szCs w:val="24"/>
          <w:highlight w:val="none"/>
          <w:shd w:val="clear" w:color="auto" w:fill="FFFFFF" w:themeFill="background1"/>
          <w:lang w:val="en-US" w:eastAsia="zh-CN" w:bidi="ar-SA"/>
        </w:rPr>
        <w:t>的</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采购</w:t>
      </w:r>
      <w:r>
        <w:rPr>
          <w:rFonts w:hint="eastAsia" w:ascii="宋体" w:hAnsi="宋体" w:eastAsia="宋体" w:cs="宋体"/>
          <w:iCs/>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Cs/>
          <w:color w:val="auto"/>
          <w:kern w:val="2"/>
          <w:sz w:val="24"/>
          <w:szCs w:val="24"/>
          <w:highlight w:val="none"/>
          <w:shd w:val="clear" w:color="auto" w:fill="FFFFFF" w:themeFill="background1"/>
          <w:lang w:val="en-US" w:eastAsia="zh-CN" w:bidi="ar-SA"/>
        </w:rPr>
        <w:t>及</w:t>
      </w:r>
      <w:r>
        <w:rPr>
          <w:rFonts w:hint="eastAsia" w:ascii="宋体" w:hAnsi="宋体" w:eastAsia="宋体" w:cs="宋体"/>
          <w:iCs/>
          <w:color w:val="auto"/>
          <w:kern w:val="2"/>
          <w:sz w:val="24"/>
          <w:szCs w:val="24"/>
          <w:highlight w:val="none"/>
          <w:shd w:val="clear" w:color="auto" w:fill="FFFFFF" w:themeFill="background1"/>
          <w:lang w:val="zh-CN" w:eastAsia="zh-CN" w:bidi="ar-SA"/>
        </w:rPr>
        <w:t>加盖</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Cs/>
          <w:color w:val="auto"/>
          <w:kern w:val="2"/>
          <w:sz w:val="24"/>
          <w:szCs w:val="24"/>
          <w:highlight w:val="none"/>
          <w:shd w:val="clear" w:color="auto" w:fill="FFFFFF" w:themeFill="background1"/>
          <w:lang w:val="en-US" w:eastAsia="zh-CN" w:bidi="ar-SA"/>
        </w:rPr>
        <w:t>并</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.7</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Cs/>
          <w:color w:val="auto"/>
          <w:kern w:val="2"/>
          <w:sz w:val="24"/>
          <w:szCs w:val="24"/>
          <w:highlight w:val="none"/>
          <w:shd w:val="clear" w:color="auto" w:fill="FFFFFF" w:themeFill="background1"/>
          <w:lang w:val="en-US" w:eastAsia="zh-CN" w:bidi="ar-SA"/>
        </w:rPr>
        <w:t>人</w:t>
      </w:r>
      <w:r>
        <w:rPr>
          <w:rFonts w:hint="eastAsia" w:ascii="宋体" w:hAnsi="宋体" w:eastAsia="宋体" w:cs="宋体"/>
          <w:iCs/>
          <w:color w:val="auto"/>
          <w:kern w:val="2"/>
          <w:sz w:val="24"/>
          <w:szCs w:val="24"/>
          <w:highlight w:val="none"/>
          <w:shd w:val="clear" w:color="auto" w:fill="FFFFFF" w:themeFill="background1"/>
          <w:lang w:val="zh-CN" w:eastAsia="zh-CN" w:bidi="ar-SA"/>
        </w:rPr>
        <w:t>书面同意并且须遵守相关法律、法规、本次招标的全部相关规定。</w:t>
      </w:r>
    </w:p>
    <w:p w14:paraId="7D2803A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8</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对联合体投标的其他资格要求见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中的“二、</w:t>
      </w:r>
      <w:r>
        <w:rPr>
          <w:rFonts w:hint="eastAsia" w:ascii="宋体" w:hAnsi="宋体" w:eastAsia="宋体" w:cs="宋体"/>
          <w:iCs/>
          <w:color w:val="auto"/>
          <w:kern w:val="2"/>
          <w:sz w:val="24"/>
          <w:szCs w:val="24"/>
          <w:highlight w:val="none"/>
          <w:shd w:val="clear" w:color="auto" w:fill="FFFFFF" w:themeFill="background1"/>
          <w:lang w:val="en-US" w:eastAsia="zh-CN" w:bidi="ar-SA"/>
        </w:rPr>
        <w:t>申请人的</w:t>
      </w:r>
      <w:r>
        <w:rPr>
          <w:rFonts w:hint="eastAsia" w:ascii="宋体" w:hAnsi="宋体" w:eastAsia="宋体" w:cs="宋体"/>
          <w:iCs/>
          <w:color w:val="auto"/>
          <w:kern w:val="2"/>
          <w:sz w:val="24"/>
          <w:szCs w:val="24"/>
          <w:highlight w:val="none"/>
          <w:shd w:val="clear" w:color="auto" w:fill="FFFFFF" w:themeFill="background1"/>
          <w:lang w:val="zh-CN" w:eastAsia="zh-CN" w:bidi="ar-SA"/>
        </w:rPr>
        <w:t>资格</w:t>
      </w:r>
      <w:r>
        <w:rPr>
          <w:rFonts w:hint="eastAsia" w:ascii="宋体" w:hAnsi="宋体" w:eastAsia="宋体" w:cs="宋体"/>
          <w:iCs/>
          <w:color w:val="auto"/>
          <w:kern w:val="2"/>
          <w:sz w:val="24"/>
          <w:szCs w:val="24"/>
          <w:highlight w:val="none"/>
          <w:shd w:val="clear" w:color="auto" w:fill="FFFFFF" w:themeFill="background1"/>
          <w:lang w:val="en-US" w:eastAsia="zh-CN" w:bidi="ar-SA"/>
        </w:rPr>
        <w:t>要求”</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8" w:name="_Toc1799"/>
      <w:bookmarkStart w:id="139" w:name="_Toc163492827"/>
      <w:bookmarkStart w:id="140" w:name="_Toc19194"/>
      <w:bookmarkStart w:id="141" w:name="_Toc18213"/>
      <w:r>
        <w:rPr>
          <w:rFonts w:hint="eastAsia" w:ascii="宋体" w:hAnsi="宋体" w:eastAsia="宋体" w:cs="宋体"/>
          <w:b/>
          <w:bCs/>
          <w:color w:val="auto"/>
          <w:kern w:val="2"/>
          <w:sz w:val="24"/>
          <w:szCs w:val="24"/>
          <w:highlight w:val="none"/>
          <w:lang w:val="en-US" w:eastAsia="zh-CN" w:bidi="ar-SA"/>
        </w:rPr>
        <w:t>5.费用承担</w:t>
      </w:r>
      <w:bookmarkEnd w:id="138"/>
      <w:bookmarkEnd w:id="139"/>
      <w:bookmarkEnd w:id="140"/>
      <w:bookmarkEnd w:id="141"/>
    </w:p>
    <w:p w14:paraId="3C6741ED">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2" w:name="_Toc29375"/>
      <w:bookmarkStart w:id="143" w:name="_Toc163492828"/>
      <w:bookmarkStart w:id="144" w:name="_Toc19870"/>
      <w:bookmarkStart w:id="145" w:name="_Toc140132761"/>
      <w:bookmarkStart w:id="146" w:name="_Toc12320"/>
      <w:r>
        <w:rPr>
          <w:rFonts w:hint="eastAsia" w:ascii="宋体" w:hAnsi="宋体" w:eastAsia="宋体" w:cs="宋体"/>
          <w:b/>
          <w:bCs/>
          <w:color w:val="auto"/>
          <w:kern w:val="2"/>
          <w:sz w:val="24"/>
          <w:szCs w:val="24"/>
          <w:highlight w:val="none"/>
          <w:lang w:val="en-US" w:eastAsia="zh-CN" w:bidi="ar-SA"/>
        </w:rPr>
        <w:t>6.保密</w:t>
      </w:r>
      <w:bookmarkEnd w:id="142"/>
      <w:bookmarkEnd w:id="143"/>
      <w:bookmarkEnd w:id="144"/>
      <w:bookmarkEnd w:id="145"/>
      <w:bookmarkEnd w:id="146"/>
    </w:p>
    <w:p w14:paraId="7CBA93F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2947ABFF">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2 </w:t>
      </w:r>
      <w:r>
        <w:rPr>
          <w:rFonts w:hint="eastAsia" w:ascii="宋体" w:hAnsi="宋体" w:eastAsia="宋体" w:cs="宋体"/>
          <w:color w:val="auto"/>
          <w:kern w:val="2"/>
          <w:sz w:val="24"/>
          <w:szCs w:val="24"/>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3 </w:t>
      </w:r>
      <w:r>
        <w:rPr>
          <w:rFonts w:hint="eastAsia" w:ascii="宋体" w:hAnsi="宋体" w:eastAsia="宋体" w:cs="宋体"/>
          <w:color w:val="auto"/>
          <w:kern w:val="2"/>
          <w:sz w:val="24"/>
          <w:szCs w:val="24"/>
          <w:highlight w:val="none"/>
        </w:rPr>
        <w:t>采购代理机构有权将投标人提供的所有资料向有关政府部门或评审</w:t>
      </w:r>
      <w:r>
        <w:rPr>
          <w:rFonts w:hint="eastAsia" w:ascii="宋体" w:hAnsi="宋体" w:eastAsia="宋体" w:cs="宋体"/>
          <w:color w:val="auto"/>
          <w:kern w:val="2"/>
          <w:sz w:val="24"/>
          <w:szCs w:val="24"/>
          <w:highlight w:val="none"/>
          <w:lang w:val="en-US" w:eastAsia="zh-CN"/>
        </w:rPr>
        <w:t>投标文件</w:t>
      </w:r>
      <w:r>
        <w:rPr>
          <w:rFonts w:hint="eastAsia" w:ascii="宋体" w:hAnsi="宋体" w:eastAsia="宋体" w:cs="宋体"/>
          <w:color w:val="auto"/>
          <w:kern w:val="2"/>
          <w:sz w:val="24"/>
          <w:szCs w:val="24"/>
          <w:highlight w:val="none"/>
        </w:rPr>
        <w:t>的有关人员披露。</w:t>
      </w:r>
    </w:p>
    <w:p w14:paraId="0EE6357E">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color w:val="auto"/>
          <w:kern w:val="2"/>
          <w:sz w:val="24"/>
          <w:szCs w:val="24"/>
          <w:highlight w:val="none"/>
        </w:rPr>
        <w:t>。</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7" w:name="_Toc489"/>
      <w:bookmarkStart w:id="148" w:name="_Toc140132762"/>
      <w:bookmarkStart w:id="149" w:name="_Toc2247"/>
      <w:bookmarkStart w:id="150" w:name="_Toc23819"/>
      <w:bookmarkStart w:id="151" w:name="_Toc163492829"/>
      <w:r>
        <w:rPr>
          <w:rFonts w:hint="eastAsia" w:ascii="宋体" w:hAnsi="宋体" w:eastAsia="宋体" w:cs="宋体"/>
          <w:b/>
          <w:bCs/>
          <w:color w:val="auto"/>
          <w:kern w:val="2"/>
          <w:sz w:val="24"/>
          <w:szCs w:val="24"/>
          <w:highlight w:val="none"/>
          <w:lang w:val="en-US" w:eastAsia="zh-CN" w:bidi="ar-SA"/>
        </w:rPr>
        <w:t>7.语言文字</w:t>
      </w:r>
      <w:bookmarkEnd w:id="147"/>
      <w:bookmarkEnd w:id="148"/>
      <w:bookmarkEnd w:id="149"/>
      <w:bookmarkEnd w:id="150"/>
      <w:bookmarkEnd w:id="151"/>
    </w:p>
    <w:p w14:paraId="2514093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7.1招标投标</w:t>
      </w:r>
      <w:r>
        <w:rPr>
          <w:rFonts w:hint="eastAsia" w:ascii="宋体" w:hAnsi="宋体" w:eastAsia="宋体" w:cs="宋体"/>
          <w:color w:val="auto"/>
          <w:sz w:val="24"/>
          <w:szCs w:val="24"/>
          <w:highlight w:val="none"/>
          <w:lang w:val="en-US" w:eastAsia="zh-CN"/>
        </w:rPr>
        <w:t>过程</w:t>
      </w:r>
      <w:r>
        <w:rPr>
          <w:rFonts w:hint="eastAsia" w:ascii="宋体" w:hAnsi="宋体" w:eastAsia="宋体" w:cs="宋体"/>
          <w:color w:val="auto"/>
          <w:sz w:val="24"/>
          <w:szCs w:val="24"/>
          <w:highlight w:val="none"/>
        </w:rPr>
        <w:t>文件使用的语言文字为中文。专用术语使用外文的，应附有中文注释。</w:t>
      </w:r>
      <w:r>
        <w:rPr>
          <w:rFonts w:hint="eastAsia" w:ascii="宋体" w:hAnsi="宋体" w:eastAsia="宋体" w:cs="宋体"/>
          <w:color w:val="auto"/>
          <w:sz w:val="24"/>
          <w:szCs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2" w:name="_Toc140132763"/>
      <w:bookmarkStart w:id="153" w:name="_Toc18687"/>
      <w:bookmarkStart w:id="154" w:name="_Toc9364"/>
      <w:bookmarkStart w:id="155" w:name="_Toc23417"/>
      <w:bookmarkStart w:id="156" w:name="_Toc163492830"/>
      <w:r>
        <w:rPr>
          <w:rFonts w:hint="eastAsia" w:ascii="宋体" w:hAnsi="宋体" w:eastAsia="宋体" w:cs="宋体"/>
          <w:b/>
          <w:bCs/>
          <w:color w:val="auto"/>
          <w:kern w:val="2"/>
          <w:sz w:val="24"/>
          <w:szCs w:val="24"/>
          <w:highlight w:val="none"/>
          <w:lang w:val="en-US" w:eastAsia="zh-CN" w:bidi="ar-SA"/>
        </w:rPr>
        <w:t>8.计量单位</w:t>
      </w:r>
      <w:bookmarkEnd w:id="152"/>
      <w:bookmarkEnd w:id="153"/>
      <w:bookmarkEnd w:id="154"/>
      <w:bookmarkEnd w:id="155"/>
      <w:bookmarkEnd w:id="156"/>
    </w:p>
    <w:p w14:paraId="45A7AE5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7" w:name="_Toc163492831"/>
      <w:bookmarkStart w:id="158" w:name="_Toc31192"/>
      <w:bookmarkStart w:id="159" w:name="_Toc11937"/>
      <w:bookmarkStart w:id="160" w:name="_Toc11023"/>
      <w:bookmarkStart w:id="161" w:name="_Toc140132764"/>
      <w:r>
        <w:rPr>
          <w:rFonts w:hint="eastAsia" w:ascii="宋体" w:hAnsi="宋体" w:eastAsia="宋体" w:cs="宋体"/>
          <w:b/>
          <w:bCs/>
          <w:color w:val="auto"/>
          <w:kern w:val="2"/>
          <w:sz w:val="24"/>
          <w:szCs w:val="24"/>
          <w:highlight w:val="none"/>
          <w:lang w:val="en-US" w:eastAsia="zh-CN" w:bidi="ar-SA"/>
        </w:rPr>
        <w:t>9.现场考察和答疑会</w:t>
      </w:r>
      <w:bookmarkEnd w:id="157"/>
      <w:bookmarkEnd w:id="158"/>
      <w:bookmarkEnd w:id="159"/>
      <w:bookmarkEnd w:id="160"/>
      <w:bookmarkEnd w:id="161"/>
    </w:p>
    <w:p w14:paraId="5A8B8C4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162" w:name="_Hlk143529198"/>
      <w:r>
        <w:rPr>
          <w:rFonts w:hint="eastAsia" w:ascii="宋体" w:hAnsi="宋体" w:eastAsia="宋体" w:cs="宋体"/>
          <w:color w:val="auto"/>
          <w:sz w:val="24"/>
          <w:szCs w:val="24"/>
          <w:highlight w:val="none"/>
        </w:rPr>
        <w:t xml:space="preserve">9.1 “投标人须知前附表”规定组织现场考察的，采购代理机构按“投标人须知前附表”规定的时间、地点组织投标人项目现场考察。 </w:t>
      </w:r>
    </w:p>
    <w:p w14:paraId="5F8A235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投标人现场考察发生的费用自理。</w:t>
      </w:r>
    </w:p>
    <w:p w14:paraId="199A48B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在现场考察中，因投标人自身原因发生的人员伤亡和财产损失，由投标人自行负责。</w:t>
      </w:r>
    </w:p>
    <w:p w14:paraId="6F1F6A2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“投标人须知前附表”规定召开答疑会的，采购代理机构按“投标人须知前附表”规定的时间和地点召开答疑会，澄清投标人提出的问题。</w:t>
      </w:r>
    </w:p>
    <w:p w14:paraId="009438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62"/>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63" w:name="_Toc28644"/>
      <w:bookmarkStart w:id="164" w:name="_Toc24524"/>
      <w:bookmarkStart w:id="165" w:name="_Toc3693"/>
      <w:bookmarkStart w:id="166" w:name="_Toc155185858"/>
      <w:bookmarkStart w:id="167" w:name="_Toc163492833"/>
      <w:bookmarkStart w:id="168" w:name="_Toc155185871"/>
      <w:r>
        <w:rPr>
          <w:rFonts w:hint="eastAsia" w:ascii="宋体" w:hAnsi="宋体" w:eastAsia="宋体" w:cs="宋体"/>
          <w:b/>
          <w:bCs/>
          <w:color w:val="auto"/>
          <w:kern w:val="2"/>
          <w:sz w:val="24"/>
          <w:szCs w:val="24"/>
          <w:highlight w:val="none"/>
          <w:lang w:val="en-US" w:eastAsia="zh-CN" w:bidi="ar-SA"/>
        </w:rPr>
        <w:t>10.电子投标说明</w:t>
      </w:r>
      <w:bookmarkEnd w:id="163"/>
      <w:bookmarkEnd w:id="164"/>
      <w:bookmarkEnd w:id="165"/>
      <w:bookmarkEnd w:id="166"/>
      <w:bookmarkEnd w:id="167"/>
      <w:r>
        <w:rPr>
          <w:rFonts w:hint="eastAsia" w:ascii="宋体" w:hAnsi="宋体" w:eastAsia="宋体" w:cs="宋体"/>
          <w:b/>
          <w:bCs/>
          <w:color w:val="auto"/>
          <w:kern w:val="2"/>
          <w:sz w:val="24"/>
          <w:szCs w:val="24"/>
          <w:highlight w:val="none"/>
          <w:lang w:val="en-US" w:eastAsia="zh-CN" w:bidi="ar-SA"/>
        </w:rPr>
        <w:t xml:space="preserve">   </w:t>
      </w:r>
    </w:p>
    <w:p w14:paraId="1885013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10.1 </w:t>
      </w:r>
      <w:r>
        <w:rPr>
          <w:rFonts w:hint="eastAsia" w:ascii="宋体" w:hAnsi="宋体" w:eastAsia="宋体" w:cs="宋体"/>
          <w:color w:val="auto"/>
          <w:sz w:val="24"/>
          <w:szCs w:val="24"/>
          <w:highlight w:val="none"/>
        </w:rPr>
        <w:t>本次采购采用电子交易方式，电子交易平台为</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。投标人参与本项目电子交易活动前，应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政</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rPr>
        <w:t>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注册</w:t>
      </w:r>
      <w:r>
        <w:rPr>
          <w:rFonts w:hint="eastAsia" w:ascii="宋体" w:hAnsi="宋体" w:eastAsia="宋体" w:cs="宋体"/>
          <w:color w:val="auto"/>
          <w:sz w:val="24"/>
          <w:szCs w:val="24"/>
          <w:highlight w:val="none"/>
          <w:lang w:val="en-US" w:eastAsia="zh-CN"/>
        </w:rPr>
        <w:t>供应商账号</w:t>
      </w:r>
      <w:r>
        <w:rPr>
          <w:rFonts w:hint="eastAsia" w:ascii="宋体" w:hAnsi="宋体" w:eastAsia="宋体" w:cs="宋体"/>
          <w:color w:val="auto"/>
          <w:sz w:val="24"/>
          <w:szCs w:val="24"/>
          <w:highlight w:val="none"/>
        </w:rPr>
        <w:t>。编制电子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文件前还需</w:t>
      </w:r>
      <w:r>
        <w:rPr>
          <w:rFonts w:hint="eastAsia" w:ascii="宋体" w:hAnsi="宋体" w:eastAsia="宋体" w:cs="宋体"/>
          <w:color w:val="auto"/>
          <w:sz w:val="24"/>
          <w:szCs w:val="24"/>
          <w:highlight w:val="none"/>
          <w:lang w:val="en-US" w:eastAsia="zh-CN"/>
        </w:rPr>
        <w:t>申领CA证书并绑定帐号。投标人应充分考虑完成平台注册、申领CA证书等所需的时间。</w:t>
      </w:r>
      <w:r>
        <w:rPr>
          <w:rFonts w:hint="eastAsia" w:ascii="宋体" w:hAnsi="宋体" w:eastAsia="宋体" w:cs="宋体"/>
          <w:color w:val="auto"/>
          <w:sz w:val="24"/>
          <w:szCs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登录兵团政府采购网“供应商注册”—“新疆生产建设兵团政府采购供应商入驻登记”—“立即登记”进行自助注册绑定。</w:t>
      </w:r>
    </w:p>
    <w:p w14:paraId="091665A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投标人将</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平台电子交易客户端下载、安装完成后，可通过账号密码或CA登录客户端进行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制作。在使用政采云投标客户端时，建议使用WIN7及以上操作系统。</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登录兵团政府采购网“下载专区”—“电子招投标客户端下载”下载相关客户端，如有问题可拨打政采云客户服务热线95763进行咨询。</w:t>
      </w:r>
    </w:p>
    <w:p w14:paraId="1A54E8F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加密的电子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递交截止时间前通过政采云平台上传完成。逾期上传或者未上传指定地点的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，不予受理。</w:t>
      </w:r>
    </w:p>
    <w:p w14:paraId="02317D0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投标人在开标前须提前配置好电脑</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浏览器，开标时请使用制作加密电子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的CA锁进行解密及报价确认。本项目</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解密时间</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，如因自身原因导致无法正常解密，后果由投标人自行承担。</w:t>
      </w:r>
    </w:p>
    <w:p w14:paraId="6EDA716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如遇“</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”电子交易规则调整，以最新要求为准。</w:t>
      </w:r>
    </w:p>
    <w:p w14:paraId="733157B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 电子交易系统咨询：投标人应当充分考虑到电子投标可能会发生的各种问题和风险，特别是投标文件签署、提交等问题，可按照“第一章 招标公告”的联系方式咨询相关人员。</w:t>
      </w:r>
    </w:p>
    <w:p w14:paraId="06DEE05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69" w:name="_Toc2746"/>
      <w:bookmarkStart w:id="170" w:name="_Toc26264"/>
      <w:bookmarkStart w:id="171" w:name="_Toc28416"/>
      <w:bookmarkStart w:id="172" w:name="_Toc163492834"/>
      <w:r>
        <w:rPr>
          <w:rFonts w:hint="eastAsia" w:ascii="宋体" w:hAnsi="宋体" w:eastAsia="宋体" w:cs="宋体"/>
          <w:b/>
          <w:bCs/>
          <w:color w:val="auto"/>
          <w:kern w:val="2"/>
          <w:sz w:val="24"/>
          <w:szCs w:val="24"/>
          <w:highlight w:val="none"/>
          <w:lang w:val="en-US" w:eastAsia="zh-CN" w:bidi="ar-SA"/>
        </w:rPr>
        <w:t>（二）招标文件</w:t>
      </w:r>
      <w:bookmarkEnd w:id="168"/>
      <w:bookmarkEnd w:id="169"/>
      <w:bookmarkEnd w:id="170"/>
      <w:bookmarkEnd w:id="171"/>
      <w:bookmarkEnd w:id="172"/>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3" w:name="_Toc8199"/>
      <w:bookmarkStart w:id="174" w:name="_Toc24748"/>
      <w:bookmarkStart w:id="175" w:name="_Toc140132768"/>
      <w:bookmarkStart w:id="176" w:name="_Toc21231"/>
      <w:bookmarkStart w:id="177" w:name="_Toc163492835"/>
      <w:r>
        <w:rPr>
          <w:rFonts w:hint="eastAsia" w:ascii="宋体" w:hAnsi="宋体" w:eastAsia="宋体" w:cs="宋体"/>
          <w:b/>
          <w:bCs/>
          <w:color w:val="auto"/>
          <w:kern w:val="2"/>
          <w:sz w:val="24"/>
          <w:szCs w:val="24"/>
          <w:highlight w:val="none"/>
          <w:lang w:val="en-US" w:eastAsia="zh-CN" w:bidi="ar-SA"/>
        </w:rPr>
        <w:t>11.招标文件的组成</w:t>
      </w:r>
      <w:bookmarkEnd w:id="173"/>
      <w:bookmarkEnd w:id="174"/>
      <w:bookmarkEnd w:id="175"/>
      <w:bookmarkEnd w:id="176"/>
      <w:bookmarkEnd w:id="177"/>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.1本招标文件包括下列文件及根据本章第9款、第1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8" w:name="_Toc23749"/>
      <w:bookmarkStart w:id="179" w:name="_Toc163492836"/>
      <w:bookmarkStart w:id="180" w:name="_Toc1043"/>
      <w:bookmarkStart w:id="181" w:name="_Toc140132769"/>
      <w:bookmarkStart w:id="182" w:name="_Toc19359"/>
      <w:r>
        <w:rPr>
          <w:rFonts w:hint="eastAsia" w:ascii="宋体" w:hAnsi="宋体" w:eastAsia="宋体" w:cs="宋体"/>
          <w:b/>
          <w:bCs/>
          <w:color w:val="auto"/>
          <w:kern w:val="2"/>
          <w:sz w:val="24"/>
          <w:szCs w:val="24"/>
          <w:highlight w:val="none"/>
          <w:lang w:val="en-US" w:eastAsia="zh-CN" w:bidi="ar-SA"/>
        </w:rPr>
        <w:t>12.招标文件的询问、澄清或者修改</w:t>
      </w:r>
      <w:bookmarkEnd w:id="178"/>
      <w:bookmarkEnd w:id="179"/>
      <w:bookmarkEnd w:id="180"/>
      <w:bookmarkEnd w:id="181"/>
      <w:bookmarkEnd w:id="182"/>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投标人在规定的时间内未对招标文件提出疑问或要求澄清的，采购代理机构将视其为同意，对在“投标人须知前附表”中“</w:t>
      </w:r>
      <w:r>
        <w:rPr>
          <w:rFonts w:hint="eastAsia" w:ascii="宋体" w:hAnsi="宋体" w:eastAsia="宋体" w:cs="宋体"/>
          <w:color w:val="auto"/>
          <w:sz w:val="24"/>
          <w:szCs w:val="24"/>
          <w:highlight w:val="none"/>
          <w:lang w:val="en-US" w:eastAsia="zh-CN"/>
        </w:rPr>
        <w:t>提出询问的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采购人或者采购代理机构可以对已发出的招标文件进行必要的澄清或者修改。澄清或修改的内容为招标文件的组成部分，并对所有获取招标文件的潜在投标人具有约束力。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招标文件的澄清或者修改以当面交接、邮寄、传真或电子邮件、网站披露等其中至少一种方式，发给所有领取招标文件的</w:t>
      </w:r>
      <w:r>
        <w:rPr>
          <w:rFonts w:hint="eastAsia" w:ascii="宋体" w:hAnsi="宋体" w:eastAsia="宋体" w:cs="宋体"/>
          <w:color w:val="auto"/>
          <w:sz w:val="24"/>
          <w:szCs w:val="24"/>
          <w:highlight w:val="none"/>
          <w:lang w:val="en-US" w:eastAsia="zh-CN"/>
        </w:rPr>
        <w:t>潜在</w:t>
      </w:r>
      <w:r>
        <w:rPr>
          <w:rFonts w:hint="eastAsia" w:ascii="宋体" w:hAnsi="宋体" w:eastAsia="宋体" w:cs="宋体"/>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投标人须知”所称“书面形式”包括系统消息、政府采购</w:t>
      </w:r>
      <w:r>
        <w:rPr>
          <w:rFonts w:hint="eastAsia" w:ascii="宋体" w:hAnsi="宋体" w:eastAsia="宋体" w:cs="宋体"/>
          <w:color w:val="auto"/>
          <w:sz w:val="24"/>
          <w:szCs w:val="24"/>
          <w:highlight w:val="none"/>
          <w:lang w:val="en-US" w:eastAsia="zh-CN"/>
        </w:rPr>
        <w:t>云平台</w:t>
      </w:r>
      <w:r>
        <w:rPr>
          <w:rFonts w:hint="eastAsia" w:ascii="宋体" w:hAnsi="宋体" w:eastAsia="宋体" w:cs="宋体"/>
          <w:color w:val="auto"/>
          <w:sz w:val="24"/>
          <w:szCs w:val="24"/>
          <w:highlight w:val="none"/>
        </w:rPr>
        <w:t>发布的公告。</w:t>
      </w:r>
    </w:p>
    <w:p w14:paraId="1E6D774C">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3" w:name="_Toc10238"/>
      <w:bookmarkStart w:id="184" w:name="_Toc163492837"/>
      <w:bookmarkStart w:id="185" w:name="_Toc21031"/>
      <w:bookmarkStart w:id="186" w:name="_Toc155185872"/>
      <w:bookmarkStart w:id="187" w:name="_Toc28118"/>
      <w:r>
        <w:rPr>
          <w:rFonts w:hint="eastAsia" w:ascii="宋体" w:hAnsi="宋体" w:eastAsia="宋体" w:cs="宋体"/>
          <w:b/>
          <w:bCs/>
          <w:color w:val="auto"/>
          <w:kern w:val="2"/>
          <w:sz w:val="24"/>
          <w:szCs w:val="24"/>
          <w:highlight w:val="none"/>
          <w:lang w:val="en-US" w:eastAsia="zh-CN" w:bidi="ar-SA"/>
        </w:rPr>
        <w:t>（三）投标文件</w:t>
      </w:r>
      <w:bookmarkEnd w:id="183"/>
      <w:bookmarkEnd w:id="184"/>
      <w:bookmarkEnd w:id="185"/>
      <w:bookmarkEnd w:id="186"/>
      <w:bookmarkEnd w:id="187"/>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8" w:name="_Toc31491"/>
      <w:bookmarkStart w:id="189" w:name="_Toc10645"/>
      <w:bookmarkStart w:id="190" w:name="_Toc163492838"/>
      <w:bookmarkStart w:id="191" w:name="_Toc25559"/>
      <w:r>
        <w:rPr>
          <w:rFonts w:hint="eastAsia" w:ascii="宋体" w:hAnsi="宋体" w:eastAsia="宋体" w:cs="宋体"/>
          <w:b/>
          <w:bCs/>
          <w:color w:val="auto"/>
          <w:kern w:val="2"/>
          <w:sz w:val="24"/>
          <w:szCs w:val="24"/>
          <w:highlight w:val="none"/>
          <w:lang w:val="en-US" w:eastAsia="zh-CN" w:bidi="ar-SA"/>
        </w:rPr>
        <w:t>13.投标文件的组成</w:t>
      </w:r>
      <w:bookmarkEnd w:id="188"/>
      <w:bookmarkEnd w:id="189"/>
      <w:bookmarkEnd w:id="190"/>
      <w:bookmarkEnd w:id="191"/>
    </w:p>
    <w:p w14:paraId="174A0A3D">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bookmarkStart w:id="192" w:name="_Toc163492839"/>
      <w:bookmarkStart w:id="193" w:name="_Toc140132772"/>
      <w:r>
        <w:rPr>
          <w:rFonts w:hint="eastAsia" w:ascii="宋体" w:hAnsi="宋体" w:eastAsia="宋体" w:cs="宋体"/>
          <w:color w:val="auto"/>
          <w:kern w:val="2"/>
          <w:sz w:val="24"/>
          <w:szCs w:val="24"/>
          <w:highlight w:val="none"/>
          <w:lang w:val="en-US" w:eastAsia="zh-CN"/>
        </w:rPr>
        <w:t>13</w:t>
      </w:r>
      <w:r>
        <w:rPr>
          <w:rFonts w:hint="eastAsia" w:ascii="宋体" w:hAnsi="宋体" w:eastAsia="宋体" w:cs="宋体"/>
          <w:color w:val="auto"/>
          <w:kern w:val="2"/>
          <w:sz w:val="24"/>
          <w:szCs w:val="24"/>
          <w:highlight w:val="none"/>
        </w:rPr>
        <w:t>.1投标人应完整地按招标文件提供的投标文件格式及要求编写投标文件，具体内容详见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 xml:space="preserve">第七章 </w:t>
      </w:r>
      <w:r>
        <w:rPr>
          <w:rFonts w:hint="eastAsia" w:ascii="宋体" w:hAnsi="宋体" w:eastAsia="宋体" w:cs="宋体"/>
          <w:color w:val="auto"/>
          <w:kern w:val="2"/>
          <w:sz w:val="24"/>
          <w:szCs w:val="24"/>
          <w:highlight w:val="none"/>
        </w:rPr>
        <w:t>投标文件格式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的相关内容。</w:t>
      </w:r>
    </w:p>
    <w:p w14:paraId="3BB3A0B7">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13.2</w:t>
      </w:r>
      <w:r>
        <w:rPr>
          <w:rFonts w:hint="eastAsia" w:ascii="宋体" w:hAnsi="宋体" w:eastAsia="宋体" w:cs="宋体"/>
          <w:color w:val="auto"/>
          <w:kern w:val="2"/>
          <w:sz w:val="24"/>
          <w:szCs w:val="24"/>
          <w:highlight w:val="none"/>
        </w:rPr>
        <w:t>投标人应提交招标文件要求的证明文件，证明其投标内容符合招标文件规定</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该证明文件是投标文件的一部分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证明文件</w:t>
      </w:r>
      <w:r>
        <w:rPr>
          <w:rFonts w:hint="eastAsia" w:ascii="宋体" w:hAnsi="宋体" w:eastAsia="宋体" w:cs="宋体"/>
          <w:color w:val="auto"/>
          <w:kern w:val="2"/>
          <w:sz w:val="24"/>
          <w:szCs w:val="24"/>
          <w:highlight w:val="none"/>
          <w:lang w:val="en-US" w:eastAsia="zh-CN"/>
        </w:rPr>
        <w:t>形式</w:t>
      </w:r>
      <w:r>
        <w:rPr>
          <w:rFonts w:hint="eastAsia" w:ascii="宋体" w:hAnsi="宋体" w:eastAsia="宋体" w:cs="宋体"/>
          <w:color w:val="auto"/>
          <w:kern w:val="2"/>
          <w:sz w:val="24"/>
          <w:szCs w:val="24"/>
          <w:highlight w:val="none"/>
        </w:rPr>
        <w:t>可以是文字资料、图纸和数据</w:t>
      </w:r>
      <w:bookmarkStart w:id="194" w:name="_Hlk11703583"/>
      <w:r>
        <w:rPr>
          <w:rFonts w:hint="eastAsia" w:ascii="宋体" w:hAnsi="宋体" w:eastAsia="宋体" w:cs="宋体"/>
          <w:color w:val="auto"/>
          <w:kern w:val="2"/>
          <w:sz w:val="24"/>
          <w:szCs w:val="24"/>
          <w:highlight w:val="none"/>
          <w:lang w:val="en-US" w:eastAsia="zh-CN"/>
        </w:rPr>
        <w:t>等。</w:t>
      </w:r>
    </w:p>
    <w:bookmarkEnd w:id="194"/>
    <w:p w14:paraId="781BBAEB">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13.3</w:t>
      </w:r>
      <w:r>
        <w:rPr>
          <w:rFonts w:hint="eastAsia" w:ascii="宋体" w:hAnsi="宋体" w:eastAsia="宋体" w:cs="宋体"/>
          <w:color w:val="auto"/>
          <w:kern w:val="2"/>
          <w:sz w:val="24"/>
          <w:szCs w:val="24"/>
          <w:highlight w:val="none"/>
        </w:rPr>
        <w:t>为保证公平公正，除非</w:t>
      </w:r>
      <w:r>
        <w:rPr>
          <w:rFonts w:hint="eastAsia" w:ascii="宋体" w:hAnsi="宋体" w:eastAsia="宋体" w:cs="宋体"/>
          <w:color w:val="auto"/>
          <w:kern w:val="2"/>
          <w:sz w:val="24"/>
          <w:szCs w:val="24"/>
          <w:highlight w:val="none"/>
          <w:lang w:val="en-US" w:eastAsia="zh-CN"/>
        </w:rPr>
        <w:t>本招标文件</w:t>
      </w:r>
      <w:r>
        <w:rPr>
          <w:rFonts w:hint="eastAsia" w:ascii="宋体" w:hAnsi="宋体" w:eastAsia="宋体" w:cs="宋体"/>
          <w:color w:val="auto"/>
          <w:kern w:val="2"/>
          <w:sz w:val="24"/>
          <w:szCs w:val="24"/>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5" w:name="_Toc24665"/>
      <w:bookmarkStart w:id="196" w:name="_Toc27765"/>
      <w:bookmarkStart w:id="197" w:name="_Toc12829"/>
      <w:r>
        <w:rPr>
          <w:rFonts w:hint="eastAsia" w:ascii="宋体" w:hAnsi="宋体" w:eastAsia="宋体" w:cs="宋体"/>
          <w:b/>
          <w:bCs/>
          <w:color w:val="auto"/>
          <w:kern w:val="2"/>
          <w:sz w:val="24"/>
          <w:szCs w:val="24"/>
          <w:highlight w:val="none"/>
          <w:lang w:val="en-US" w:eastAsia="zh-CN" w:bidi="ar-SA"/>
        </w:rPr>
        <w:t>14.投标报价</w:t>
      </w:r>
      <w:bookmarkEnd w:id="192"/>
      <w:bookmarkEnd w:id="193"/>
      <w:bookmarkEnd w:id="195"/>
      <w:bookmarkEnd w:id="196"/>
      <w:bookmarkEnd w:id="197"/>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投标人应按照本招标文件规定的报价方式进行报价，投标报价中不得包含招标文件要求以外的内容，否则，在评标时不予核减。投标报价中也不得遗漏招标文件所要求的内容，否则其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kern w:val="2"/>
          <w:sz w:val="24"/>
          <w:szCs w:val="24"/>
          <w:highlight w:val="none"/>
          <w:lang w:val="en-US" w:eastAsia="zh-CN"/>
        </w:rPr>
        <w:t>14.3</w:t>
      </w:r>
      <w:r>
        <w:rPr>
          <w:rFonts w:hint="eastAsia" w:ascii="宋体" w:hAnsi="宋体" w:eastAsia="宋体" w:cs="宋体"/>
          <w:snapToGrid w:val="0"/>
          <w:color w:val="auto"/>
          <w:sz w:val="24"/>
          <w:szCs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snapToGrid w:val="0"/>
          <w:color w:val="auto"/>
          <w:sz w:val="24"/>
          <w:szCs w:val="24"/>
          <w:highlight w:val="none"/>
        </w:rPr>
        <w:t>。</w:t>
      </w:r>
    </w:p>
    <w:p w14:paraId="29AAB874">
      <w:pPr>
        <w:pStyle w:val="1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14.4投标人的报价应包括但不限于按照招标文件要求完成本项目的全部相关费用。</w:t>
      </w:r>
    </w:p>
    <w:p w14:paraId="049AF5FA">
      <w:pPr>
        <w:ind w:firstLine="480" w:firstLineChars="200"/>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14.5 投标人须严格按照分项报价表规定的内容填写服务单价以及其他事项。</w:t>
      </w:r>
      <w:r>
        <w:rPr>
          <w:rFonts w:hint="eastAsia" w:ascii="宋体" w:hAnsi="宋体"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058EFD12">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14.6 投标人在投标文件中注明免费的项目将视为包含在投标报价中。</w:t>
      </w:r>
    </w:p>
    <w:p w14:paraId="6DF8B2FA">
      <w:pPr>
        <w:pStyle w:val="1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14.7 每一种采购内容只允许</w:t>
      </w:r>
      <w:r>
        <w:rPr>
          <w:rFonts w:hint="eastAsia" w:ascii="宋体" w:hAnsi="宋体" w:eastAsia="宋体" w:cs="宋体"/>
          <w:snapToGrid w:val="0"/>
          <w:color w:val="auto"/>
          <w:sz w:val="24"/>
          <w:szCs w:val="24"/>
          <w:highlight w:val="none"/>
        </w:rPr>
        <w:t>有一个报价，否则其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r>
        <w:rPr>
          <w:rFonts w:hint="eastAsia" w:ascii="宋体" w:hAnsi="宋体" w:eastAsia="宋体" w:cs="宋体"/>
          <w:color w:val="auto"/>
          <w:kern w:val="2"/>
          <w:sz w:val="24"/>
          <w:szCs w:val="24"/>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4"/>
          <w:highlight w:val="none"/>
          <w:lang w:val="en-US" w:eastAsia="zh-CN"/>
        </w:rPr>
        <w:t>实质性</w:t>
      </w:r>
      <w:r>
        <w:rPr>
          <w:rFonts w:hint="eastAsia" w:ascii="宋体" w:hAnsi="宋体" w:eastAsia="宋体" w:cs="宋体"/>
          <w:color w:val="auto"/>
          <w:kern w:val="2"/>
          <w:sz w:val="24"/>
          <w:szCs w:val="24"/>
          <w:highlight w:val="none"/>
        </w:rPr>
        <w:t>响应</w:t>
      </w:r>
      <w:r>
        <w:rPr>
          <w:rFonts w:hint="eastAsia" w:ascii="宋体" w:hAnsi="宋体" w:eastAsia="宋体" w:cs="宋体"/>
          <w:color w:val="auto"/>
          <w:kern w:val="2"/>
          <w:sz w:val="24"/>
          <w:szCs w:val="24"/>
          <w:highlight w:val="none"/>
          <w:lang w:val="en-US" w:eastAsia="zh-CN"/>
        </w:rPr>
        <w:t>招标文件,其</w:t>
      </w:r>
      <w:r>
        <w:rPr>
          <w:rFonts w:hint="eastAsia" w:ascii="宋体" w:hAnsi="宋体" w:eastAsia="宋体" w:cs="宋体"/>
          <w:b/>
          <w:bCs/>
          <w:color w:val="auto"/>
          <w:kern w:val="2"/>
          <w:sz w:val="24"/>
          <w:szCs w:val="24"/>
          <w:highlight w:val="none"/>
          <w:lang w:eastAsia="zh-CN"/>
        </w:rPr>
        <w:t>投标无效</w:t>
      </w:r>
      <w:r>
        <w:rPr>
          <w:rFonts w:hint="eastAsia" w:ascii="宋体" w:hAnsi="宋体" w:eastAsia="宋体" w:cs="宋体"/>
          <w:color w:val="auto"/>
          <w:kern w:val="2"/>
          <w:sz w:val="24"/>
          <w:szCs w:val="24"/>
          <w:highlight w:val="none"/>
        </w:rPr>
        <w:t>。</w:t>
      </w:r>
    </w:p>
    <w:p w14:paraId="192E0BF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投标报价不得超过“</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”中规定的最高投标限价</w:t>
      </w:r>
      <w:r>
        <w:rPr>
          <w:rFonts w:hint="eastAsia" w:ascii="宋体" w:hAnsi="宋体" w:eastAsia="宋体" w:cs="宋体"/>
          <w:color w:val="auto"/>
          <w:sz w:val="24"/>
          <w:szCs w:val="24"/>
          <w:highlight w:val="none"/>
          <w:lang w:val="en-US" w:eastAsia="zh-CN"/>
        </w:rPr>
        <w:t>或者预算金额</w:t>
      </w:r>
      <w:r>
        <w:rPr>
          <w:rFonts w:hint="eastAsia" w:ascii="宋体" w:hAnsi="宋体" w:eastAsia="宋体" w:cs="宋体"/>
          <w:color w:val="auto"/>
          <w:sz w:val="24"/>
          <w:szCs w:val="24"/>
          <w:highlight w:val="none"/>
        </w:rPr>
        <w:t>，否则评标委员会将</w:t>
      </w: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rPr>
        <w:t>其</w:t>
      </w:r>
      <w:r>
        <w:rPr>
          <w:rFonts w:hint="eastAsia" w:ascii="宋体" w:hAnsi="宋体" w:eastAsia="宋体" w:cs="宋体"/>
          <w:b w:val="0"/>
          <w:bCs w:val="0"/>
          <w:color w:val="auto"/>
          <w:sz w:val="24"/>
          <w:szCs w:val="24"/>
          <w:highlight w:val="none"/>
          <w:lang w:val="en-US" w:eastAsia="zh-CN"/>
        </w:rPr>
        <w:t>作</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color w:val="auto"/>
          <w:sz w:val="24"/>
          <w:szCs w:val="24"/>
          <w:highlight w:val="none"/>
        </w:rPr>
        <w:t>。</w:t>
      </w:r>
    </w:p>
    <w:p w14:paraId="1DC40C77">
      <w:pPr>
        <w:pStyle w:val="55"/>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9 </w:t>
      </w:r>
      <w:r>
        <w:rPr>
          <w:rFonts w:hint="eastAsia" w:ascii="宋体" w:hAnsi="宋体" w:eastAsia="宋体" w:cs="宋体"/>
          <w:color w:val="auto"/>
          <w:kern w:val="2"/>
          <w:sz w:val="24"/>
          <w:szCs w:val="24"/>
          <w:highlight w:val="none"/>
        </w:rPr>
        <w:t>投标人对投标报价若有说明应在投标文件中显著处注明。</w:t>
      </w:r>
    </w:p>
    <w:p w14:paraId="69F7C97A">
      <w:pPr>
        <w:pStyle w:val="55"/>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除政策性文件规定以外，投标人所报价格在合同实施期间不因市场变化因素而变动。</w:t>
      </w:r>
    </w:p>
    <w:p w14:paraId="3D2E52CC">
      <w:pPr>
        <w:pStyle w:val="55"/>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10 </w:t>
      </w:r>
      <w:r>
        <w:rPr>
          <w:rFonts w:hint="eastAsia" w:ascii="宋体" w:hAnsi="宋体" w:eastAsia="宋体" w:cs="宋体"/>
          <w:color w:val="auto"/>
          <w:kern w:val="2"/>
          <w:sz w:val="24"/>
          <w:szCs w:val="24"/>
          <w:highlight w:val="none"/>
        </w:rPr>
        <w:t>最低报价不能作为中标的保证。</w:t>
      </w:r>
    </w:p>
    <w:p w14:paraId="4F55CD6E">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14.11</w:t>
      </w:r>
      <w:r>
        <w:rPr>
          <w:rFonts w:hint="eastAsia" w:ascii="宋体" w:hAnsi="宋体" w:eastAsia="宋体" w:cs="宋体"/>
          <w:color w:val="auto"/>
          <w:kern w:val="0"/>
          <w:sz w:val="24"/>
          <w:szCs w:val="24"/>
          <w:highlight w:val="none"/>
          <w:lang w:val="en-US" w:eastAsia="zh-CN" w:bidi="ar"/>
        </w:rPr>
        <w:t>采购人不得向投标人索要或者接受其给予的赠品、回扣或者与采购无关的其他商品、服务。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8" w:name="_Toc24048"/>
      <w:bookmarkStart w:id="199" w:name="_Toc140132773"/>
      <w:bookmarkStart w:id="200" w:name="_Toc9162"/>
      <w:bookmarkStart w:id="201" w:name="_Toc24520"/>
      <w:bookmarkStart w:id="202" w:name="_Toc163492840"/>
      <w:r>
        <w:rPr>
          <w:rFonts w:hint="eastAsia" w:ascii="宋体" w:hAnsi="宋体" w:eastAsia="宋体" w:cs="宋体"/>
          <w:b/>
          <w:bCs/>
          <w:color w:val="auto"/>
          <w:kern w:val="2"/>
          <w:sz w:val="24"/>
          <w:szCs w:val="24"/>
          <w:highlight w:val="none"/>
          <w:lang w:val="en-US" w:eastAsia="zh-CN" w:bidi="ar-SA"/>
        </w:rPr>
        <w:t>15.投标有效期</w:t>
      </w:r>
      <w:bookmarkEnd w:id="198"/>
      <w:bookmarkEnd w:id="199"/>
      <w:bookmarkEnd w:id="200"/>
      <w:bookmarkEnd w:id="201"/>
      <w:bookmarkEnd w:id="202"/>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kern w:val="0"/>
          <w:sz w:val="24"/>
          <w:szCs w:val="24"/>
          <w:highlight w:val="none"/>
          <w:lang w:val="en"/>
        </w:rPr>
        <w:t>投标有效期</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 xml:space="preserve">第二章 </w:t>
      </w:r>
      <w:r>
        <w:rPr>
          <w:rFonts w:hint="eastAsia" w:ascii="宋体" w:hAnsi="宋体" w:eastAsia="宋体" w:cs="宋体"/>
          <w:color w:val="auto"/>
          <w:sz w:val="24"/>
          <w:szCs w:val="24"/>
          <w:highlight w:val="none"/>
        </w:rPr>
        <w:t>投标人须知前附表”，投标人承诺的投标有效期</w:t>
      </w:r>
      <w:r>
        <w:rPr>
          <w:rFonts w:hint="eastAsia" w:ascii="宋体" w:hAnsi="宋体" w:eastAsia="宋体" w:cs="宋体"/>
          <w:snapToGrid w:val="0"/>
          <w:color w:val="auto"/>
          <w:sz w:val="24"/>
          <w:szCs w:val="24"/>
          <w:highlight w:val="none"/>
          <w:lang w:val="zh-CN" w:eastAsia="zh-CN"/>
        </w:rPr>
        <w:t>少于</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val="zh-CN" w:eastAsia="zh-CN"/>
        </w:rPr>
        <w:t>文件规定期限的，其</w:t>
      </w:r>
      <w:r>
        <w:rPr>
          <w:rFonts w:hint="eastAsia" w:ascii="宋体" w:hAnsi="宋体" w:eastAsia="宋体" w:cs="宋体"/>
          <w:b/>
          <w:bCs/>
          <w:snapToGrid w:val="0"/>
          <w:color w:val="auto"/>
          <w:sz w:val="24"/>
          <w:szCs w:val="24"/>
          <w:highlight w:val="none"/>
          <w:lang w:val="en-US" w:eastAsia="zh-CN"/>
        </w:rPr>
        <w:t>投标</w:t>
      </w:r>
      <w:r>
        <w:rPr>
          <w:rFonts w:hint="eastAsia" w:ascii="宋体" w:hAnsi="宋体" w:eastAsia="宋体" w:cs="宋体"/>
          <w:b/>
          <w:bCs/>
          <w:snapToGrid w:val="0"/>
          <w:color w:val="auto"/>
          <w:sz w:val="24"/>
          <w:szCs w:val="24"/>
          <w:highlight w:val="none"/>
          <w:lang w:val="zh-CN" w:eastAsia="zh-CN"/>
        </w:rPr>
        <w:t>无效</w:t>
      </w:r>
      <w:r>
        <w:rPr>
          <w:rFonts w:hint="eastAsia" w:ascii="宋体" w:hAnsi="宋体" w:eastAsia="宋体" w:cs="宋体"/>
          <w:snapToGrid w:val="0"/>
          <w:color w:val="auto"/>
          <w:sz w:val="24"/>
          <w:szCs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投标人同意延长的，</w:t>
      </w:r>
      <w:r>
        <w:rPr>
          <w:rFonts w:hint="eastAsia" w:ascii="宋体" w:hAnsi="宋体" w:eastAsia="宋体" w:cs="宋体"/>
          <w:color w:val="auto"/>
          <w:kern w:val="2"/>
          <w:sz w:val="24"/>
          <w:szCs w:val="24"/>
          <w:highlight w:val="none"/>
          <w:lang w:val="en-US" w:eastAsia="zh-CN"/>
        </w:rPr>
        <w:t>其</w:t>
      </w:r>
      <w:r>
        <w:rPr>
          <w:rFonts w:hint="eastAsia" w:ascii="宋体" w:hAnsi="宋体" w:eastAsia="宋体" w:cs="宋体"/>
          <w:color w:val="auto"/>
          <w:kern w:val="2"/>
          <w:sz w:val="24"/>
          <w:szCs w:val="24"/>
          <w:highlight w:val="none"/>
        </w:rPr>
        <w:t>投标保证金的有效期也相应延长</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但</w:t>
      </w:r>
      <w:r>
        <w:rPr>
          <w:rFonts w:hint="eastAsia" w:ascii="宋体" w:hAnsi="宋体" w:eastAsia="宋体" w:cs="宋体"/>
          <w:color w:val="auto"/>
          <w:sz w:val="24"/>
          <w:szCs w:val="24"/>
          <w:highlight w:val="none"/>
        </w:rPr>
        <w:t>不得要求或被允许修改或撤销其投标文件；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拒绝延长的，其投标文件在原投标有效期满后将不再有效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但其提交的投标保证金可予以退还</w:t>
      </w:r>
      <w:r>
        <w:rPr>
          <w:rFonts w:hint="eastAsia" w:ascii="宋体" w:hAnsi="宋体" w:eastAsia="宋体" w:cs="宋体"/>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3" w:name="_Toc17887"/>
      <w:bookmarkStart w:id="204" w:name="_Toc140132774"/>
      <w:bookmarkStart w:id="205" w:name="_Toc163492841"/>
      <w:bookmarkStart w:id="206" w:name="_Toc9620"/>
      <w:bookmarkStart w:id="207" w:name="_Toc21362"/>
      <w:r>
        <w:rPr>
          <w:rFonts w:hint="eastAsia" w:ascii="宋体" w:hAnsi="宋体" w:eastAsia="宋体" w:cs="宋体"/>
          <w:b/>
          <w:bCs/>
          <w:color w:val="auto"/>
          <w:kern w:val="2"/>
          <w:sz w:val="24"/>
          <w:szCs w:val="24"/>
          <w:highlight w:val="none"/>
          <w:lang w:val="en-US" w:eastAsia="zh-CN" w:bidi="ar-SA"/>
        </w:rPr>
        <w:t>16.投标文件的编制</w:t>
      </w:r>
      <w:bookmarkEnd w:id="203"/>
      <w:bookmarkEnd w:id="204"/>
      <w:bookmarkEnd w:id="205"/>
      <w:bookmarkEnd w:id="206"/>
      <w:bookmarkEnd w:id="207"/>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.1投标文件应在供应商客户端中进行编制，在投标文件中要求加盖印章的，除有特殊说明之外，</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使用电子签章签署。</w:t>
      </w:r>
    </w:p>
    <w:p w14:paraId="540601F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Start w:id="208" w:name="_Hlk143528557"/>
      <w:r>
        <w:rPr>
          <w:rFonts w:hint="eastAsia" w:ascii="宋体" w:hAnsi="宋体" w:eastAsia="宋体" w:cs="宋体"/>
          <w:color w:val="auto"/>
          <w:sz w:val="24"/>
          <w:szCs w:val="24"/>
          <w:highlight w:val="none"/>
        </w:rPr>
        <w:t>2投标人在供应商客户端中按照供应商客户端中的格式要求填写响应内容后，生成投标文件。投标人须按照招标文件的要求使用电子签章对要求加盖印章的部分逐一进行签章。</w:t>
      </w:r>
      <w:bookmarkEnd w:id="208"/>
    </w:p>
    <w:p w14:paraId="1A7BD12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cs="宋体"/>
          <w:b/>
          <w:bCs/>
          <w:color w:val="auto"/>
          <w:sz w:val="24"/>
          <w:szCs w:val="24"/>
          <w:highlight w:val="none"/>
        </w:rPr>
        <w:t>导致</w:t>
      </w:r>
      <w:r>
        <w:rPr>
          <w:rFonts w:hint="eastAsia" w:ascii="宋体" w:hAnsi="宋体" w:eastAsia="宋体" w:cs="宋体"/>
          <w:b/>
          <w:bCs/>
          <w:color w:val="auto"/>
          <w:sz w:val="24"/>
          <w:szCs w:val="24"/>
          <w:highlight w:val="none"/>
          <w:lang w:val="en-US" w:eastAsia="zh-CN"/>
        </w:rPr>
        <w:t>其</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rPr>
        <w:t>。</w:t>
      </w:r>
    </w:p>
    <w:p w14:paraId="7A6BB4B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投标文件须严格按照</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招标文件第</w:t>
      </w:r>
      <w:r>
        <w:rPr>
          <w:rFonts w:hint="eastAsia" w:ascii="宋体" w:hAnsi="宋体" w:eastAsia="宋体" w:cs="宋体"/>
          <w:color w:val="auto"/>
          <w:sz w:val="24"/>
          <w:szCs w:val="24"/>
          <w:highlight w:val="none"/>
          <w:lang w:val="en-US" w:eastAsia="zh-CN"/>
        </w:rPr>
        <w:t>七章</w:t>
      </w:r>
      <w:r>
        <w:rPr>
          <w:rFonts w:hint="eastAsia" w:ascii="宋体" w:hAnsi="宋体" w:eastAsia="宋体" w:cs="宋体"/>
          <w:color w:val="auto"/>
          <w:sz w:val="24"/>
          <w:szCs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4B72F25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开标一览表为在开标</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唱标的内容，要求按格式统一填写，不得自行增减内容。</w:t>
      </w:r>
    </w:p>
    <w:p w14:paraId="499D705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ascii="宋体" w:hAnsi="宋体" w:eastAsia="宋体" w:cs="宋体"/>
          <w:color w:val="auto"/>
          <w:sz w:val="24"/>
          <w:szCs w:val="24"/>
          <w:highlight w:val="none"/>
          <w:lang w:val="en-US" w:eastAsia="zh-CN"/>
        </w:rPr>
        <w:t>按</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rPr>
        <w:t>处理。</w:t>
      </w:r>
    </w:p>
    <w:p w14:paraId="7DBECB0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投标人必须保证投标文件所提供的全部资料真实可靠，并接受采购</w:t>
      </w:r>
      <w:r>
        <w:rPr>
          <w:rFonts w:hint="eastAsia" w:ascii="宋体" w:hAnsi="宋体" w:eastAsia="宋体" w:cs="宋体"/>
          <w:color w:val="auto"/>
          <w:sz w:val="24"/>
          <w:szCs w:val="24"/>
          <w:highlight w:val="none"/>
          <w:lang w:val="en-US" w:eastAsia="zh-CN"/>
        </w:rPr>
        <w:t>人、采购</w:t>
      </w:r>
      <w:r>
        <w:rPr>
          <w:rFonts w:hint="eastAsia" w:ascii="宋体" w:hAnsi="宋体" w:eastAsia="宋体" w:cs="宋体"/>
          <w:color w:val="auto"/>
          <w:sz w:val="24"/>
          <w:szCs w:val="24"/>
          <w:highlight w:val="none"/>
        </w:rPr>
        <w:t>代理机构或评标委员会对其中任何资料进一步审查的要求。</w:t>
      </w:r>
    </w:p>
    <w:p w14:paraId="7AE3718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323B93DE">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16.9电子投标文件的编制</w:t>
      </w:r>
    </w:p>
    <w:p w14:paraId="072DFFA4">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16.9.1电子投标文件需按招标文件要求进行制作编制。投标文件制作时，不同内容按标签提示制作导入，按照招标文件中明确的投标文件目录和格式进行编制，保证目录清晰、内容完整；           </w:t>
      </w:r>
    </w:p>
    <w:p w14:paraId="51F1928B">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其投标无效</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6B2E6D6A">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9" w:name="_Toc155185873"/>
      <w:bookmarkStart w:id="210" w:name="_Toc22756"/>
      <w:bookmarkStart w:id="211" w:name="_Toc10210"/>
      <w:bookmarkStart w:id="212" w:name="_Toc163492842"/>
      <w:bookmarkStart w:id="213" w:name="_Toc20626"/>
      <w:r>
        <w:rPr>
          <w:rFonts w:hint="eastAsia" w:ascii="宋体" w:hAnsi="宋体" w:eastAsia="宋体" w:cs="宋体"/>
          <w:b/>
          <w:bCs/>
          <w:color w:val="auto"/>
          <w:kern w:val="2"/>
          <w:sz w:val="24"/>
          <w:szCs w:val="24"/>
          <w:highlight w:val="none"/>
          <w:lang w:val="en-US" w:eastAsia="zh-CN" w:bidi="ar-SA"/>
        </w:rPr>
        <w:t>（四）投标</w:t>
      </w:r>
      <w:bookmarkEnd w:id="209"/>
      <w:bookmarkEnd w:id="210"/>
      <w:bookmarkEnd w:id="211"/>
      <w:bookmarkEnd w:id="212"/>
      <w:bookmarkEnd w:id="213"/>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4" w:name="_Toc27659"/>
      <w:bookmarkStart w:id="215" w:name="_Toc32654"/>
      <w:bookmarkStart w:id="216" w:name="_Toc16487"/>
      <w:bookmarkStart w:id="217" w:name="_Toc163492843"/>
      <w:r>
        <w:rPr>
          <w:rFonts w:hint="eastAsia" w:ascii="宋体" w:hAnsi="宋体" w:eastAsia="宋体" w:cs="宋体"/>
          <w:b/>
          <w:bCs/>
          <w:color w:val="auto"/>
          <w:kern w:val="2"/>
          <w:sz w:val="24"/>
          <w:szCs w:val="24"/>
          <w:highlight w:val="none"/>
          <w:lang w:val="en-US" w:eastAsia="zh-CN" w:bidi="ar-SA"/>
        </w:rPr>
        <w:t>17.投标保证金</w:t>
      </w:r>
      <w:bookmarkEnd w:id="214"/>
      <w:bookmarkEnd w:id="215"/>
      <w:bookmarkEnd w:id="216"/>
    </w:p>
    <w:p w14:paraId="1182B9BB">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17.2提交投标保证金可采用的形式：政府采购法律法规接受的支票、汇票、本票、网上银行支付或者金融机构、担保机构出具的保函等非现金形式。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4"/>
          <w:highlight w:val="none"/>
          <w:lang w:val="en-US" w:eastAsia="zh-CN" w:bidi="ar-SA"/>
        </w:rPr>
        <w:t>投标人未按照招标文件要求提交投标保证金的，其</w:t>
      </w:r>
      <w:r>
        <w:rPr>
          <w:rFonts w:hint="eastAsia" w:ascii="宋体" w:hAnsi="宋体" w:eastAsia="宋体" w:cs="宋体"/>
          <w:b/>
          <w:bCs/>
          <w:color w:val="auto"/>
          <w:kern w:val="2"/>
          <w:sz w:val="24"/>
          <w:szCs w:val="24"/>
          <w:highlight w:val="none"/>
          <w:lang w:val="en-US" w:eastAsia="zh-CN" w:bidi="ar-SA"/>
        </w:rPr>
        <w:t>投标无效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4"/>
          <w:highlight w:val="none"/>
          <w:lang w:val="en-US" w:eastAsia="zh-CN"/>
        </w:rPr>
        <w:t>投标无效</w:t>
      </w:r>
      <w:r>
        <w:rPr>
          <w:rFonts w:hint="eastAsia" w:ascii="宋体" w:hAnsi="宋体" w:eastAsia="宋体" w:cs="宋体"/>
          <w:color w:val="auto"/>
          <w:kern w:val="2"/>
          <w:sz w:val="24"/>
          <w:szCs w:val="24"/>
          <w:highlight w:val="none"/>
          <w:lang w:val="en-US" w:eastAsia="zh-CN"/>
        </w:rPr>
        <w:t>。</w:t>
      </w:r>
    </w:p>
    <w:p w14:paraId="27BA1101">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17.4 投标人为联合体的，可以由联合体中的一方或者多方共同提交投标保证金，其提交的投标保证金对联合体各方均具有约束力。 </w:t>
      </w:r>
    </w:p>
    <w:p w14:paraId="45878AFC">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 </w:t>
      </w:r>
    </w:p>
    <w:p w14:paraId="6CFB121F">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17.6 投标人在投标截止时间前撤回已提交的投标文件的，自收到投标人书面撤回通知之日起 5 个工作日内，退还已收取的投标保证金，但因投标人自身原因导致无法及时退还的除外。 </w:t>
      </w:r>
    </w:p>
    <w:p w14:paraId="5EB3FE3B">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17.7 终止招标项目已经收取投标保证金的，自终止采购活动后 5 个工作日内退还已收取的投标保证金及其在银行产生的孳息。</w:t>
      </w:r>
    </w:p>
    <w:p w14:paraId="0B6A028F">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17.8 有下列情形之一的，采购人或采购代理机构可以不予退还投标保证金,</w:t>
      </w:r>
      <w:r>
        <w:rPr>
          <w:rFonts w:hint="eastAsia" w:ascii="宋体" w:hAnsi="宋体" w:eastAsia="宋体" w:cs="宋体"/>
          <w:color w:val="auto"/>
          <w:kern w:val="2"/>
          <w:sz w:val="24"/>
          <w:szCs w:val="24"/>
          <w:highlight w:val="none"/>
        </w:rPr>
        <w:t>情节严重的将其列入不良记录名单</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02F7ADEB">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17.8.1 </w:t>
      </w:r>
      <w:r>
        <w:rPr>
          <w:rFonts w:hint="eastAsia" w:ascii="宋体" w:hAnsi="宋体" w:eastAsia="宋体" w:cs="宋体"/>
          <w:color w:val="auto"/>
          <w:kern w:val="2"/>
          <w:sz w:val="24"/>
          <w:szCs w:val="24"/>
          <w:highlight w:val="none"/>
        </w:rPr>
        <w:t>开标后在投标有效期内，投标人撤</w:t>
      </w:r>
      <w:r>
        <w:rPr>
          <w:rFonts w:hint="eastAsia" w:ascii="宋体" w:hAnsi="宋体" w:eastAsia="宋体" w:cs="宋体"/>
          <w:color w:val="auto"/>
          <w:kern w:val="2"/>
          <w:sz w:val="24"/>
          <w:szCs w:val="24"/>
          <w:highlight w:val="none"/>
          <w:lang w:val="en-US" w:eastAsia="zh-CN"/>
        </w:rPr>
        <w:t>销</w:t>
      </w:r>
      <w:r>
        <w:rPr>
          <w:rFonts w:hint="eastAsia" w:ascii="宋体" w:hAnsi="宋体" w:eastAsia="宋体" w:cs="宋体"/>
          <w:color w:val="auto"/>
          <w:kern w:val="2"/>
          <w:sz w:val="24"/>
          <w:szCs w:val="24"/>
          <w:highlight w:val="none"/>
        </w:rPr>
        <w:t>其投标</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36FC9D74">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17.8.2 </w:t>
      </w:r>
      <w:r>
        <w:rPr>
          <w:rFonts w:hint="eastAsia" w:ascii="宋体" w:hAnsi="宋体" w:eastAsia="宋体" w:cs="宋体"/>
          <w:color w:val="auto"/>
          <w:kern w:val="2"/>
          <w:sz w:val="24"/>
          <w:szCs w:val="24"/>
          <w:highlight w:val="none"/>
        </w:rPr>
        <w:t>中标后无正当理由不与采购人签订合同的；</w:t>
      </w:r>
    </w:p>
    <w:p w14:paraId="3694295C">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4"/>
          <w:highlight w:val="none"/>
        </w:rPr>
        <w:t>中标人与采购人订立背离合同实质性内容的其他协议；</w:t>
      </w:r>
    </w:p>
    <w:p w14:paraId="54583F23">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将中标项目转让给他人，或者在投标文件中未说明，且未经采购</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同意，将中标项目分包给他人的；</w:t>
      </w:r>
    </w:p>
    <w:p w14:paraId="433DB211">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存在串通投标行为的；</w:t>
      </w:r>
    </w:p>
    <w:p w14:paraId="0A3E2CC4">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存在弄虚作假或提供虚假材料谋取中标的；</w:t>
      </w:r>
    </w:p>
    <w:p w14:paraId="3CBF915F">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7</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投标人其他未按招标文件规定和合同约定履行义务的行为。</w:t>
      </w:r>
    </w:p>
    <w:p w14:paraId="330E240F">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兵团政府采购网”—顶部通栏“信用融资”或者“兵团政府采购网”首页“政采贷｜电子保函”快捷模块查看：</w:t>
      </w:r>
    </w:p>
    <w:p w14:paraId="1F3A8C5E">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直达链接（电子保函）：</w:t>
      </w:r>
    </w:p>
    <w:p w14:paraId="15E30E92">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金融服务支撑热线：</w:t>
      </w:r>
      <w:r>
        <w:rPr>
          <w:rFonts w:hint="eastAsia" w:ascii="宋体" w:hAnsi="宋体" w:eastAsia="宋体" w:cs="宋体"/>
          <w:b/>
          <w:bCs/>
          <w:iCs/>
          <w:color w:val="auto"/>
          <w:kern w:val="2"/>
          <w:sz w:val="24"/>
          <w:szCs w:val="24"/>
          <w:highlight w:val="none"/>
          <w:shd w:val="clear" w:color="auto" w:fill="FFFFFF" w:themeFill="background1"/>
          <w:lang w:val="en-US" w:eastAsia="zh-CN" w:bidi="ar-SA"/>
        </w:rPr>
        <w:t>0991-2661159</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8" w:name="_Toc22547"/>
      <w:bookmarkStart w:id="219" w:name="_Toc11437"/>
      <w:bookmarkStart w:id="220" w:name="_Toc27604"/>
      <w:r>
        <w:rPr>
          <w:rFonts w:hint="eastAsia" w:ascii="宋体" w:hAnsi="宋体" w:eastAsia="宋体" w:cs="宋体"/>
          <w:b/>
          <w:bCs/>
          <w:color w:val="auto"/>
          <w:kern w:val="2"/>
          <w:sz w:val="24"/>
          <w:szCs w:val="24"/>
          <w:highlight w:val="none"/>
          <w:lang w:val="en-US" w:eastAsia="zh-CN" w:bidi="ar-SA"/>
        </w:rPr>
        <w:t>18.投标文件的加密</w:t>
      </w:r>
      <w:bookmarkEnd w:id="217"/>
      <w:bookmarkEnd w:id="218"/>
      <w:bookmarkEnd w:id="219"/>
      <w:bookmarkEnd w:id="220"/>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u w:val="single"/>
        </w:rPr>
      </w:pPr>
      <w:bookmarkStart w:id="221" w:name="_Hlk14353186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时间前通过</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rPr>
        <w:t>政府采购网（http://ccgp-bingtuan.gov.cn/）的”政采云登录入口”登录后，将加密电子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（为.jmbs后缀格式）上传到对应项目的指定位置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如果投标人未按上述要求</w:t>
      </w:r>
      <w:r>
        <w:rPr>
          <w:rFonts w:hint="eastAsia" w:ascii="宋体" w:hAnsi="宋体" w:eastAsia="宋体" w:cs="宋体"/>
          <w:color w:val="auto"/>
          <w:sz w:val="24"/>
          <w:szCs w:val="24"/>
          <w:highlight w:val="none"/>
          <w:lang w:val="en-US" w:eastAsia="zh-CN"/>
        </w:rPr>
        <w:t>加密并上传</w:t>
      </w:r>
      <w:r>
        <w:rPr>
          <w:rFonts w:hint="eastAsia" w:ascii="宋体" w:hAnsi="宋体" w:eastAsia="宋体" w:cs="宋体"/>
          <w:color w:val="auto"/>
          <w:sz w:val="24"/>
          <w:szCs w:val="24"/>
          <w:highlight w:val="none"/>
        </w:rPr>
        <w:t>，采购代理机构对投标文件的误投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无法解密、传输错误等问题</w:t>
      </w:r>
      <w:r>
        <w:rPr>
          <w:rFonts w:hint="eastAsia" w:ascii="宋体" w:hAnsi="宋体" w:eastAsia="宋体" w:cs="宋体"/>
          <w:color w:val="auto"/>
          <w:sz w:val="24"/>
          <w:szCs w:val="24"/>
          <w:highlight w:val="none"/>
        </w:rPr>
        <w:t>概不负责。对由此造成</w:t>
      </w:r>
      <w:r>
        <w:rPr>
          <w:rFonts w:hint="eastAsia" w:ascii="宋体" w:hAnsi="宋体" w:eastAsia="宋体" w:cs="宋体"/>
          <w:color w:val="auto"/>
          <w:sz w:val="24"/>
          <w:szCs w:val="24"/>
          <w:highlight w:val="none"/>
          <w:lang w:val="en-US" w:eastAsia="zh-CN"/>
        </w:rPr>
        <w:t>无法正常开启</w:t>
      </w:r>
      <w:r>
        <w:rPr>
          <w:rFonts w:hint="eastAsia" w:ascii="宋体" w:hAnsi="宋体" w:eastAsia="宋体" w:cs="宋体"/>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本项目采用不见面开标，无需提供电子投标文件U盘。</w:t>
      </w:r>
    </w:p>
    <w:bookmarkEnd w:id="221"/>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2" w:name="_Toc140132777"/>
      <w:bookmarkStart w:id="223" w:name="_Toc13225"/>
      <w:bookmarkStart w:id="224" w:name="_Toc18936"/>
      <w:bookmarkStart w:id="225" w:name="_Toc18403"/>
      <w:bookmarkStart w:id="226" w:name="_Toc163492844"/>
      <w:r>
        <w:rPr>
          <w:rFonts w:hint="eastAsia" w:ascii="宋体" w:hAnsi="宋体" w:eastAsia="宋体" w:cs="宋体"/>
          <w:b/>
          <w:bCs/>
          <w:color w:val="auto"/>
          <w:kern w:val="2"/>
          <w:sz w:val="24"/>
          <w:szCs w:val="24"/>
          <w:highlight w:val="none"/>
          <w:lang w:val="en-US" w:eastAsia="zh-CN" w:bidi="ar-SA"/>
        </w:rPr>
        <w:t>19.投标文件的递交</w:t>
      </w:r>
      <w:bookmarkEnd w:id="222"/>
      <w:r>
        <w:rPr>
          <w:rFonts w:hint="eastAsia" w:ascii="宋体" w:hAnsi="宋体" w:eastAsia="宋体" w:cs="宋体"/>
          <w:b/>
          <w:bCs/>
          <w:color w:val="auto"/>
          <w:kern w:val="2"/>
          <w:sz w:val="24"/>
          <w:szCs w:val="24"/>
          <w:highlight w:val="none"/>
          <w:lang w:val="en-US" w:eastAsia="zh-CN" w:bidi="ar-SA"/>
        </w:rPr>
        <w:t>（上传）</w:t>
      </w:r>
      <w:bookmarkEnd w:id="223"/>
      <w:bookmarkEnd w:id="224"/>
      <w:bookmarkEnd w:id="225"/>
      <w:bookmarkEnd w:id="226"/>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bookmarkStart w:id="227" w:name="_Hlk143531977"/>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投标人应在“</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投标人递交（上传）投标文件的地点见“</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.5投标人所递交的投标文件不予退还。</w:t>
      </w:r>
    </w:p>
    <w:bookmarkEnd w:id="227"/>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8" w:name="_Toc163492845"/>
      <w:bookmarkStart w:id="229" w:name="_Toc19457"/>
      <w:bookmarkStart w:id="230" w:name="_Toc19314"/>
      <w:bookmarkStart w:id="231" w:name="_Toc9803"/>
      <w:r>
        <w:rPr>
          <w:rFonts w:hint="eastAsia" w:ascii="宋体" w:hAnsi="宋体" w:eastAsia="宋体" w:cs="宋体"/>
          <w:b/>
          <w:bCs/>
          <w:color w:val="auto"/>
          <w:kern w:val="2"/>
          <w:sz w:val="24"/>
          <w:szCs w:val="24"/>
          <w:highlight w:val="none"/>
          <w:lang w:val="en-US" w:eastAsia="zh-CN" w:bidi="ar-SA"/>
        </w:rPr>
        <w:t>20.拒收</w:t>
      </w:r>
      <w:bookmarkEnd w:id="228"/>
      <w:bookmarkEnd w:id="229"/>
      <w:bookmarkEnd w:id="230"/>
      <w:bookmarkEnd w:id="231"/>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超过投标文件提交截止时间</w:t>
      </w:r>
      <w:bookmarkStart w:id="232" w:name="_Hlk143532404"/>
      <w:r>
        <w:rPr>
          <w:rFonts w:hint="eastAsia" w:ascii="宋体" w:hAnsi="宋体" w:eastAsia="宋体" w:cs="宋体"/>
          <w:color w:val="auto"/>
          <w:sz w:val="24"/>
          <w:szCs w:val="24"/>
          <w:highlight w:val="none"/>
        </w:rPr>
        <w:t>或者不按照本章要求加密的投标文件，交易系统应当拒收</w:t>
      </w:r>
      <w:bookmarkEnd w:id="232"/>
      <w:r>
        <w:rPr>
          <w:rFonts w:hint="eastAsia" w:ascii="宋体" w:hAnsi="宋体" w:eastAsia="宋体" w:cs="宋体"/>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3" w:name="_Toc31714"/>
      <w:bookmarkStart w:id="234" w:name="_Toc140132778"/>
      <w:bookmarkStart w:id="235" w:name="_Toc163492846"/>
      <w:bookmarkStart w:id="236" w:name="_Toc17912"/>
      <w:bookmarkStart w:id="237" w:name="_Toc20710"/>
      <w:r>
        <w:rPr>
          <w:rFonts w:hint="eastAsia" w:ascii="宋体" w:hAnsi="宋体" w:eastAsia="宋体" w:cs="宋体"/>
          <w:b/>
          <w:bCs/>
          <w:color w:val="auto"/>
          <w:kern w:val="2"/>
          <w:sz w:val="24"/>
          <w:szCs w:val="24"/>
          <w:highlight w:val="none"/>
          <w:lang w:val="en-US" w:eastAsia="zh-CN" w:bidi="ar-SA"/>
        </w:rPr>
        <w:t>21.投标文件的修改与撤回</w:t>
      </w:r>
      <w:bookmarkEnd w:id="233"/>
      <w:bookmarkEnd w:id="234"/>
      <w:bookmarkEnd w:id="235"/>
      <w:bookmarkEnd w:id="236"/>
      <w:bookmarkEnd w:id="237"/>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bookmarkStart w:id="238" w:name="_Hlk143532466"/>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递交截止时间之前，可在兵团政府采购电子交易云平台上随时撤回已上传的电子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，将修改好的电子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递交截止时间前重新上传到兵团政府采购电子交易云平台的</w:t>
      </w:r>
      <w:r>
        <w:rPr>
          <w:rFonts w:hint="eastAsia" w:ascii="宋体" w:hAnsi="宋体" w:eastAsia="宋体" w:cs="宋体"/>
          <w:color w:val="auto"/>
          <w:sz w:val="24"/>
          <w:szCs w:val="24"/>
          <w:highlight w:val="none"/>
          <w:lang w:val="en-US" w:eastAsia="zh-CN"/>
        </w:rPr>
        <w:t>指</w:t>
      </w:r>
      <w:r>
        <w:rPr>
          <w:rFonts w:hint="eastAsia" w:ascii="宋体" w:hAnsi="宋体" w:eastAsia="宋体" w:cs="宋体"/>
          <w:color w:val="auto"/>
          <w:sz w:val="24"/>
          <w:szCs w:val="24"/>
          <w:highlight w:val="none"/>
        </w:rPr>
        <w:t>定位置。</w:t>
      </w:r>
    </w:p>
    <w:bookmarkEnd w:id="238"/>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9" w:name="_Toc18728"/>
      <w:bookmarkStart w:id="240" w:name="_Toc6030"/>
      <w:bookmarkStart w:id="241" w:name="_Toc20864"/>
      <w:bookmarkStart w:id="242" w:name="_Toc163492847"/>
      <w:bookmarkStart w:id="243" w:name="_Toc155185874"/>
      <w:r>
        <w:rPr>
          <w:rFonts w:hint="eastAsia" w:ascii="宋体" w:hAnsi="宋体" w:eastAsia="宋体" w:cs="宋体"/>
          <w:b/>
          <w:bCs/>
          <w:color w:val="auto"/>
          <w:kern w:val="2"/>
          <w:sz w:val="24"/>
          <w:szCs w:val="24"/>
          <w:highlight w:val="none"/>
          <w:lang w:val="en-US" w:eastAsia="zh-CN" w:bidi="ar-SA"/>
        </w:rPr>
        <w:t>22.实物样品</w:t>
      </w:r>
      <w:bookmarkEnd w:id="239"/>
      <w:bookmarkEnd w:id="240"/>
      <w:bookmarkEnd w:id="241"/>
      <w:bookmarkEnd w:id="242"/>
      <w:bookmarkEnd w:id="243"/>
    </w:p>
    <w:p w14:paraId="52D4EAF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.1“投标人须知前附表”要求提供样品的，样品的具体要求及评审详见“第三章 采购需求”和“第五章 评标</w:t>
      </w:r>
      <w:r>
        <w:rPr>
          <w:rFonts w:hint="eastAsia" w:ascii="宋体" w:hAnsi="宋体" w:eastAsia="宋体" w:cs="宋体"/>
          <w:snapToGrid w:val="0"/>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2D6ED3F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.2样品退还：未中标的投标人应</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自行联系采购人取回投标样品；中标人的样品由采购人进行保管、封存，并作为履约验收的参考（招标文件另有规定的从其规定）。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4" w:name="_Toc163492848"/>
      <w:bookmarkStart w:id="245" w:name="_Toc30367"/>
      <w:bookmarkStart w:id="246" w:name="_Toc3586"/>
      <w:bookmarkStart w:id="247" w:name="_Toc155185875"/>
      <w:bookmarkStart w:id="248" w:name="_Toc11533"/>
      <w:r>
        <w:rPr>
          <w:rFonts w:hint="eastAsia" w:ascii="宋体" w:hAnsi="宋体" w:eastAsia="宋体" w:cs="宋体"/>
          <w:b/>
          <w:bCs/>
          <w:color w:val="auto"/>
          <w:kern w:val="2"/>
          <w:sz w:val="24"/>
          <w:szCs w:val="24"/>
          <w:highlight w:val="none"/>
          <w:lang w:val="en-US" w:eastAsia="zh-CN" w:bidi="ar-SA"/>
        </w:rPr>
        <w:t>23.演示</w:t>
      </w:r>
      <w:bookmarkEnd w:id="244"/>
      <w:bookmarkEnd w:id="245"/>
      <w:bookmarkEnd w:id="246"/>
      <w:bookmarkEnd w:id="247"/>
      <w:bookmarkEnd w:id="248"/>
    </w:p>
    <w:p w14:paraId="1A234B3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.1要求投标人进行演示的，演示要求详见“投标人须知前附表”。</w:t>
      </w:r>
    </w:p>
    <w:p w14:paraId="527E903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.2演示的评审详见“第三章 采购需求”和“第五章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4482868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9" w:name="_Toc13245"/>
      <w:bookmarkStart w:id="250" w:name="_Toc155185876"/>
      <w:bookmarkStart w:id="251" w:name="_Toc140132779"/>
      <w:bookmarkStart w:id="252" w:name="_Toc8231"/>
      <w:bookmarkStart w:id="253" w:name="_Toc23023"/>
      <w:bookmarkStart w:id="254" w:name="_Toc163492849"/>
      <w:r>
        <w:rPr>
          <w:rFonts w:hint="eastAsia" w:ascii="宋体" w:hAnsi="宋体" w:eastAsia="宋体" w:cs="宋体"/>
          <w:b/>
          <w:bCs/>
          <w:color w:val="auto"/>
          <w:kern w:val="2"/>
          <w:sz w:val="24"/>
          <w:szCs w:val="24"/>
          <w:highlight w:val="none"/>
          <w:lang w:val="en-US" w:eastAsia="zh-CN" w:bidi="ar-SA"/>
        </w:rPr>
        <w:t>（五）开标</w:t>
      </w:r>
      <w:bookmarkEnd w:id="249"/>
      <w:bookmarkEnd w:id="250"/>
      <w:bookmarkEnd w:id="251"/>
      <w:bookmarkEnd w:id="252"/>
      <w:bookmarkEnd w:id="253"/>
      <w:bookmarkEnd w:id="254"/>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5" w:name="_Toc163492850"/>
      <w:bookmarkStart w:id="256" w:name="_Toc140132780"/>
      <w:bookmarkStart w:id="257" w:name="_Toc22613"/>
      <w:bookmarkStart w:id="258" w:name="_Toc8612"/>
      <w:bookmarkStart w:id="259" w:name="_Toc21393"/>
      <w:r>
        <w:rPr>
          <w:rFonts w:hint="eastAsia" w:ascii="宋体" w:hAnsi="宋体" w:eastAsia="宋体" w:cs="宋体"/>
          <w:b/>
          <w:bCs/>
          <w:color w:val="auto"/>
          <w:kern w:val="2"/>
          <w:sz w:val="24"/>
          <w:szCs w:val="24"/>
          <w:highlight w:val="none"/>
          <w:lang w:val="en-US" w:eastAsia="zh-CN" w:bidi="ar-SA"/>
        </w:rPr>
        <w:t>24.开标会议</w:t>
      </w:r>
      <w:bookmarkEnd w:id="255"/>
      <w:bookmarkEnd w:id="256"/>
      <w:bookmarkEnd w:id="257"/>
      <w:bookmarkEnd w:id="258"/>
      <w:bookmarkEnd w:id="259"/>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eastAsia="zh-CN"/>
        </w:rPr>
      </w:pPr>
      <w:bookmarkStart w:id="260" w:name="_Toc14013278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开标会按“</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”规定的开标时间和地点准时举行，采购人、采购代理机构邀请所有投标人准时参加开标会。投标人应按照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的要求参与</w:t>
      </w:r>
      <w:r>
        <w:rPr>
          <w:rFonts w:hint="eastAsia" w:ascii="宋体" w:hAnsi="宋体" w:eastAsia="宋体" w:cs="宋体"/>
          <w:color w:val="auto"/>
          <w:sz w:val="24"/>
          <w:szCs w:val="24"/>
          <w:highlight w:val="none"/>
          <w:lang w:val="en-US" w:eastAsia="zh-CN"/>
        </w:rPr>
        <w:t>不见面开标</w:t>
      </w:r>
      <w:r>
        <w:rPr>
          <w:rFonts w:hint="eastAsia" w:ascii="宋体" w:hAnsi="宋体" w:eastAsia="宋体" w:cs="宋体"/>
          <w:color w:val="auto"/>
          <w:sz w:val="24"/>
          <w:szCs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260"/>
      <w:r>
        <w:rPr>
          <w:rFonts w:hint="eastAsia" w:ascii="宋体" w:hAnsi="宋体" w:eastAsia="宋体" w:cs="宋体"/>
          <w:color w:val="auto"/>
          <w:kern w:val="2"/>
          <w:sz w:val="24"/>
          <w:szCs w:val="24"/>
          <w:highlight w:val="none"/>
        </w:rPr>
        <w:t>采购代理机构按照招标文件规定的时间、地点主持开标。采购人在规定的</w:t>
      </w:r>
      <w:r>
        <w:rPr>
          <w:rFonts w:hint="eastAsia" w:ascii="宋体" w:hAnsi="宋体" w:eastAsia="宋体" w:cs="宋体"/>
          <w:color w:val="auto"/>
          <w:kern w:val="2"/>
          <w:sz w:val="24"/>
          <w:szCs w:val="24"/>
          <w:highlight w:val="none"/>
          <w:lang w:eastAsia="zh-CN"/>
        </w:rPr>
        <w:t>投标文件</w:t>
      </w:r>
      <w:r>
        <w:rPr>
          <w:rFonts w:hint="eastAsia" w:ascii="宋体" w:hAnsi="宋体" w:eastAsia="宋体" w:cs="宋体"/>
          <w:color w:val="auto"/>
          <w:kern w:val="2"/>
          <w:sz w:val="24"/>
          <w:szCs w:val="24"/>
          <w:highlight w:val="none"/>
        </w:rPr>
        <w:t>递交截止时间（开标时间）和地点进行不见面远程开标。</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的法定代表人或其委托代理人无需到达开标现场，仅需在任意地点通过</w:t>
      </w:r>
      <w:r>
        <w:rPr>
          <w:rFonts w:hint="eastAsia" w:ascii="宋体" w:hAnsi="宋体" w:eastAsia="宋体" w:cs="宋体"/>
          <w:color w:val="auto"/>
          <w:kern w:val="2"/>
          <w:sz w:val="24"/>
          <w:szCs w:val="24"/>
          <w:highlight w:val="none"/>
          <w:lang w:val="en-US" w:eastAsia="zh-CN"/>
        </w:rPr>
        <w:t>兵团政府采购电子交易云平台（网址：https://www.zcygov.cn/）</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24.3开标过程将宣布投标人名称、投标价格和招标文件规定的需要宣布的其他内容并进行记录，并由参加开标的各投标人确认。投标人未在规定时间内提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1" w:name="_Toc163492852"/>
      <w:bookmarkStart w:id="262" w:name="_Toc30858"/>
      <w:bookmarkStart w:id="263" w:name="_Toc22024"/>
      <w:bookmarkStart w:id="264" w:name="_Toc140132783"/>
      <w:bookmarkStart w:id="265" w:name="_Toc6135"/>
      <w:r>
        <w:rPr>
          <w:rFonts w:hint="eastAsia" w:ascii="宋体" w:hAnsi="宋体" w:eastAsia="宋体" w:cs="宋体"/>
          <w:b/>
          <w:bCs/>
          <w:color w:val="auto"/>
          <w:kern w:val="2"/>
          <w:sz w:val="24"/>
          <w:szCs w:val="24"/>
          <w:highlight w:val="none"/>
          <w:lang w:val="en-US" w:eastAsia="zh-CN" w:bidi="ar-SA"/>
        </w:rPr>
        <w:t>25.开标程序</w:t>
      </w:r>
      <w:bookmarkEnd w:id="261"/>
      <w:bookmarkEnd w:id="262"/>
      <w:bookmarkEnd w:id="263"/>
      <w:bookmarkEnd w:id="264"/>
      <w:bookmarkEnd w:id="265"/>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（5）系统自动生成开标记录表，供应商应在线对开标记录进行签署确认</w:t>
      </w:r>
      <w:r>
        <w:rPr>
          <w:rFonts w:hint="eastAsia" w:ascii="宋体" w:hAnsi="宋体" w:eastAsia="宋体" w:cs="宋体"/>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（6）开标会结束。</w:t>
      </w:r>
      <w:bookmarkStart w:id="266" w:name="_Toc140132784"/>
      <w:bookmarkStart w:id="267" w:name="_Toc163492853"/>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8" w:name="_Toc8444"/>
      <w:bookmarkStart w:id="269" w:name="_Toc8830"/>
      <w:bookmarkStart w:id="270" w:name="_Toc6699"/>
      <w:r>
        <w:rPr>
          <w:rFonts w:hint="eastAsia" w:ascii="宋体" w:hAnsi="宋体" w:eastAsia="宋体" w:cs="宋体"/>
          <w:b/>
          <w:bCs/>
          <w:color w:val="auto"/>
          <w:kern w:val="2"/>
          <w:sz w:val="24"/>
          <w:szCs w:val="24"/>
          <w:highlight w:val="none"/>
          <w:lang w:val="en-US" w:eastAsia="zh-CN" w:bidi="ar-SA"/>
        </w:rPr>
        <w:t>26.开标疑义及回避情形</w:t>
      </w:r>
      <w:bookmarkEnd w:id="266"/>
      <w:bookmarkEnd w:id="267"/>
      <w:bookmarkEnd w:id="268"/>
      <w:bookmarkEnd w:id="269"/>
      <w:bookmarkEnd w:id="270"/>
    </w:p>
    <w:p w14:paraId="04573EB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.2投标人未参加开标的，视同认可开标结果。</w:t>
      </w:r>
    </w:p>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1" w:name="_Toc140132785"/>
      <w:bookmarkStart w:id="272" w:name="_Toc9049"/>
      <w:bookmarkStart w:id="273" w:name="_Toc163492854"/>
      <w:bookmarkStart w:id="274" w:name="_Toc15018"/>
      <w:bookmarkStart w:id="275" w:name="_Toc22271"/>
      <w:bookmarkStart w:id="276" w:name="_Toc155185877"/>
      <w:r>
        <w:rPr>
          <w:rFonts w:hint="eastAsia" w:ascii="宋体" w:hAnsi="宋体" w:eastAsia="宋体" w:cs="宋体"/>
          <w:b/>
          <w:bCs/>
          <w:color w:val="auto"/>
          <w:kern w:val="2"/>
          <w:sz w:val="24"/>
          <w:szCs w:val="24"/>
          <w:highlight w:val="none"/>
          <w:lang w:val="en-US" w:eastAsia="zh-CN" w:bidi="ar-SA"/>
        </w:rPr>
        <w:t>（六）资格审查</w:t>
      </w:r>
      <w:bookmarkEnd w:id="271"/>
      <w:bookmarkEnd w:id="272"/>
      <w:bookmarkEnd w:id="273"/>
      <w:bookmarkEnd w:id="274"/>
      <w:bookmarkEnd w:id="275"/>
      <w:bookmarkEnd w:id="276"/>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7" w:name="_Toc507"/>
      <w:bookmarkStart w:id="278" w:name="_Toc16245"/>
      <w:bookmarkStart w:id="279" w:name="_Toc163492855"/>
      <w:bookmarkStart w:id="280" w:name="_Toc9539"/>
      <w:r>
        <w:rPr>
          <w:rFonts w:hint="eastAsia" w:ascii="宋体" w:hAnsi="宋体" w:eastAsia="宋体" w:cs="宋体"/>
          <w:b/>
          <w:bCs/>
          <w:color w:val="auto"/>
          <w:kern w:val="2"/>
          <w:sz w:val="24"/>
          <w:szCs w:val="24"/>
          <w:highlight w:val="none"/>
          <w:lang w:val="en-US" w:eastAsia="zh-CN" w:bidi="ar-SA"/>
        </w:rPr>
        <w:t>27.资格审查及审查主体</w:t>
      </w:r>
      <w:bookmarkEnd w:id="277"/>
      <w:bookmarkEnd w:id="278"/>
      <w:bookmarkEnd w:id="279"/>
      <w:bookmarkEnd w:id="280"/>
    </w:p>
    <w:p w14:paraId="3F6E8AD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1" w:name="_Toc140132786"/>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bookmarkEnd w:id="281"/>
      <w:r>
        <w:rPr>
          <w:rFonts w:hint="eastAsia" w:ascii="宋体" w:hAnsi="宋体" w:eastAsia="宋体" w:cs="宋体"/>
          <w:color w:val="auto"/>
          <w:sz w:val="24"/>
          <w:szCs w:val="24"/>
          <w:highlight w:val="none"/>
        </w:rPr>
        <w:t>开标结束后，采购人或者采购代理机构应当依法对投标人的资格进行审查。</w:t>
      </w:r>
    </w:p>
    <w:p w14:paraId="6F7626D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2" w:name="_Toc140132787"/>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.2资格审查按“第四章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资格审查”的规定进行。</w:t>
      </w:r>
      <w:bookmarkEnd w:id="282"/>
    </w:p>
    <w:p w14:paraId="44D43B8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3" w:name="_Toc14013278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.3资格审查结束后，应及时对资格审查结果进行复核，对资格审查错误进行及时纠正并记录。</w:t>
      </w:r>
      <w:bookmarkEnd w:id="283"/>
    </w:p>
    <w:p w14:paraId="272F167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资格审查合格投标人不足3家的，不得评标。</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4" w:name="_Toc3464"/>
      <w:bookmarkStart w:id="285" w:name="_Toc155185878"/>
      <w:bookmarkStart w:id="286" w:name="_Toc11390"/>
      <w:bookmarkStart w:id="287" w:name="_Toc140132789"/>
      <w:bookmarkStart w:id="288" w:name="_Toc9489"/>
      <w:bookmarkStart w:id="289" w:name="_Toc163492856"/>
      <w:r>
        <w:rPr>
          <w:rFonts w:hint="eastAsia" w:ascii="宋体" w:hAnsi="宋体" w:eastAsia="宋体" w:cs="宋体"/>
          <w:b/>
          <w:bCs/>
          <w:color w:val="auto"/>
          <w:kern w:val="2"/>
          <w:sz w:val="24"/>
          <w:szCs w:val="24"/>
          <w:highlight w:val="none"/>
          <w:lang w:val="en-US" w:eastAsia="zh-CN" w:bidi="ar-SA"/>
        </w:rPr>
        <w:t>（七）评标</w:t>
      </w:r>
      <w:bookmarkEnd w:id="284"/>
      <w:bookmarkEnd w:id="285"/>
      <w:bookmarkEnd w:id="286"/>
      <w:bookmarkEnd w:id="287"/>
      <w:bookmarkEnd w:id="288"/>
      <w:bookmarkEnd w:id="289"/>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0" w:name="_Toc14310"/>
      <w:bookmarkStart w:id="291" w:name="_Toc140132790"/>
      <w:bookmarkStart w:id="292" w:name="_Toc13920"/>
      <w:bookmarkStart w:id="293" w:name="_Toc163492857"/>
      <w:bookmarkStart w:id="294" w:name="_Toc195"/>
      <w:r>
        <w:rPr>
          <w:rFonts w:hint="eastAsia" w:ascii="宋体" w:hAnsi="宋体" w:eastAsia="宋体" w:cs="宋体"/>
          <w:b/>
          <w:bCs/>
          <w:color w:val="auto"/>
          <w:kern w:val="2"/>
          <w:sz w:val="24"/>
          <w:szCs w:val="24"/>
          <w:highlight w:val="none"/>
          <w:lang w:val="en-US" w:eastAsia="zh-CN" w:bidi="ar-SA"/>
        </w:rPr>
        <w:t>28.评标委员会</w:t>
      </w:r>
      <w:bookmarkEnd w:id="290"/>
      <w:bookmarkEnd w:id="291"/>
      <w:bookmarkEnd w:id="292"/>
      <w:bookmarkEnd w:id="293"/>
      <w:bookmarkEnd w:id="294"/>
    </w:p>
    <w:p w14:paraId="1EA2B13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评标由采购人依法组建的评标委员会负责。评标委员会由采购人代表和评审专家组成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成员人数应当为5</w:t>
      </w:r>
      <w:r>
        <w:rPr>
          <w:rFonts w:hint="eastAsia" w:ascii="宋体" w:hAnsi="宋体" w:eastAsia="宋体" w:cs="宋体"/>
          <w:color w:val="auto"/>
          <w:sz w:val="24"/>
          <w:szCs w:val="24"/>
          <w:highlight w:val="none"/>
        </w:rPr>
        <w:t>人以上单数，其中</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专家不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少于</w:t>
      </w:r>
      <w:r>
        <w:rPr>
          <w:rFonts w:hint="eastAsia" w:ascii="宋体" w:hAnsi="宋体" w:eastAsia="宋体" w:cs="宋体"/>
          <w:color w:val="auto"/>
          <w:sz w:val="24"/>
          <w:szCs w:val="24"/>
          <w:highlight w:val="none"/>
          <w:lang w:val="en-US" w:eastAsia="zh-CN"/>
        </w:rPr>
        <w:t>成员总数的</w:t>
      </w:r>
      <w:r>
        <w:rPr>
          <w:rFonts w:hint="eastAsia" w:ascii="宋体" w:hAnsi="宋体" w:eastAsia="宋体" w:cs="宋体"/>
          <w:color w:val="auto"/>
          <w:sz w:val="24"/>
          <w:szCs w:val="24"/>
          <w:highlight w:val="none"/>
        </w:rPr>
        <w:t>三分之二。</w:t>
      </w:r>
      <w:r>
        <w:rPr>
          <w:rFonts w:hint="eastAsia" w:ascii="宋体" w:hAnsi="宋体" w:eastAsia="宋体" w:cs="宋体"/>
          <w:color w:val="auto"/>
          <w:sz w:val="24"/>
          <w:szCs w:val="24"/>
          <w:highlight w:val="none"/>
          <w:lang w:val="en-US" w:eastAsia="zh-CN"/>
        </w:rPr>
        <w:t>采购人或者采购代理机构应当从省级以上财政部门设立的政府采购评审专家库中，通过随机方式抽取评审专家。</w:t>
      </w:r>
    </w:p>
    <w:p w14:paraId="32DE78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 采购项目符合下列情形之一的，评标委员会成员人数应当为7人以上单数：</w:t>
      </w:r>
    </w:p>
    <w:p w14:paraId="05C639B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（1）采购预算金额在1000万元以上；</w:t>
      </w:r>
    </w:p>
    <w:p w14:paraId="67DFE62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（2）技术复杂；</w:t>
      </w:r>
    </w:p>
    <w:p w14:paraId="6B9FB10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（3）社会影响较大。</w:t>
      </w:r>
    </w:p>
    <w:p w14:paraId="4590A67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28.4评标委员会成员名单在评标结果公告前应当保密。</w:t>
      </w:r>
    </w:p>
    <w:p w14:paraId="2F8842E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28.6无法及时补足评标委员会成员的，采购人或者采购代理机构应当停止评标活动，封存所有投标文件和开标、评标资料，依法重新组建评标委员会进行评标。原评标委员会所作出的评标意见无效。</w:t>
      </w:r>
    </w:p>
    <w:p w14:paraId="320EF10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评标委员会成员有下列情形之一的，应当回避：</w:t>
      </w:r>
    </w:p>
    <w:p w14:paraId="5366671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（1）参加采购活动前3年内与投标人存在劳动关系；</w:t>
      </w:r>
    </w:p>
    <w:p w14:paraId="4B33BA4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（2）参加采购活动前3年内担任投标人的董事、监事；</w:t>
      </w:r>
    </w:p>
    <w:p w14:paraId="271CA22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（3）参加采购活动前3年内是投标人的控股股东或实际控制人；</w:t>
      </w:r>
    </w:p>
    <w:p w14:paraId="0F31540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（4）与投标人的法定代表人或者负责人有夫妻、直系血亲、三代以内旁系血亲或者近姻亲关系；</w:t>
      </w:r>
    </w:p>
    <w:p w14:paraId="20FB9B7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5" w:name="_Toc163492858"/>
      <w:bookmarkStart w:id="296" w:name="_Toc140132791"/>
      <w:bookmarkStart w:id="297" w:name="_Toc4052"/>
      <w:bookmarkStart w:id="298" w:name="_Toc7854"/>
      <w:bookmarkStart w:id="299" w:name="_Toc167"/>
      <w:r>
        <w:rPr>
          <w:rFonts w:hint="eastAsia" w:ascii="宋体" w:hAnsi="宋体" w:eastAsia="宋体" w:cs="宋体"/>
          <w:b/>
          <w:bCs/>
          <w:color w:val="auto"/>
          <w:kern w:val="2"/>
          <w:sz w:val="24"/>
          <w:szCs w:val="24"/>
          <w:highlight w:val="none"/>
          <w:lang w:val="en-US" w:eastAsia="zh-CN" w:bidi="ar-SA"/>
        </w:rPr>
        <w:t>29.评标</w:t>
      </w:r>
      <w:bookmarkEnd w:id="295"/>
      <w:bookmarkEnd w:id="296"/>
      <w:bookmarkEnd w:id="297"/>
      <w:bookmarkEnd w:id="298"/>
      <w:bookmarkEnd w:id="299"/>
    </w:p>
    <w:p w14:paraId="6D0B095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评标方法分为综合评分法和</w:t>
      </w:r>
      <w:r>
        <w:rPr>
          <w:rFonts w:hint="eastAsia" w:ascii="宋体" w:hAnsi="宋体" w:eastAsia="宋体" w:cs="宋体"/>
          <w:color w:val="auto"/>
          <w:sz w:val="24"/>
          <w:szCs w:val="24"/>
          <w:highlight w:val="none"/>
        </w:rPr>
        <w:t>最低评标价法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本项目评标</w:t>
      </w:r>
      <w:r>
        <w:rPr>
          <w:rFonts w:hint="eastAsia" w:ascii="宋体" w:hAnsi="宋体" w:eastAsia="宋体" w:cs="宋体"/>
          <w:color w:val="auto"/>
          <w:sz w:val="24"/>
          <w:szCs w:val="24"/>
          <w:highlight w:val="none"/>
          <w:lang w:val="en-US" w:eastAsia="zh-CN"/>
        </w:rPr>
        <w:t>方法详见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eastAsia="zh-CN"/>
        </w:rPr>
        <w:t>。</w:t>
      </w:r>
    </w:p>
    <w:p w14:paraId="2BC22B3E">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9.1.1</w:t>
      </w:r>
      <w:r>
        <w:rPr>
          <w:rFonts w:hint="eastAsia" w:ascii="宋体" w:hAnsi="宋体" w:eastAsia="宋体" w:cs="宋体"/>
          <w:color w:val="auto"/>
          <w:sz w:val="24"/>
          <w:szCs w:val="24"/>
          <w:highlight w:val="none"/>
        </w:rPr>
        <w:t>综合评分法，是指投标文件满足招标文件全部实质性要求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且按照评审因素的量化指标评审得分最高的投标人为中标候选人的评标方法。</w:t>
      </w:r>
    </w:p>
    <w:p w14:paraId="0E3867E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29.1.2.</w:t>
      </w:r>
      <w:r>
        <w:rPr>
          <w:rFonts w:hint="eastAsia" w:ascii="宋体" w:hAnsi="宋体" w:eastAsia="宋体" w:cs="宋体"/>
          <w:color w:val="auto"/>
          <w:sz w:val="24"/>
          <w:szCs w:val="24"/>
          <w:highlight w:val="none"/>
        </w:rPr>
        <w:t>最低评标价法，是指投标文件满足招标文件全部实质性要求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且投标报价最低的投标人为中标候选人的评标方法。</w:t>
      </w:r>
    </w:p>
    <w:p w14:paraId="418DE4C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评标委员会按照“第五章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规定对投标文件进行评审。“第五章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法及标准”没有规定的方法、评审因素和标准，不作为评标依据。</w:t>
      </w:r>
    </w:p>
    <w:p w14:paraId="1A9007D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评标委员会按“投标人须知前附表”规定的中标候选人数量在评标报告中向采购人推荐中标候选人。</w:t>
      </w:r>
    </w:p>
    <w:p w14:paraId="1E63454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29.5 在确定中标人之前，投标人试图在投标文件审查、澄清、比较和评标时对评标委员会、采购人和采购代理机构施加任何影响都可能导致其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2A3200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 电子招投标的应急措施</w:t>
      </w:r>
    </w:p>
    <w:p w14:paraId="52525CD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29.6.1电子开标、评标如出现下列原因，导致系统无法正常运行或无法正常评标时，应采取应急措施。</w:t>
      </w:r>
    </w:p>
    <w:p w14:paraId="3D99F56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518B308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57BA7B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26B1539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6BCA43D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（5）出现其他不可抗拒的客观原因造成开评标系统无法正常使用。</w:t>
      </w:r>
    </w:p>
    <w:p w14:paraId="2BA3CE0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出现上述情况时，应对未开标的暂停开标。已在系统内开标、评标的立即停止。采取应急措施时，必须对原有资料及信息作出妥善保密处理。</w:t>
      </w:r>
    </w:p>
    <w:p w14:paraId="791CC4F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29.7 投标人瑕疵滞后发现的处理规则</w:t>
      </w:r>
    </w:p>
    <w:p w14:paraId="11E85EA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29.7.1无论基于何种原因，各项本应作</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0" w:name="_Toc24173"/>
      <w:bookmarkStart w:id="301" w:name="_Toc16712"/>
      <w:bookmarkStart w:id="302" w:name="_Toc140132792"/>
      <w:bookmarkStart w:id="303" w:name="_Toc11591"/>
      <w:bookmarkStart w:id="304" w:name="_Toc163492859"/>
      <w:bookmarkStart w:id="305" w:name="_Toc155185879"/>
      <w:r>
        <w:rPr>
          <w:rFonts w:hint="eastAsia" w:ascii="宋体" w:hAnsi="宋体" w:eastAsia="宋体" w:cs="宋体"/>
          <w:b/>
          <w:bCs/>
          <w:color w:val="auto"/>
          <w:kern w:val="2"/>
          <w:sz w:val="24"/>
          <w:szCs w:val="24"/>
          <w:highlight w:val="none"/>
          <w:lang w:val="en-US" w:eastAsia="zh-CN" w:bidi="ar-SA"/>
        </w:rPr>
        <w:t>（八）中标</w:t>
      </w:r>
      <w:bookmarkEnd w:id="300"/>
      <w:bookmarkEnd w:id="301"/>
      <w:bookmarkEnd w:id="302"/>
      <w:bookmarkEnd w:id="303"/>
      <w:bookmarkEnd w:id="304"/>
      <w:bookmarkEnd w:id="305"/>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6" w:name="_Toc5728"/>
      <w:bookmarkStart w:id="307" w:name="_Toc163492860"/>
      <w:bookmarkStart w:id="308" w:name="_Toc18980"/>
      <w:bookmarkStart w:id="309" w:name="_Toc140132793"/>
      <w:bookmarkStart w:id="310" w:name="_Toc11832"/>
      <w:r>
        <w:rPr>
          <w:rFonts w:hint="eastAsia" w:ascii="宋体" w:hAnsi="宋体" w:eastAsia="宋体" w:cs="宋体"/>
          <w:b/>
          <w:bCs/>
          <w:color w:val="auto"/>
          <w:kern w:val="2"/>
          <w:sz w:val="24"/>
          <w:szCs w:val="24"/>
          <w:highlight w:val="none"/>
          <w:lang w:val="en-US" w:eastAsia="zh-CN" w:bidi="ar-SA"/>
        </w:rPr>
        <w:t>30.确定中标人</w:t>
      </w:r>
      <w:bookmarkEnd w:id="306"/>
      <w:bookmarkEnd w:id="307"/>
      <w:bookmarkEnd w:id="308"/>
      <w:bookmarkEnd w:id="309"/>
      <w:bookmarkEnd w:id="310"/>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1" w:name="_Toc15642"/>
      <w:bookmarkStart w:id="312" w:name="_Toc16181"/>
      <w:bookmarkStart w:id="313" w:name="_Toc6680"/>
      <w:bookmarkStart w:id="314" w:name="_Toc163492861"/>
      <w:bookmarkStart w:id="315" w:name="_Toc140132794"/>
      <w:r>
        <w:rPr>
          <w:rFonts w:hint="eastAsia" w:ascii="宋体" w:hAnsi="宋体" w:eastAsia="宋体" w:cs="宋体"/>
          <w:b/>
          <w:bCs/>
          <w:color w:val="auto"/>
          <w:kern w:val="2"/>
          <w:sz w:val="24"/>
          <w:szCs w:val="24"/>
          <w:highlight w:val="none"/>
          <w:lang w:val="en-US" w:eastAsia="zh-CN" w:bidi="ar-SA"/>
        </w:rPr>
        <w:t>31.中标结果公告</w:t>
      </w:r>
      <w:bookmarkEnd w:id="311"/>
      <w:bookmarkEnd w:id="312"/>
      <w:bookmarkEnd w:id="313"/>
      <w:bookmarkEnd w:id="314"/>
      <w:bookmarkEnd w:id="315"/>
    </w:p>
    <w:p w14:paraId="5975ECA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采购代理机构应当自中标人确定之日起2个工作日内，在</w:t>
      </w:r>
      <w:r>
        <w:rPr>
          <w:rFonts w:hint="eastAsia" w:ascii="宋体" w:hAnsi="宋体" w:eastAsia="宋体" w:cs="宋体"/>
          <w:color w:val="auto"/>
          <w:sz w:val="24"/>
          <w:szCs w:val="24"/>
          <w:highlight w:val="none"/>
          <w:lang w:val="en-US" w:eastAsia="zh-CN"/>
        </w:rPr>
        <w:t>发布招标公告的同一</w:t>
      </w:r>
      <w:r>
        <w:rPr>
          <w:rFonts w:hint="eastAsia" w:ascii="宋体" w:hAnsi="宋体" w:eastAsia="宋体" w:cs="宋体"/>
          <w:color w:val="auto"/>
          <w:sz w:val="24"/>
          <w:szCs w:val="24"/>
          <w:highlight w:val="none"/>
        </w:rPr>
        <w:t>媒体上发布中标结果公告，</w:t>
      </w:r>
      <w:r>
        <w:rPr>
          <w:rFonts w:hint="eastAsia" w:ascii="宋体" w:hAnsi="宋体" w:eastAsia="宋体" w:cs="宋体"/>
          <w:color w:val="auto"/>
          <w:sz w:val="24"/>
          <w:szCs w:val="24"/>
          <w:highlight w:val="none"/>
          <w:lang w:val="en-US" w:eastAsia="zh-CN"/>
        </w:rPr>
        <w:t>同时向中标人</w:t>
      </w:r>
      <w:r>
        <w:rPr>
          <w:rFonts w:hint="eastAsia" w:ascii="宋体" w:hAnsi="宋体" w:eastAsia="宋体" w:cs="宋体"/>
          <w:color w:val="auto"/>
          <w:sz w:val="24"/>
          <w:szCs w:val="24"/>
          <w:highlight w:val="none"/>
        </w:rPr>
        <w:t>发出中标通知书</w:t>
      </w:r>
      <w:r>
        <w:rPr>
          <w:rFonts w:hint="eastAsia" w:ascii="宋体" w:hAnsi="宋体" w:eastAsia="宋体" w:cs="宋体"/>
          <w:color w:val="auto"/>
          <w:sz w:val="24"/>
          <w:szCs w:val="24"/>
          <w:highlight w:val="none"/>
          <w:lang w:eastAsia="zh-CN"/>
        </w:rPr>
        <w:t>。招标文件随中标结果同时公告，</w:t>
      </w:r>
      <w:r>
        <w:rPr>
          <w:rFonts w:hint="eastAsia" w:ascii="宋体" w:hAnsi="宋体" w:eastAsia="宋体" w:cs="宋体"/>
          <w:color w:val="auto"/>
          <w:sz w:val="24"/>
          <w:szCs w:val="24"/>
          <w:highlight w:val="none"/>
        </w:rPr>
        <w:t>中标结果公告期限为1个工作日。</w:t>
      </w:r>
    </w:p>
    <w:p w14:paraId="5352A1F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中标供应商为中小企业</w:t>
      </w:r>
      <w:r>
        <w:rPr>
          <w:rFonts w:hint="eastAsia" w:ascii="宋体" w:hAnsi="宋体" w:eastAsia="宋体" w:cs="宋体"/>
          <w:bCs/>
          <w:color w:val="auto"/>
          <w:sz w:val="24"/>
          <w:szCs w:val="24"/>
          <w:highlight w:val="none"/>
          <w:lang w:val="en-US" w:eastAsia="zh-CN"/>
        </w:rPr>
        <w:t>享受中小企业扶持政策的</w:t>
      </w:r>
      <w:r>
        <w:rPr>
          <w:rFonts w:hint="eastAsia" w:ascii="宋体" w:hAnsi="宋体" w:eastAsia="宋体" w:cs="宋体"/>
          <w:bCs/>
          <w:color w:val="auto"/>
          <w:sz w:val="24"/>
          <w:szCs w:val="24"/>
          <w:highlight w:val="none"/>
          <w:lang w:eastAsia="zh-CN"/>
        </w:rPr>
        <w:t>，其“中小企业声明函”随中标结果同时公告。中标供应商为残疾人福利性单位的，其“残疾人福利性单位声明函”随中标结果同时公告。</w:t>
      </w:r>
    </w:p>
    <w:p w14:paraId="3302A7D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w:t>
      </w:r>
      <w:r>
        <w:rPr>
          <w:rFonts w:hint="eastAsia" w:ascii="宋体" w:hAnsi="宋体" w:eastAsia="宋体" w:cs="宋体"/>
          <w:color w:val="auto"/>
          <w:sz w:val="24"/>
          <w:szCs w:val="24"/>
          <w:highlight w:val="none"/>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6" w:name="_Toc163492862"/>
      <w:bookmarkStart w:id="317" w:name="_Toc140132795"/>
      <w:bookmarkStart w:id="318" w:name="_Toc19467"/>
      <w:bookmarkStart w:id="319" w:name="_Toc6163"/>
      <w:bookmarkStart w:id="320" w:name="_Toc6353"/>
      <w:r>
        <w:rPr>
          <w:rFonts w:hint="eastAsia" w:ascii="宋体" w:hAnsi="宋体" w:eastAsia="宋体" w:cs="宋体"/>
          <w:b/>
          <w:bCs/>
          <w:color w:val="auto"/>
          <w:kern w:val="2"/>
          <w:sz w:val="24"/>
          <w:szCs w:val="24"/>
          <w:highlight w:val="none"/>
          <w:lang w:val="en-US" w:eastAsia="zh-CN" w:bidi="ar-SA"/>
        </w:rPr>
        <w:t>32.中标通知</w:t>
      </w:r>
      <w:bookmarkEnd w:id="316"/>
      <w:bookmarkEnd w:id="317"/>
      <w:bookmarkEnd w:id="318"/>
      <w:bookmarkEnd w:id="319"/>
      <w:bookmarkEnd w:id="320"/>
    </w:p>
    <w:p w14:paraId="41D33E1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32.2中标通知书对采购人和中标供应商均具有法律效力。中标通知书发出后，采购人改变中标结果的，或者中标供应商放弃中标项目的，应当依法承担法律责任。</w:t>
      </w:r>
    </w:p>
    <w:p w14:paraId="004C264E">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1" w:name="_Toc30315"/>
      <w:bookmarkStart w:id="322" w:name="_Toc812"/>
      <w:bookmarkStart w:id="323" w:name="_Toc163492863"/>
      <w:bookmarkStart w:id="324" w:name="_Toc27187"/>
      <w:r>
        <w:rPr>
          <w:rFonts w:hint="eastAsia" w:ascii="宋体" w:hAnsi="宋体" w:eastAsia="宋体" w:cs="宋体"/>
          <w:b/>
          <w:bCs/>
          <w:color w:val="auto"/>
          <w:kern w:val="2"/>
          <w:sz w:val="24"/>
          <w:szCs w:val="24"/>
          <w:highlight w:val="none"/>
          <w:lang w:val="en-US" w:eastAsia="zh-CN" w:bidi="ar-SA"/>
        </w:rPr>
        <w:t>（九）签订</w:t>
      </w:r>
      <w:bookmarkStart w:id="325" w:name="_Toc155185880"/>
      <w:bookmarkStart w:id="326" w:name="_Toc140132796"/>
      <w:r>
        <w:rPr>
          <w:rFonts w:hint="eastAsia" w:ascii="宋体" w:hAnsi="宋体" w:eastAsia="宋体" w:cs="宋体"/>
          <w:b/>
          <w:bCs/>
          <w:color w:val="auto"/>
          <w:kern w:val="2"/>
          <w:sz w:val="24"/>
          <w:szCs w:val="24"/>
          <w:highlight w:val="none"/>
          <w:lang w:val="en-US" w:eastAsia="zh-CN" w:bidi="ar-SA"/>
        </w:rPr>
        <w:t>合同</w:t>
      </w:r>
      <w:bookmarkEnd w:id="321"/>
      <w:bookmarkEnd w:id="322"/>
      <w:bookmarkEnd w:id="323"/>
      <w:bookmarkEnd w:id="324"/>
      <w:bookmarkEnd w:id="325"/>
      <w:bookmarkEnd w:id="326"/>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7" w:name="_Toc140132797"/>
      <w:bookmarkStart w:id="328" w:name="_Toc3030"/>
      <w:bookmarkStart w:id="329" w:name="_Toc1439"/>
      <w:bookmarkStart w:id="330" w:name="_Toc163492864"/>
      <w:bookmarkStart w:id="331" w:name="_Toc21817"/>
      <w:r>
        <w:rPr>
          <w:rFonts w:hint="eastAsia" w:ascii="宋体" w:hAnsi="宋体" w:eastAsia="宋体" w:cs="宋体"/>
          <w:b/>
          <w:bCs/>
          <w:color w:val="auto"/>
          <w:kern w:val="2"/>
          <w:sz w:val="24"/>
          <w:szCs w:val="24"/>
          <w:highlight w:val="none"/>
          <w:lang w:val="en-US" w:eastAsia="zh-CN" w:bidi="ar-SA"/>
        </w:rPr>
        <w:t>33.履约保证金</w:t>
      </w:r>
      <w:bookmarkEnd w:id="327"/>
      <w:bookmarkEnd w:id="328"/>
      <w:bookmarkEnd w:id="329"/>
      <w:bookmarkEnd w:id="330"/>
      <w:bookmarkEnd w:id="331"/>
    </w:p>
    <w:p w14:paraId="77717F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.1在签订合同前，中标人应按“投标人须知前附表”规定的金额、担保形式和采购人认可的履约担保格式向采购人提交履约保证金。</w:t>
      </w:r>
    </w:p>
    <w:p w14:paraId="73BC7DA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.2中标人不能按本章第3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2" w:name="_Toc140132798"/>
      <w:bookmarkStart w:id="333" w:name="_Toc10817"/>
      <w:bookmarkStart w:id="334" w:name="_Toc163492865"/>
      <w:bookmarkStart w:id="335" w:name="_Toc12603"/>
      <w:bookmarkStart w:id="336" w:name="_Toc1975"/>
      <w:r>
        <w:rPr>
          <w:rFonts w:hint="eastAsia" w:ascii="宋体" w:hAnsi="宋体" w:eastAsia="宋体" w:cs="宋体"/>
          <w:b/>
          <w:bCs/>
          <w:color w:val="auto"/>
          <w:kern w:val="2"/>
          <w:sz w:val="24"/>
          <w:szCs w:val="24"/>
          <w:highlight w:val="none"/>
          <w:lang w:val="en-US" w:eastAsia="zh-CN" w:bidi="ar-SA"/>
        </w:rPr>
        <w:t>34.签订合同</w:t>
      </w:r>
      <w:bookmarkEnd w:id="332"/>
      <w:bookmarkEnd w:id="333"/>
      <w:bookmarkEnd w:id="334"/>
      <w:bookmarkEnd w:id="335"/>
      <w:bookmarkEnd w:id="336"/>
    </w:p>
    <w:p w14:paraId="77507EB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.1 采购人和中标人应当自中标通知书发出之日起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72CF4FD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采购人和中标人不得向对方提出任何不合理的要求，作为签订合同的条件，双方不得私下订立背离合同实质性内容的协议。</w:t>
      </w:r>
    </w:p>
    <w:p w14:paraId="5551DDA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34.4 联合体中标的，联合体各方应当共同与采购人签订合同，就采购合同约定的事项向采购人承担连带责任。</w:t>
      </w:r>
    </w:p>
    <w:p w14:paraId="2BA187E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。中标人就采购项目和分包项目向采购人负责，分包供应商就分包项目承担责任。</w:t>
      </w:r>
      <w:r>
        <w:rPr>
          <w:rFonts w:hint="eastAsia" w:ascii="宋体" w:hAnsi="宋体" w:eastAsia="宋体" w:cs="宋体"/>
          <w:b/>
          <w:bCs/>
          <w:color w:val="auto"/>
          <w:sz w:val="24"/>
          <w:szCs w:val="24"/>
          <w:highlight w:val="none"/>
          <w:lang w:val="en-US" w:eastAsia="zh-CN"/>
        </w:rPr>
        <w:t>政府采购合同不能转包。</w:t>
      </w:r>
    </w:p>
    <w:p w14:paraId="13D12B8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采购合同履行中，采购人需追加与合同标的相同的</w:t>
      </w:r>
      <w:r>
        <w:rPr>
          <w:rFonts w:hint="eastAsia" w:ascii="宋体" w:hAnsi="宋体" w:eastAsia="宋体" w:cs="宋体"/>
          <w:color w:val="auto"/>
          <w:sz w:val="24"/>
          <w:szCs w:val="24"/>
          <w:highlight w:val="none"/>
          <w:lang w:val="en-US" w:eastAsia="zh-CN"/>
        </w:rPr>
        <w:t>货物、工程或者服务</w:t>
      </w:r>
      <w:r>
        <w:rPr>
          <w:rFonts w:hint="eastAsia" w:ascii="宋体" w:hAnsi="宋体" w:eastAsia="宋体" w:cs="宋体"/>
          <w:color w:val="auto"/>
          <w:sz w:val="24"/>
          <w:szCs w:val="24"/>
          <w:highlight w:val="none"/>
        </w:rPr>
        <w:t>的，在不改变合同其他条款的前提下，可以与中标人协商签订补充合同，但所有补充合同的采购金额不得超过原合同采购金额的百分之十。</w:t>
      </w:r>
    </w:p>
    <w:p w14:paraId="259D0E8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34.7 采购人应于签订合同之日起2个工作日内在政采云平台备案公示。</w:t>
      </w:r>
    </w:p>
    <w:p w14:paraId="12490EB6">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7" w:name="_Toc155185881"/>
      <w:bookmarkStart w:id="338" w:name="_Toc140132799"/>
      <w:bookmarkStart w:id="339" w:name="_Toc14069"/>
      <w:bookmarkStart w:id="340" w:name="_Toc163492866"/>
      <w:bookmarkStart w:id="341" w:name="_Toc3645"/>
      <w:bookmarkStart w:id="342" w:name="_Toc22067"/>
      <w:r>
        <w:rPr>
          <w:rFonts w:hint="eastAsia" w:ascii="宋体" w:hAnsi="宋体" w:eastAsia="宋体" w:cs="宋体"/>
          <w:b/>
          <w:bCs/>
          <w:color w:val="auto"/>
          <w:kern w:val="2"/>
          <w:sz w:val="24"/>
          <w:szCs w:val="24"/>
          <w:highlight w:val="none"/>
          <w:lang w:val="en-US" w:eastAsia="zh-CN" w:bidi="ar-SA"/>
        </w:rPr>
        <w:t>（十）质疑和投诉</w:t>
      </w:r>
      <w:bookmarkEnd w:id="337"/>
      <w:bookmarkEnd w:id="338"/>
      <w:bookmarkEnd w:id="339"/>
      <w:bookmarkEnd w:id="340"/>
      <w:bookmarkEnd w:id="341"/>
      <w:bookmarkEnd w:id="342"/>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3" w:name="_Toc5521"/>
      <w:bookmarkStart w:id="344" w:name="_Toc163492867"/>
      <w:bookmarkStart w:id="345" w:name="_Toc17195"/>
      <w:bookmarkStart w:id="346" w:name="_Toc6362"/>
      <w:bookmarkStart w:id="347" w:name="_Toc140132800"/>
      <w:r>
        <w:rPr>
          <w:rFonts w:hint="eastAsia" w:ascii="宋体" w:hAnsi="宋体" w:eastAsia="宋体" w:cs="宋体"/>
          <w:b/>
          <w:bCs/>
          <w:color w:val="auto"/>
          <w:kern w:val="2"/>
          <w:sz w:val="24"/>
          <w:szCs w:val="24"/>
          <w:highlight w:val="none"/>
          <w:lang w:val="en-US" w:eastAsia="zh-CN" w:bidi="ar-SA"/>
        </w:rPr>
        <w:t>35.质疑</w:t>
      </w:r>
      <w:bookmarkEnd w:id="343"/>
      <w:bookmarkEnd w:id="344"/>
      <w:bookmarkEnd w:id="345"/>
      <w:bookmarkEnd w:id="346"/>
      <w:bookmarkEnd w:id="347"/>
    </w:p>
    <w:p w14:paraId="097AA16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。供应商在法定质疑期内一次性提出针对同一采购程序环节的质疑。</w:t>
      </w:r>
    </w:p>
    <w:p w14:paraId="492A54F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.2提出质疑的供应商（以下简称质疑供应商）应当是参与所质疑项目采购活动的供应商。</w:t>
      </w:r>
    </w:p>
    <w:p w14:paraId="6503DC7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35.3</w:t>
      </w:r>
      <w:r>
        <w:rPr>
          <w:rFonts w:hint="eastAsia" w:ascii="宋体" w:hAnsi="宋体" w:eastAsia="宋体" w:cs="宋体"/>
          <w:color w:val="auto"/>
          <w:sz w:val="24"/>
          <w:szCs w:val="24"/>
          <w:highlight w:val="none"/>
        </w:rPr>
        <w:t>潜在供应商已依法获取其可质疑的采购文件的，可以对该文件提出质疑。对采购文件提出质疑的，应当在获取采购文件或者采购文件公告期限届满之日起7个工作日内提出。</w:t>
      </w:r>
    </w:p>
    <w:p w14:paraId="58321ED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供应商提出质疑应当提交质疑函和必要的证明材料。质疑函应当包括下列内容：</w:t>
      </w:r>
    </w:p>
    <w:p w14:paraId="682A84D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）供应商的姓名或者名称、地址、邮编、联系人及联系电话；</w:t>
      </w:r>
    </w:p>
    <w:p w14:paraId="388DB77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rPr>
        <w:t>；</w:t>
      </w:r>
    </w:p>
    <w:p w14:paraId="7C9D471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）具体、明确的质疑事项和与质疑事项相关的请求；</w:t>
      </w:r>
    </w:p>
    <w:p w14:paraId="3C52874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3EEC5BF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）必要的法律依据；</w:t>
      </w:r>
    </w:p>
    <w:p w14:paraId="2E14DE4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）提出质疑的日期。</w:t>
      </w:r>
    </w:p>
    <w:p w14:paraId="553B627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5BBD16A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.5质疑函不符合上述要求的，采购人或代理机构应书面告知具体事项，质疑人应当按要求进行修改或补充，并在质疑有效期限内提交。</w:t>
      </w:r>
    </w:p>
    <w:p w14:paraId="4A4B924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投标人进行虚假和恶意</w:t>
      </w:r>
      <w:r>
        <w:rPr>
          <w:rFonts w:hint="eastAsia" w:ascii="宋体" w:hAnsi="宋体" w:eastAsia="宋体" w:cs="宋体"/>
          <w:snapToGrid w:val="0"/>
          <w:color w:val="auto"/>
          <w:sz w:val="24"/>
          <w:szCs w:val="24"/>
          <w:highlight w:val="none"/>
          <w:lang w:val="en-US" w:eastAsia="zh-CN"/>
        </w:rPr>
        <w:t>质疑投诉</w:t>
      </w:r>
      <w:r>
        <w:rPr>
          <w:rFonts w:hint="eastAsia" w:ascii="宋体" w:hAnsi="宋体" w:eastAsia="宋体" w:cs="宋体"/>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184C71D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35.7</w:t>
      </w:r>
      <w:r>
        <w:rPr>
          <w:rFonts w:hint="eastAsia" w:ascii="宋体" w:hAnsi="宋体" w:eastAsia="宋体" w:cs="宋体"/>
          <w:color w:val="auto"/>
          <w:sz w:val="24"/>
          <w:szCs w:val="24"/>
          <w:highlight w:val="none"/>
        </w:rPr>
        <w:t>质疑函</w:t>
      </w:r>
      <w:r>
        <w:rPr>
          <w:rFonts w:hint="eastAsia" w:ascii="宋体" w:hAnsi="宋体" w:eastAsia="宋体" w:cs="宋体"/>
          <w:color w:val="auto"/>
          <w:sz w:val="24"/>
          <w:szCs w:val="24"/>
          <w:highlight w:val="none"/>
          <w:lang w:val="en-US" w:eastAsia="zh-CN"/>
        </w:rPr>
        <w:t>应当使用中文，并采用财政部门制定的范本。</w:t>
      </w:r>
    </w:p>
    <w:p w14:paraId="6E7964C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8" w:name="_Toc2308"/>
      <w:bookmarkStart w:id="349" w:name="_Toc7060"/>
      <w:bookmarkStart w:id="350" w:name="_Toc30183"/>
      <w:bookmarkStart w:id="351" w:name="_Toc140132801"/>
      <w:bookmarkStart w:id="352" w:name="_Toc163492868"/>
      <w:r>
        <w:rPr>
          <w:rFonts w:hint="eastAsia" w:ascii="宋体" w:hAnsi="宋体" w:eastAsia="宋体" w:cs="宋体"/>
          <w:b/>
          <w:bCs/>
          <w:color w:val="auto"/>
          <w:kern w:val="2"/>
          <w:sz w:val="24"/>
          <w:szCs w:val="24"/>
          <w:highlight w:val="none"/>
          <w:lang w:val="en-US" w:eastAsia="zh-CN" w:bidi="ar-SA"/>
        </w:rPr>
        <w:t>36.质疑答复</w:t>
      </w:r>
      <w:bookmarkEnd w:id="348"/>
      <w:bookmarkEnd w:id="349"/>
      <w:bookmarkEnd w:id="350"/>
      <w:bookmarkEnd w:id="351"/>
      <w:bookmarkEnd w:id="352"/>
    </w:p>
    <w:p w14:paraId="43D7F91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353" w:name="_Toc140132802"/>
      <w:bookmarkStart w:id="354" w:name="_Toc163492869"/>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4E9D6E2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36.2供应商对评审过程、中标结果提出质疑的，采购人、采购代理机构可以组织原评标委员会协助答复质疑。</w:t>
      </w:r>
    </w:p>
    <w:p w14:paraId="0056DA5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质疑答复应当包括下列内容：</w:t>
      </w:r>
    </w:p>
    <w:p w14:paraId="34339C8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）质疑供应商的姓名或者名称；</w:t>
      </w:r>
    </w:p>
    <w:p w14:paraId="2F25172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）收到质疑函的日期、质疑项目名称及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lang w:val="zh-CN" w:eastAsia="zh-CN"/>
        </w:rPr>
        <w:t>；</w:t>
      </w:r>
    </w:p>
    <w:p w14:paraId="1365ED7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）质疑事项、质疑答复的具体内容、事实依据和法律依据；</w:t>
      </w:r>
    </w:p>
    <w:p w14:paraId="3C71AFF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）告知质疑供应商依法投诉的权利；</w:t>
      </w:r>
    </w:p>
    <w:p w14:paraId="77F64A3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）质疑答复人名称；</w:t>
      </w:r>
    </w:p>
    <w:p w14:paraId="52743A2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）答复质疑的日期。</w:t>
      </w:r>
    </w:p>
    <w:p w14:paraId="56A5E1E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质疑答复的内容不得涉及商业秘密。</w:t>
      </w:r>
    </w:p>
    <w:p w14:paraId="631FD1E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5" w:name="_Toc4201"/>
      <w:bookmarkStart w:id="356" w:name="_Toc13241"/>
      <w:bookmarkStart w:id="357" w:name="_Toc8648"/>
      <w:r>
        <w:rPr>
          <w:rFonts w:hint="eastAsia" w:ascii="宋体" w:hAnsi="宋体" w:eastAsia="宋体" w:cs="宋体"/>
          <w:b/>
          <w:bCs/>
          <w:color w:val="auto"/>
          <w:kern w:val="2"/>
          <w:sz w:val="24"/>
          <w:szCs w:val="24"/>
          <w:highlight w:val="none"/>
          <w:lang w:val="en-US" w:eastAsia="zh-CN" w:bidi="ar-SA"/>
        </w:rPr>
        <w:t>37.投诉</w:t>
      </w:r>
      <w:bookmarkEnd w:id="353"/>
      <w:bookmarkEnd w:id="354"/>
      <w:bookmarkEnd w:id="355"/>
      <w:bookmarkEnd w:id="356"/>
      <w:bookmarkEnd w:id="357"/>
    </w:p>
    <w:p w14:paraId="34C5EAA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sz w:val="24"/>
          <w:szCs w:val="24"/>
          <w:highlight w:val="none"/>
          <w:lang w:val="en-US" w:eastAsia="zh-CN"/>
        </w:rPr>
        <w:t>同级政府采购监督管理部门</w:t>
      </w:r>
      <w:r>
        <w:rPr>
          <w:rFonts w:hint="eastAsia" w:ascii="宋体" w:hAnsi="宋体" w:eastAsia="宋体" w:cs="宋体"/>
          <w:color w:val="auto"/>
          <w:sz w:val="24"/>
          <w:szCs w:val="24"/>
          <w:highlight w:val="none"/>
        </w:rPr>
        <w:t>提起投诉。</w:t>
      </w:r>
    </w:p>
    <w:p w14:paraId="7AE3C0F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）投诉人和被投诉人的姓名或者名称、通讯地址、邮编、联系人及联系电话；</w:t>
      </w:r>
    </w:p>
    <w:p w14:paraId="1A65A10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）质疑和质疑答复情况说明及相关证明材料；</w:t>
      </w:r>
    </w:p>
    <w:p w14:paraId="675A6D9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）具体、明确的投诉事项和与投诉事项相关的投诉请求；</w:t>
      </w:r>
    </w:p>
    <w:p w14:paraId="4A0C159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4CFD3E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）法律依据；</w:t>
      </w:r>
    </w:p>
    <w:p w14:paraId="35FA6A4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）提起投诉的日期。</w:t>
      </w:r>
    </w:p>
    <w:p w14:paraId="4FC7C3A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质疑、</w:t>
      </w:r>
      <w:r>
        <w:rPr>
          <w:rFonts w:hint="eastAsia" w:ascii="宋体" w:hAnsi="宋体" w:eastAsia="宋体" w:cs="宋体"/>
          <w:color w:val="auto"/>
          <w:sz w:val="24"/>
          <w:szCs w:val="24"/>
          <w:highlight w:val="none"/>
        </w:rPr>
        <w:t>投诉</w:t>
      </w:r>
      <w:r>
        <w:rPr>
          <w:rFonts w:hint="eastAsia" w:ascii="宋体" w:hAnsi="宋体" w:eastAsia="宋体" w:cs="宋体"/>
          <w:color w:val="auto"/>
          <w:sz w:val="24"/>
          <w:szCs w:val="24"/>
          <w:highlight w:val="none"/>
          <w:lang w:val="en-US" w:eastAsia="zh-CN"/>
        </w:rPr>
        <w:t>应当有明确的请求和必要的证明材料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供应商投诉的事项不得超出</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质疑事项的范围，但基于质疑答复内容提出的投诉事项除外</w:t>
      </w:r>
      <w:r>
        <w:rPr>
          <w:rFonts w:hint="eastAsia" w:ascii="宋体" w:hAnsi="宋体" w:eastAsia="宋体" w:cs="宋体"/>
          <w:bCs/>
          <w:color w:val="auto"/>
          <w:sz w:val="24"/>
          <w:szCs w:val="24"/>
          <w:highlight w:val="none"/>
        </w:rPr>
        <w:t>。</w:t>
      </w:r>
    </w:p>
    <w:p w14:paraId="0C7738C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snapToGrid w:val="0"/>
          <w:color w:val="auto"/>
          <w:sz w:val="24"/>
          <w:szCs w:val="24"/>
          <w:highlight w:val="none"/>
          <w:lang w:val="en-US" w:eastAsia="zh-CN"/>
        </w:rPr>
        <w:t>37.4</w:t>
      </w:r>
      <w:r>
        <w:rPr>
          <w:rFonts w:hint="eastAsia" w:ascii="宋体" w:hAnsi="宋体" w:eastAsia="宋体" w:cs="宋体"/>
          <w:color w:val="auto"/>
          <w:sz w:val="24"/>
          <w:szCs w:val="24"/>
          <w:highlight w:val="none"/>
          <w:lang w:val="en-US" w:eastAsia="zh-CN"/>
        </w:rPr>
        <w:t>投诉书应当使用中文，并采用财政部门制定的范本。</w:t>
      </w:r>
    </w:p>
    <w:p w14:paraId="076E00EB">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8" w:name="_Toc140132803"/>
      <w:bookmarkStart w:id="359" w:name="_Toc25532"/>
      <w:bookmarkStart w:id="360" w:name="_Toc155185882"/>
      <w:bookmarkStart w:id="361" w:name="_Toc163492870"/>
      <w:bookmarkStart w:id="362" w:name="_Toc26619"/>
      <w:bookmarkStart w:id="363" w:name="_Toc19407"/>
      <w:r>
        <w:rPr>
          <w:rFonts w:hint="eastAsia" w:ascii="宋体" w:hAnsi="宋体" w:eastAsia="宋体" w:cs="宋体"/>
          <w:b/>
          <w:bCs/>
          <w:color w:val="auto"/>
          <w:kern w:val="2"/>
          <w:sz w:val="24"/>
          <w:szCs w:val="24"/>
          <w:highlight w:val="none"/>
          <w:lang w:val="en-US" w:eastAsia="zh-CN" w:bidi="ar-SA"/>
        </w:rPr>
        <w:t>（十一）采购代理服务费</w:t>
      </w:r>
      <w:bookmarkEnd w:id="358"/>
      <w:bookmarkEnd w:id="359"/>
      <w:bookmarkEnd w:id="360"/>
      <w:bookmarkEnd w:id="361"/>
      <w:bookmarkEnd w:id="362"/>
      <w:bookmarkEnd w:id="363"/>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4" w:name="_Toc140132804"/>
      <w:bookmarkStart w:id="365" w:name="_Toc21533"/>
      <w:bookmarkStart w:id="366" w:name="_Toc16138"/>
      <w:bookmarkStart w:id="367" w:name="_Toc163492871"/>
      <w:bookmarkStart w:id="368" w:name="_Toc16634"/>
      <w:r>
        <w:rPr>
          <w:rFonts w:hint="eastAsia" w:ascii="宋体" w:hAnsi="宋体" w:eastAsia="宋体" w:cs="宋体"/>
          <w:b/>
          <w:bCs/>
          <w:color w:val="auto"/>
          <w:kern w:val="2"/>
          <w:sz w:val="24"/>
          <w:szCs w:val="24"/>
          <w:highlight w:val="none"/>
          <w:lang w:val="en-US" w:eastAsia="zh-CN" w:bidi="ar-SA"/>
        </w:rPr>
        <w:t>38.收取方式和标准</w:t>
      </w:r>
      <w:bookmarkEnd w:id="364"/>
      <w:bookmarkEnd w:id="365"/>
      <w:bookmarkEnd w:id="366"/>
      <w:bookmarkEnd w:id="367"/>
      <w:bookmarkEnd w:id="368"/>
    </w:p>
    <w:p w14:paraId="0FDD9E2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rPr>
        <w:t>.1采购代理机构按“投标人须知前附表”规定的方式和标准收取采购代理服务费。</w:t>
      </w:r>
    </w:p>
    <w:p w14:paraId="3ED844E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9" w:name="_Toc140132805"/>
      <w:bookmarkStart w:id="370" w:name="_Toc7566"/>
      <w:bookmarkStart w:id="371" w:name="_Toc15853"/>
      <w:bookmarkStart w:id="372" w:name="_Toc155185883"/>
      <w:bookmarkStart w:id="373" w:name="_Toc26455"/>
      <w:bookmarkStart w:id="374" w:name="_Toc163492872"/>
      <w:r>
        <w:rPr>
          <w:rFonts w:hint="eastAsia" w:ascii="宋体" w:hAnsi="宋体" w:eastAsia="宋体" w:cs="宋体"/>
          <w:b/>
          <w:bCs/>
          <w:color w:val="auto"/>
          <w:kern w:val="2"/>
          <w:sz w:val="24"/>
          <w:szCs w:val="24"/>
          <w:highlight w:val="none"/>
          <w:lang w:val="en-US" w:eastAsia="zh-CN" w:bidi="ar-SA"/>
        </w:rPr>
        <w:t>（十二）无效投标和废标</w:t>
      </w:r>
      <w:bookmarkEnd w:id="369"/>
      <w:bookmarkEnd w:id="370"/>
      <w:bookmarkEnd w:id="371"/>
      <w:bookmarkEnd w:id="372"/>
      <w:bookmarkEnd w:id="373"/>
      <w:bookmarkEnd w:id="374"/>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5" w:name="_Toc140132806"/>
      <w:bookmarkStart w:id="376" w:name="_Toc9909"/>
      <w:bookmarkStart w:id="377" w:name="_Toc32022"/>
      <w:bookmarkStart w:id="378" w:name="_Toc23298"/>
      <w:bookmarkStart w:id="379" w:name="_Toc163492873"/>
      <w:r>
        <w:rPr>
          <w:rFonts w:hint="eastAsia" w:ascii="宋体" w:hAnsi="宋体" w:eastAsia="宋体" w:cs="宋体"/>
          <w:b/>
          <w:bCs/>
          <w:color w:val="auto"/>
          <w:kern w:val="2"/>
          <w:sz w:val="24"/>
          <w:szCs w:val="24"/>
          <w:highlight w:val="none"/>
          <w:lang w:val="en-US" w:eastAsia="zh-CN" w:bidi="ar-SA"/>
        </w:rPr>
        <w:t>39.无效投标</w:t>
      </w:r>
      <w:bookmarkEnd w:id="375"/>
      <w:bookmarkEnd w:id="376"/>
      <w:bookmarkEnd w:id="377"/>
      <w:bookmarkEnd w:id="378"/>
      <w:bookmarkEnd w:id="379"/>
    </w:p>
    <w:p w14:paraId="0EBD130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.1投标文件存在“第四章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及本招标文件</w:t>
      </w:r>
      <w:r>
        <w:rPr>
          <w:rFonts w:hint="eastAsia" w:ascii="宋体" w:hAnsi="宋体" w:eastAsia="宋体" w:cs="宋体"/>
          <w:color w:val="auto"/>
          <w:sz w:val="24"/>
          <w:szCs w:val="24"/>
          <w:highlight w:val="none"/>
        </w:rPr>
        <w:t>规定的投标无效情形的，其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0" w:name="_Toc18467"/>
      <w:bookmarkStart w:id="381" w:name="_Toc140132807"/>
      <w:bookmarkStart w:id="382" w:name="_Toc15799"/>
      <w:bookmarkStart w:id="383" w:name="_Toc3107"/>
      <w:bookmarkStart w:id="384" w:name="_Toc163492874"/>
      <w:r>
        <w:rPr>
          <w:rFonts w:hint="eastAsia" w:ascii="宋体" w:hAnsi="宋体" w:eastAsia="宋体" w:cs="宋体"/>
          <w:b/>
          <w:bCs/>
          <w:color w:val="auto"/>
          <w:kern w:val="2"/>
          <w:sz w:val="24"/>
          <w:szCs w:val="24"/>
          <w:highlight w:val="none"/>
          <w:lang w:val="en-US" w:eastAsia="zh-CN" w:bidi="ar-SA"/>
        </w:rPr>
        <w:t>40.废标</w:t>
      </w:r>
      <w:bookmarkEnd w:id="380"/>
      <w:bookmarkEnd w:id="381"/>
      <w:bookmarkEnd w:id="382"/>
      <w:bookmarkEnd w:id="383"/>
      <w:bookmarkEnd w:id="384"/>
    </w:p>
    <w:p w14:paraId="7B56974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.1在招标采购中出现有“第五章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及本招标文件</w:t>
      </w:r>
      <w:r>
        <w:rPr>
          <w:rFonts w:hint="eastAsia" w:ascii="宋体" w:hAnsi="宋体" w:eastAsia="宋体" w:cs="宋体"/>
          <w:color w:val="auto"/>
          <w:sz w:val="24"/>
          <w:szCs w:val="24"/>
          <w:highlight w:val="none"/>
        </w:rPr>
        <w:t>规定的废标情形的，应予以</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lang w:eastAsia="zh-CN"/>
        </w:rPr>
        <w:t>。</w:t>
      </w:r>
    </w:p>
    <w:p w14:paraId="0C4DEC92">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5" w:name="_Toc163492875"/>
      <w:bookmarkStart w:id="386" w:name="_Toc140132766"/>
      <w:bookmarkStart w:id="387" w:name="_Toc22480"/>
      <w:bookmarkStart w:id="388" w:name="_Toc3516"/>
      <w:bookmarkStart w:id="389" w:name="_Toc16271"/>
      <w:bookmarkStart w:id="390" w:name="_Toc155185884"/>
      <w:bookmarkStart w:id="391" w:name="_Toc140132808"/>
      <w:r>
        <w:rPr>
          <w:rFonts w:hint="eastAsia" w:ascii="宋体" w:hAnsi="宋体" w:eastAsia="宋体" w:cs="宋体"/>
          <w:b/>
          <w:bCs/>
          <w:color w:val="auto"/>
          <w:kern w:val="2"/>
          <w:sz w:val="24"/>
          <w:szCs w:val="24"/>
          <w:highlight w:val="none"/>
          <w:lang w:val="en-US" w:eastAsia="zh-CN" w:bidi="ar-SA"/>
        </w:rPr>
        <w:t>（十三）落实政府采购政策</w:t>
      </w:r>
      <w:bookmarkEnd w:id="385"/>
      <w:bookmarkEnd w:id="386"/>
      <w:r>
        <w:rPr>
          <w:rFonts w:hint="eastAsia" w:ascii="宋体" w:hAnsi="宋体" w:eastAsia="宋体" w:cs="宋体"/>
          <w:b/>
          <w:bCs/>
          <w:color w:val="auto"/>
          <w:kern w:val="2"/>
          <w:sz w:val="24"/>
          <w:szCs w:val="24"/>
          <w:highlight w:val="none"/>
          <w:lang w:val="en-US" w:eastAsia="zh-CN" w:bidi="ar-SA"/>
        </w:rPr>
        <w:t>（包括但不限于下列具体政策要求）</w:t>
      </w:r>
      <w:bookmarkEnd w:id="387"/>
      <w:bookmarkEnd w:id="388"/>
      <w:bookmarkEnd w:id="389"/>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2" w:name="_Toc163492876"/>
      <w:bookmarkStart w:id="393" w:name="_Toc12045"/>
      <w:bookmarkStart w:id="394" w:name="_Toc23969"/>
      <w:bookmarkStart w:id="395" w:name="_Toc21216"/>
      <w:r>
        <w:rPr>
          <w:rFonts w:hint="eastAsia" w:ascii="宋体" w:hAnsi="宋体" w:eastAsia="宋体" w:cs="宋体"/>
          <w:b/>
          <w:bCs/>
          <w:color w:val="auto"/>
          <w:kern w:val="2"/>
          <w:sz w:val="24"/>
          <w:szCs w:val="24"/>
          <w:highlight w:val="none"/>
          <w:lang w:val="en-US" w:eastAsia="zh-CN" w:bidi="ar-SA"/>
        </w:rPr>
        <w:t>41.支持国产和进口产品审批</w:t>
      </w:r>
      <w:bookmarkEnd w:id="392"/>
      <w:bookmarkEnd w:id="393"/>
      <w:bookmarkEnd w:id="394"/>
      <w:bookmarkEnd w:id="395"/>
    </w:p>
    <w:p w14:paraId="26D924D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.1除“投标人须知前附表”另有规定外，政府采购应当采购本国</w:t>
      </w:r>
      <w:r>
        <w:rPr>
          <w:rFonts w:hint="eastAsia" w:ascii="宋体" w:hAnsi="宋体" w:eastAsia="宋体" w:cs="宋体"/>
          <w:snapToGrid w:val="0"/>
          <w:color w:val="auto"/>
          <w:sz w:val="24"/>
          <w:szCs w:val="24"/>
          <w:highlight w:val="none"/>
          <w:lang w:val="en-US" w:eastAsia="zh-CN"/>
        </w:rPr>
        <w:t>货物、工程和服务</w:t>
      </w:r>
      <w:r>
        <w:rPr>
          <w:rFonts w:hint="eastAsia" w:ascii="宋体" w:hAnsi="宋体" w:eastAsia="宋体" w:cs="宋体"/>
          <w:snapToGrid w:val="0"/>
          <w:color w:val="auto"/>
          <w:sz w:val="24"/>
          <w:szCs w:val="24"/>
          <w:highlight w:val="none"/>
        </w:rPr>
        <w:t>，确需采购进口产品的，采购人应当按照</w:t>
      </w:r>
      <w:r>
        <w:rPr>
          <w:rFonts w:hint="eastAsia" w:ascii="宋体" w:hAnsi="宋体" w:eastAsia="宋体" w:cs="宋体"/>
          <w:snapToGrid w:val="0"/>
          <w:color w:val="auto"/>
          <w:sz w:val="24"/>
          <w:szCs w:val="24"/>
          <w:highlight w:val="none"/>
          <w:lang w:val="en-US" w:eastAsia="zh-CN"/>
        </w:rPr>
        <w:t>《政府采购进口产品管理办法》（财库〔2007〕119 号文）、</w:t>
      </w:r>
      <w:r>
        <w:rPr>
          <w:rFonts w:hint="eastAsia" w:ascii="宋体" w:hAnsi="宋体" w:eastAsia="宋体" w:cs="宋体"/>
          <w:snapToGrid w:val="0"/>
          <w:color w:val="auto"/>
          <w:sz w:val="24"/>
          <w:szCs w:val="24"/>
          <w:highlight w:val="none"/>
        </w:rPr>
        <w:t>《关于政府采购进口产品管理有关问题的通知》（财办库〔2008〕248号）规定执行（进口产品审批制，科研院所监管部门另有规定的从其规定）。项目若涉及采购进口产品的，具体要求详见“第三章 采购需求”。</w:t>
      </w:r>
    </w:p>
    <w:p w14:paraId="201F13F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41.2进口产品指通过中国海关报关验放进入中国境内且产自关境外的产品，包括已经进入中国境内的进口产品。 </w:t>
      </w:r>
    </w:p>
    <w:p w14:paraId="0C404CE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41.3若采购需求中写明允许采购进口产品，投标人应保证所投产品可履行合法报通关手续进入中国关境内。</w:t>
      </w:r>
    </w:p>
    <w:p w14:paraId="50A8DE9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41.4若采购需求中未写明允许采购进口产品，如投标人所投产品为进口产品，其投标将被认定为</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6" w:name="_Toc163492877"/>
      <w:bookmarkStart w:id="397" w:name="_Toc3349"/>
      <w:bookmarkStart w:id="398" w:name="_Toc13373"/>
      <w:bookmarkStart w:id="399" w:name="_Toc17933"/>
      <w:r>
        <w:rPr>
          <w:rFonts w:hint="eastAsia" w:ascii="宋体" w:hAnsi="宋体" w:eastAsia="宋体" w:cs="宋体"/>
          <w:b/>
          <w:bCs/>
          <w:color w:val="auto"/>
          <w:kern w:val="2"/>
          <w:sz w:val="24"/>
          <w:szCs w:val="24"/>
          <w:highlight w:val="none"/>
          <w:lang w:val="en-US" w:eastAsia="zh-CN" w:bidi="ar-SA"/>
        </w:rPr>
        <w:t>42.中小企业、监狱企业及残疾人福利性单位</w:t>
      </w:r>
      <w:bookmarkEnd w:id="396"/>
      <w:bookmarkEnd w:id="397"/>
      <w:bookmarkEnd w:id="398"/>
      <w:bookmarkEnd w:id="399"/>
    </w:p>
    <w:p w14:paraId="6CF3C24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775C315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snapToGrid w:val="0"/>
          <w:color w:val="auto"/>
          <w:sz w:val="24"/>
          <w:szCs w:val="24"/>
          <w:highlight w:val="none"/>
          <w:lang w:eastAsia="zh-CN"/>
        </w:rPr>
        <w:t>需享受中小企业相关政策的，且</w:t>
      </w:r>
      <w:r>
        <w:rPr>
          <w:rFonts w:hint="eastAsia" w:ascii="宋体" w:hAnsi="宋体" w:eastAsia="宋体" w:cs="宋体"/>
          <w:snapToGrid w:val="0"/>
          <w:color w:val="auto"/>
          <w:sz w:val="24"/>
          <w:szCs w:val="24"/>
          <w:highlight w:val="none"/>
        </w:rPr>
        <w:t>符合上述文件规定的，</w:t>
      </w:r>
      <w:r>
        <w:rPr>
          <w:rFonts w:hint="eastAsia" w:ascii="宋体" w:hAnsi="宋体" w:eastAsia="宋体" w:cs="宋体"/>
          <w:snapToGrid w:val="0"/>
          <w:color w:val="auto"/>
          <w:sz w:val="24"/>
          <w:szCs w:val="24"/>
          <w:highlight w:val="none"/>
          <w:lang w:eastAsia="zh-CN"/>
        </w:rPr>
        <w:t>应按本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，评审时，</w:t>
      </w:r>
      <w:r>
        <w:rPr>
          <w:rFonts w:hint="eastAsia" w:ascii="宋体" w:hAnsi="宋体" w:eastAsia="宋体" w:cs="宋体"/>
          <w:snapToGrid w:val="0"/>
          <w:color w:val="auto"/>
          <w:sz w:val="24"/>
          <w:szCs w:val="24"/>
          <w:highlight w:val="none"/>
          <w:lang w:val="en-US" w:eastAsia="zh-CN"/>
        </w:rPr>
        <w:t>评标委员会</w:t>
      </w:r>
      <w:r>
        <w:rPr>
          <w:rFonts w:hint="eastAsia" w:ascii="宋体" w:hAnsi="宋体" w:eastAsia="宋体" w:cs="宋体"/>
          <w:snapToGrid w:val="0"/>
          <w:color w:val="auto"/>
          <w:sz w:val="24"/>
          <w:szCs w:val="24"/>
          <w:highlight w:val="none"/>
        </w:rPr>
        <w:t>将依据</w:t>
      </w:r>
      <w:r>
        <w:rPr>
          <w:rFonts w:hint="eastAsia" w:ascii="宋体" w:hAnsi="宋体" w:eastAsia="宋体" w:cs="宋体"/>
          <w:snapToGrid w:val="0"/>
          <w:color w:val="auto"/>
          <w:sz w:val="24"/>
          <w:szCs w:val="24"/>
          <w:highlight w:val="none"/>
          <w:lang w:eastAsia="zh-CN"/>
        </w:rPr>
        <w:t>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投标人</w:t>
      </w:r>
      <w:r>
        <w:rPr>
          <w:rFonts w:hint="eastAsia" w:ascii="宋体" w:hAnsi="宋体" w:eastAsia="宋体" w:cs="宋体"/>
          <w:snapToGrid w:val="0"/>
          <w:color w:val="auto"/>
          <w:sz w:val="24"/>
          <w:szCs w:val="24"/>
          <w:highlight w:val="none"/>
        </w:rPr>
        <w:t>须知前附表”规定的报价扣除比例，对供应商报价进行价格扣除，用扣除后的价格参与评审</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公告中明确项目专门面向中小企业采购的，“</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”为资格要求文件，</w:t>
      </w:r>
      <w:r>
        <w:rPr>
          <w:rFonts w:hint="eastAsia" w:ascii="宋体" w:hAnsi="宋体" w:eastAsia="宋体" w:cs="宋体"/>
          <w:snapToGrid w:val="0"/>
          <w:color w:val="auto"/>
          <w:sz w:val="24"/>
          <w:szCs w:val="24"/>
          <w:highlight w:val="none"/>
        </w:rPr>
        <w:t>供应商</w:t>
      </w:r>
      <w:r>
        <w:rPr>
          <w:rFonts w:hint="eastAsia" w:ascii="宋体" w:hAnsi="宋体" w:eastAsia="宋体" w:cs="宋体"/>
          <w:snapToGrid w:val="0"/>
          <w:color w:val="auto"/>
          <w:sz w:val="24"/>
          <w:szCs w:val="24"/>
          <w:highlight w:val="none"/>
          <w:lang w:eastAsia="zh-CN"/>
        </w:rPr>
        <w:t>参与</w:t>
      </w:r>
      <w:r>
        <w:rPr>
          <w:rFonts w:hint="eastAsia" w:ascii="宋体" w:hAnsi="宋体" w:eastAsia="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eastAsia="zh-CN"/>
        </w:rPr>
        <w:t>须按本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”等作为资格证明文件。</w:t>
      </w:r>
      <w:r>
        <w:rPr>
          <w:rFonts w:hint="eastAsia" w:ascii="宋体" w:hAnsi="宋体" w:eastAsia="宋体" w:cs="宋体"/>
          <w:snapToGrid w:val="0"/>
          <w:color w:val="auto"/>
          <w:sz w:val="24"/>
          <w:szCs w:val="24"/>
          <w:highlight w:val="none"/>
          <w:lang w:val="en-US" w:eastAsia="zh-CN"/>
        </w:rPr>
        <w:t xml:space="preserve"> </w:t>
      </w:r>
    </w:p>
    <w:p w14:paraId="743E5E0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42.3 供应商提供的货物、工程或者服务符合下列情形的，享受中小企业扶持政策： </w:t>
      </w:r>
    </w:p>
    <w:p w14:paraId="07E7A00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（1）在货物采购项目中，货物由中小企业制造，即货物由中小企业生产且使用该中小企业商号或者注册商标； </w:t>
      </w:r>
    </w:p>
    <w:p w14:paraId="128FB5A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（2）在工程采购项目中，工程由中小企业承建，即工程施工单位为中小企业； </w:t>
      </w:r>
    </w:p>
    <w:p w14:paraId="4557B96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（3）在服务采购项目中，服务由中小企业承接，即提供服务的人员为中小企业依照《中华人民共和国劳动合同法》订立劳动合同的从业人员。</w:t>
      </w:r>
    </w:p>
    <w:p w14:paraId="5C38B69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42.4 在服务采购项目中，供应商提供的服务既有中小企业承接，也有大型企业承接的，不享受中小企业扶持政策。 </w:t>
      </w:r>
    </w:p>
    <w:p w14:paraId="31F905A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42.5 以联合体形式参加政府采购活动，联合体各方均为中小企业的，联合体视同中小企业。其中，联合体各方均为小微企业的，联合体视同小微企业。</w:t>
      </w:r>
    </w:p>
    <w:p w14:paraId="589A89E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42.7.1 安置的残疾人占本单位在职职工人数的比例不低于 25% （含 25%），并且安置的残疾人人数不少于 10 人（含 10人）； </w:t>
      </w:r>
    </w:p>
    <w:p w14:paraId="5B128E6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42.7.2 依法与安置的每位残疾人签订了1年以上（含1年）的劳动合同或服务协议； </w:t>
      </w:r>
    </w:p>
    <w:p w14:paraId="750299D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42.7.3 为安置的每位残疾人按月足额缴纳了基本养老保险、基本医疗保险、失业保险、工伤保险和生育保险等社会保险费； </w:t>
      </w:r>
    </w:p>
    <w:p w14:paraId="5494926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42.7.4 通过银行等金融机构向安置的每位残疾人，按月支付了不低于单位所在区县适用的经省级人民政府批准的月最低工资标准的工资； </w:t>
      </w:r>
    </w:p>
    <w:p w14:paraId="6AD696D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6F6930A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0A69BF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42.8 本项目是否专门面向中小企业预留采购份额见“第一章 </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snapToGrid w:val="0"/>
          <w:color w:val="auto"/>
          <w:sz w:val="24"/>
          <w:szCs w:val="24"/>
          <w:highlight w:val="none"/>
          <w:lang w:val="en-US" w:eastAsia="zh-CN"/>
        </w:rPr>
        <w:t>”。    42.9 采购标的对应的中小企业划分标准所属行业见“投标人须知前附表”。    42.10 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0" w:name="_Toc163492878"/>
      <w:bookmarkStart w:id="401" w:name="_Toc23996"/>
      <w:bookmarkStart w:id="402" w:name="_Toc15890"/>
      <w:bookmarkStart w:id="403" w:name="_Toc5861"/>
      <w:r>
        <w:rPr>
          <w:rFonts w:hint="eastAsia" w:ascii="宋体" w:hAnsi="宋体" w:eastAsia="宋体" w:cs="宋体"/>
          <w:b/>
          <w:bCs/>
          <w:color w:val="auto"/>
          <w:kern w:val="2"/>
          <w:sz w:val="24"/>
          <w:szCs w:val="24"/>
          <w:highlight w:val="none"/>
          <w:lang w:val="en-US" w:eastAsia="zh-CN" w:bidi="ar-SA"/>
        </w:rPr>
        <w:t>43.政府采购节能产品、环境标志产品</w:t>
      </w:r>
      <w:bookmarkEnd w:id="400"/>
      <w:bookmarkEnd w:id="401"/>
      <w:bookmarkEnd w:id="402"/>
      <w:bookmarkEnd w:id="403"/>
    </w:p>
    <w:p w14:paraId="741E7E7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2EC4C51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 xml:space="preserve">。 </w:t>
      </w:r>
    </w:p>
    <w:p w14:paraId="04E599F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43.4 非政府强制采购的节能产品或环境标志产品，依据品目清单和认证证书实施政府优先采购。优先采购的具体规定见“第五章 评标方法及标准”（如涉及）。</w:t>
      </w:r>
    </w:p>
    <w:p w14:paraId="51B3D92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43.5 </w:t>
      </w:r>
      <w:r>
        <w:rPr>
          <w:rFonts w:hint="eastAsia" w:ascii="宋体" w:hAnsi="宋体" w:eastAsia="宋体" w:cs="宋体"/>
          <w:snapToGrid w:val="0"/>
          <w:color w:val="auto"/>
          <w:sz w:val="24"/>
          <w:szCs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w:t>
      </w:r>
      <w:r>
        <w:rPr>
          <w:rFonts w:hint="eastAsia" w:ascii="宋体" w:hAnsi="宋体" w:eastAsia="宋体" w:cs="宋体"/>
          <w:snapToGrid w:val="0"/>
          <w:color w:val="auto"/>
          <w:sz w:val="24"/>
          <w:szCs w:val="24"/>
          <w:highlight w:val="none"/>
          <w:lang w:val="en-US" w:eastAsia="zh-CN"/>
        </w:rPr>
        <w:t>价格评审优惠</w:t>
      </w:r>
      <w:r>
        <w:rPr>
          <w:rFonts w:hint="eastAsia" w:ascii="宋体" w:hAnsi="宋体" w:eastAsia="宋体" w:cs="宋体"/>
          <w:snapToGrid w:val="0"/>
          <w:color w:val="auto"/>
          <w:sz w:val="24"/>
          <w:szCs w:val="24"/>
          <w:highlight w:val="none"/>
        </w:rPr>
        <w:t>，未提供认证证书的视为</w:t>
      </w:r>
      <w:r>
        <w:rPr>
          <w:rFonts w:hint="eastAsia" w:ascii="宋体" w:hAnsi="宋体" w:eastAsia="宋体" w:cs="宋体"/>
          <w:b/>
          <w:bCs/>
          <w:snapToGrid w:val="0"/>
          <w:color w:val="auto"/>
          <w:sz w:val="24"/>
          <w:szCs w:val="24"/>
          <w:highlight w:val="none"/>
          <w:lang w:val="en-US" w:eastAsia="zh-CN"/>
        </w:rPr>
        <w:t>投标</w:t>
      </w:r>
      <w:r>
        <w:rPr>
          <w:rFonts w:hint="eastAsia" w:ascii="宋体" w:hAnsi="宋体" w:eastAsia="宋体" w:cs="宋体"/>
          <w:b/>
          <w:bCs/>
          <w:snapToGrid w:val="0"/>
          <w:color w:val="auto"/>
          <w:sz w:val="24"/>
          <w:szCs w:val="24"/>
          <w:highlight w:val="none"/>
        </w:rPr>
        <w:t>无效</w:t>
      </w:r>
      <w:r>
        <w:rPr>
          <w:rFonts w:hint="eastAsia" w:ascii="宋体" w:hAnsi="宋体" w:eastAsia="宋体" w:cs="宋体"/>
          <w:snapToGrid w:val="0"/>
          <w:color w:val="auto"/>
          <w:sz w:val="24"/>
          <w:szCs w:val="24"/>
          <w:highlight w:val="none"/>
        </w:rPr>
        <w:t>。属于</w:t>
      </w:r>
      <w:r>
        <w:rPr>
          <w:rFonts w:hint="eastAsia" w:ascii="宋体" w:hAnsi="宋体" w:eastAsia="宋体" w:cs="宋体"/>
          <w:snapToGrid w:val="0"/>
          <w:color w:val="auto"/>
          <w:sz w:val="24"/>
          <w:szCs w:val="24"/>
          <w:highlight w:val="none"/>
          <w:lang w:val="en-US" w:eastAsia="zh-CN"/>
        </w:rPr>
        <w:t>优先采购</w:t>
      </w:r>
      <w:r>
        <w:rPr>
          <w:rFonts w:hint="eastAsia" w:ascii="宋体" w:hAnsi="宋体" w:eastAsia="宋体" w:cs="宋体"/>
          <w:snapToGrid w:val="0"/>
          <w:color w:val="auto"/>
          <w:sz w:val="24"/>
          <w:szCs w:val="24"/>
          <w:highlight w:val="none"/>
        </w:rPr>
        <w:t>节能产品政府采购品目清单、环境标志产品政府采购品目清单</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创新产品</w:t>
      </w:r>
      <w:r>
        <w:rPr>
          <w:rFonts w:hint="eastAsia" w:ascii="宋体" w:hAnsi="宋体" w:eastAsia="宋体" w:cs="宋体"/>
          <w:snapToGrid w:val="0"/>
          <w:color w:val="auto"/>
          <w:sz w:val="24"/>
          <w:szCs w:val="24"/>
          <w:highlight w:val="none"/>
        </w:rPr>
        <w:t>范围的，按照“</w:t>
      </w:r>
      <w:r>
        <w:rPr>
          <w:rFonts w:hint="eastAsia" w:ascii="宋体" w:hAnsi="宋体" w:eastAsia="宋体" w:cs="宋体"/>
          <w:color w:val="auto"/>
          <w:sz w:val="24"/>
          <w:szCs w:val="24"/>
          <w:highlight w:val="none"/>
          <w:lang w:val="en-US" w:eastAsia="zh-CN"/>
        </w:rPr>
        <w:t>第五章 评标方法及标准</w:t>
      </w:r>
      <w:r>
        <w:rPr>
          <w:rFonts w:hint="eastAsia" w:ascii="宋体" w:hAnsi="宋体" w:eastAsia="宋体" w:cs="宋体"/>
          <w:snapToGrid w:val="0"/>
          <w:color w:val="auto"/>
          <w:sz w:val="24"/>
          <w:szCs w:val="24"/>
          <w:highlight w:val="none"/>
        </w:rPr>
        <w:t>”中相关规定</w:t>
      </w:r>
      <w:r>
        <w:rPr>
          <w:rFonts w:hint="eastAsia" w:ascii="宋体" w:hAnsi="宋体" w:eastAsia="宋体" w:cs="宋体"/>
          <w:color w:val="auto"/>
          <w:sz w:val="24"/>
          <w:szCs w:val="24"/>
          <w:highlight w:val="none"/>
          <w:lang w:val="en-US" w:eastAsia="zh-CN"/>
        </w:rPr>
        <w:t>在评审时给予价格评审优惠，具体详见</w:t>
      </w:r>
      <w:r>
        <w:rPr>
          <w:rFonts w:hint="eastAsia" w:ascii="宋体" w:hAnsi="宋体" w:eastAsia="宋体" w:cs="宋体"/>
          <w:snapToGrid w:val="0"/>
          <w:color w:val="auto"/>
          <w:sz w:val="24"/>
          <w:szCs w:val="24"/>
          <w:highlight w:val="none"/>
          <w:lang w:val="en-US" w:eastAsia="zh-CN"/>
        </w:rPr>
        <w:t>“投标人须知前附表”及</w:t>
      </w:r>
      <w:r>
        <w:rPr>
          <w:rFonts w:hint="eastAsia" w:ascii="宋体" w:hAnsi="宋体" w:eastAsia="宋体" w:cs="宋体"/>
          <w:color w:val="auto"/>
          <w:sz w:val="24"/>
          <w:szCs w:val="24"/>
          <w:highlight w:val="none"/>
          <w:lang w:val="en-US" w:eastAsia="zh-CN"/>
        </w:rPr>
        <w:t>“第五章 评标方法及标准”</w:t>
      </w:r>
      <w:r>
        <w:rPr>
          <w:rFonts w:hint="eastAsia" w:ascii="宋体" w:hAnsi="宋体" w:eastAsia="宋体" w:cs="宋体"/>
          <w:color w:val="auto"/>
          <w:sz w:val="24"/>
          <w:szCs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4" w:name="_Toc8054"/>
      <w:bookmarkStart w:id="405" w:name="_Toc22896"/>
      <w:bookmarkStart w:id="406" w:name="_Toc5777"/>
      <w:bookmarkStart w:id="407" w:name="_Toc163492879"/>
      <w:r>
        <w:rPr>
          <w:rFonts w:hint="eastAsia" w:ascii="宋体" w:hAnsi="宋体" w:eastAsia="宋体" w:cs="宋体"/>
          <w:b/>
          <w:bCs/>
          <w:color w:val="auto"/>
          <w:kern w:val="2"/>
          <w:sz w:val="24"/>
          <w:szCs w:val="24"/>
          <w:highlight w:val="none"/>
          <w:lang w:val="en-US" w:eastAsia="zh-CN" w:bidi="ar-SA"/>
        </w:rPr>
        <w:t>44.正版软件</w:t>
      </w:r>
      <w:bookmarkEnd w:id="404"/>
      <w:bookmarkEnd w:id="405"/>
      <w:bookmarkEnd w:id="406"/>
      <w:r>
        <w:rPr>
          <w:rFonts w:hint="eastAsia" w:ascii="宋体" w:hAnsi="宋体" w:eastAsia="宋体" w:cs="宋体"/>
          <w:b/>
          <w:bCs/>
          <w:color w:val="auto"/>
          <w:kern w:val="2"/>
          <w:sz w:val="24"/>
          <w:szCs w:val="24"/>
          <w:highlight w:val="none"/>
          <w:lang w:val="en-US" w:eastAsia="zh-CN" w:bidi="ar-SA"/>
        </w:rPr>
        <w:t xml:space="preserve">  </w:t>
      </w:r>
    </w:p>
    <w:p w14:paraId="415973C1">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8" w:name="_Toc15694"/>
      <w:bookmarkStart w:id="409" w:name="_Toc7834"/>
      <w:bookmarkStart w:id="410" w:name="_Toc27611"/>
      <w:r>
        <w:rPr>
          <w:rFonts w:hint="eastAsia" w:ascii="宋体" w:hAnsi="宋体" w:eastAsia="宋体" w:cs="宋体"/>
          <w:b/>
          <w:bCs/>
          <w:color w:val="auto"/>
          <w:kern w:val="2"/>
          <w:sz w:val="24"/>
          <w:szCs w:val="24"/>
          <w:highlight w:val="none"/>
          <w:lang w:val="en-US" w:eastAsia="zh-CN" w:bidi="ar-SA"/>
        </w:rPr>
        <w:t>45.网络安全专用产品</w:t>
      </w:r>
      <w:bookmarkEnd w:id="408"/>
      <w:bookmarkEnd w:id="409"/>
      <w:bookmarkEnd w:id="410"/>
      <w:r>
        <w:rPr>
          <w:rFonts w:hint="eastAsia" w:ascii="宋体" w:hAnsi="宋体" w:eastAsia="宋体" w:cs="宋体"/>
          <w:b/>
          <w:bCs/>
          <w:color w:val="auto"/>
          <w:kern w:val="2"/>
          <w:sz w:val="24"/>
          <w:szCs w:val="24"/>
          <w:highlight w:val="none"/>
          <w:lang w:val="en-US" w:eastAsia="zh-CN" w:bidi="ar-SA"/>
        </w:rPr>
        <w:t xml:space="preserve">   </w:t>
      </w:r>
    </w:p>
    <w:p w14:paraId="13C0877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1" w:name="_Toc5974"/>
      <w:bookmarkStart w:id="412" w:name="_Toc27892"/>
      <w:bookmarkStart w:id="413" w:name="_Toc11862"/>
      <w:r>
        <w:rPr>
          <w:rFonts w:hint="eastAsia" w:ascii="宋体" w:hAnsi="宋体" w:eastAsia="宋体" w:cs="宋体"/>
          <w:b/>
          <w:bCs/>
          <w:color w:val="auto"/>
          <w:kern w:val="2"/>
          <w:sz w:val="24"/>
          <w:szCs w:val="24"/>
          <w:highlight w:val="none"/>
          <w:lang w:val="en-US" w:eastAsia="zh-CN" w:bidi="ar-SA"/>
        </w:rPr>
        <w:t>46.采购需求标准</w:t>
      </w:r>
      <w:bookmarkEnd w:id="411"/>
      <w:bookmarkEnd w:id="412"/>
      <w:bookmarkEnd w:id="413"/>
      <w:r>
        <w:rPr>
          <w:rFonts w:hint="eastAsia" w:ascii="宋体" w:hAnsi="宋体" w:eastAsia="宋体" w:cs="宋体"/>
          <w:b/>
          <w:bCs/>
          <w:color w:val="auto"/>
          <w:kern w:val="2"/>
          <w:sz w:val="24"/>
          <w:szCs w:val="24"/>
          <w:highlight w:val="none"/>
          <w:lang w:val="en-US" w:eastAsia="zh-CN" w:bidi="ar-SA"/>
        </w:rPr>
        <w:t xml:space="preserve">   </w:t>
      </w:r>
    </w:p>
    <w:p w14:paraId="77C6365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46.1 商品包装、快递包装政府采购需求标准（试行） </w:t>
      </w:r>
    </w:p>
    <w:p w14:paraId="3DA9478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46.2 绿色数据中心政府采购需求标准（试行） </w:t>
      </w:r>
    </w:p>
    <w:p w14:paraId="1617383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46.3台式计算机政府采购需求标准</w:t>
      </w:r>
    </w:p>
    <w:p w14:paraId="3830872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46.4便携式计算机政府采购需求标准</w:t>
      </w:r>
    </w:p>
    <w:p w14:paraId="2DDABA7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46.5一体式计算机政府采购需求标准</w:t>
      </w:r>
    </w:p>
    <w:p w14:paraId="30E8139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46.6工作站政府采购需求标准</w:t>
      </w:r>
    </w:p>
    <w:p w14:paraId="23F8A15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46.7通用服务器政府采购需求标准</w:t>
      </w:r>
    </w:p>
    <w:p w14:paraId="2DC5EFF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46.8操作系统政府采购需求标准</w:t>
      </w:r>
    </w:p>
    <w:p w14:paraId="0C0F87E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46.9数据库政府采购需求标准</w:t>
      </w:r>
    </w:p>
    <w:p w14:paraId="45BE4E6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46.10物业管理服务政府采购需求标准（办公场所类）（试行）</w:t>
      </w:r>
    </w:p>
    <w:p w14:paraId="0169F2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4" w:name="_Toc18589"/>
      <w:bookmarkStart w:id="415" w:name="_Toc17357"/>
      <w:bookmarkStart w:id="416" w:name="_Toc27566"/>
      <w:r>
        <w:rPr>
          <w:rFonts w:hint="eastAsia" w:ascii="宋体" w:hAnsi="宋体" w:eastAsia="宋体" w:cs="宋体"/>
          <w:b/>
          <w:bCs/>
          <w:color w:val="auto"/>
          <w:kern w:val="2"/>
          <w:sz w:val="24"/>
          <w:szCs w:val="24"/>
          <w:highlight w:val="none"/>
          <w:lang w:val="en-US" w:eastAsia="zh-CN" w:bidi="ar-SA"/>
        </w:rPr>
        <w:t>（十四）政府采购合同融资政策</w:t>
      </w:r>
      <w:bookmarkEnd w:id="390"/>
      <w:bookmarkEnd w:id="391"/>
      <w:bookmarkEnd w:id="407"/>
      <w:bookmarkEnd w:id="414"/>
      <w:bookmarkEnd w:id="415"/>
      <w:bookmarkEnd w:id="416"/>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7" w:name="_Toc10372"/>
      <w:bookmarkStart w:id="418" w:name="_Toc163492880"/>
      <w:bookmarkStart w:id="419" w:name="_Toc10283"/>
      <w:bookmarkStart w:id="420" w:name="_Toc16609"/>
      <w:r>
        <w:rPr>
          <w:rFonts w:hint="eastAsia" w:ascii="宋体" w:hAnsi="宋体" w:eastAsia="宋体" w:cs="宋体"/>
          <w:b/>
          <w:bCs/>
          <w:color w:val="auto"/>
          <w:kern w:val="2"/>
          <w:sz w:val="24"/>
          <w:szCs w:val="24"/>
          <w:highlight w:val="none"/>
          <w:lang w:val="en-US" w:eastAsia="zh-CN" w:bidi="ar-SA"/>
        </w:rPr>
        <w:t>47.政府采购合同融资政策</w:t>
      </w:r>
      <w:bookmarkEnd w:id="417"/>
      <w:bookmarkEnd w:id="418"/>
      <w:bookmarkEnd w:id="419"/>
      <w:bookmarkEnd w:id="420"/>
    </w:p>
    <w:p w14:paraId="2F90869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.1政府采购合同融资政策：见投标人须知前附表。</w:t>
      </w:r>
    </w:p>
    <w:p w14:paraId="198FC626">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1" w:name="_Toc6921"/>
      <w:bookmarkStart w:id="422" w:name="_Toc25511"/>
      <w:bookmarkStart w:id="423" w:name="_Toc163492881"/>
      <w:bookmarkStart w:id="424" w:name="_Toc21672"/>
      <w:r>
        <w:rPr>
          <w:rFonts w:hint="eastAsia" w:ascii="宋体" w:hAnsi="宋体" w:eastAsia="宋体" w:cs="宋体"/>
          <w:b/>
          <w:bCs/>
          <w:color w:val="auto"/>
          <w:kern w:val="2"/>
          <w:sz w:val="24"/>
          <w:szCs w:val="24"/>
          <w:highlight w:val="none"/>
          <w:lang w:val="en-US" w:eastAsia="zh-CN" w:bidi="ar-SA"/>
        </w:rPr>
        <w:t>（十五）其他</w:t>
      </w:r>
      <w:bookmarkEnd w:id="421"/>
      <w:bookmarkEnd w:id="422"/>
      <w:bookmarkEnd w:id="423"/>
      <w:bookmarkEnd w:id="424"/>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5" w:name="_Toc28158"/>
      <w:bookmarkStart w:id="426" w:name="_Toc163492882"/>
      <w:bookmarkStart w:id="427" w:name="_Toc1148"/>
      <w:bookmarkStart w:id="428" w:name="_Toc19852"/>
      <w:r>
        <w:rPr>
          <w:rFonts w:hint="eastAsia" w:ascii="宋体" w:hAnsi="宋体" w:eastAsia="宋体" w:cs="宋体"/>
          <w:b/>
          <w:bCs/>
          <w:color w:val="auto"/>
          <w:kern w:val="2"/>
          <w:sz w:val="24"/>
          <w:szCs w:val="24"/>
          <w:highlight w:val="none"/>
          <w:lang w:val="en-US" w:eastAsia="zh-CN" w:bidi="ar-SA"/>
        </w:rPr>
        <w:t>48.需要补充的其他内容</w:t>
      </w:r>
      <w:bookmarkEnd w:id="425"/>
      <w:bookmarkEnd w:id="426"/>
      <w:bookmarkEnd w:id="427"/>
      <w:bookmarkEnd w:id="428"/>
    </w:p>
    <w:p w14:paraId="3251640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9" w:name="_Toc155185886"/>
      <w:bookmarkStart w:id="430" w:name="_Toc746"/>
      <w:bookmarkStart w:id="431" w:name="_Toc140132810"/>
      <w:bookmarkStart w:id="432" w:name="_Toc24080"/>
      <w:bookmarkStart w:id="433" w:name="_Toc163492883"/>
      <w:bookmarkStart w:id="434" w:name="_Toc11583"/>
      <w:r>
        <w:rPr>
          <w:rFonts w:hint="eastAsia" w:ascii="宋体" w:hAnsi="宋体" w:eastAsia="宋体" w:cs="宋体"/>
          <w:b/>
          <w:bCs/>
          <w:color w:val="auto"/>
          <w:kern w:val="2"/>
          <w:sz w:val="24"/>
          <w:szCs w:val="24"/>
          <w:highlight w:val="none"/>
          <w:lang w:val="en-US" w:eastAsia="zh-CN" w:bidi="ar-SA"/>
        </w:rPr>
        <w:t>49.适用法律</w:t>
      </w:r>
      <w:bookmarkEnd w:id="429"/>
      <w:bookmarkEnd w:id="430"/>
      <w:bookmarkEnd w:id="431"/>
      <w:bookmarkEnd w:id="432"/>
      <w:bookmarkEnd w:id="433"/>
      <w:bookmarkEnd w:id="434"/>
    </w:p>
    <w:p w14:paraId="0953B8A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49</w:t>
      </w:r>
      <w:r>
        <w:rPr>
          <w:rFonts w:hint="eastAsia" w:ascii="宋体" w:hAnsi="宋体" w:eastAsia="宋体" w:cs="宋体"/>
          <w:snapToGrid w:val="0"/>
          <w:color w:val="auto"/>
          <w:sz w:val="24"/>
          <w:szCs w:val="24"/>
          <w:highlight w:val="none"/>
        </w:rPr>
        <w:t>.1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49</w:t>
      </w:r>
      <w:r>
        <w:rPr>
          <w:rFonts w:hint="eastAsia" w:ascii="宋体" w:hAnsi="宋体" w:eastAsia="宋体" w:cs="宋体"/>
          <w:snapToGrid w:val="0"/>
          <w:color w:val="auto"/>
          <w:sz w:val="24"/>
          <w:szCs w:val="24"/>
          <w:highlight w:val="none"/>
        </w:rPr>
        <w:t>.2政府采购合同的履行、违约责任和解决争议的方法等适用《中华人民共和国民法典》。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5" w:name="_Toc7856"/>
      <w:bookmarkStart w:id="436" w:name="_Toc163492884"/>
      <w:bookmarkStart w:id="437" w:name="_Toc17546"/>
      <w:bookmarkStart w:id="438" w:name="_Toc155185887"/>
      <w:bookmarkStart w:id="439" w:name="_Toc17601"/>
      <w:r>
        <w:rPr>
          <w:rFonts w:hint="eastAsia" w:ascii="宋体" w:hAnsi="宋体" w:eastAsia="宋体" w:cs="宋体"/>
          <w:b/>
          <w:bCs/>
          <w:color w:val="auto"/>
          <w:kern w:val="2"/>
          <w:sz w:val="24"/>
          <w:szCs w:val="24"/>
          <w:highlight w:val="none"/>
          <w:lang w:val="en-US" w:eastAsia="zh-CN" w:bidi="ar-SA"/>
        </w:rPr>
        <w:t>50.解释权</w:t>
      </w:r>
      <w:bookmarkEnd w:id="435"/>
      <w:bookmarkEnd w:id="436"/>
      <w:bookmarkEnd w:id="437"/>
      <w:bookmarkEnd w:id="438"/>
      <w:bookmarkEnd w:id="439"/>
    </w:p>
    <w:p w14:paraId="5C6D27F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50</w:t>
      </w:r>
      <w:r>
        <w:rPr>
          <w:rFonts w:hint="eastAsia" w:ascii="宋体" w:hAnsi="宋体" w:eastAsia="宋体" w:cs="宋体"/>
          <w:snapToGrid w:val="0"/>
          <w:color w:val="auto"/>
          <w:sz w:val="24"/>
          <w:szCs w:val="24"/>
          <w:highlight w:val="none"/>
        </w:rPr>
        <w:t>.1本招标文件最终解释权归采购人或采购代理机构所有。</w:t>
      </w:r>
    </w:p>
    <w:p w14:paraId="3C497DAE">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FD6489E">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3956D8C">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6853F8C">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4B168E8B">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334BC83B">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833B9FA">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F68D20B">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0704BD1">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40" w:name="_Toc155185888"/>
      <w:bookmarkStart w:id="441" w:name="_Toc21746"/>
      <w:r>
        <w:rPr>
          <w:rFonts w:hint="eastAsia" w:ascii="宋体" w:hAnsi="宋体" w:eastAsia="宋体" w:cs="宋体"/>
          <w:b/>
          <w:bCs/>
          <w:color w:val="auto"/>
          <w:kern w:val="44"/>
          <w:sz w:val="36"/>
          <w:szCs w:val="36"/>
          <w:highlight w:val="none"/>
          <w:lang w:val="en-US" w:eastAsia="zh-CN" w:bidi="ar-SA"/>
        </w:rPr>
        <w:t>第三章 采购需求</w:t>
      </w:r>
      <w:bookmarkEnd w:id="440"/>
      <w:bookmarkEnd w:id="441"/>
    </w:p>
    <w:p w14:paraId="74BCECBF">
      <w:pPr>
        <w:pStyle w:val="3"/>
        <w:bidi w:val="0"/>
        <w:ind w:firstLine="562" w:firstLineChars="200"/>
        <w:rPr>
          <w:rFonts w:hint="eastAsia"/>
          <w:sz w:val="28"/>
          <w:szCs w:val="28"/>
          <w:lang w:val="en-US" w:eastAsia="zh-CN"/>
        </w:rPr>
      </w:pPr>
      <w:bookmarkStart w:id="442" w:name="_Toc24725"/>
      <w:bookmarkStart w:id="443" w:name="_Toc140132812"/>
      <w:bookmarkStart w:id="444" w:name="_Toc155185889"/>
      <w:r>
        <w:rPr>
          <w:rFonts w:hint="eastAsia"/>
          <w:sz w:val="28"/>
          <w:szCs w:val="28"/>
          <w:lang w:val="en-US" w:eastAsia="zh-CN"/>
        </w:rPr>
        <w:t>一、采购标的</w:t>
      </w:r>
      <w:bookmarkEnd w:id="442"/>
      <w:r>
        <w:rPr>
          <w:rFonts w:hint="eastAsia"/>
          <w:sz w:val="28"/>
          <w:szCs w:val="28"/>
          <w:lang w:val="en-US" w:eastAsia="zh-CN"/>
        </w:rPr>
        <w:t xml:space="preserve"> </w:t>
      </w:r>
    </w:p>
    <w:p w14:paraId="643DF3FF">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bookmarkStart w:id="445" w:name="_Toc4366"/>
      <w:r>
        <w:rPr>
          <w:rFonts w:hint="default"/>
          <w:snapToGrid w:val="0"/>
          <w:color w:val="auto"/>
          <w:sz w:val="24"/>
          <w:szCs w:val="24"/>
          <w:highlight w:val="none"/>
          <w:lang w:val="en-US" w:eastAsia="zh-CN"/>
        </w:rPr>
        <w:t xml:space="preserve">1. </w:t>
      </w:r>
      <w:r>
        <w:rPr>
          <w:rFonts w:hint="eastAsia"/>
          <w:snapToGrid w:val="0"/>
          <w:color w:val="auto"/>
          <w:sz w:val="24"/>
          <w:szCs w:val="24"/>
          <w:highlight w:val="none"/>
          <w:lang w:val="en-US" w:eastAsia="zh-CN"/>
        </w:rPr>
        <w:t>采购标的</w:t>
      </w:r>
    </w:p>
    <w:p w14:paraId="2C789E9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snapToGrid w:val="0"/>
          <w:color w:val="auto"/>
          <w:sz w:val="24"/>
          <w:szCs w:val="24"/>
          <w:highlight w:val="none"/>
          <w:lang w:val="en-US" w:eastAsia="zh-CN"/>
        </w:rPr>
      </w:pPr>
      <w:r>
        <w:rPr>
          <w:rFonts w:hint="eastAsia" w:ascii="宋体" w:hAnsi="宋体" w:eastAsia="宋体"/>
          <w:snapToGrid w:val="0"/>
          <w:color w:val="auto"/>
          <w:sz w:val="24"/>
          <w:szCs w:val="24"/>
          <w:highlight w:val="none"/>
          <w:lang w:val="en-US" w:eastAsia="zh-CN"/>
        </w:rPr>
        <w:t>第十师一八五团</w:t>
      </w:r>
      <w:r>
        <w:rPr>
          <w:rFonts w:hint="eastAsia" w:ascii="宋体" w:hAnsi="宋体" w:eastAsia="宋体"/>
          <w:snapToGrid w:val="0"/>
          <w:color w:val="auto"/>
          <w:sz w:val="24"/>
          <w:szCs w:val="24"/>
          <w:highlight w:val="none"/>
          <w:lang w:val="hr-HR" w:eastAsia="zh-CN"/>
        </w:rPr>
        <w:t>2025年农村公路日常养护管理</w:t>
      </w:r>
    </w:p>
    <w:p w14:paraId="6B19C161">
      <w:pPr>
        <w:numPr>
          <w:ilvl w:val="0"/>
          <w:numId w:val="3"/>
        </w:numPr>
        <w:spacing w:line="500" w:lineRule="exact"/>
        <w:ind w:firstLine="480" w:firstLineChars="200"/>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项目背景</w:t>
      </w:r>
      <w:r>
        <w:rPr>
          <w:rFonts w:hint="default"/>
          <w:snapToGrid w:val="0"/>
          <w:color w:val="auto"/>
          <w:sz w:val="24"/>
          <w:szCs w:val="24"/>
          <w:highlight w:val="none"/>
          <w:lang w:val="en-US" w:eastAsia="zh-CN"/>
        </w:rPr>
        <w:t>/</w:t>
      </w:r>
      <w:r>
        <w:rPr>
          <w:rFonts w:hint="eastAsia"/>
          <w:snapToGrid w:val="0"/>
          <w:color w:val="auto"/>
          <w:sz w:val="24"/>
          <w:szCs w:val="24"/>
          <w:highlight w:val="none"/>
          <w:lang w:val="en-US" w:eastAsia="zh-CN"/>
        </w:rPr>
        <w:t>项目概述</w:t>
      </w:r>
    </w:p>
    <w:p w14:paraId="464EEAFA">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对一八五团辖区内总长218.5公里的道路，进行公路路肩边坡修整、路面清扫、路肩边坡杂草清除、道路标识牌清洁、道路桥涵疏通以及路域垃圾捡拾等养护工作。</w:t>
      </w:r>
    </w:p>
    <w:p w14:paraId="6D523F8D">
      <w:pPr>
        <w:pStyle w:val="36"/>
        <w:keepNext w:val="0"/>
        <w:keepLines w:val="0"/>
        <w:pageBreakBefore w:val="0"/>
        <w:widowControl w:val="0"/>
        <w:kinsoku/>
        <w:wordWrap w:val="0"/>
        <w:overflowPunct/>
        <w:topLinePunct w:val="0"/>
        <w:autoSpaceDE/>
        <w:autoSpaceDN/>
        <w:bidi w:val="0"/>
        <w:adjustRightInd/>
        <w:snapToGrid/>
        <w:spacing w:before="157" w:beforeLines="50" w:after="157" w:afterLines="50"/>
        <w:textAlignment w:val="auto"/>
        <w:rPr>
          <w:rFonts w:hint="eastAsia"/>
          <w:b/>
          <w:bCs/>
          <w:snapToGrid w:val="0"/>
          <w:color w:val="auto"/>
          <w:sz w:val="24"/>
          <w:szCs w:val="24"/>
          <w:highlight w:val="none"/>
          <w:lang w:val="en-US" w:eastAsia="zh-CN"/>
        </w:rPr>
      </w:pPr>
      <w:r>
        <w:rPr>
          <w:rStyle w:val="41"/>
          <w:rFonts w:hint="eastAsia"/>
          <w:sz w:val="28"/>
          <w:szCs w:val="28"/>
          <w:lang w:val="en-US" w:eastAsia="zh-CN"/>
        </w:rPr>
        <w:t>二、商务要求</w:t>
      </w:r>
      <w:bookmarkEnd w:id="445"/>
    </w:p>
    <w:p w14:paraId="0BA73EE6">
      <w:pPr>
        <w:pStyle w:val="36"/>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 xml:space="preserve">1. </w:t>
      </w:r>
      <w:r>
        <w:rPr>
          <w:rFonts w:hint="eastAsia"/>
          <w:snapToGrid w:val="0"/>
          <w:color w:val="auto"/>
          <w:sz w:val="24"/>
          <w:szCs w:val="24"/>
          <w:highlight w:val="none"/>
          <w:lang w:val="en-US" w:eastAsia="zh-CN"/>
        </w:rPr>
        <w:t xml:space="preserve">交付（实施）的时间（期限）和地点（范围） </w:t>
      </w:r>
    </w:p>
    <w:p w14:paraId="5330F16A">
      <w:pPr>
        <w:pStyle w:val="36"/>
        <w:rPr>
          <w:rFonts w:hint="default"/>
          <w:snapToGrid w:val="0"/>
          <w:color w:val="auto"/>
          <w:szCs w:val="24"/>
          <w:lang w:val="en-US"/>
        </w:rPr>
      </w:pPr>
      <w:r>
        <w:rPr>
          <w:rFonts w:hint="eastAsia"/>
          <w:snapToGrid w:val="0"/>
          <w:szCs w:val="24"/>
          <w:lang w:val="en-US"/>
        </w:rPr>
        <w:t>交付时</w:t>
      </w:r>
      <w:r>
        <w:rPr>
          <w:rFonts w:hint="eastAsia"/>
          <w:snapToGrid w:val="0"/>
          <w:color w:val="auto"/>
          <w:szCs w:val="24"/>
          <w:lang w:val="en-US"/>
        </w:rPr>
        <w:t>间：</w:t>
      </w:r>
      <w:r>
        <w:rPr>
          <w:rFonts w:hint="eastAsia" w:ascii="宋体" w:hAnsi="宋体" w:eastAsia="宋体" w:cs="宋体"/>
          <w:color w:val="auto"/>
          <w:sz w:val="24"/>
          <w:szCs w:val="24"/>
          <w:highlight w:val="none"/>
          <w:u w:val="single"/>
          <w:lang w:val="en-US" w:eastAsia="zh-CN"/>
        </w:rPr>
        <w:t>2025年11月10日</w:t>
      </w:r>
      <w:r>
        <w:rPr>
          <w:rFonts w:hint="eastAsia" w:cs="宋体"/>
          <w:color w:val="auto"/>
          <w:sz w:val="24"/>
          <w:szCs w:val="24"/>
          <w:highlight w:val="none"/>
          <w:u w:val="single"/>
          <w:lang w:val="en-US" w:eastAsia="zh-CN"/>
        </w:rPr>
        <w:t>止</w:t>
      </w:r>
    </w:p>
    <w:p w14:paraId="5C66CA9A">
      <w:pPr>
        <w:pStyle w:val="36"/>
        <w:rPr>
          <w:rFonts w:hint="default"/>
          <w:snapToGrid w:val="0"/>
          <w:color w:val="auto"/>
          <w:sz w:val="24"/>
          <w:szCs w:val="24"/>
          <w:highlight w:val="none"/>
          <w:lang w:val="en-US" w:eastAsia="zh-CN"/>
        </w:rPr>
      </w:pPr>
      <w:r>
        <w:rPr>
          <w:rFonts w:hint="eastAsia"/>
          <w:snapToGrid w:val="0"/>
          <w:color w:val="auto"/>
          <w:szCs w:val="24"/>
          <w:lang w:val="en-US"/>
        </w:rPr>
        <w:t xml:space="preserve">交付地点：采购人指定地点。 </w:t>
      </w:r>
    </w:p>
    <w:p w14:paraId="2017E928">
      <w:pPr>
        <w:pStyle w:val="36"/>
        <w:keepNext w:val="0"/>
        <w:keepLines w:val="0"/>
        <w:pageBreakBefore w:val="0"/>
        <w:widowControl w:val="0"/>
        <w:numPr>
          <w:ilvl w:val="0"/>
          <w:numId w:val="4"/>
        </w:numPr>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付款条件</w:t>
      </w:r>
    </w:p>
    <w:p w14:paraId="661F1086">
      <w:pPr>
        <w:pStyle w:val="36"/>
        <w:keepNext w:val="0"/>
        <w:keepLines w:val="0"/>
        <w:pageBreakBefore w:val="0"/>
        <w:widowControl w:val="0"/>
        <w:numPr>
          <w:ilvl w:val="0"/>
          <w:numId w:val="0"/>
        </w:numPr>
        <w:kinsoku/>
        <w:overflowPunct/>
        <w:topLinePunct w:val="0"/>
        <w:autoSpaceDE/>
        <w:autoSpaceDN/>
        <w:bidi w:val="0"/>
        <w:adjustRightInd/>
        <w:ind w:firstLine="480" w:firstLineChars="200"/>
        <w:textAlignment w:val="auto"/>
        <w:rPr>
          <w:rFonts w:hint="eastAsia" w:ascii="宋体" w:hAnsi="宋体" w:eastAsia="宋体"/>
          <w:snapToGrid w:val="0"/>
          <w:color w:val="auto"/>
          <w:sz w:val="24"/>
          <w:szCs w:val="24"/>
          <w:highlight w:val="none"/>
          <w:lang w:val="en-US" w:eastAsia="zh-CN"/>
        </w:rPr>
      </w:pPr>
      <w:r>
        <w:rPr>
          <w:rFonts w:hint="eastAsia"/>
          <w:snapToGrid w:val="0"/>
          <w:color w:val="auto"/>
          <w:szCs w:val="24"/>
          <w:lang w:val="en-US" w:eastAsia="zh-CN"/>
        </w:rPr>
        <w:t>按合同约定</w:t>
      </w:r>
    </w:p>
    <w:p w14:paraId="3F90EB44">
      <w:pPr>
        <w:pStyle w:val="36"/>
        <w:keepNext w:val="0"/>
        <w:keepLines w:val="0"/>
        <w:pageBreakBefore w:val="0"/>
        <w:widowControl w:val="0"/>
        <w:kinsoku/>
        <w:wordWrap w:val="0"/>
        <w:overflowPunct/>
        <w:topLinePunct w:val="0"/>
        <w:autoSpaceDE/>
        <w:autoSpaceDN/>
        <w:bidi w:val="0"/>
        <w:adjustRightInd/>
        <w:snapToGrid/>
        <w:spacing w:before="157" w:beforeLines="50" w:after="157" w:afterLines="50"/>
        <w:ind w:firstLine="482"/>
        <w:textAlignment w:val="auto"/>
        <w:rPr>
          <w:rFonts w:hint="eastAsia"/>
          <w:b/>
          <w:bCs/>
          <w:snapToGrid w:val="0"/>
          <w:color w:val="auto"/>
          <w:sz w:val="24"/>
          <w:szCs w:val="24"/>
          <w:highlight w:val="none"/>
          <w:lang w:val="en-US" w:eastAsia="zh-CN"/>
        </w:rPr>
      </w:pPr>
      <w:bookmarkStart w:id="446" w:name="_Toc10153"/>
      <w:r>
        <w:rPr>
          <w:rStyle w:val="41"/>
          <w:rFonts w:hint="eastAsia"/>
          <w:sz w:val="28"/>
          <w:szCs w:val="28"/>
          <w:lang w:val="en-US" w:eastAsia="zh-CN"/>
        </w:rPr>
        <w:t>三、技术要求</w:t>
      </w:r>
      <w:bookmarkEnd w:id="446"/>
    </w:p>
    <w:p w14:paraId="45D14A24">
      <w:pPr>
        <w:keepNext w:val="0"/>
        <w:keepLines w:val="0"/>
        <w:pageBreakBefore w:val="0"/>
        <w:widowControl w:val="0"/>
        <w:kinsoku/>
        <w:wordWrap/>
        <w:overflowPunct/>
        <w:topLinePunct w:val="0"/>
        <w:autoSpaceDE/>
        <w:autoSpaceDN/>
        <w:bidi w:val="0"/>
        <w:adjustRightInd/>
        <w:snapToGrid/>
        <w:spacing w:before="242" w:line="298" w:lineRule="auto"/>
        <w:ind w:right="11" w:firstLine="480" w:firstLineChars="200"/>
        <w:textAlignment w:val="auto"/>
        <w:rPr>
          <w:rFonts w:hint="eastAsia"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1.服务内容</w:t>
      </w:r>
    </w:p>
    <w:p w14:paraId="59657B8C">
      <w:pPr>
        <w:keepNext w:val="0"/>
        <w:keepLines w:val="0"/>
        <w:pageBreakBefore w:val="0"/>
        <w:widowControl w:val="0"/>
        <w:kinsoku/>
        <w:wordWrap/>
        <w:overflowPunct/>
        <w:topLinePunct w:val="0"/>
        <w:autoSpaceDE/>
        <w:autoSpaceDN/>
        <w:bidi w:val="0"/>
        <w:adjustRightInd/>
        <w:snapToGrid/>
        <w:spacing w:before="242" w:line="298" w:lineRule="auto"/>
        <w:ind w:right="11" w:firstLine="480" w:firstLineChars="200"/>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ascii="宋体" w:hAnsi="宋体" w:eastAsia="宋体" w:cstheme="minorBidi"/>
          <w:iCs/>
          <w:snapToGrid w:val="0"/>
          <w:color w:val="auto"/>
          <w:kern w:val="2"/>
          <w:sz w:val="24"/>
          <w:szCs w:val="24"/>
          <w:highlight w:val="none"/>
          <w:shd w:val="clear" w:color="auto" w:fill="FFFFFF" w:themeFill="background1"/>
          <w:lang w:val="en-US" w:eastAsia="zh-CN" w:bidi="ar-SA"/>
        </w:rPr>
        <w:t>一八五团辖区内道路总长218.5公里。县道3条(比团线17.6公里路基宽9米路面宽7米比列子河桥到团部加油站路口、大北线11.33公里路基宽7.5米路面宽7米比列子河桥过1公里处到北湾哨所、北叶线49.74公里路基宽10米路面宽8米一道铁丝网内北弯到1连附近叶西盖）共78.4公里；乡道1条路基宽9米路面宽7米（一克线团部到6连）2.2公里；村道49条路基宽4.5米路面宽4米不等（1连1条0.43公里、2连2条0.85公里、3连2条2.317公里、4连12条3.642公里、5连17条6.376公里、6连7条1.462公里、7连8条2.859公里）共17.5公里；巡逻路69.4公里路基宽8米路面宽7米不等（管理门到22号执勤点柏油铺设16.5公里，19号执勤点到20执勤点柏油铺设5公里）；克白线路基宽12米路面宽10米（1连到南河大桥）51公里。</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进行公路路肩边坡修整、路面清扫、路肩边坡杂草清除、道路标识牌清洁、道路桥涵疏通以及路域垃圾捡拾等养护工作</w:t>
      </w:r>
      <w:r>
        <w:rPr>
          <w:rFonts w:hint="eastAsia" w:ascii="宋体" w:hAnsi="宋体" w:eastAsia="宋体" w:cstheme="minorBidi"/>
          <w:iCs/>
          <w:snapToGrid w:val="0"/>
          <w:color w:val="auto"/>
          <w:kern w:val="2"/>
          <w:sz w:val="24"/>
          <w:szCs w:val="24"/>
          <w:highlight w:val="none"/>
          <w:shd w:val="clear" w:color="auto" w:fill="FFFFFF" w:themeFill="background1"/>
          <w:lang w:val="en-US" w:eastAsia="zh-CN" w:bidi="ar-SA"/>
        </w:rPr>
        <w:t>。</w:t>
      </w:r>
    </w:p>
    <w:p w14:paraId="6902D8B2">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2.</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1路肩的养护，露肩宽度应保持在0.75米，路肩表面要求平整密实，边线直顺，不得有积水和其他堆积物的现象。</w:t>
      </w:r>
    </w:p>
    <w:p w14:paraId="395BCFB6">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2</w:t>
      </w:r>
      <w:r>
        <w:rPr>
          <w:rFonts w:hint="eastAsia" w:cstheme="minorBidi"/>
          <w:iCs/>
          <w:snapToGrid w:val="0"/>
          <w:color w:val="auto"/>
          <w:kern w:val="2"/>
          <w:sz w:val="24"/>
          <w:szCs w:val="24"/>
          <w:highlight w:val="none"/>
          <w:shd w:val="clear" w:color="auto" w:fill="FFFFFF" w:themeFill="background1"/>
          <w:lang w:val="en-US" w:eastAsia="zh-CN" w:bidi="ar-SA"/>
        </w:rPr>
        <w:t>.2</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路基边坡不得少于1:1.5，边坡表面平顺稳定，不得亏破，曲线圆滑，路肩上10厘米杂草。</w:t>
      </w:r>
    </w:p>
    <w:p w14:paraId="50C50004">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2.</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3对于路面的小坑、槽及时进行修补，修补时应设立明显的交通标志。</w:t>
      </w:r>
    </w:p>
    <w:p w14:paraId="343C5B21">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2.</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4桥涵发生损坏时，应及时修复，修复时不得中断交通运行，并设立明显的交通安全标志。</w:t>
      </w:r>
    </w:p>
    <w:p w14:paraId="71168C53">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2.</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5对于须要设置的边沟、排水沟的路段、应及时设置边沟排水沟，并保持边沟、排水沟通畅。</w:t>
      </w:r>
    </w:p>
    <w:p w14:paraId="5111EDE9">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2.</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6对所管养的路段内的公路标志、标牌、里程碑要加强监护管理，发现损坏的及时上报上级部门并修复:</w:t>
      </w:r>
    </w:p>
    <w:p w14:paraId="58645D08">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2.7</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对所管养的路段，存在的安全隐患定期排查分析处理并上报。</w:t>
      </w:r>
    </w:p>
    <w:p w14:paraId="44DA9A4C">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2.</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8对于所管养的路段，应统一规划，禁止履带车、铁轮车等农机具在铺有沥青路面的公路上行驶。</w:t>
      </w:r>
    </w:p>
    <w:p w14:paraId="7D42FCC7">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pPr>
      <w:r>
        <w:rPr>
          <w:rFonts w:hint="eastAsia" w:cstheme="minorBidi"/>
          <w:iCs/>
          <w:snapToGrid w:val="0"/>
          <w:color w:val="auto"/>
          <w:kern w:val="2"/>
          <w:sz w:val="24"/>
          <w:szCs w:val="24"/>
          <w:highlight w:val="none"/>
          <w:shd w:val="clear" w:color="auto" w:fill="FFFFFF" w:themeFill="background1"/>
          <w:lang w:val="en-US" w:eastAsia="zh-CN" w:bidi="ar-SA"/>
        </w:rPr>
        <w:t>2.</w:t>
      </w:r>
      <w:r>
        <w:rPr>
          <w:rFonts w:hint="default" w:ascii="宋体" w:hAnsi="宋体" w:eastAsia="宋体" w:cstheme="minorBidi"/>
          <w:iCs/>
          <w:snapToGrid w:val="0"/>
          <w:color w:val="auto"/>
          <w:kern w:val="2"/>
          <w:sz w:val="24"/>
          <w:szCs w:val="24"/>
          <w:highlight w:val="none"/>
          <w:shd w:val="clear" w:color="auto" w:fill="FFFFFF" w:themeFill="background1"/>
          <w:lang w:val="en-US" w:eastAsia="zh-CN" w:bidi="ar-SA"/>
        </w:rPr>
        <w:t>9对于所管养的路段，路面上不得出现于行车无关的任何障碍物，如有应及时清理。</w:t>
      </w:r>
    </w:p>
    <w:p w14:paraId="380B5C92">
      <w:pPr>
        <w:pStyle w:val="36"/>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p>
    <w:p w14:paraId="087FBCED">
      <w:pPr>
        <w:pStyle w:val="57"/>
        <w:pageBreakBefore w:val="0"/>
        <w:shd w:val="clear" w:color="auto" w:fill="auto"/>
        <w:kinsoku/>
        <w:wordWrap/>
        <w:overflowPunct/>
        <w:topLinePunct w:val="0"/>
        <w:bidi w:val="0"/>
        <w:spacing w:line="360" w:lineRule="auto"/>
        <w:ind w:firstLine="424" w:firstLineChars="177"/>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附件：</w:t>
      </w:r>
      <w:r>
        <w:rPr>
          <w:rFonts w:hint="default" w:ascii="宋体" w:hAnsi="宋体" w:cs="宋体"/>
          <w:color w:val="auto"/>
          <w:sz w:val="24"/>
          <w:highlight w:val="none"/>
          <w:lang w:val="en-US" w:eastAsia="zh-CN"/>
        </w:rPr>
        <w:t>2025年一八五团农村公路养护管理</w:t>
      </w:r>
      <w:r>
        <w:rPr>
          <w:rFonts w:hint="eastAsia" w:ascii="宋体" w:hAnsi="宋体" w:cs="宋体"/>
          <w:color w:val="auto"/>
          <w:sz w:val="24"/>
          <w:highlight w:val="none"/>
          <w:lang w:val="en-US" w:eastAsia="zh-CN"/>
        </w:rPr>
        <w:t>考核表</w:t>
      </w:r>
    </w:p>
    <w:p w14:paraId="11794674">
      <w:pPr>
        <w:pStyle w:val="52"/>
        <w:rPr>
          <w:rFonts w:hint="eastAsia" w:ascii="宋体" w:hAnsi="宋体" w:cs="宋体"/>
          <w:color w:val="auto"/>
          <w:sz w:val="24"/>
          <w:highlight w:val="none"/>
          <w:lang w:val="en-US" w:eastAsia="zh-CN"/>
        </w:rPr>
      </w:pPr>
    </w:p>
    <w:p w14:paraId="479733A0">
      <w:pPr>
        <w:pStyle w:val="53"/>
        <w:rPr>
          <w:rFonts w:hint="eastAsia" w:ascii="宋体" w:hAnsi="宋体" w:cs="宋体"/>
          <w:color w:val="auto"/>
          <w:sz w:val="24"/>
          <w:highlight w:val="none"/>
          <w:lang w:val="en-US" w:eastAsia="zh-CN"/>
        </w:rPr>
      </w:pPr>
    </w:p>
    <w:p w14:paraId="0DAA6B62">
      <w:pPr>
        <w:pStyle w:val="53"/>
        <w:rPr>
          <w:rFonts w:hint="eastAsia" w:ascii="宋体" w:hAnsi="宋体" w:cs="宋体"/>
          <w:color w:val="auto"/>
          <w:sz w:val="24"/>
          <w:highlight w:val="none"/>
          <w:lang w:val="en-US" w:eastAsia="zh-CN"/>
        </w:rPr>
      </w:pPr>
    </w:p>
    <w:p w14:paraId="252AE423">
      <w:pPr>
        <w:pStyle w:val="53"/>
        <w:rPr>
          <w:rFonts w:hint="eastAsia" w:ascii="宋体" w:hAnsi="宋体" w:cs="宋体"/>
          <w:color w:val="auto"/>
          <w:sz w:val="24"/>
          <w:highlight w:val="none"/>
          <w:lang w:val="en-US" w:eastAsia="zh-CN"/>
        </w:rPr>
      </w:pPr>
    </w:p>
    <w:p w14:paraId="7BBF6C8C">
      <w:pPr>
        <w:pStyle w:val="53"/>
        <w:rPr>
          <w:rFonts w:hint="eastAsia" w:ascii="宋体" w:hAnsi="宋体" w:cs="宋体"/>
          <w:color w:val="auto"/>
          <w:sz w:val="24"/>
          <w:highlight w:val="none"/>
          <w:lang w:val="en-US" w:eastAsia="zh-CN"/>
        </w:rPr>
      </w:pPr>
    </w:p>
    <w:p w14:paraId="69E304B0">
      <w:pPr>
        <w:pStyle w:val="53"/>
        <w:rPr>
          <w:rFonts w:hint="eastAsia" w:ascii="宋体" w:hAnsi="宋体" w:cs="宋体"/>
          <w:color w:val="auto"/>
          <w:sz w:val="24"/>
          <w:highlight w:val="none"/>
          <w:lang w:val="en-US" w:eastAsia="zh-CN"/>
        </w:rPr>
      </w:pPr>
    </w:p>
    <w:p w14:paraId="67F1C155">
      <w:pPr>
        <w:pStyle w:val="53"/>
        <w:rPr>
          <w:rFonts w:hint="eastAsia" w:ascii="宋体" w:hAnsi="宋体" w:cs="宋体"/>
          <w:color w:val="auto"/>
          <w:sz w:val="24"/>
          <w:highlight w:val="none"/>
          <w:lang w:val="en-US" w:eastAsia="zh-CN"/>
        </w:rPr>
      </w:pPr>
    </w:p>
    <w:p w14:paraId="3EAD7B1A">
      <w:pPr>
        <w:pStyle w:val="53"/>
        <w:rPr>
          <w:rFonts w:hint="eastAsia" w:ascii="宋体" w:hAnsi="宋体" w:cs="宋体"/>
          <w:color w:val="auto"/>
          <w:sz w:val="24"/>
          <w:highlight w:val="none"/>
          <w:lang w:val="en-US" w:eastAsia="zh-CN"/>
        </w:rPr>
      </w:pPr>
    </w:p>
    <w:p w14:paraId="7F52CCFE">
      <w:pPr>
        <w:pStyle w:val="53"/>
        <w:rPr>
          <w:rFonts w:hint="eastAsia" w:ascii="宋体" w:hAnsi="宋体" w:cs="宋体"/>
          <w:color w:val="auto"/>
          <w:sz w:val="24"/>
          <w:highlight w:val="none"/>
          <w:lang w:val="en-US" w:eastAsia="zh-CN"/>
        </w:rPr>
      </w:pPr>
    </w:p>
    <w:p w14:paraId="205FE01F">
      <w:pPr>
        <w:pStyle w:val="53"/>
        <w:rPr>
          <w:rFonts w:hint="eastAsia" w:ascii="宋体" w:hAnsi="宋体" w:cs="宋体"/>
          <w:color w:val="auto"/>
          <w:sz w:val="24"/>
          <w:highlight w:val="none"/>
          <w:lang w:val="en-US" w:eastAsia="zh-CN"/>
        </w:rPr>
      </w:pPr>
    </w:p>
    <w:p w14:paraId="4EF5A2FE">
      <w:pPr>
        <w:pStyle w:val="53"/>
        <w:rPr>
          <w:rFonts w:hint="eastAsia" w:ascii="宋体" w:hAnsi="宋体" w:cs="宋体"/>
          <w:color w:val="auto"/>
          <w:sz w:val="24"/>
          <w:highlight w:val="none"/>
          <w:lang w:val="en-US" w:eastAsia="zh-CN"/>
        </w:rPr>
      </w:pPr>
    </w:p>
    <w:p w14:paraId="42FB2A74">
      <w:pPr>
        <w:pStyle w:val="53"/>
        <w:rPr>
          <w:rFonts w:hint="eastAsia" w:ascii="宋体" w:hAnsi="宋体" w:cs="宋体"/>
          <w:color w:val="auto"/>
          <w:sz w:val="24"/>
          <w:highlight w:val="none"/>
          <w:lang w:val="en-US" w:eastAsia="zh-CN"/>
        </w:rPr>
      </w:pPr>
    </w:p>
    <w:p w14:paraId="2A7776F9">
      <w:pPr>
        <w:pStyle w:val="53"/>
        <w:rPr>
          <w:rFonts w:hint="eastAsia" w:ascii="宋体" w:hAnsi="宋体" w:cs="宋体"/>
          <w:color w:val="auto"/>
          <w:sz w:val="24"/>
          <w:highlight w:val="none"/>
          <w:lang w:val="en-US" w:eastAsia="zh-CN"/>
        </w:rPr>
      </w:pPr>
    </w:p>
    <w:p w14:paraId="0AED314B">
      <w:pPr>
        <w:pStyle w:val="53"/>
        <w:rPr>
          <w:rFonts w:hint="eastAsia" w:ascii="宋体" w:hAnsi="宋体" w:cs="宋体"/>
          <w:color w:val="auto"/>
          <w:sz w:val="24"/>
          <w:highlight w:val="none"/>
          <w:lang w:val="en-US" w:eastAsia="zh-CN"/>
        </w:rPr>
      </w:pPr>
    </w:p>
    <w:p w14:paraId="3CB69E94">
      <w:pPr>
        <w:pStyle w:val="53"/>
        <w:rPr>
          <w:rFonts w:hint="eastAsia" w:ascii="宋体" w:hAnsi="宋体" w:cs="宋体"/>
          <w:color w:val="auto"/>
          <w:sz w:val="24"/>
          <w:highlight w:val="none"/>
          <w:lang w:val="en-US" w:eastAsia="zh-CN"/>
        </w:rPr>
      </w:pPr>
    </w:p>
    <w:p w14:paraId="6AAA7026">
      <w:pPr>
        <w:pStyle w:val="53"/>
        <w:ind w:left="0" w:leftChars="0" w:firstLine="0" w:firstLineChars="0"/>
        <w:rPr>
          <w:rFonts w:hint="eastAsia" w:ascii="宋体" w:hAnsi="宋体" w:cs="宋体"/>
          <w:color w:val="auto"/>
          <w:sz w:val="24"/>
          <w:highlight w:val="none"/>
          <w:lang w:val="en-US" w:eastAsia="zh-CN"/>
        </w:rPr>
      </w:pPr>
    </w:p>
    <w:p w14:paraId="61577CD6">
      <w:pPr>
        <w:pStyle w:val="53"/>
        <w:rPr>
          <w:rFonts w:hint="eastAsia" w:ascii="宋体" w:hAnsi="宋体" w:cs="宋体"/>
          <w:color w:val="auto"/>
          <w:sz w:val="24"/>
          <w:highlight w:val="none"/>
          <w:lang w:val="en-US" w:eastAsia="zh-CN"/>
        </w:rPr>
      </w:pPr>
    </w:p>
    <w:p w14:paraId="0891AF49">
      <w:pPr>
        <w:pStyle w:val="53"/>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1EA72685">
      <w:pPr>
        <w:pStyle w:val="53"/>
        <w:ind w:left="0" w:leftChars="0" w:firstLine="0" w:firstLineChars="0"/>
        <w:rPr>
          <w:rFonts w:hint="default" w:ascii="宋体" w:hAnsi="宋体" w:cs="宋体"/>
          <w:color w:val="auto"/>
          <w:sz w:val="24"/>
          <w:highlight w:val="none"/>
          <w:lang w:val="en-US" w:eastAsia="zh-CN"/>
        </w:rPr>
      </w:pPr>
    </w:p>
    <w:bookmarkEnd w:id="443"/>
    <w:bookmarkEnd w:id="444"/>
    <w:tbl>
      <w:tblPr>
        <w:tblStyle w:val="29"/>
        <w:tblW w:w="8190"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1620"/>
        <w:gridCol w:w="3795"/>
        <w:gridCol w:w="795"/>
        <w:gridCol w:w="763"/>
      </w:tblGrid>
      <w:tr w14:paraId="4FD1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190" w:type="dxa"/>
            <w:gridSpan w:val="5"/>
            <w:tcBorders>
              <w:top w:val="nil"/>
              <w:left w:val="nil"/>
              <w:bottom w:val="nil"/>
              <w:right w:val="nil"/>
            </w:tcBorders>
            <w:shd w:val="clear" w:color="auto" w:fill="auto"/>
            <w:noWrap/>
            <w:vAlign w:val="center"/>
          </w:tcPr>
          <w:p w14:paraId="3EC521AD">
            <w:pPr>
              <w:keepNext w:val="0"/>
              <w:keepLines w:val="0"/>
              <w:widowControl/>
              <w:suppressLineNumbers w:val="0"/>
              <w:jc w:val="center"/>
              <w:textAlignment w:val="center"/>
              <w:rPr>
                <w:rFonts w:ascii="方正小标宋简体" w:hAnsi="方正小标宋简体" w:eastAsia="方正小标宋简体" w:cs="方正小标宋简体"/>
                <w:i w:val="0"/>
                <w:iCs w:val="0"/>
                <w:color w:val="FF0000"/>
                <w:sz w:val="40"/>
                <w:szCs w:val="40"/>
                <w:u w:val="none"/>
              </w:rPr>
            </w:pPr>
            <w:r>
              <w:rPr>
                <w:rFonts w:hint="default" w:ascii="黑体" w:hAnsi="黑体" w:eastAsia="黑体" w:cs="黑体"/>
                <w:color w:val="auto"/>
                <w:kern w:val="2"/>
                <w:sz w:val="32"/>
                <w:szCs w:val="32"/>
                <w:highlight w:val="none"/>
                <w:lang w:val="en-US" w:eastAsia="zh-CN" w:bidi="ar-SA"/>
              </w:rPr>
              <w:t>2025年一八五团农村公路养护管理考核表</w:t>
            </w:r>
          </w:p>
        </w:tc>
      </w:tr>
      <w:tr w14:paraId="1E2A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37" w:type="dxa"/>
            <w:gridSpan w:val="2"/>
            <w:tcBorders>
              <w:top w:val="nil"/>
              <w:left w:val="nil"/>
              <w:bottom w:val="single" w:color="000000" w:sz="4" w:space="0"/>
              <w:right w:val="nil"/>
            </w:tcBorders>
            <w:shd w:val="clear" w:color="auto" w:fill="auto"/>
            <w:noWrap/>
            <w:vAlign w:val="center"/>
          </w:tcPr>
          <w:p w14:paraId="2A61D6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养护单位签字:</w:t>
            </w:r>
          </w:p>
        </w:tc>
        <w:tc>
          <w:tcPr>
            <w:tcW w:w="3795" w:type="dxa"/>
            <w:tcBorders>
              <w:top w:val="nil"/>
              <w:left w:val="nil"/>
              <w:bottom w:val="nil"/>
              <w:right w:val="nil"/>
            </w:tcBorders>
            <w:shd w:val="clear" w:color="auto" w:fill="auto"/>
            <w:noWrap/>
            <w:vAlign w:val="center"/>
          </w:tcPr>
          <w:p w14:paraId="48B532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795" w:type="dxa"/>
            <w:tcBorders>
              <w:top w:val="nil"/>
              <w:left w:val="nil"/>
              <w:bottom w:val="nil"/>
              <w:right w:val="nil"/>
            </w:tcBorders>
            <w:shd w:val="clear" w:color="auto" w:fill="auto"/>
            <w:noWrap/>
            <w:vAlign w:val="center"/>
          </w:tcPr>
          <w:p w14:paraId="76B7817A">
            <w:pPr>
              <w:jc w:val="center"/>
              <w:rPr>
                <w:rFonts w:hint="eastAsia" w:ascii="宋体" w:hAnsi="宋体" w:eastAsia="宋体" w:cs="宋体"/>
                <w:i w:val="0"/>
                <w:iCs w:val="0"/>
                <w:color w:val="000000"/>
                <w:sz w:val="24"/>
                <w:szCs w:val="24"/>
                <w:u w:val="none"/>
              </w:rPr>
            </w:pPr>
          </w:p>
        </w:tc>
        <w:tc>
          <w:tcPr>
            <w:tcW w:w="763" w:type="dxa"/>
            <w:tcBorders>
              <w:top w:val="nil"/>
              <w:left w:val="nil"/>
              <w:bottom w:val="nil"/>
              <w:right w:val="nil"/>
            </w:tcBorders>
            <w:shd w:val="clear" w:color="auto" w:fill="auto"/>
            <w:noWrap/>
            <w:vAlign w:val="center"/>
          </w:tcPr>
          <w:p w14:paraId="53D42278">
            <w:pPr>
              <w:jc w:val="center"/>
              <w:rPr>
                <w:rFonts w:hint="eastAsia" w:ascii="宋体" w:hAnsi="宋体" w:eastAsia="宋体" w:cs="宋体"/>
                <w:i w:val="0"/>
                <w:iCs w:val="0"/>
                <w:color w:val="000000"/>
                <w:sz w:val="24"/>
                <w:szCs w:val="24"/>
                <w:u w:val="none"/>
              </w:rPr>
            </w:pPr>
          </w:p>
        </w:tc>
      </w:tr>
      <w:tr w14:paraId="09C5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D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检查内容</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8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7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1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E8F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A0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外业路况检查（80分）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3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1辖区路段的路面管护状况。</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C3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路面路面平整，干净整洁，无沙土，杂物。每发现1处，扣0.5分。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191F">
            <w:pPr>
              <w:jc w:val="center"/>
              <w:rPr>
                <w:rFonts w:hint="eastAsia" w:ascii="宋体" w:hAnsi="宋体" w:eastAsia="宋体" w:cs="宋体"/>
                <w:i w:val="0"/>
                <w:iCs w:val="0"/>
                <w:color w:val="000000"/>
                <w:sz w:val="24"/>
                <w:szCs w:val="24"/>
                <w:u w:val="none"/>
              </w:rPr>
            </w:pPr>
          </w:p>
        </w:tc>
      </w:tr>
      <w:tr w14:paraId="7055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43C05">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24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2.辖区路段的路基边坡养护状况</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0D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路肩1：1.5修复、边坡完整坚实，无高草(不高于15cm)、杂物。每发现1处，扣1分。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F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FB93">
            <w:pPr>
              <w:jc w:val="center"/>
              <w:rPr>
                <w:rFonts w:hint="eastAsia" w:ascii="宋体" w:hAnsi="宋体" w:eastAsia="宋体" w:cs="宋体"/>
                <w:i w:val="0"/>
                <w:iCs w:val="0"/>
                <w:color w:val="000000"/>
                <w:sz w:val="24"/>
                <w:szCs w:val="24"/>
                <w:u w:val="none"/>
              </w:rPr>
            </w:pPr>
          </w:p>
        </w:tc>
      </w:tr>
      <w:tr w14:paraId="4107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CA03">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A7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3.辖区路段的路边环境卫生状况</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D0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路域环境整治彻底，无脏、乱、差现象。每发现1处，扣1分。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D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4D0B">
            <w:pPr>
              <w:jc w:val="center"/>
              <w:rPr>
                <w:rFonts w:hint="eastAsia" w:ascii="宋体" w:hAnsi="宋体" w:eastAsia="宋体" w:cs="宋体"/>
                <w:i w:val="0"/>
                <w:iCs w:val="0"/>
                <w:color w:val="000000"/>
                <w:sz w:val="24"/>
                <w:szCs w:val="24"/>
                <w:u w:val="none"/>
              </w:rPr>
            </w:pPr>
          </w:p>
        </w:tc>
      </w:tr>
      <w:tr w14:paraId="428C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B3EDA">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1C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4.辖区路段的公路标志及交通安全设施养护状况</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54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公路标志及交通安全设施完好，保洁到位。每发现1处，扣0.5分。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A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2BB">
            <w:pPr>
              <w:jc w:val="center"/>
              <w:rPr>
                <w:rFonts w:hint="eastAsia" w:ascii="宋体" w:hAnsi="宋体" w:eastAsia="宋体" w:cs="宋体"/>
                <w:i w:val="0"/>
                <w:iCs w:val="0"/>
                <w:color w:val="000000"/>
                <w:sz w:val="24"/>
                <w:szCs w:val="24"/>
                <w:u w:val="none"/>
              </w:rPr>
            </w:pPr>
          </w:p>
        </w:tc>
      </w:tr>
      <w:tr w14:paraId="3331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BC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内业规范化检查（10分）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98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1.护路员考勤记录情况</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A3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护路员考勤记录真实有效，有监督人员签字。每发现缺失1次，扣1分。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B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13B8">
            <w:pPr>
              <w:jc w:val="center"/>
              <w:rPr>
                <w:rFonts w:hint="eastAsia" w:ascii="宋体" w:hAnsi="宋体" w:eastAsia="宋体" w:cs="宋体"/>
                <w:i w:val="0"/>
                <w:iCs w:val="0"/>
                <w:color w:val="000000"/>
                <w:sz w:val="24"/>
                <w:szCs w:val="24"/>
                <w:u w:val="none"/>
              </w:rPr>
            </w:pPr>
          </w:p>
        </w:tc>
      </w:tr>
      <w:tr w14:paraId="0CF4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43D0">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6E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3.护路员日常巡查记录情况</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AA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按照要求每周开展巡查工作1次，巡查记录完整、详实。每发现缺失1次，扣0.5分。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E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D064">
            <w:pPr>
              <w:jc w:val="center"/>
              <w:rPr>
                <w:rFonts w:hint="eastAsia" w:ascii="宋体" w:hAnsi="宋体" w:eastAsia="宋体" w:cs="宋体"/>
                <w:i w:val="0"/>
                <w:iCs w:val="0"/>
                <w:color w:val="000000"/>
                <w:sz w:val="24"/>
                <w:szCs w:val="24"/>
                <w:u w:val="none"/>
              </w:rPr>
            </w:pPr>
          </w:p>
        </w:tc>
      </w:tr>
      <w:tr w14:paraId="2812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C4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安全制度落实检查(10)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80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1.护路员安全生产工作落实情况</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1D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工作期间，护路员穿专业服装，采取安全措施，无安全生产事故发生。全年发生1起，不得分。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B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E81">
            <w:pPr>
              <w:jc w:val="center"/>
              <w:rPr>
                <w:rFonts w:hint="eastAsia" w:ascii="宋体" w:hAnsi="宋体" w:eastAsia="宋体" w:cs="宋体"/>
                <w:i w:val="0"/>
                <w:iCs w:val="0"/>
                <w:color w:val="000000"/>
                <w:sz w:val="24"/>
                <w:szCs w:val="24"/>
                <w:u w:val="none"/>
              </w:rPr>
            </w:pPr>
          </w:p>
        </w:tc>
      </w:tr>
      <w:tr w14:paraId="3EEC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B49D2">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AC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2.交通违法案件发生情况</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FC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无破坏、损坏、非法占用公路案件发生。全年发生1起，不得分。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D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57E6">
            <w:pPr>
              <w:jc w:val="center"/>
              <w:rPr>
                <w:rFonts w:hint="eastAsia" w:ascii="宋体" w:hAnsi="宋体" w:eastAsia="宋体" w:cs="宋体"/>
                <w:i w:val="0"/>
                <w:iCs w:val="0"/>
                <w:color w:val="000000"/>
                <w:sz w:val="24"/>
                <w:szCs w:val="24"/>
                <w:u w:val="none"/>
              </w:rPr>
            </w:pPr>
          </w:p>
        </w:tc>
      </w:tr>
      <w:tr w14:paraId="6CB5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8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CEA">
            <w:pPr>
              <w:jc w:val="left"/>
              <w:rPr>
                <w:rFonts w:hint="eastAsia" w:ascii="宋体" w:hAnsi="宋体" w:eastAsia="宋体" w:cs="宋体"/>
                <w:i w:val="0"/>
                <w:iCs w:val="0"/>
                <w:color w:val="000000"/>
                <w:sz w:val="24"/>
                <w:szCs w:val="24"/>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1E74">
            <w:pPr>
              <w:jc w:val="left"/>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6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7A82">
            <w:pPr>
              <w:jc w:val="center"/>
              <w:rPr>
                <w:rFonts w:hint="eastAsia" w:ascii="宋体" w:hAnsi="宋体" w:eastAsia="宋体" w:cs="宋体"/>
                <w:i w:val="0"/>
                <w:iCs w:val="0"/>
                <w:color w:val="000000"/>
                <w:sz w:val="24"/>
                <w:szCs w:val="24"/>
                <w:u w:val="none"/>
              </w:rPr>
            </w:pPr>
          </w:p>
        </w:tc>
      </w:tr>
      <w:tr w14:paraId="780F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90" w:type="dxa"/>
            <w:gridSpan w:val="5"/>
            <w:tcBorders>
              <w:top w:val="single" w:color="000000" w:sz="4" w:space="0"/>
              <w:left w:val="nil"/>
              <w:bottom w:val="nil"/>
              <w:right w:val="nil"/>
            </w:tcBorders>
            <w:shd w:val="clear" w:color="auto" w:fill="auto"/>
            <w:noWrap/>
            <w:vAlign w:val="center"/>
          </w:tcPr>
          <w:p w14:paraId="24D26A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民生服务中心:         连队:          城镇和生态保护中心:</w:t>
            </w:r>
          </w:p>
        </w:tc>
      </w:tr>
    </w:tbl>
    <w:p w14:paraId="79CF13AD">
      <w:pPr>
        <w:pStyle w:val="57"/>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rPr>
      </w:pPr>
    </w:p>
    <w:p w14:paraId="6401552E">
      <w:pPr>
        <w:pStyle w:val="57"/>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rPr>
      </w:pPr>
    </w:p>
    <w:p w14:paraId="1EC5B892">
      <w:pPr>
        <w:pStyle w:val="57"/>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rPr>
      </w:pPr>
    </w:p>
    <w:p w14:paraId="08BEC8F1">
      <w:pPr>
        <w:pStyle w:val="10"/>
        <w:rPr>
          <w:rFonts w:hint="eastAsia"/>
          <w:color w:val="auto"/>
          <w:highlight w:val="none"/>
          <w:lang w:val="zh-CN" w:eastAsia="zh-CN"/>
        </w:rPr>
      </w:pPr>
    </w:p>
    <w:p w14:paraId="4EB58F0F">
      <w:pPr>
        <w:rPr>
          <w:rFonts w:hint="eastAsia"/>
          <w:color w:val="auto"/>
          <w:highlight w:val="none"/>
          <w:lang w:val="zh-CN" w:eastAsia="zh-CN"/>
        </w:rPr>
      </w:pPr>
    </w:p>
    <w:p w14:paraId="07823E33">
      <w:pPr>
        <w:rPr>
          <w:rFonts w:hint="eastAsia"/>
          <w:color w:val="auto"/>
          <w:highlight w:val="none"/>
          <w:lang w:val="zh-CN" w:eastAsia="zh-CN"/>
        </w:rPr>
      </w:pPr>
    </w:p>
    <w:p w14:paraId="652A8AE4">
      <w:pPr>
        <w:rPr>
          <w:rFonts w:hint="eastAsia"/>
          <w:color w:val="auto"/>
          <w:highlight w:val="none"/>
          <w:lang w:val="zh-CN" w:eastAsia="zh-CN"/>
        </w:rPr>
      </w:pPr>
    </w:p>
    <w:p w14:paraId="2F3AE9D5">
      <w:pPr>
        <w:rPr>
          <w:rFonts w:hint="eastAsia"/>
          <w:color w:val="auto"/>
          <w:highlight w:val="none"/>
          <w:lang w:val="zh-CN" w:eastAsia="zh-CN"/>
        </w:rPr>
      </w:pPr>
    </w:p>
    <w:p w14:paraId="793CF179">
      <w:pPr>
        <w:rPr>
          <w:rFonts w:hint="eastAsia"/>
          <w:color w:val="auto"/>
          <w:highlight w:val="none"/>
          <w:lang w:val="zh-CN" w:eastAsia="zh-CN"/>
        </w:rPr>
      </w:pPr>
    </w:p>
    <w:p w14:paraId="698D4597">
      <w:pPr>
        <w:rPr>
          <w:rFonts w:hint="eastAsia"/>
          <w:color w:val="auto"/>
          <w:highlight w:val="none"/>
          <w:lang w:val="zh-CN" w:eastAsia="zh-CN"/>
        </w:rPr>
      </w:pPr>
    </w:p>
    <w:p w14:paraId="1442619D">
      <w:pPr>
        <w:rPr>
          <w:rFonts w:hint="eastAsia"/>
          <w:color w:val="auto"/>
          <w:highlight w:val="none"/>
          <w:lang w:val="zh-CN" w:eastAsia="zh-CN"/>
        </w:rPr>
      </w:pPr>
    </w:p>
    <w:p w14:paraId="2DDC8BF9">
      <w:pPr>
        <w:rPr>
          <w:rFonts w:hint="eastAsia"/>
          <w:color w:val="auto"/>
          <w:highlight w:val="none"/>
          <w:lang w:val="zh-CN" w:eastAsia="zh-CN"/>
        </w:rPr>
      </w:pPr>
    </w:p>
    <w:p w14:paraId="351B2CC4">
      <w:pPr>
        <w:rPr>
          <w:rFonts w:hint="eastAsia"/>
          <w:color w:val="auto"/>
          <w:highlight w:val="none"/>
          <w:lang w:val="zh-CN" w:eastAsia="zh-CN"/>
        </w:rPr>
      </w:pPr>
    </w:p>
    <w:p w14:paraId="65282AB0">
      <w:pPr>
        <w:rPr>
          <w:rFonts w:hint="eastAsia"/>
          <w:color w:val="auto"/>
          <w:highlight w:val="none"/>
          <w:lang w:val="zh-CN" w:eastAsia="zh-CN"/>
        </w:rPr>
      </w:pPr>
    </w:p>
    <w:p w14:paraId="3F1F5E29">
      <w:pPr>
        <w:rPr>
          <w:rFonts w:hint="eastAsia"/>
          <w:color w:val="auto"/>
          <w:highlight w:val="none"/>
          <w:lang w:val="zh-CN" w:eastAsia="zh-CN"/>
        </w:rPr>
      </w:pPr>
    </w:p>
    <w:p w14:paraId="59E6BC9F">
      <w:pPr>
        <w:rPr>
          <w:rFonts w:hint="eastAsia"/>
          <w:color w:val="auto"/>
          <w:highlight w:val="none"/>
          <w:lang w:val="zh-CN" w:eastAsia="zh-CN"/>
        </w:rPr>
      </w:pPr>
    </w:p>
    <w:p w14:paraId="605072CE">
      <w:pPr>
        <w:rPr>
          <w:rFonts w:hint="eastAsia"/>
          <w:color w:val="auto"/>
          <w:highlight w:val="none"/>
          <w:lang w:val="zh-CN" w:eastAsia="zh-CN"/>
        </w:rPr>
      </w:pPr>
    </w:p>
    <w:p w14:paraId="2A9EF772">
      <w:pPr>
        <w:rPr>
          <w:rFonts w:hint="eastAsia"/>
          <w:color w:val="auto"/>
          <w:highlight w:val="none"/>
          <w:lang w:val="zh-CN" w:eastAsia="zh-CN"/>
        </w:rPr>
      </w:pPr>
    </w:p>
    <w:p w14:paraId="10B1F9EA">
      <w:pPr>
        <w:rPr>
          <w:rFonts w:hint="eastAsia"/>
          <w:color w:val="auto"/>
          <w:highlight w:val="none"/>
          <w:lang w:val="zh-CN" w:eastAsia="zh-CN"/>
        </w:rPr>
      </w:pPr>
    </w:p>
    <w:p w14:paraId="6711D9E9">
      <w:pPr>
        <w:pStyle w:val="10"/>
        <w:rPr>
          <w:rFonts w:hint="eastAsia"/>
          <w:color w:val="auto"/>
          <w:highlight w:val="none"/>
          <w:lang w:val="zh-CN" w:eastAsia="zh-CN"/>
        </w:rPr>
      </w:pPr>
    </w:p>
    <w:p w14:paraId="11B227F7">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47" w:name="_Toc155185895"/>
      <w:bookmarkStart w:id="448" w:name="_Toc17715"/>
      <w:r>
        <w:rPr>
          <w:rFonts w:hint="eastAsia" w:ascii="宋体" w:hAnsi="宋体" w:eastAsia="宋体" w:cs="宋体"/>
          <w:b/>
          <w:bCs/>
          <w:color w:val="auto"/>
          <w:kern w:val="44"/>
          <w:sz w:val="36"/>
          <w:szCs w:val="36"/>
          <w:highlight w:val="none"/>
          <w:lang w:val="en-US" w:eastAsia="zh-CN" w:bidi="ar-SA"/>
        </w:rPr>
        <w:t>第四章 资格审查</w:t>
      </w:r>
      <w:bookmarkEnd w:id="447"/>
      <w:bookmarkEnd w:id="448"/>
    </w:p>
    <w:p w14:paraId="2133133E">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449" w:name="_Toc31801"/>
      <w:r>
        <w:rPr>
          <w:rFonts w:hint="eastAsia"/>
          <w:color w:val="auto"/>
          <w:sz w:val="28"/>
          <w:szCs w:val="28"/>
          <w:highlight w:val="none"/>
          <w:lang w:val="en-US" w:eastAsia="zh-CN"/>
        </w:rPr>
        <w:t>一、资格审查程序</w:t>
      </w:r>
      <w:bookmarkEnd w:id="449"/>
      <w:r>
        <w:rPr>
          <w:rFonts w:hint="eastAsia"/>
          <w:color w:val="auto"/>
          <w:sz w:val="28"/>
          <w:szCs w:val="28"/>
          <w:highlight w:val="none"/>
          <w:lang w:val="en-US" w:eastAsia="zh-CN"/>
        </w:rPr>
        <w:t xml:space="preserve"> </w:t>
      </w:r>
    </w:p>
    <w:p w14:paraId="4E4090D3">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eastAsia"/>
          <w:color w:val="auto"/>
          <w:highlight w:val="none"/>
          <w:lang w:val="en-US" w:eastAsia="zh-CN"/>
        </w:rPr>
        <w:t xml:space="preserve">1 开标结束后，采购人或采购代理机构将根据《资格审查要求》中的规定，对投标人进行资格审查，并形成资格审查结果。 </w:t>
      </w:r>
    </w:p>
    <w:p w14:paraId="62799CDE">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default"/>
          <w:color w:val="auto"/>
          <w:highlight w:val="none"/>
          <w:lang w:val="en-US" w:eastAsia="zh-CN"/>
        </w:rPr>
        <w:t xml:space="preserve">2 </w:t>
      </w:r>
      <w:r>
        <w:rPr>
          <w:rFonts w:hint="eastAsia"/>
          <w:color w:val="auto"/>
          <w:highlight w:val="none"/>
          <w:lang w:val="en-US" w:eastAsia="zh-CN"/>
        </w:rPr>
        <w:t>投标人《资格证明文件》有任何一项不符合《资格审查要求》的，资格审查不合格，其</w:t>
      </w:r>
      <w:r>
        <w:rPr>
          <w:rFonts w:hint="eastAsia"/>
          <w:b/>
          <w:bCs/>
          <w:color w:val="auto"/>
          <w:highlight w:val="none"/>
          <w:lang w:val="en-US" w:eastAsia="zh-CN"/>
        </w:rPr>
        <w:t>投标无效</w:t>
      </w:r>
      <w:r>
        <w:rPr>
          <w:rFonts w:hint="eastAsia"/>
          <w:color w:val="auto"/>
          <w:highlight w:val="none"/>
          <w:lang w:val="en-US" w:eastAsia="zh-CN"/>
        </w:rPr>
        <w:t xml:space="preserve">。 </w:t>
      </w:r>
    </w:p>
    <w:p w14:paraId="37E914D8">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eastAsia"/>
          <w:color w:val="auto"/>
          <w:highlight w:val="none"/>
          <w:lang w:val="en-US" w:eastAsia="zh-CN"/>
        </w:rPr>
        <w:t>3</w:t>
      </w:r>
      <w:r>
        <w:rPr>
          <w:rFonts w:hint="default"/>
          <w:color w:val="auto"/>
          <w:highlight w:val="none"/>
          <w:lang w:val="en-US" w:eastAsia="zh-CN"/>
        </w:rPr>
        <w:t xml:space="preserve"> </w:t>
      </w:r>
      <w:r>
        <w:rPr>
          <w:rFonts w:hint="eastAsia"/>
          <w:color w:val="auto"/>
          <w:highlight w:val="none"/>
          <w:lang w:val="en-US" w:eastAsia="zh-CN"/>
        </w:rPr>
        <w:t xml:space="preserve">资格审查合格的投标人不足 </w:t>
      </w:r>
      <w:r>
        <w:rPr>
          <w:rFonts w:hint="default"/>
          <w:color w:val="auto"/>
          <w:highlight w:val="none"/>
          <w:lang w:val="en-US" w:eastAsia="zh-CN"/>
        </w:rPr>
        <w:t xml:space="preserve">3 </w:t>
      </w:r>
      <w:r>
        <w:rPr>
          <w:rFonts w:hint="eastAsia"/>
          <w:color w:val="auto"/>
          <w:highlight w:val="none"/>
          <w:lang w:val="en-US" w:eastAsia="zh-CN"/>
        </w:rPr>
        <w:t xml:space="preserve">家的，不进行评标。 </w:t>
      </w:r>
    </w:p>
    <w:p w14:paraId="1720E868">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en-US" w:eastAsia="zh-CN"/>
        </w:rPr>
      </w:pPr>
      <w:bookmarkStart w:id="450" w:name="_Toc19754"/>
      <w:r>
        <w:rPr>
          <w:rFonts w:hint="eastAsia"/>
          <w:color w:val="auto"/>
          <w:sz w:val="28"/>
          <w:szCs w:val="28"/>
          <w:highlight w:val="none"/>
          <w:lang w:val="en-US" w:eastAsia="zh-CN"/>
        </w:rPr>
        <w:t>二、资格审查要求</w:t>
      </w:r>
      <w:bookmarkEnd w:id="450"/>
      <w:r>
        <w:rPr>
          <w:rFonts w:hint="eastAsia"/>
          <w:color w:val="auto"/>
          <w:sz w:val="28"/>
          <w:szCs w:val="28"/>
          <w:highlight w:val="none"/>
          <w:lang w:val="en-US" w:eastAsia="zh-CN"/>
        </w:rPr>
        <w:t xml:space="preserve"> </w:t>
      </w:r>
    </w:p>
    <w:tbl>
      <w:tblPr>
        <w:tblStyle w:val="29"/>
        <w:tblW w:w="5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18"/>
        <w:gridCol w:w="1818"/>
        <w:gridCol w:w="5386"/>
        <w:gridCol w:w="1602"/>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5" w:type="pct"/>
            <w:shd w:val="clear" w:color="auto" w:fill="D8D8D8" w:themeFill="background1" w:themeFillShade="D9"/>
            <w:vAlign w:val="center"/>
          </w:tcPr>
          <w:p w14:paraId="31F150F3">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4" w:type="pct"/>
            <w:shd w:val="clear" w:color="auto" w:fill="D8D8D8" w:themeFill="background1" w:themeFillShade="D9"/>
            <w:vAlign w:val="center"/>
          </w:tcPr>
          <w:p w14:paraId="29694278">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2797" w:type="pct"/>
            <w:shd w:val="clear" w:color="auto" w:fill="D8D8D8" w:themeFill="background1" w:themeFillShade="D9"/>
            <w:vAlign w:val="center"/>
          </w:tcPr>
          <w:p w14:paraId="635BC09B">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832" w:type="pct"/>
            <w:shd w:val="clear" w:color="auto" w:fill="D8D8D8" w:themeFill="background1" w:themeFillShade="D9"/>
            <w:vAlign w:val="center"/>
          </w:tcPr>
          <w:p w14:paraId="6075A15A">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6" w:hRule="atLeast"/>
          <w:jc w:val="center"/>
        </w:trPr>
        <w:tc>
          <w:tcPr>
            <w:tcW w:w="425" w:type="pct"/>
            <w:shd w:val="clear" w:color="auto" w:fill="FFFFFF" w:themeFill="background1"/>
            <w:vAlign w:val="center"/>
          </w:tcPr>
          <w:p w14:paraId="636EB3B4">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944" w:type="pct"/>
            <w:shd w:val="clear" w:color="auto" w:fill="FFFFFF" w:themeFill="background1"/>
            <w:vAlign w:val="center"/>
          </w:tcPr>
          <w:p w14:paraId="267C1675">
            <w:pPr>
              <w:pStyle w:val="4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满足《政府采购 </w:t>
            </w:r>
          </w:p>
          <w:p w14:paraId="58A237A7">
            <w:pPr>
              <w:pStyle w:val="4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法》第二十二条 </w:t>
            </w:r>
          </w:p>
          <w:p w14:paraId="4DBD5590">
            <w:pPr>
              <w:pStyle w:val="4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规定</w:t>
            </w:r>
          </w:p>
        </w:tc>
        <w:tc>
          <w:tcPr>
            <w:tcW w:w="2797" w:type="pct"/>
            <w:shd w:val="clear" w:color="auto" w:fill="FFFFFF" w:themeFill="background1"/>
            <w:vAlign w:val="center"/>
          </w:tcPr>
          <w:p w14:paraId="215E0855">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 招标公告”</w:t>
            </w:r>
          </w:p>
        </w:tc>
        <w:tc>
          <w:tcPr>
            <w:tcW w:w="832" w:type="pct"/>
            <w:shd w:val="clear" w:color="auto" w:fill="FFFFFF" w:themeFill="background1"/>
            <w:vAlign w:val="center"/>
          </w:tcPr>
          <w:p w14:paraId="24AF5599">
            <w:pPr>
              <w:pStyle w:val="48"/>
              <w:jc w:val="center"/>
              <w:rPr>
                <w:rFonts w:hint="eastAsia" w:ascii="宋体" w:hAnsi="宋体" w:eastAsia="宋体" w:cs="宋体"/>
                <w:b/>
                <w:bCs/>
                <w:color w:val="auto"/>
                <w:sz w:val="24"/>
                <w:szCs w:val="24"/>
                <w:highlight w:val="none"/>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16" w:hRule="atLeast"/>
          <w:jc w:val="center"/>
        </w:trPr>
        <w:tc>
          <w:tcPr>
            <w:tcW w:w="425" w:type="pct"/>
            <w:shd w:val="clear" w:color="auto" w:fill="FFFFFF" w:themeFill="background1"/>
            <w:vAlign w:val="center"/>
          </w:tcPr>
          <w:p w14:paraId="1AF8CF7F">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944" w:type="pct"/>
            <w:shd w:val="clear" w:color="auto" w:fill="FFFFFF" w:themeFill="background1"/>
            <w:vAlign w:val="center"/>
          </w:tcPr>
          <w:p w14:paraId="055CD5DC">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营业执照等证明文件</w:t>
            </w:r>
          </w:p>
        </w:tc>
        <w:tc>
          <w:tcPr>
            <w:tcW w:w="2797" w:type="pct"/>
            <w:shd w:val="clear" w:color="auto" w:fill="FFFFFF" w:themeFill="background1"/>
            <w:vAlign w:val="center"/>
          </w:tcPr>
          <w:p w14:paraId="7DB1C2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投标人为企业（包括合伙企业）的，应提供有效的“营业执照”； </w:t>
            </w:r>
          </w:p>
          <w:p w14:paraId="693E34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投标人为事业单位的，应提供有效的“事业单位法人证书” ； </w:t>
            </w:r>
          </w:p>
          <w:p w14:paraId="0BB375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投标人是非企业机构的，应提供有效的“执业许可证”、“登记证书”等证明文件； </w:t>
            </w:r>
          </w:p>
          <w:p w14:paraId="0667B6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投标人是个体工商户的，应提供有效的“个体工商户营业执照”； </w:t>
            </w:r>
          </w:p>
          <w:p w14:paraId="3CB60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bidi="ar"/>
              </w:rPr>
              <w:t>投标人是自然人的，应提供有效的自然人身份证明。</w:t>
            </w:r>
          </w:p>
        </w:tc>
        <w:tc>
          <w:tcPr>
            <w:tcW w:w="832" w:type="pct"/>
            <w:shd w:val="clear" w:color="auto" w:fill="FFFFFF" w:themeFill="background1"/>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48" w:hRule="atLeast"/>
          <w:jc w:val="center"/>
        </w:trPr>
        <w:tc>
          <w:tcPr>
            <w:tcW w:w="425" w:type="pct"/>
            <w:shd w:val="clear" w:color="auto" w:fill="FFFFFF" w:themeFill="background1"/>
            <w:vAlign w:val="center"/>
          </w:tcPr>
          <w:p w14:paraId="1B6B10C6">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944" w:type="pct"/>
            <w:shd w:val="clear" w:color="auto" w:fill="FFFFFF" w:themeFill="background1"/>
            <w:vAlign w:val="center"/>
          </w:tcPr>
          <w:p w14:paraId="1BD0E12D">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投标人信用承诺函</w:t>
            </w:r>
          </w:p>
        </w:tc>
        <w:tc>
          <w:tcPr>
            <w:tcW w:w="2797" w:type="pct"/>
            <w:shd w:val="clear" w:color="auto" w:fill="FFFFFF" w:themeFill="background1"/>
            <w:vAlign w:val="center"/>
          </w:tcPr>
          <w:p w14:paraId="041E784F">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提供了符合招标文件要求的《兵团政府采购供应商信用承诺函》。</w:t>
            </w:r>
          </w:p>
        </w:tc>
        <w:tc>
          <w:tcPr>
            <w:tcW w:w="832" w:type="pct"/>
            <w:shd w:val="clear" w:color="auto" w:fill="FFFFFF" w:themeFill="background1"/>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4" w:hRule="atLeast"/>
          <w:jc w:val="center"/>
        </w:trPr>
        <w:tc>
          <w:tcPr>
            <w:tcW w:w="425" w:type="pct"/>
            <w:shd w:val="clear" w:color="auto" w:fill="FFFFFF" w:themeFill="background1"/>
            <w:vAlign w:val="center"/>
          </w:tcPr>
          <w:p w14:paraId="0A4E48AD">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944" w:type="pct"/>
            <w:shd w:val="clear" w:color="auto" w:fill="FFFFFF" w:themeFill="background1"/>
            <w:vAlign w:val="center"/>
          </w:tcPr>
          <w:p w14:paraId="6F347850">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投标人信用记录</w:t>
            </w:r>
          </w:p>
        </w:tc>
        <w:tc>
          <w:tcPr>
            <w:tcW w:w="2797" w:type="pct"/>
            <w:shd w:val="clear" w:color="auto" w:fill="FFFFFF" w:themeFill="background1"/>
            <w:vAlign w:val="center"/>
          </w:tcPr>
          <w:p w14:paraId="747BCCCD">
            <w:pPr>
              <w:pStyle w:val="48"/>
              <w:jc w:val="both"/>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 xml:space="preserve">查询渠道：信用中国网站和中国政府采购网（ </w:t>
            </w:r>
          </w:p>
          <w:p w14:paraId="4D80C076">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www.creditchina.gov.cn 、www.ccgp.gov.cn）；</w:t>
            </w:r>
            <w:r>
              <w:rPr>
                <w:rFonts w:hint="eastAsia" w:ascii="宋体" w:hAnsi="宋体" w:eastAsia="宋体" w:cs="宋体"/>
                <w:color w:val="auto"/>
                <w:sz w:val="24"/>
                <w:szCs w:val="24"/>
                <w:highlight w:val="none"/>
                <w:lang w:val="en-US" w:eastAsia="zh-CN"/>
              </w:rPr>
              <w:t xml:space="preserve"> </w:t>
            </w:r>
          </w:p>
          <w:p w14:paraId="496D1252">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截止时点：投标截止时间以后、资格审查阶段采购人或采购代理机构的实际查询时间； </w:t>
            </w:r>
          </w:p>
          <w:p w14:paraId="2F28F46E">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信用信息查询记录和证据留存具体方式：查询结果网页打印页作为查询记录和证据，与其他采购文件一并保存； </w:t>
            </w:r>
          </w:p>
          <w:p w14:paraId="1A0058F5">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信用信息的使用原则：经认定的被列入失信被执行人、重大税收违法失信主体、政府采购严重违法失信行为记录名单的投标人，其</w:t>
            </w:r>
            <w:r>
              <w:rPr>
                <w:rFonts w:hint="eastAsia" w:ascii="宋体" w:hAnsi="宋体" w:eastAsia="宋体" w:cs="宋体"/>
                <w:b/>
                <w:bCs/>
                <w:color w:val="auto"/>
                <w:spacing w:val="-6"/>
                <w:sz w:val="24"/>
                <w:szCs w:val="24"/>
                <w:highlight w:val="none"/>
                <w:lang w:val="en-US" w:eastAsia="zh-CN"/>
              </w:rPr>
              <w:t>投标无效</w:t>
            </w:r>
            <w:r>
              <w:rPr>
                <w:rFonts w:hint="eastAsia" w:ascii="宋体" w:hAnsi="宋体" w:eastAsia="宋体" w:cs="宋体"/>
                <w:color w:val="auto"/>
                <w:spacing w:val="-6"/>
                <w:sz w:val="24"/>
                <w:szCs w:val="24"/>
                <w:highlight w:val="none"/>
                <w:lang w:val="en-US" w:eastAsia="zh-CN"/>
              </w:rPr>
              <w:t>。联合体形式投标的，联合体成员存在不良信用记录，视同联合体存在不良信用记录。</w:t>
            </w:r>
          </w:p>
        </w:tc>
        <w:tc>
          <w:tcPr>
            <w:tcW w:w="832" w:type="pct"/>
            <w:shd w:val="clear" w:color="auto" w:fill="FFFFFF" w:themeFill="background1"/>
            <w:vAlign w:val="center"/>
          </w:tcPr>
          <w:p w14:paraId="41CEE0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无须投标人提供，由采购人或采购代理机构查询。</w:t>
            </w:r>
          </w:p>
          <w:p w14:paraId="0D1403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p>
        </w:tc>
      </w:tr>
      <w:tr w14:paraId="7DDB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20" w:hRule="atLeast"/>
          <w:jc w:val="center"/>
        </w:trPr>
        <w:tc>
          <w:tcPr>
            <w:tcW w:w="425" w:type="pct"/>
            <w:shd w:val="clear" w:color="auto" w:fill="FFFFFF" w:themeFill="background1"/>
            <w:vAlign w:val="center"/>
          </w:tcPr>
          <w:p w14:paraId="330FEA22">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944" w:type="pct"/>
            <w:shd w:val="clear" w:color="auto" w:fill="FFFFFF" w:themeFill="background1"/>
            <w:vAlign w:val="center"/>
          </w:tcPr>
          <w:p w14:paraId="60F45FA7">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2797" w:type="pct"/>
            <w:shd w:val="clear" w:color="auto" w:fill="FFFFFF" w:themeFill="background1"/>
            <w:vAlign w:val="center"/>
          </w:tcPr>
          <w:p w14:paraId="2B64265B">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832" w:type="pct"/>
            <w:shd w:val="clear" w:color="auto" w:fill="FFFFFF" w:themeFill="background1"/>
            <w:vAlign w:val="center"/>
          </w:tcPr>
          <w:p w14:paraId="0ACC3285">
            <w:pPr>
              <w:pStyle w:val="48"/>
              <w:jc w:val="center"/>
              <w:rPr>
                <w:rFonts w:hint="eastAsia" w:ascii="宋体" w:hAnsi="宋体" w:eastAsia="宋体" w:cs="宋体"/>
                <w:b/>
                <w:bCs/>
                <w:color w:val="auto"/>
                <w:sz w:val="24"/>
                <w:szCs w:val="24"/>
                <w:highlight w:val="none"/>
              </w:rPr>
            </w:pPr>
          </w:p>
        </w:tc>
      </w:tr>
    </w:tbl>
    <w:p w14:paraId="75823E1B">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CB9CD2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w:t>
      </w:r>
    </w:p>
    <w:p w14:paraId="7E275CC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2E58BC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AB8F46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62D37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41DE2A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F51707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5F9927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3056CD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4419FE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8262B7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749F38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B904C7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79992A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32F98F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5A27B2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CFDB1C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236AD8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2BB522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FA881C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0EA095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DF1D87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5F5E38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9DC4FD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1B53EAD">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default" w:ascii="宋体" w:hAnsi="宋体" w:eastAsia="宋体" w:cs="宋体"/>
          <w:b/>
          <w:bCs/>
          <w:color w:val="auto"/>
          <w:kern w:val="44"/>
          <w:sz w:val="36"/>
          <w:szCs w:val="36"/>
          <w:highlight w:val="none"/>
          <w:lang w:val="en-US" w:eastAsia="zh-CN" w:bidi="ar-SA"/>
        </w:rPr>
      </w:pPr>
      <w:bookmarkStart w:id="451" w:name="_Toc155185903"/>
      <w:bookmarkStart w:id="452" w:name="_Toc18814"/>
      <w:r>
        <w:rPr>
          <w:rFonts w:hint="eastAsia" w:ascii="宋体" w:hAnsi="宋体" w:eastAsia="宋体" w:cs="宋体"/>
          <w:b/>
          <w:bCs/>
          <w:color w:val="auto"/>
          <w:kern w:val="44"/>
          <w:sz w:val="36"/>
          <w:szCs w:val="36"/>
          <w:highlight w:val="none"/>
          <w:lang w:val="en-US" w:eastAsia="zh-CN" w:bidi="ar-SA"/>
        </w:rPr>
        <w:t>第五章 评标方法</w:t>
      </w:r>
      <w:bookmarkEnd w:id="451"/>
      <w:r>
        <w:rPr>
          <w:rFonts w:hint="eastAsia" w:ascii="宋体" w:hAnsi="宋体" w:eastAsia="宋体" w:cs="宋体"/>
          <w:b/>
          <w:bCs/>
          <w:color w:val="auto"/>
          <w:kern w:val="44"/>
          <w:sz w:val="36"/>
          <w:szCs w:val="36"/>
          <w:highlight w:val="none"/>
          <w:lang w:val="en-US" w:eastAsia="zh-CN" w:bidi="ar-SA"/>
        </w:rPr>
        <w:t>及标准(综合评分法)</w:t>
      </w:r>
      <w:bookmarkEnd w:id="452"/>
    </w:p>
    <w:p w14:paraId="2BB6F8A4">
      <w:pPr>
        <w:pStyle w:val="36"/>
        <w:rPr>
          <w:color w:val="auto"/>
          <w:highlight w:val="none"/>
        </w:rPr>
      </w:pPr>
      <w:r>
        <w:rPr>
          <w:rFonts w:hint="eastAsia"/>
          <w:color w:val="auto"/>
          <w:highlight w:val="none"/>
        </w:rPr>
        <w:t>根据《中华人民共和国政府采购法》及其实施条例、《政府采购货物和服务招标投标管理办法》</w:t>
      </w:r>
      <w:r>
        <w:rPr>
          <w:rFonts w:hint="eastAsia"/>
          <w:color w:val="auto"/>
          <w:highlight w:val="none"/>
          <w:lang w:val="en-US" w:eastAsia="zh-CN"/>
        </w:rPr>
        <w:t>及</w:t>
      </w:r>
      <w:r>
        <w:rPr>
          <w:rFonts w:hint="eastAsia"/>
          <w:color w:val="auto"/>
          <w:highlight w:val="none"/>
        </w:rPr>
        <w:t>相关法律法规确定以下评标</w:t>
      </w:r>
      <w:r>
        <w:rPr>
          <w:rFonts w:hint="eastAsia"/>
          <w:color w:val="auto"/>
          <w:highlight w:val="none"/>
          <w:lang w:val="en-US" w:eastAsia="zh-CN"/>
        </w:rPr>
        <w:t>方</w:t>
      </w:r>
      <w:r>
        <w:rPr>
          <w:rFonts w:hint="eastAsia"/>
          <w:color w:val="auto"/>
          <w:highlight w:val="none"/>
        </w:rPr>
        <w:t>法及标准。</w:t>
      </w:r>
    </w:p>
    <w:p w14:paraId="040C2DF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453" w:name="_Toc21370"/>
      <w:bookmarkStart w:id="454" w:name="_Toc109899903"/>
      <w:bookmarkStart w:id="455" w:name="_Toc155185905"/>
      <w:bookmarkStart w:id="456" w:name="_Toc278891606"/>
      <w:bookmarkStart w:id="457" w:name="_Toc272247709"/>
      <w:bookmarkStart w:id="458" w:name="_Toc109900322"/>
      <w:bookmarkStart w:id="459" w:name="_Toc140132826"/>
      <w:bookmarkStart w:id="460" w:name="_Toc494561962"/>
      <w:bookmarkStart w:id="461" w:name="_Toc61280402"/>
      <w:bookmarkStart w:id="462" w:name="_Toc109899484"/>
      <w:bookmarkStart w:id="463" w:name="_Toc511894518"/>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453"/>
    </w:p>
    <w:p w14:paraId="40F9AE81">
      <w:pPr>
        <w:pStyle w:val="36"/>
        <w:keepNext w:val="0"/>
        <w:keepLines w:val="0"/>
        <w:pageBreakBefore w:val="0"/>
        <w:widowControl w:val="0"/>
        <w:kinsoku/>
        <w:wordWrap w:val="0"/>
        <w:overflowPunct/>
        <w:topLinePunct w:val="0"/>
        <w:autoSpaceDE/>
        <w:autoSpaceDN/>
        <w:bidi w:val="0"/>
        <w:adjustRightInd/>
        <w:snapToGrid/>
        <w:ind w:firstLine="482"/>
        <w:textAlignment w:val="auto"/>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5EC2DCA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464" w:name="_Toc4945"/>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464"/>
    </w:p>
    <w:p w14:paraId="2CEA851A">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5" w:name="_Toc18989"/>
      <w:bookmarkStart w:id="466" w:name="_Toc27226"/>
      <w:bookmarkStart w:id="467" w:name="_Toc30735"/>
      <w:r>
        <w:rPr>
          <w:rFonts w:hint="eastAsia" w:ascii="宋体" w:hAnsi="宋体" w:eastAsia="宋体" w:cs="宋体"/>
          <w:b/>
          <w:bCs/>
          <w:color w:val="auto"/>
          <w:kern w:val="2"/>
          <w:sz w:val="24"/>
          <w:szCs w:val="24"/>
          <w:highlight w:val="none"/>
          <w:lang w:val="zh-CN" w:eastAsia="zh-CN" w:bidi="ar-SA"/>
        </w:rPr>
        <w:t>（一）符合性审查</w:t>
      </w:r>
      <w:bookmarkEnd w:id="465"/>
      <w:bookmarkEnd w:id="466"/>
      <w:bookmarkEnd w:id="467"/>
    </w:p>
    <w:p w14:paraId="4E726315">
      <w:pPr>
        <w:pStyle w:val="36"/>
        <w:rPr>
          <w:rFonts w:hint="eastAsia"/>
          <w:color w:val="auto"/>
          <w:highlight w:val="none"/>
          <w:lang w:val="zh-CN"/>
        </w:rPr>
      </w:pPr>
      <w:r>
        <w:rPr>
          <w:rFonts w:hint="eastAsia"/>
          <w:color w:val="auto"/>
          <w:highlight w:val="none"/>
          <w:lang w:val="en-US" w:eastAsia="zh-CN"/>
        </w:rPr>
        <w:t>2.</w:t>
      </w:r>
      <w:r>
        <w:rPr>
          <w:rFonts w:hint="eastAsia"/>
          <w:color w:val="auto"/>
          <w:highlight w:val="none"/>
        </w:rPr>
        <w:t>评标委员会应当对</w:t>
      </w:r>
      <w:r>
        <w:rPr>
          <w:rFonts w:hint="eastAsia"/>
          <w:color w:val="auto"/>
          <w:highlight w:val="none"/>
          <w:lang w:val="en-US" w:eastAsia="zh-CN"/>
        </w:rPr>
        <w:t>通过</w:t>
      </w:r>
      <w:r>
        <w:rPr>
          <w:rFonts w:hint="eastAsia"/>
          <w:color w:val="auto"/>
          <w:highlight w:val="none"/>
        </w:rPr>
        <w:t>资格</w:t>
      </w:r>
      <w:r>
        <w:rPr>
          <w:rFonts w:hint="eastAsia"/>
          <w:color w:val="auto"/>
          <w:highlight w:val="none"/>
          <w:lang w:val="en-US" w:eastAsia="zh-CN"/>
        </w:rPr>
        <w:t>审查</w:t>
      </w:r>
      <w:r>
        <w:rPr>
          <w:rFonts w:hint="eastAsia"/>
          <w:color w:val="auto"/>
          <w:highlight w:val="none"/>
        </w:rPr>
        <w:t>的投标人的投标文件进行符合性审查，以确定其是否满足招标文件的实质性要求。投标人必须通过符合性审查的全部评审指标</w:t>
      </w:r>
      <w:r>
        <w:rPr>
          <w:rFonts w:hint="eastAsia"/>
          <w:color w:val="auto"/>
          <w:highlight w:val="none"/>
          <w:lang w:eastAsia="zh-CN"/>
        </w:rPr>
        <w:t>，</w:t>
      </w:r>
      <w:r>
        <w:rPr>
          <w:rFonts w:hint="eastAsia"/>
          <w:color w:val="auto"/>
          <w:highlight w:val="none"/>
        </w:rPr>
        <w:t>不满足招标文件的实质性要求的，</w:t>
      </w:r>
      <w:r>
        <w:rPr>
          <w:rFonts w:hint="eastAsia"/>
          <w:color w:val="auto"/>
          <w:highlight w:val="none"/>
          <w:lang w:val="en-US" w:eastAsia="zh-CN"/>
        </w:rPr>
        <w:t>其</w:t>
      </w:r>
      <w:r>
        <w:rPr>
          <w:rFonts w:hint="eastAsia"/>
          <w:b/>
          <w:bCs/>
          <w:color w:val="auto"/>
          <w:highlight w:val="none"/>
        </w:rPr>
        <w:t>投标无效</w:t>
      </w:r>
      <w:r>
        <w:rPr>
          <w:rFonts w:hint="eastAsia"/>
          <w:color w:val="auto"/>
          <w:highlight w:val="none"/>
        </w:rPr>
        <w:t>。</w:t>
      </w:r>
      <w:r>
        <w:rPr>
          <w:rFonts w:hint="eastAsia"/>
          <w:color w:val="auto"/>
          <w:highlight w:val="none"/>
          <w:lang w:val="en-US" w:eastAsia="zh-CN"/>
        </w:rPr>
        <w:t>具体内容详</w:t>
      </w:r>
      <w:r>
        <w:rPr>
          <w:rFonts w:hint="eastAsia"/>
          <w:color w:val="auto"/>
          <w:highlight w:val="none"/>
          <w:lang w:val="zh-CN"/>
        </w:rPr>
        <w:t>本章“</w:t>
      </w:r>
      <w:r>
        <w:rPr>
          <w:rFonts w:hint="eastAsia"/>
          <w:color w:val="auto"/>
          <w:highlight w:val="none"/>
          <w:lang w:val="en-US" w:eastAsia="zh-CN"/>
        </w:rPr>
        <w:t>四</w:t>
      </w:r>
      <w:r>
        <w:rPr>
          <w:rFonts w:hint="eastAsia"/>
          <w:color w:val="auto"/>
          <w:highlight w:val="none"/>
          <w:lang w:val="zh-CN"/>
        </w:rPr>
        <w:t>、评标标准”中</w:t>
      </w:r>
      <w:r>
        <w:rPr>
          <w:rFonts w:hint="eastAsia"/>
          <w:color w:val="auto"/>
          <w:highlight w:val="none"/>
          <w:lang w:val="en-US" w:eastAsia="zh-CN"/>
        </w:rPr>
        <w:t>的</w:t>
      </w:r>
      <w:r>
        <w:rPr>
          <w:rFonts w:hint="eastAsia"/>
          <w:color w:val="auto"/>
          <w:highlight w:val="none"/>
          <w:lang w:val="zh-CN"/>
        </w:rPr>
        <w:t>“（一）符合性审查”。</w:t>
      </w:r>
    </w:p>
    <w:p w14:paraId="6117DC47">
      <w:pPr>
        <w:pStyle w:val="36"/>
        <w:rPr>
          <w:rFonts w:hint="eastAsia"/>
          <w:color w:val="auto"/>
          <w:highlight w:val="none"/>
          <w:lang w:val="zh-CN"/>
        </w:rPr>
      </w:pPr>
      <w:r>
        <w:rPr>
          <w:rFonts w:hint="eastAsia"/>
          <w:color w:val="auto"/>
          <w:highlight w:val="none"/>
          <w:lang w:val="en-US" w:eastAsia="zh-CN"/>
        </w:rPr>
        <w:t>通过</w:t>
      </w:r>
      <w:r>
        <w:rPr>
          <w:rFonts w:hint="eastAsia"/>
          <w:color w:val="auto"/>
          <w:highlight w:val="none"/>
        </w:rPr>
        <w:t>符合性审查</w:t>
      </w:r>
      <w:r>
        <w:rPr>
          <w:rFonts w:hint="eastAsia"/>
          <w:color w:val="auto"/>
          <w:highlight w:val="none"/>
          <w:lang w:val="en-US" w:eastAsia="zh-CN"/>
        </w:rPr>
        <w:t>的</w:t>
      </w:r>
      <w:r>
        <w:rPr>
          <w:rFonts w:hint="eastAsia"/>
          <w:color w:val="auto"/>
          <w:highlight w:val="none"/>
        </w:rPr>
        <w:t>有效</w:t>
      </w:r>
      <w:r>
        <w:rPr>
          <w:rFonts w:hint="eastAsia"/>
          <w:color w:val="auto"/>
          <w:highlight w:val="none"/>
          <w:lang w:eastAsia="zh-CN"/>
        </w:rPr>
        <w:t>供应商</w:t>
      </w:r>
      <w:r>
        <w:rPr>
          <w:rFonts w:hint="eastAsia"/>
          <w:color w:val="auto"/>
          <w:highlight w:val="none"/>
        </w:rPr>
        <w:t>不足3家的应当终止采购活动，发布项目终止公告并说明原因，重新开展采购活动。</w:t>
      </w:r>
    </w:p>
    <w:p w14:paraId="34580356">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8" w:name="_Toc155185907"/>
      <w:bookmarkStart w:id="469" w:name="_Toc102056244"/>
      <w:bookmarkStart w:id="470" w:name="_Toc102119879"/>
      <w:bookmarkStart w:id="471" w:name="_Toc102057744"/>
      <w:bookmarkStart w:id="472" w:name="_Toc102114946"/>
      <w:bookmarkStart w:id="473" w:name="_Toc102116178"/>
      <w:bookmarkStart w:id="474" w:name="_Toc102116048"/>
      <w:bookmarkStart w:id="475" w:name="_Toc10476"/>
      <w:bookmarkStart w:id="476" w:name="_Toc163492903"/>
      <w:bookmarkStart w:id="477" w:name="_Toc20930"/>
      <w:bookmarkStart w:id="478" w:name="_Toc203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468"/>
      <w:bookmarkEnd w:id="469"/>
      <w:bookmarkEnd w:id="470"/>
      <w:bookmarkEnd w:id="471"/>
      <w:bookmarkEnd w:id="472"/>
      <w:bookmarkEnd w:id="473"/>
      <w:bookmarkEnd w:id="474"/>
      <w:r>
        <w:rPr>
          <w:rFonts w:hint="eastAsia" w:ascii="宋体" w:hAnsi="宋体" w:eastAsia="宋体" w:cs="宋体"/>
          <w:b/>
          <w:bCs/>
          <w:color w:val="auto"/>
          <w:kern w:val="2"/>
          <w:sz w:val="24"/>
          <w:szCs w:val="24"/>
          <w:highlight w:val="none"/>
          <w:lang w:val="zh-CN" w:eastAsia="zh-CN" w:bidi="ar-SA"/>
        </w:rPr>
        <w:t>及修正</w:t>
      </w:r>
      <w:bookmarkEnd w:id="475"/>
      <w:bookmarkEnd w:id="476"/>
      <w:bookmarkEnd w:id="477"/>
      <w:bookmarkEnd w:id="478"/>
    </w:p>
    <w:p w14:paraId="0EC9197C">
      <w:pPr>
        <w:pStyle w:val="36"/>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3</w:t>
      </w:r>
      <w:r>
        <w:rPr>
          <w:color w:val="auto"/>
          <w:highlight w:val="none"/>
        </w:rPr>
        <w:t>.</w:t>
      </w:r>
      <w:r>
        <w:rPr>
          <w:rFonts w:hint="eastAsia"/>
          <w:iCs/>
          <w:color w:val="auto"/>
          <w:spacing w:val="-6"/>
          <w:sz w:val="24"/>
          <w:highlight w:val="none"/>
        </w:rPr>
        <w:t>评标期间，对于投标文件中含义不明确、同类问题表述不一致或者有明显文字和计算错误的内容需要投标人作出必要的澄清、说明或者补正的，评标委员会应当在</w:t>
      </w:r>
      <w:r>
        <w:rPr>
          <w:rFonts w:hint="eastAsia"/>
          <w:iCs/>
          <w:color w:val="auto"/>
          <w:spacing w:val="-6"/>
          <w:sz w:val="24"/>
          <w:highlight w:val="none"/>
          <w:lang w:val="en-US" w:eastAsia="zh-CN"/>
        </w:rPr>
        <w:t>政采云平台评标</w:t>
      </w:r>
      <w:r>
        <w:rPr>
          <w:rFonts w:hint="eastAsia"/>
          <w:iCs/>
          <w:color w:val="auto"/>
          <w:spacing w:val="-6"/>
          <w:sz w:val="24"/>
          <w:highlight w:val="none"/>
        </w:rPr>
        <w:t>系统中以书面形式要求投标人作出必要的澄清、说明或者补正。</w:t>
      </w:r>
    </w:p>
    <w:p w14:paraId="079329DA">
      <w:pPr>
        <w:pStyle w:val="36"/>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投标人应按照评标委员会要求在规定时间内作出澄清、说明或者补正，</w:t>
      </w:r>
      <w:r>
        <w:rPr>
          <w:color w:val="auto"/>
          <w:highlight w:val="none"/>
        </w:rPr>
        <w:t>澄清、说明或者补正不得超出投标文件的范围或者改变投标文件的实质性内容。</w:t>
      </w:r>
    </w:p>
    <w:p w14:paraId="591A6455">
      <w:pPr>
        <w:pStyle w:val="36"/>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rPr>
        <w:t>投标人的</w:t>
      </w:r>
      <w:r>
        <w:rPr>
          <w:color w:val="auto"/>
          <w:highlight w:val="none"/>
        </w:rPr>
        <w:t>澄清、说明或者补正</w:t>
      </w:r>
      <w:r>
        <w:rPr>
          <w:rFonts w:hint="eastAsia"/>
          <w:color w:val="auto"/>
          <w:highlight w:val="none"/>
        </w:rPr>
        <w:t>是其投标文件的有效组成部分，</w:t>
      </w:r>
      <w:r>
        <w:rPr>
          <w:color w:val="auto"/>
          <w:highlight w:val="none"/>
        </w:rPr>
        <w:t>澄清、说明或者补正应当</w:t>
      </w:r>
      <w:r>
        <w:rPr>
          <w:rFonts w:hint="eastAsia"/>
          <w:color w:val="auto"/>
          <w:highlight w:val="none"/>
        </w:rPr>
        <w:t>在</w:t>
      </w:r>
      <w:r>
        <w:rPr>
          <w:rFonts w:hint="eastAsia"/>
          <w:color w:val="auto"/>
          <w:highlight w:val="none"/>
          <w:lang w:val="en-US" w:eastAsia="zh-CN"/>
        </w:rPr>
        <w:t>政采云平台评标</w:t>
      </w:r>
      <w:r>
        <w:rPr>
          <w:rFonts w:hint="eastAsia"/>
          <w:color w:val="auto"/>
          <w:highlight w:val="none"/>
        </w:rPr>
        <w:t>系统中加盖电子印章后提交</w:t>
      </w:r>
      <w:r>
        <w:rPr>
          <w:color w:val="auto"/>
          <w:highlight w:val="none"/>
        </w:rPr>
        <w:t>。</w:t>
      </w:r>
    </w:p>
    <w:p w14:paraId="3B466024">
      <w:pPr>
        <w:pStyle w:val="36"/>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6</w:t>
      </w:r>
      <w:r>
        <w:rPr>
          <w:color w:val="auto"/>
          <w:highlight w:val="none"/>
        </w:rPr>
        <w:t>.</w:t>
      </w:r>
      <w:r>
        <w:rPr>
          <w:rFonts w:hint="eastAsia"/>
          <w:color w:val="auto"/>
          <w:highlight w:val="none"/>
        </w:rPr>
        <w:t>报价合理性说明：</w:t>
      </w:r>
      <w:r>
        <w:rPr>
          <w:color w:val="auto"/>
          <w:highlight w:val="none"/>
        </w:rPr>
        <w:t>评标委员会认为投标人的报价明显低于其他通过</w:t>
      </w:r>
      <w:r>
        <w:rPr>
          <w:rFonts w:hint="eastAsia"/>
          <w:color w:val="auto"/>
          <w:highlight w:val="none"/>
        </w:rPr>
        <w:t>符合性审查</w:t>
      </w:r>
      <w:r>
        <w:rPr>
          <w:color w:val="auto"/>
          <w:highlight w:val="none"/>
        </w:rPr>
        <w:t>投标人的报价，有可能影响</w:t>
      </w:r>
      <w:r>
        <w:rPr>
          <w:rFonts w:hint="eastAsia"/>
          <w:color w:val="auto"/>
          <w:highlight w:val="none"/>
          <w:lang w:val="en-US" w:eastAsia="zh-CN"/>
        </w:rPr>
        <w:t>服务</w:t>
      </w:r>
      <w:r>
        <w:rPr>
          <w:color w:val="auto"/>
          <w:highlight w:val="none"/>
        </w:rPr>
        <w:t>质量或者不能诚信履约的，</w:t>
      </w:r>
      <w:r>
        <w:rPr>
          <w:rFonts w:hint="eastAsia"/>
          <w:color w:val="auto"/>
          <w:highlight w:val="none"/>
          <w:lang w:val="en-US" w:eastAsia="zh-CN"/>
        </w:rPr>
        <w:t>应当</w:t>
      </w:r>
      <w:r>
        <w:rPr>
          <w:color w:val="auto"/>
          <w:highlight w:val="none"/>
        </w:rPr>
        <w:t>要求</w:t>
      </w:r>
      <w:r>
        <w:rPr>
          <w:rFonts w:hint="eastAsia"/>
          <w:color w:val="auto"/>
          <w:highlight w:val="none"/>
          <w:lang w:val="en-US" w:eastAsia="zh-CN"/>
        </w:rPr>
        <w:t>该投标人</w:t>
      </w:r>
      <w:r>
        <w:rPr>
          <w:rFonts w:hint="eastAsia"/>
          <w:color w:val="auto"/>
          <w:highlight w:val="none"/>
        </w:rPr>
        <w:t>在</w:t>
      </w:r>
      <w:r>
        <w:rPr>
          <w:color w:val="auto"/>
          <w:highlight w:val="none"/>
        </w:rPr>
        <w:t>合理的时间内提供说明，必要时提交相关证明材料；</w:t>
      </w:r>
      <w:r>
        <w:rPr>
          <w:rFonts w:hint="eastAsia"/>
          <w:color w:val="auto"/>
          <w:highlight w:val="none"/>
          <w:lang w:val="en-US" w:eastAsia="zh-CN"/>
        </w:rPr>
        <w:t>若</w:t>
      </w:r>
      <w:r>
        <w:rPr>
          <w:color w:val="auto"/>
          <w:highlight w:val="none"/>
        </w:rPr>
        <w:t>投标人不能证明其报价合理性的，评标委员</w:t>
      </w:r>
      <w:r>
        <w:rPr>
          <w:rFonts w:hint="eastAsia"/>
          <w:color w:val="auto"/>
          <w:highlight w:val="none"/>
          <w:lang w:val="en-US" w:eastAsia="zh-CN"/>
        </w:rPr>
        <w:t>会应当</w:t>
      </w:r>
      <w:r>
        <w:rPr>
          <w:rFonts w:hint="eastAsia"/>
          <w:color w:val="auto"/>
          <w:highlight w:val="none"/>
        </w:rPr>
        <w:t>将其作</w:t>
      </w:r>
      <w:r>
        <w:rPr>
          <w:b/>
          <w:bCs/>
          <w:color w:val="auto"/>
          <w:highlight w:val="none"/>
        </w:rPr>
        <w:t>无效投标</w:t>
      </w:r>
      <w:r>
        <w:rPr>
          <w:color w:val="auto"/>
          <w:highlight w:val="none"/>
        </w:rPr>
        <w:t>处理。</w:t>
      </w:r>
    </w:p>
    <w:p w14:paraId="4FD6345C">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b/>
          <w:bCs/>
          <w:color w:val="auto"/>
          <w:highlight w:val="none"/>
          <w:lang w:val="en-US" w:eastAsia="zh-CN"/>
        </w:rPr>
        <w:t>投标无效</w:t>
      </w:r>
      <w:r>
        <w:rPr>
          <w:rFonts w:hint="eastAsia"/>
          <w:color w:val="auto"/>
          <w:highlight w:val="none"/>
          <w:lang w:val="en-US" w:eastAsia="zh-CN"/>
        </w:rPr>
        <w:t>。</w:t>
      </w:r>
    </w:p>
    <w:p w14:paraId="015D7E7F">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8.投标文件报价出现前后不一致的，除招标文件另有规定外，按照下列规定修正：</w:t>
      </w:r>
    </w:p>
    <w:p w14:paraId="4D967018">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8.1投标文件中开标一览表（报价表）内容与投标文件中相应内容不一致的，以开标一览表（报价表）为准；</w:t>
      </w:r>
    </w:p>
    <w:p w14:paraId="657B9F51">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8.2大写金额和小写金额不一致的，以大写金额为准；</w:t>
      </w:r>
    </w:p>
    <w:p w14:paraId="628E9D79">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8.3单价金额小数点或者百分比有明显错位的，以开标一览表的总价为准，并修改单价；</w:t>
      </w:r>
    </w:p>
    <w:p w14:paraId="3D45997F">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8.4总价金额与按单价汇总金额不一致的，以单价金额计算结果为准。</w:t>
      </w:r>
    </w:p>
    <w:p w14:paraId="4E5FFFFF">
      <w:pPr>
        <w:pStyle w:val="36"/>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b/>
          <w:bCs/>
          <w:color w:val="auto"/>
          <w:highlight w:val="none"/>
          <w:lang w:val="en-US" w:eastAsia="zh-CN"/>
        </w:rPr>
        <w:t>投标无效</w:t>
      </w:r>
      <w:r>
        <w:rPr>
          <w:rFonts w:hint="eastAsia"/>
          <w:color w:val="auto"/>
          <w:highlight w:val="none"/>
          <w:lang w:val="en-US" w:eastAsia="zh-CN"/>
        </w:rPr>
        <w:t>。</w:t>
      </w:r>
    </w:p>
    <w:p w14:paraId="33748C4F">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79" w:name="_Toc8536"/>
      <w:bookmarkStart w:id="480" w:name="_Toc1388"/>
      <w:bookmarkStart w:id="481" w:name="_Toc13289"/>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479"/>
      <w:bookmarkEnd w:id="480"/>
      <w:bookmarkEnd w:id="481"/>
    </w:p>
    <w:p w14:paraId="2BE6ECB2">
      <w:pPr>
        <w:pStyle w:val="36"/>
        <w:rPr>
          <w:rFonts w:hint="eastAsia"/>
          <w:color w:val="auto"/>
          <w:highlight w:val="none"/>
        </w:rPr>
      </w:pPr>
      <w:r>
        <w:rPr>
          <w:rFonts w:hint="eastAsia"/>
          <w:color w:val="auto"/>
          <w:highlight w:val="none"/>
          <w:lang w:val="en-US" w:eastAsia="zh-CN"/>
        </w:rPr>
        <w:t>9.</w:t>
      </w:r>
      <w:r>
        <w:rPr>
          <w:rFonts w:hint="eastAsia"/>
          <w:color w:val="auto"/>
          <w:highlight w:val="none"/>
        </w:rPr>
        <w:t>评标委员会应当按照招标文件中规定的评标方法和标准，对符合性审查合格的投标文件进行商务和技术评</w:t>
      </w:r>
      <w:r>
        <w:rPr>
          <w:rFonts w:hint="eastAsia"/>
          <w:color w:val="auto"/>
          <w:highlight w:val="none"/>
          <w:lang w:val="en-US" w:eastAsia="zh-CN"/>
        </w:rPr>
        <w:t>估</w:t>
      </w:r>
      <w:r>
        <w:rPr>
          <w:rFonts w:hint="eastAsia"/>
          <w:color w:val="auto"/>
          <w:highlight w:val="none"/>
        </w:rPr>
        <w:t>，综合比较与评价</w:t>
      </w:r>
      <w:r>
        <w:rPr>
          <w:rFonts w:hint="eastAsia"/>
          <w:color w:val="auto"/>
          <w:highlight w:val="none"/>
          <w:lang w:val="en-US" w:eastAsia="zh-CN"/>
        </w:rPr>
        <w:t>；未通过符合性审查的投标文件不得进入比较与评价</w:t>
      </w:r>
      <w:r>
        <w:rPr>
          <w:rFonts w:hint="eastAsia"/>
          <w:color w:val="auto"/>
          <w:highlight w:val="none"/>
        </w:rPr>
        <w:t>。评审因素包括投标报价、商务技术以及落实政府采购政策。评审因素及标准见本章</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rFonts w:hint="eastAsia"/>
          <w:color w:val="auto"/>
          <w:highlight w:val="none"/>
          <w:lang w:eastAsia="zh-CN"/>
        </w:rPr>
        <w:t>”</w:t>
      </w:r>
      <w:r>
        <w:rPr>
          <w:rFonts w:hint="eastAsia"/>
          <w:color w:val="auto"/>
          <w:highlight w:val="none"/>
        </w:rPr>
        <w:t>。</w:t>
      </w:r>
    </w:p>
    <w:p w14:paraId="384D833B">
      <w:pPr>
        <w:pStyle w:val="36"/>
        <w:keepNext w:val="0"/>
        <w:keepLines w:val="0"/>
        <w:pageBreakBefore w:val="0"/>
        <w:widowControl w:val="0"/>
        <w:kinsoku/>
        <w:overflowPunct/>
        <w:topLinePunct w:val="0"/>
        <w:autoSpaceDE/>
        <w:autoSpaceDN/>
        <w:bidi w:val="0"/>
        <w:adjustRightInd/>
        <w:snapToGrid/>
        <w:textAlignment w:val="auto"/>
        <w:rPr>
          <w:rFonts w:hint="eastAsia"/>
          <w:color w:val="auto"/>
          <w:highlight w:val="none"/>
        </w:rPr>
      </w:pPr>
      <w:r>
        <w:rPr>
          <w:rFonts w:hint="eastAsia"/>
          <w:color w:val="auto"/>
          <w:highlight w:val="none"/>
          <w:lang w:val="en-US" w:eastAsia="zh-CN"/>
        </w:rPr>
        <w:t>10</w:t>
      </w:r>
      <w:r>
        <w:rPr>
          <w:color w:val="auto"/>
          <w:highlight w:val="none"/>
        </w:rPr>
        <w:t>.</w:t>
      </w:r>
      <w:r>
        <w:rPr>
          <w:rFonts w:hint="eastAsia"/>
          <w:color w:val="auto"/>
          <w:highlight w:val="none"/>
        </w:rPr>
        <w:t>有效投标</w:t>
      </w:r>
      <w:r>
        <w:rPr>
          <w:rFonts w:hint="eastAsia"/>
          <w:color w:val="auto"/>
          <w:highlight w:val="none"/>
          <w:lang w:val="en-US" w:eastAsia="zh-CN"/>
        </w:rPr>
        <w:t>人</w:t>
      </w:r>
      <w:r>
        <w:rPr>
          <w:rFonts w:hint="eastAsia"/>
          <w:color w:val="auto"/>
          <w:highlight w:val="none"/>
        </w:rPr>
        <w:t>不足</w:t>
      </w:r>
      <w:r>
        <w:rPr>
          <w:color w:val="auto"/>
          <w:highlight w:val="none"/>
        </w:rPr>
        <w:t>3</w:t>
      </w:r>
      <w:r>
        <w:rPr>
          <w:rFonts w:hint="eastAsia"/>
          <w:color w:val="auto"/>
          <w:highlight w:val="none"/>
        </w:rPr>
        <w:t>家的应按</w:t>
      </w:r>
      <w:r>
        <w:rPr>
          <w:rFonts w:hint="eastAsia"/>
          <w:b/>
          <w:bCs/>
          <w:color w:val="auto"/>
          <w:highlight w:val="none"/>
        </w:rPr>
        <w:t>废标</w:t>
      </w:r>
      <w:r>
        <w:rPr>
          <w:rFonts w:hint="eastAsia"/>
          <w:color w:val="auto"/>
          <w:highlight w:val="none"/>
        </w:rPr>
        <w:t>处理。</w:t>
      </w:r>
    </w:p>
    <w:p w14:paraId="7C54BD9F">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2" w:name="_Toc24190"/>
      <w:bookmarkStart w:id="483" w:name="_Toc4273"/>
      <w:bookmarkStart w:id="484" w:name="_Toc22691"/>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482"/>
      <w:bookmarkEnd w:id="483"/>
      <w:bookmarkEnd w:id="484"/>
    </w:p>
    <w:p w14:paraId="21874171">
      <w:pPr>
        <w:pStyle w:val="36"/>
        <w:rPr>
          <w:color w:val="auto"/>
          <w:highlight w:val="none"/>
        </w:rPr>
      </w:pPr>
      <w:r>
        <w:rPr>
          <w:rFonts w:hint="eastAsia"/>
          <w:color w:val="auto"/>
          <w:highlight w:val="none"/>
          <w:lang w:val="en-US" w:eastAsia="zh-CN"/>
        </w:rPr>
        <w:t>11.</w:t>
      </w:r>
      <w:r>
        <w:rPr>
          <w:color w:val="auto"/>
          <w:highlight w:val="none"/>
        </w:rPr>
        <w:t>投标报价评审</w:t>
      </w:r>
    </w:p>
    <w:p w14:paraId="266BD854">
      <w:pPr>
        <w:pStyle w:val="36"/>
        <w:rPr>
          <w:color w:val="auto"/>
          <w:highlight w:val="none"/>
        </w:rPr>
      </w:pPr>
      <w:r>
        <w:rPr>
          <w:rFonts w:hint="eastAsia" w:ascii="宋体" w:hAnsi="宋体" w:eastAsia="宋体"/>
          <w:color w:val="auto"/>
          <w:highlight w:val="none"/>
          <w:lang w:val="en-US" w:eastAsia="zh-CN"/>
        </w:rPr>
        <w:t>11.1服务项目的价格分值占总分值的比重不得低于</w:t>
      </w:r>
      <w:r>
        <w:rPr>
          <w:rFonts w:hint="default" w:ascii="宋体" w:hAnsi="宋体" w:eastAsia="宋体"/>
          <w:color w:val="auto"/>
          <w:highlight w:val="none"/>
          <w:lang w:val="en-US" w:eastAsia="zh-CN"/>
        </w:rPr>
        <w:t>10%。</w:t>
      </w:r>
      <w:r>
        <w:rPr>
          <w:rFonts w:hint="eastAsia"/>
          <w:color w:val="auto"/>
          <w:highlight w:val="none"/>
          <w:lang w:val="en-US" w:eastAsia="zh-CN"/>
        </w:rPr>
        <w:t>执行国家统一定价标准和采用固定价格采购的项目，其价格不列为评审因素。</w:t>
      </w:r>
      <w:r>
        <w:rPr>
          <w:color w:val="auto"/>
          <w:highlight w:val="none"/>
        </w:rPr>
        <w:t>价格分应当采用低价优先法计算，即满足招标文件要求且投标价格最低的投标报价为评标基准价，其价格分为满分。其他投标人的价格分统一按照下列公式计算：</w:t>
      </w:r>
    </w:p>
    <w:p w14:paraId="2D86B7AD">
      <w:pPr>
        <w:pStyle w:val="36"/>
        <w:rPr>
          <w:color w:val="auto"/>
          <w:highlight w:val="none"/>
        </w:rPr>
      </w:pPr>
      <w:r>
        <w:rPr>
          <w:rFonts w:hint="eastAsia"/>
          <w:color w:val="auto"/>
          <w:highlight w:val="none"/>
        </w:rPr>
        <w:t>投标报价得分</w:t>
      </w:r>
      <w:r>
        <w:rPr>
          <w:color w:val="auto"/>
          <w:highlight w:val="none"/>
        </w:rPr>
        <w:t>=(评标基准价／投标报价)×</w:t>
      </w:r>
      <w:r>
        <w:rPr>
          <w:rFonts w:hint="eastAsia"/>
          <w:color w:val="auto"/>
          <w:highlight w:val="none"/>
        </w:rPr>
        <w:t>价格</w:t>
      </w:r>
      <w:r>
        <w:rPr>
          <w:rFonts w:hint="eastAsia"/>
          <w:color w:val="auto"/>
          <w:highlight w:val="none"/>
          <w:lang w:eastAsia="zh-CN"/>
        </w:rPr>
        <w:t>分值</w:t>
      </w:r>
    </w:p>
    <w:p w14:paraId="0CCB2E48">
      <w:pPr>
        <w:pStyle w:val="36"/>
        <w:rPr>
          <w:color w:val="auto"/>
          <w:highlight w:val="none"/>
        </w:rPr>
      </w:pPr>
      <w:r>
        <w:rPr>
          <w:rFonts w:hint="eastAsia"/>
          <w:color w:val="auto"/>
          <w:highlight w:val="none"/>
        </w:rPr>
        <w:t>评标过程中，不得去掉报价中的最高报价和最低报价。</w:t>
      </w:r>
    </w:p>
    <w:p w14:paraId="14E623B0">
      <w:pPr>
        <w:pStyle w:val="36"/>
        <w:rPr>
          <w:color w:val="auto"/>
          <w:highlight w:val="none"/>
        </w:rPr>
      </w:pPr>
      <w:r>
        <w:rPr>
          <w:rFonts w:hint="eastAsia"/>
          <w:color w:val="auto"/>
          <w:highlight w:val="none"/>
          <w:lang w:val="en-US" w:eastAsia="zh-CN"/>
        </w:rPr>
        <w:t>11.</w:t>
      </w:r>
      <w:r>
        <w:rPr>
          <w:color w:val="auto"/>
          <w:highlight w:val="none"/>
        </w:rPr>
        <w:t>2</w:t>
      </w:r>
      <w:r>
        <w:rPr>
          <w:rFonts w:hint="eastAsia"/>
          <w:iCs/>
          <w:color w:val="auto"/>
          <w:spacing w:val="-6"/>
          <w:sz w:val="24"/>
          <w:highlight w:val="none"/>
        </w:rPr>
        <w:t>除算术修正和落实政府采购政策的价格扣除外，不对投标报价进行调整；</w:t>
      </w:r>
    </w:p>
    <w:p w14:paraId="6DDDADCE">
      <w:pPr>
        <w:pStyle w:val="36"/>
        <w:rPr>
          <w:color w:val="auto"/>
          <w:highlight w:val="none"/>
        </w:rPr>
      </w:pPr>
      <w:r>
        <w:rPr>
          <w:rFonts w:hint="eastAsia"/>
          <w:color w:val="auto"/>
          <w:highlight w:val="none"/>
          <w:lang w:val="en-US" w:eastAsia="zh-CN"/>
        </w:rPr>
        <w:t>11.</w:t>
      </w:r>
      <w:r>
        <w:rPr>
          <w:color w:val="auto"/>
          <w:highlight w:val="none"/>
        </w:rPr>
        <w:t>3价</w:t>
      </w:r>
      <w:r>
        <w:rPr>
          <w:rFonts w:hint="eastAsia"/>
          <w:color w:val="auto"/>
          <w:highlight w:val="none"/>
        </w:rPr>
        <w:t>格</w:t>
      </w:r>
      <w:r>
        <w:rPr>
          <w:rFonts w:hint="eastAsia"/>
          <w:color w:val="auto"/>
          <w:highlight w:val="none"/>
          <w:lang w:eastAsia="zh-CN"/>
        </w:rPr>
        <w:t>分值</w:t>
      </w:r>
      <w:r>
        <w:rPr>
          <w:rFonts w:hint="eastAsia"/>
          <w:color w:val="auto"/>
          <w:highlight w:val="none"/>
        </w:rPr>
        <w:t>见本章</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rFonts w:hint="eastAsia"/>
          <w:color w:val="auto"/>
          <w:highlight w:val="none"/>
          <w:lang w:eastAsia="zh-CN"/>
        </w:rPr>
        <w:t>”</w:t>
      </w:r>
      <w:r>
        <w:rPr>
          <w:color w:val="auto"/>
          <w:highlight w:val="none"/>
        </w:rPr>
        <w:t>。</w:t>
      </w:r>
    </w:p>
    <w:p w14:paraId="30866637">
      <w:pPr>
        <w:pStyle w:val="36"/>
        <w:rPr>
          <w:b w:val="0"/>
          <w:bCs w:val="0"/>
          <w:color w:val="auto"/>
          <w:highlight w:val="none"/>
        </w:rPr>
      </w:pPr>
      <w:r>
        <w:rPr>
          <w:rFonts w:hint="eastAsia"/>
          <w:b w:val="0"/>
          <w:bCs w:val="0"/>
          <w:color w:val="auto"/>
          <w:highlight w:val="none"/>
        </w:rPr>
        <w:t>1</w:t>
      </w:r>
      <w:r>
        <w:rPr>
          <w:rFonts w:hint="eastAsia"/>
          <w:b w:val="0"/>
          <w:bCs w:val="0"/>
          <w:color w:val="auto"/>
          <w:highlight w:val="none"/>
          <w:lang w:val="en-US" w:eastAsia="zh-CN"/>
        </w:rPr>
        <w:t>2</w:t>
      </w:r>
      <w:r>
        <w:rPr>
          <w:b w:val="0"/>
          <w:bCs w:val="0"/>
          <w:color w:val="auto"/>
          <w:highlight w:val="none"/>
        </w:rPr>
        <w:t>.</w:t>
      </w:r>
      <w:r>
        <w:rPr>
          <w:rFonts w:hint="eastAsia"/>
          <w:b w:val="0"/>
          <w:bCs w:val="0"/>
          <w:color w:val="auto"/>
          <w:highlight w:val="none"/>
        </w:rPr>
        <w:t>政府采购政策评审</w:t>
      </w:r>
    </w:p>
    <w:p w14:paraId="1627C557">
      <w:pPr>
        <w:pStyle w:val="36"/>
        <w:numPr>
          <w:ilvl w:val="0"/>
          <w:numId w:val="0"/>
        </w:numPr>
        <w:ind w:firstLine="48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.1非专门面向中小企业的采购项目或采购包，对符合规定的小微企业（</w:t>
      </w:r>
      <w:r>
        <w:rPr>
          <w:rFonts w:hint="eastAsia"/>
          <w:color w:val="auto"/>
          <w:highlight w:val="none"/>
          <w:lang w:val="en-US" w:eastAsia="zh-CN"/>
        </w:rPr>
        <w:t>含</w:t>
      </w:r>
      <w:r>
        <w:rPr>
          <w:color w:val="auto"/>
          <w:highlight w:val="none"/>
        </w:rPr>
        <w:t>监狱企业、残疾人福利性单位、联合体各方均为小微企业的联合体、符合小微企业划分标准的个体工商户视同小微企业）报价</w:t>
      </w:r>
      <w:r>
        <w:rPr>
          <w:rFonts w:hint="eastAsia"/>
          <w:color w:val="auto"/>
          <w:highlight w:val="none"/>
        </w:rPr>
        <w:t>按照本招标文件</w:t>
      </w:r>
      <w:r>
        <w:rPr>
          <w:rFonts w:hint="eastAsia"/>
          <w:color w:val="auto"/>
          <w:highlight w:val="none"/>
          <w:lang w:eastAsia="zh-CN"/>
        </w:rPr>
        <w:t>“</w:t>
      </w:r>
      <w:r>
        <w:rPr>
          <w:rFonts w:hint="eastAsia"/>
          <w:color w:val="auto"/>
          <w:highlight w:val="none"/>
        </w:rPr>
        <w:t>投标人须知前附表”中的规定</w:t>
      </w:r>
      <w:r>
        <w:rPr>
          <w:color w:val="auto"/>
          <w:highlight w:val="none"/>
        </w:rPr>
        <w:t>扣除</w:t>
      </w:r>
      <w:r>
        <w:rPr>
          <w:rFonts w:hint="eastAsia"/>
          <w:color w:val="auto"/>
          <w:highlight w:val="none"/>
        </w:rPr>
        <w:t>，对小微企业中的监狱企业、残疾人福利性单位、采购产品纳入创新产品应用示范推荐目录内企业、采购产品获得节能产品或环境标志产品认证证书的企业报价按照本</w:t>
      </w:r>
      <w:r>
        <w:rPr>
          <w:rFonts w:hint="eastAsia"/>
          <w:color w:val="auto"/>
          <w:highlight w:val="none"/>
          <w:lang w:val="en-US" w:eastAsia="zh-CN"/>
        </w:rPr>
        <w:t>招标</w:t>
      </w:r>
      <w:r>
        <w:rPr>
          <w:rFonts w:hint="eastAsia"/>
          <w:color w:val="auto"/>
          <w:highlight w:val="none"/>
        </w:rPr>
        <w:t>文件</w:t>
      </w:r>
      <w:r>
        <w:rPr>
          <w:rFonts w:hint="eastAsia"/>
          <w:color w:val="auto"/>
          <w:highlight w:val="none"/>
          <w:lang w:eastAsia="zh-CN"/>
        </w:rPr>
        <w:t>“</w:t>
      </w:r>
      <w:r>
        <w:rPr>
          <w:rFonts w:hint="eastAsia"/>
          <w:color w:val="auto"/>
          <w:highlight w:val="none"/>
          <w:lang w:val="en-US" w:eastAsia="zh-CN"/>
        </w:rPr>
        <w:t>投标人</w:t>
      </w:r>
      <w:r>
        <w:rPr>
          <w:rFonts w:hint="eastAsia"/>
          <w:color w:val="auto"/>
          <w:highlight w:val="none"/>
        </w:rPr>
        <w:t>须知前附表”中的规定扣除，用扣除后的价格计算评审基准价</w:t>
      </w:r>
      <w:r>
        <w:rPr>
          <w:color w:val="auto"/>
          <w:highlight w:val="none"/>
        </w:rPr>
        <w:t>。</w:t>
      </w:r>
    </w:p>
    <w:p w14:paraId="1E5F4E03">
      <w:pPr>
        <w:pStyle w:val="36"/>
        <w:numPr>
          <w:ilvl w:val="0"/>
          <w:numId w:val="0"/>
        </w:numPr>
        <w:ind w:firstLine="480" w:firstLineChars="200"/>
        <w:rPr>
          <w:rFonts w:ascii="宋体" w:hAnsi="宋体" w:eastAsia="宋体"/>
          <w:color w:val="auto"/>
          <w:highlight w:val="none"/>
        </w:rPr>
      </w:pPr>
      <w:r>
        <w:rPr>
          <w:rFonts w:hint="eastAsia" w:ascii="宋体" w:hAnsi="宋体" w:eastAsia="宋体"/>
          <w:color w:val="auto"/>
          <w:highlight w:val="none"/>
          <w:lang w:val="en-US" w:eastAsia="zh-CN"/>
        </w:rPr>
        <w:t>12.</w:t>
      </w:r>
      <w:r>
        <w:rPr>
          <w:rFonts w:hint="eastAsia" w:ascii="宋体" w:hAnsi="宋体" w:eastAsia="宋体"/>
          <w:color w:val="auto"/>
          <w:highlight w:val="none"/>
          <w:lang w:val="zh-CN" w:eastAsia="zh-CN"/>
        </w:rPr>
        <w:t>2</w:t>
      </w:r>
      <w:r>
        <w:rPr>
          <w:rFonts w:ascii="宋体" w:hAnsi="宋体" w:eastAsia="宋体"/>
          <w:color w:val="auto"/>
          <w:highlight w:val="none"/>
        </w:rPr>
        <w:t>参加政府采购活动的小微企业</w:t>
      </w:r>
      <w:r>
        <w:rPr>
          <w:rFonts w:hint="eastAsia"/>
          <w:color w:val="auto"/>
          <w:highlight w:val="none"/>
        </w:rPr>
        <w:t>（含节能环保、创新产品企业）</w:t>
      </w:r>
      <w:r>
        <w:rPr>
          <w:rFonts w:ascii="宋体" w:hAnsi="宋体" w:eastAsia="宋体"/>
          <w:color w:val="auto"/>
          <w:highlight w:val="none"/>
        </w:rPr>
        <w:t>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color w:val="auto"/>
          <w:highlight w:val="none"/>
          <w:lang w:val="en-US" w:eastAsia="zh-CN"/>
        </w:rPr>
        <w:t>若供应商同时属于小型或微型企业、监狱企业、残疾人福利性单位 中的两种及以上，将不重复享受小微企业价格扣减的优惠政策。</w:t>
      </w:r>
    </w:p>
    <w:p w14:paraId="1A495953">
      <w:pPr>
        <w:pStyle w:val="36"/>
        <w:numPr>
          <w:ilvl w:val="0"/>
          <w:numId w:val="0"/>
        </w:numPr>
        <w:shd w:val="clear" w:color="auto" w:fill="FFFFFF" w:themeFill="background1"/>
        <w:ind w:firstLine="480" w:firstLineChars="200"/>
        <w:rPr>
          <w:rFonts w:ascii="宋体" w:hAnsi="宋体" w:eastAsia="宋体" w:cstheme="minorBidi"/>
          <w:color w:val="auto"/>
          <w:kern w:val="2"/>
          <w:sz w:val="24"/>
          <w:szCs w:val="22"/>
          <w:highlight w:val="none"/>
          <w:lang w:val="en-US" w:eastAsia="zh-CN" w:bidi="ar-SA"/>
        </w:rPr>
      </w:pPr>
      <w:r>
        <w:rPr>
          <w:rFonts w:ascii="宋体" w:hAnsi="宋体" w:eastAsia="宋体" w:cstheme="minorBidi"/>
          <w:color w:val="auto"/>
          <w:kern w:val="2"/>
          <w:sz w:val="24"/>
          <w:szCs w:val="22"/>
          <w:highlight w:val="none"/>
          <w:lang w:val="en-US" w:eastAsia="zh-CN" w:bidi="ar-SA"/>
        </w:rPr>
        <w:t>组成联合体或者接受分包的小微企业与联合体内其他企业、分包企业</w:t>
      </w:r>
      <w:r>
        <w:rPr>
          <w:rFonts w:hint="default" w:ascii="宋体" w:hAnsi="宋体" w:eastAsia="宋体" w:cstheme="minorBidi"/>
          <w:color w:val="auto"/>
          <w:kern w:val="2"/>
          <w:sz w:val="24"/>
          <w:szCs w:val="22"/>
          <w:highlight w:val="none"/>
          <w:lang w:val="en-US" w:eastAsia="zh-CN" w:bidi="ar-SA"/>
        </w:rPr>
        <w:t>之间存在直接控股、管理关系的，不享受价格扣除优惠政策。</w:t>
      </w:r>
    </w:p>
    <w:p w14:paraId="4FDAF77C">
      <w:pPr>
        <w:pStyle w:val="36"/>
        <w:numPr>
          <w:ilvl w:val="0"/>
          <w:numId w:val="0"/>
        </w:numPr>
        <w:ind w:firstLine="480" w:firstLineChars="200"/>
        <w:rPr>
          <w:rFonts w:ascii="宋体" w:hAnsi="宋体" w:eastAsia="宋体"/>
          <w:color w:val="auto"/>
          <w:highlight w:val="none"/>
        </w:rPr>
      </w:pPr>
      <w:r>
        <w:rPr>
          <w:rFonts w:ascii="宋体" w:hAnsi="宋体" w:eastAsia="宋体" w:cstheme="minorBidi"/>
          <w:color w:val="auto"/>
          <w:kern w:val="2"/>
          <w:sz w:val="24"/>
          <w:szCs w:val="22"/>
          <w:highlight w:val="none"/>
          <w:lang w:val="en-US" w:eastAsia="zh-CN" w:bidi="ar-SA"/>
        </w:rPr>
        <w:t>价格扣除比例对小型企业和微型企业同等对待，不作区分。</w:t>
      </w:r>
    </w:p>
    <w:p w14:paraId="71DD10A8">
      <w:pPr>
        <w:pStyle w:val="36"/>
        <w:numPr>
          <w:ilvl w:val="0"/>
          <w:numId w:val="0"/>
        </w:numPr>
        <w:ind w:firstLine="480" w:firstLineChars="200"/>
        <w:rPr>
          <w:rFonts w:ascii="宋体" w:hAnsi="宋体" w:eastAsia="宋体"/>
          <w:color w:val="auto"/>
          <w:highlight w:val="none"/>
        </w:rPr>
      </w:pPr>
      <w:r>
        <w:rPr>
          <w:rFonts w:hint="eastAsia" w:ascii="宋体" w:hAnsi="宋体" w:eastAsia="宋体"/>
          <w:color w:val="auto"/>
          <w:highlight w:val="none"/>
          <w:lang w:val="en-US" w:eastAsia="zh-CN"/>
        </w:rPr>
        <w:t>12.</w:t>
      </w:r>
      <w:r>
        <w:rPr>
          <w:rFonts w:hint="eastAsia" w:ascii="宋体" w:hAnsi="宋体" w:eastAsia="宋体"/>
          <w:color w:val="auto"/>
          <w:highlight w:val="none"/>
          <w:lang w:val="zh-CN" w:eastAsia="zh-CN"/>
        </w:rPr>
        <w:t>3</w:t>
      </w:r>
      <w:r>
        <w:rPr>
          <w:rFonts w:ascii="宋体" w:hAnsi="宋体" w:eastAsia="宋体"/>
          <w:color w:val="auto"/>
          <w:highlight w:val="none"/>
        </w:rPr>
        <w:t>专门面向中小企业、预留部分采购份额面向中小企业采购的项目或采购包，评审时不再进行价格扣除。</w:t>
      </w:r>
    </w:p>
    <w:p w14:paraId="3874ED83">
      <w:pPr>
        <w:pStyle w:val="36"/>
        <w:numPr>
          <w:ilvl w:val="0"/>
          <w:numId w:val="0"/>
        </w:numPr>
        <w:ind w:firstLine="480" w:firstLineChars="200"/>
        <w:rPr>
          <w:rFonts w:hint="eastAsia" w:ascii="宋体" w:hAnsi="宋体" w:eastAsia="宋体"/>
          <w:color w:val="auto"/>
          <w:highlight w:val="none"/>
        </w:rPr>
      </w:pPr>
      <w:r>
        <w:rPr>
          <w:rFonts w:hint="eastAsia" w:ascii="宋体" w:hAnsi="宋体" w:eastAsia="宋体"/>
          <w:color w:val="auto"/>
          <w:highlight w:val="none"/>
          <w:lang w:val="en-US" w:eastAsia="zh-CN"/>
        </w:rPr>
        <w:t>12.4</w:t>
      </w:r>
      <w:r>
        <w:rPr>
          <w:rFonts w:hint="eastAsia" w:ascii="宋体" w:hAnsi="宋体" w:eastAsia="宋体"/>
          <w:color w:val="auto"/>
          <w:highlight w:val="none"/>
        </w:rPr>
        <w:t>对于未预留份额专门面向中小企业的政府采购项目，以及预留份额政府采购项目中的非预留部分标项，对小型和微型企业的投标报价给予10%-</w:t>
      </w:r>
      <w:r>
        <w:rPr>
          <w:rFonts w:ascii="宋体" w:hAnsi="宋体" w:eastAsia="宋体"/>
          <w:color w:val="auto"/>
          <w:highlight w:val="none"/>
        </w:rPr>
        <w:t>20</w:t>
      </w:r>
      <w:r>
        <w:rPr>
          <w:rFonts w:hint="eastAsia" w:ascii="宋体" w:hAnsi="宋体" w:eastAsia="宋体"/>
          <w:color w:val="auto"/>
          <w:highlight w:val="none"/>
        </w:rPr>
        <w:t>%的扣除，用扣除后的价格参与评审。接受大中型企业与小微企业组成联合体或者允许大中型企业向一家或者多家小微企业分包的政府采购项目，对于联合</w:t>
      </w:r>
      <w:r>
        <w:rPr>
          <w:rFonts w:hint="eastAsia" w:ascii="宋体" w:hAnsi="宋体" w:eastAsia="宋体"/>
          <w:color w:val="auto"/>
          <w:highlight w:val="none"/>
          <w:lang w:val="en-US" w:eastAsia="zh-CN"/>
        </w:rPr>
        <w:t>体</w:t>
      </w:r>
      <w:r>
        <w:rPr>
          <w:rFonts w:hint="eastAsia" w:ascii="宋体" w:hAnsi="宋体" w:eastAsia="宋体"/>
          <w:color w:val="auto"/>
          <w:highlight w:val="none"/>
        </w:rPr>
        <w:t>协议</w:t>
      </w:r>
      <w:r>
        <w:rPr>
          <w:rFonts w:hint="eastAsia" w:ascii="宋体" w:hAnsi="宋体" w:eastAsia="宋体"/>
          <w:color w:val="auto"/>
          <w:highlight w:val="none"/>
          <w:lang w:val="en-US" w:eastAsia="zh-CN"/>
        </w:rPr>
        <w:t>书</w:t>
      </w:r>
      <w:r>
        <w:rPr>
          <w:rFonts w:hint="eastAsia" w:ascii="宋体" w:hAnsi="宋体" w:eastAsia="宋体"/>
          <w:color w:val="auto"/>
          <w:highlight w:val="none"/>
        </w:rPr>
        <w:t>或者分包意向协议</w:t>
      </w:r>
      <w:r>
        <w:rPr>
          <w:rFonts w:hint="eastAsia" w:ascii="宋体" w:hAnsi="宋体" w:eastAsia="宋体"/>
          <w:color w:val="auto"/>
          <w:highlight w:val="none"/>
          <w:lang w:val="en-US" w:eastAsia="zh-CN"/>
        </w:rPr>
        <w:t>书</w:t>
      </w:r>
      <w:r>
        <w:rPr>
          <w:rFonts w:hint="eastAsia" w:ascii="宋体" w:hAnsi="宋体" w:eastAsia="宋体"/>
          <w:color w:val="auto"/>
          <w:highlight w:val="none"/>
        </w:rPr>
        <w:t>约定小微企业的合同份额占到合同总金额30%以上的，对联合体或者大中型企业的报价给予4%-</w:t>
      </w:r>
      <w:r>
        <w:rPr>
          <w:rFonts w:ascii="宋体" w:hAnsi="宋体" w:eastAsia="宋体"/>
          <w:color w:val="auto"/>
          <w:highlight w:val="none"/>
        </w:rPr>
        <w:t>6</w:t>
      </w:r>
      <w:r>
        <w:rPr>
          <w:rFonts w:hint="eastAsia" w:ascii="宋体" w:hAnsi="宋体" w:eastAsia="宋体"/>
          <w:color w:val="auto"/>
          <w:highlight w:val="none"/>
        </w:rPr>
        <w:t>%的扣除，用扣除后的价格参加评审。组成联合体或者接受分包的小微企业与联合体内其他企业、分包企业之间存在直接控股、管理关系的，不享受价格扣除优惠政策。</w:t>
      </w:r>
    </w:p>
    <w:p w14:paraId="548FFFDB">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5" w:name="_Toc32272"/>
      <w:bookmarkStart w:id="486" w:name="_Toc8718"/>
      <w:bookmarkStart w:id="487" w:name="_Toc1357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485"/>
      <w:bookmarkEnd w:id="486"/>
      <w:bookmarkEnd w:id="487"/>
    </w:p>
    <w:p w14:paraId="073A56A5">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13.评标过程中，各项分值一般精确到小数点后两位，评标得分应为商务评分、技术评分、报价评分之和。评标委员会各成员应汇总每个投标人的得分。</w:t>
      </w:r>
    </w:p>
    <w:p w14:paraId="0BE80DC7">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14.评标结果汇总完成后，采购代理机构应对评标结果进行复核。经复核发现存在以下情形之一的，</w:t>
      </w:r>
      <w:r>
        <w:rPr>
          <w:rFonts w:hint="eastAsia"/>
          <w:iCs/>
          <w:color w:val="auto"/>
          <w:spacing w:val="-6"/>
          <w:sz w:val="24"/>
          <w:highlight w:val="none"/>
          <w:lang w:val="en-US" w:eastAsia="zh-CN"/>
        </w:rPr>
        <w:t>评标委员会应当当场修改评标结果，并在评标报告中记载</w:t>
      </w:r>
      <w:r>
        <w:rPr>
          <w:rFonts w:hint="eastAsia"/>
          <w:color w:val="auto"/>
          <w:highlight w:val="none"/>
          <w:lang w:val="en-US" w:eastAsia="zh-CN"/>
        </w:rPr>
        <w:t>：</w:t>
      </w:r>
    </w:p>
    <w:p w14:paraId="427128F3">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14.1分值汇总计算错误的；</w:t>
      </w:r>
    </w:p>
    <w:p w14:paraId="4404F7B4">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14.2分项评分超出评分标准范围的；</w:t>
      </w:r>
    </w:p>
    <w:p w14:paraId="18150CA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14.3评标委员会成员对客观评审因素评分不一致的；</w:t>
      </w:r>
    </w:p>
    <w:p w14:paraId="6BFAB3DA">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14.4经评标委员会认定评分畸高、畸低的。</w:t>
      </w:r>
    </w:p>
    <w:p w14:paraId="0FD26D1C">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15.各投标人的最终得分为评标委员会所有成员对各投标人评标得分汇总后的算术平均值。</w:t>
      </w:r>
    </w:p>
    <w:p w14:paraId="1FD846A7">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52280223">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15.2采购人或者采购代理机构不得通过对样品进行检测、对投标人进行考察等方式改变评审结果。</w:t>
      </w:r>
    </w:p>
    <w:p w14:paraId="5AB9E04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8" w:name="_Toc16908"/>
      <w:bookmarkStart w:id="489" w:name="_Toc25831"/>
      <w:bookmarkStart w:id="490" w:name="_Toc10811"/>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488"/>
      <w:bookmarkEnd w:id="489"/>
      <w:bookmarkEnd w:id="490"/>
    </w:p>
    <w:p w14:paraId="514ADBD8">
      <w:pPr>
        <w:pStyle w:val="36"/>
        <w:rPr>
          <w:rFonts w:hint="eastAsia"/>
          <w:color w:val="auto"/>
          <w:highlight w:val="none"/>
        </w:rPr>
      </w:pPr>
      <w:r>
        <w:rPr>
          <w:rFonts w:hint="eastAsia"/>
          <w:color w:val="auto"/>
          <w:highlight w:val="none"/>
          <w:lang w:val="en-US" w:eastAsia="zh-CN"/>
        </w:rPr>
        <w:t>16.</w:t>
      </w:r>
      <w:r>
        <w:rPr>
          <w:rFonts w:hint="eastAsia"/>
          <w:color w:val="auto"/>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w:t>
      </w:r>
      <w:r>
        <w:rPr>
          <w:rFonts w:hint="eastAsia"/>
          <w:color w:val="auto"/>
          <w:highlight w:val="none"/>
          <w:lang w:val="en-US" w:eastAsia="zh-CN"/>
        </w:rPr>
        <w:t>按</w:t>
      </w:r>
      <w:r>
        <w:rPr>
          <w:rFonts w:hint="eastAsia"/>
          <w:color w:val="auto"/>
          <w:highlight w:val="none"/>
        </w:rPr>
        <w:t>技术指标</w:t>
      </w:r>
      <w:r>
        <w:rPr>
          <w:rFonts w:hint="eastAsia"/>
          <w:color w:val="auto"/>
          <w:highlight w:val="none"/>
          <w:lang w:val="en-US" w:eastAsia="zh-CN"/>
        </w:rPr>
        <w:t>优劣顺序排列</w:t>
      </w:r>
      <w:r>
        <w:rPr>
          <w:rFonts w:hint="eastAsia"/>
          <w:color w:val="auto"/>
          <w:highlight w:val="none"/>
        </w:rPr>
        <w:t>。</w:t>
      </w:r>
    </w:p>
    <w:p w14:paraId="3B1F6C1A">
      <w:pPr>
        <w:pStyle w:val="36"/>
        <w:rPr>
          <w:color w:val="auto"/>
          <w:highlight w:val="none"/>
        </w:rPr>
      </w:pPr>
      <w:r>
        <w:rPr>
          <w:rFonts w:hint="eastAsia"/>
          <w:color w:val="auto"/>
          <w:highlight w:val="none"/>
          <w:lang w:val="en-US" w:eastAsia="zh-CN"/>
        </w:rPr>
        <w:t>17.</w:t>
      </w:r>
      <w:r>
        <w:rPr>
          <w:rFonts w:hint="eastAsia"/>
          <w:color w:val="auto"/>
          <w:highlight w:val="none"/>
        </w:rPr>
        <w:t>中标候选人</w:t>
      </w:r>
      <w:r>
        <w:rPr>
          <w:rFonts w:hint="eastAsia"/>
          <w:color w:val="auto"/>
          <w:highlight w:val="none"/>
          <w:lang w:val="en-US" w:eastAsia="zh-CN"/>
        </w:rPr>
        <w:t>推荐家数详</w:t>
      </w:r>
      <w:r>
        <w:rPr>
          <w:rFonts w:hint="eastAsia"/>
          <w:color w:val="auto"/>
          <w:highlight w:val="none"/>
        </w:rPr>
        <w:t>见“</w:t>
      </w:r>
      <w:r>
        <w:rPr>
          <w:rFonts w:hint="eastAsia"/>
          <w:color w:val="auto"/>
          <w:highlight w:val="none"/>
          <w:lang w:val="en-US" w:eastAsia="zh-CN"/>
        </w:rPr>
        <w:t>投标人须知</w:t>
      </w:r>
      <w:r>
        <w:rPr>
          <w:rFonts w:hint="eastAsia"/>
          <w:color w:val="auto"/>
          <w:highlight w:val="none"/>
        </w:rPr>
        <w:t>前附表”。</w:t>
      </w:r>
    </w:p>
    <w:p w14:paraId="1F98E10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1" w:name="_Toc7048"/>
      <w:bookmarkStart w:id="492" w:name="_Toc31063"/>
      <w:bookmarkStart w:id="493" w:name="_Toc1362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491"/>
      <w:bookmarkEnd w:id="492"/>
      <w:bookmarkEnd w:id="493"/>
    </w:p>
    <w:p w14:paraId="3576CABA">
      <w:pPr>
        <w:pStyle w:val="36"/>
        <w:rPr>
          <w:color w:val="auto"/>
          <w:highlight w:val="none"/>
        </w:rPr>
      </w:pPr>
      <w:r>
        <w:rPr>
          <w:rFonts w:hint="eastAsia"/>
          <w:color w:val="auto"/>
          <w:highlight w:val="none"/>
          <w:lang w:val="en-US" w:eastAsia="zh-CN"/>
        </w:rPr>
        <w:t>18.</w:t>
      </w:r>
      <w:r>
        <w:rPr>
          <w:rFonts w:hint="eastAsia"/>
          <w:color w:val="auto"/>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4" w:name="_Toc102116151"/>
      <w:bookmarkStart w:id="495" w:name="_Toc102057717"/>
      <w:bookmarkStart w:id="496" w:name="_Toc25294"/>
      <w:bookmarkStart w:id="497" w:name="_Toc102056217"/>
      <w:bookmarkStart w:id="498" w:name="_Toc163492906"/>
      <w:bookmarkStart w:id="499" w:name="_Toc102119852"/>
      <w:bookmarkStart w:id="500" w:name="_Toc22304"/>
      <w:bookmarkStart w:id="501" w:name="_Toc4897"/>
      <w:bookmarkStart w:id="502" w:name="_Toc155185913"/>
      <w:bookmarkStart w:id="503" w:name="_Toc102114919"/>
      <w:bookmarkStart w:id="504" w:name="_Toc102116021"/>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494"/>
      <w:bookmarkEnd w:id="495"/>
      <w:bookmarkEnd w:id="496"/>
      <w:bookmarkEnd w:id="497"/>
      <w:bookmarkEnd w:id="498"/>
      <w:bookmarkEnd w:id="499"/>
      <w:bookmarkEnd w:id="500"/>
      <w:bookmarkEnd w:id="501"/>
      <w:bookmarkEnd w:id="502"/>
      <w:bookmarkEnd w:id="503"/>
      <w:bookmarkEnd w:id="504"/>
    </w:p>
    <w:p w14:paraId="2D93D6F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19.投标人存在下列情形之一的，</w:t>
      </w:r>
      <w:r>
        <w:rPr>
          <w:rFonts w:hint="eastAsia"/>
          <w:b/>
          <w:bCs/>
          <w:color w:val="auto"/>
          <w:highlight w:val="none"/>
          <w:lang w:val="en-US" w:eastAsia="zh-CN"/>
        </w:rPr>
        <w:t>投标无效</w:t>
      </w:r>
      <w:r>
        <w:rPr>
          <w:rFonts w:hint="eastAsia"/>
          <w:color w:val="auto"/>
          <w:highlight w:val="none"/>
          <w:lang w:val="en-US" w:eastAsia="zh-CN"/>
        </w:rPr>
        <w:t>：</w:t>
      </w:r>
    </w:p>
    <w:p w14:paraId="5C1B2C9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1</w:t>
      </w:r>
      <w:r>
        <w:rPr>
          <w:rFonts w:hint="eastAsia"/>
          <w:color w:val="auto"/>
          <w:highlight w:val="none"/>
          <w:lang w:val="en-US" w:eastAsia="zh-CN"/>
        </w:rPr>
        <w:t>投标人</w:t>
      </w:r>
      <w:r>
        <w:rPr>
          <w:rFonts w:hint="eastAsia"/>
          <w:color w:val="auto"/>
          <w:highlight w:val="none"/>
          <w:lang w:val="zh-CN" w:eastAsia="zh-CN"/>
        </w:rPr>
        <w:t>不具备《中华人民共和国政府采购法》第二十二条规定条件</w:t>
      </w:r>
      <w:r>
        <w:rPr>
          <w:rFonts w:hint="eastAsia"/>
          <w:color w:val="auto"/>
          <w:highlight w:val="none"/>
          <w:lang w:val="en-US" w:eastAsia="zh-CN"/>
        </w:rPr>
        <w:t>；</w:t>
      </w:r>
    </w:p>
    <w:p w14:paraId="15C939E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eastAsia="宋体"/>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2</w:t>
      </w:r>
      <w:r>
        <w:rPr>
          <w:rFonts w:hint="eastAsia"/>
          <w:color w:val="auto"/>
          <w:highlight w:val="none"/>
        </w:rPr>
        <w:t>投标文件未按招标文件要求签署、盖章的</w:t>
      </w:r>
      <w:r>
        <w:rPr>
          <w:rFonts w:hint="eastAsia"/>
          <w:color w:val="auto"/>
          <w:highlight w:val="none"/>
          <w:lang w:val="en-US" w:eastAsia="zh-CN"/>
        </w:rPr>
        <w:t>；</w:t>
      </w:r>
    </w:p>
    <w:p w14:paraId="0A936FC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3</w:t>
      </w:r>
      <w:r>
        <w:rPr>
          <w:rFonts w:hint="eastAsia"/>
          <w:color w:val="auto"/>
          <w:highlight w:val="none"/>
          <w:lang w:val="en-US" w:eastAsia="zh-CN"/>
        </w:rPr>
        <w:t>不具备招标文件中规定的资格要求的（投标人未提供有效资格文件的，视为投标人不具备招标文件中规定的资格要求）；</w:t>
      </w:r>
    </w:p>
    <w:p w14:paraId="0C68E355">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4</w:t>
      </w:r>
      <w:r>
        <w:rPr>
          <w:rFonts w:hint="eastAsia"/>
          <w:color w:val="auto"/>
          <w:highlight w:val="none"/>
          <w:lang w:val="en-US" w:eastAsia="zh-CN"/>
        </w:rPr>
        <w:t>投标</w:t>
      </w:r>
      <w:r>
        <w:rPr>
          <w:rFonts w:hint="eastAsia"/>
          <w:color w:val="auto"/>
          <w:highlight w:val="none"/>
          <w:lang w:val="zh-CN" w:eastAsia="zh-CN"/>
        </w:rPr>
        <w:t>文件提供虚假材料的</w:t>
      </w:r>
      <w:r>
        <w:rPr>
          <w:rFonts w:hint="eastAsia"/>
          <w:color w:val="auto"/>
          <w:highlight w:val="none"/>
          <w:lang w:val="en-US" w:eastAsia="zh-CN"/>
        </w:rPr>
        <w:t>；</w:t>
      </w:r>
    </w:p>
    <w:p w14:paraId="3FDAE16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5</w:t>
      </w:r>
      <w:r>
        <w:rPr>
          <w:rFonts w:hint="eastAsia"/>
          <w:color w:val="auto"/>
          <w:highlight w:val="none"/>
          <w:lang w:val="en-US" w:eastAsia="zh-CN"/>
        </w:rPr>
        <w:t>投标</w:t>
      </w:r>
      <w:r>
        <w:rPr>
          <w:rFonts w:hint="eastAsia"/>
          <w:color w:val="auto"/>
          <w:highlight w:val="none"/>
          <w:lang w:val="zh-CN" w:eastAsia="zh-CN"/>
        </w:rPr>
        <w:t>文件不满足</w:t>
      </w:r>
      <w:r>
        <w:rPr>
          <w:rFonts w:hint="eastAsia"/>
          <w:color w:val="auto"/>
          <w:highlight w:val="none"/>
          <w:lang w:val="en-US" w:eastAsia="zh-CN"/>
        </w:rPr>
        <w:t>招标</w:t>
      </w:r>
      <w:r>
        <w:rPr>
          <w:rFonts w:hint="eastAsia"/>
          <w:color w:val="auto"/>
          <w:highlight w:val="none"/>
          <w:lang w:val="zh-CN" w:eastAsia="zh-CN"/>
        </w:rPr>
        <w:t>文件中标注“★”号的实质性条款（或指标）要求的</w:t>
      </w:r>
      <w:r>
        <w:rPr>
          <w:rFonts w:hint="eastAsia"/>
          <w:color w:val="auto"/>
          <w:highlight w:val="none"/>
          <w:lang w:val="en-US" w:eastAsia="zh-CN"/>
        </w:rPr>
        <w:t>；</w:t>
      </w:r>
    </w:p>
    <w:p w14:paraId="2C5FC304">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6</w:t>
      </w:r>
      <w:r>
        <w:rPr>
          <w:rFonts w:hint="eastAsia"/>
          <w:color w:val="auto"/>
          <w:highlight w:val="none"/>
          <w:lang w:val="en-US" w:eastAsia="zh-CN"/>
        </w:rPr>
        <w:t>投标人</w:t>
      </w:r>
      <w:r>
        <w:rPr>
          <w:rFonts w:hint="eastAsia"/>
          <w:color w:val="auto"/>
          <w:highlight w:val="none"/>
          <w:lang w:val="zh-CN" w:eastAsia="zh-CN"/>
        </w:rPr>
        <w:t>报价超过招标文件中规定的</w:t>
      </w:r>
      <w:r>
        <w:rPr>
          <w:rFonts w:hint="eastAsia" w:ascii="宋体" w:hAnsi="宋体" w:eastAsia="宋体"/>
          <w:color w:val="auto"/>
          <w:highlight w:val="none"/>
          <w:lang w:val="en-US" w:eastAsia="zh-CN"/>
        </w:rPr>
        <w:t>最高限价或者预算金额</w:t>
      </w:r>
      <w:r>
        <w:rPr>
          <w:rFonts w:hint="eastAsia"/>
          <w:color w:val="auto"/>
          <w:highlight w:val="none"/>
          <w:lang w:val="zh-CN" w:eastAsia="zh-CN"/>
        </w:rPr>
        <w:t>的</w:t>
      </w:r>
      <w:r>
        <w:rPr>
          <w:rFonts w:hint="eastAsia"/>
          <w:color w:val="auto"/>
          <w:highlight w:val="none"/>
          <w:lang w:val="en-US" w:eastAsia="zh-CN"/>
        </w:rPr>
        <w:t>；</w:t>
      </w:r>
    </w:p>
    <w:p w14:paraId="6FC2A54F">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7联合体的供应商未提交各方共同签署的</w:t>
      </w:r>
      <w:r>
        <w:rPr>
          <w:rFonts w:hint="eastAsia"/>
          <w:color w:val="auto"/>
          <w:highlight w:val="none"/>
          <w:lang w:val="en-US" w:eastAsia="zh-CN"/>
        </w:rPr>
        <w:t>联合体</w:t>
      </w:r>
      <w:r>
        <w:rPr>
          <w:rFonts w:hint="eastAsia"/>
          <w:color w:val="auto"/>
          <w:highlight w:val="none"/>
          <w:lang w:val="zh-CN" w:eastAsia="zh-CN"/>
        </w:rPr>
        <w:t>协议</w:t>
      </w:r>
      <w:r>
        <w:rPr>
          <w:rFonts w:hint="eastAsia"/>
          <w:color w:val="auto"/>
          <w:highlight w:val="none"/>
          <w:lang w:val="en-US" w:eastAsia="zh-CN"/>
        </w:rPr>
        <w:t>的；</w:t>
      </w:r>
    </w:p>
    <w:p w14:paraId="4D1E7850">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8</w:t>
      </w:r>
      <w:r>
        <w:rPr>
          <w:rFonts w:hint="eastAsia"/>
          <w:color w:val="auto"/>
          <w:highlight w:val="none"/>
          <w:lang w:val="en-US" w:eastAsia="zh-CN"/>
        </w:rPr>
        <w:t>投标人</w:t>
      </w:r>
      <w:r>
        <w:rPr>
          <w:rFonts w:hint="eastAsia"/>
          <w:color w:val="auto"/>
          <w:highlight w:val="none"/>
          <w:lang w:val="zh-CN" w:eastAsia="zh-CN"/>
        </w:rPr>
        <w:t>未按</w:t>
      </w:r>
      <w:r>
        <w:rPr>
          <w:rFonts w:hint="eastAsia"/>
          <w:color w:val="auto"/>
          <w:highlight w:val="none"/>
          <w:lang w:val="en-US" w:eastAsia="zh-CN"/>
        </w:rPr>
        <w:t>招标</w:t>
      </w:r>
      <w:r>
        <w:rPr>
          <w:rFonts w:hint="eastAsia"/>
          <w:color w:val="auto"/>
          <w:highlight w:val="none"/>
          <w:lang w:val="zh-CN" w:eastAsia="zh-CN"/>
        </w:rPr>
        <w:t>文件</w:t>
      </w:r>
      <w:r>
        <w:rPr>
          <w:rFonts w:hint="eastAsia"/>
          <w:color w:val="auto"/>
          <w:highlight w:val="none"/>
          <w:lang w:val="en-US" w:eastAsia="zh-CN"/>
        </w:rPr>
        <w:t>的规定</w:t>
      </w:r>
      <w:r>
        <w:rPr>
          <w:rFonts w:hint="eastAsia"/>
          <w:color w:val="auto"/>
          <w:highlight w:val="none"/>
          <w:lang w:val="zh-CN" w:eastAsia="zh-CN"/>
        </w:rPr>
        <w:t>交纳投标保证金</w:t>
      </w:r>
      <w:r>
        <w:rPr>
          <w:rFonts w:hint="eastAsia"/>
          <w:color w:val="auto"/>
          <w:highlight w:val="none"/>
          <w:lang w:val="en-US" w:eastAsia="zh-CN"/>
        </w:rPr>
        <w:t>的；</w:t>
      </w:r>
    </w:p>
    <w:p w14:paraId="149A35CB">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9评审期间,</w:t>
      </w:r>
      <w:r>
        <w:rPr>
          <w:rFonts w:hint="eastAsia"/>
          <w:color w:val="auto"/>
          <w:highlight w:val="none"/>
          <w:lang w:val="en-US" w:eastAsia="zh-CN"/>
        </w:rPr>
        <w:t>投标人</w:t>
      </w:r>
      <w:r>
        <w:rPr>
          <w:rFonts w:hint="eastAsia"/>
          <w:color w:val="auto"/>
          <w:highlight w:val="none"/>
          <w:lang w:val="zh-CN" w:eastAsia="zh-CN"/>
        </w:rPr>
        <w:t>没有按评标委员会的要求提交经授权代表签字的澄清、说明、补正或改变了</w:t>
      </w:r>
      <w:r>
        <w:rPr>
          <w:rFonts w:hint="eastAsia"/>
          <w:color w:val="auto"/>
          <w:highlight w:val="none"/>
          <w:lang w:val="en-US" w:eastAsia="zh-CN"/>
        </w:rPr>
        <w:t>投标</w:t>
      </w:r>
      <w:r>
        <w:rPr>
          <w:rFonts w:hint="eastAsia"/>
          <w:color w:val="auto"/>
          <w:highlight w:val="none"/>
          <w:lang w:val="zh-CN" w:eastAsia="zh-CN"/>
        </w:rPr>
        <w:t>文件的实质性内容</w:t>
      </w:r>
      <w:r>
        <w:rPr>
          <w:rFonts w:hint="eastAsia"/>
          <w:color w:val="auto"/>
          <w:highlight w:val="none"/>
          <w:lang w:val="en-US" w:eastAsia="zh-CN"/>
        </w:rPr>
        <w:t>的；</w:t>
      </w:r>
    </w:p>
    <w:p w14:paraId="19EFB935">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10</w:t>
      </w:r>
      <w:r>
        <w:rPr>
          <w:rFonts w:hint="eastAsia"/>
          <w:color w:val="auto"/>
          <w:highlight w:val="none"/>
          <w:lang w:val="en-US" w:eastAsia="zh-CN"/>
        </w:rPr>
        <w:t>投标人</w:t>
      </w:r>
      <w:r>
        <w:rPr>
          <w:rFonts w:hint="eastAsia"/>
          <w:color w:val="auto"/>
          <w:highlight w:val="none"/>
          <w:lang w:val="zh-CN" w:eastAsia="zh-CN"/>
        </w:rPr>
        <w:t>对采购人、采购代理机构、评标委员会及其工作人员施加影响,有碍公平、公正</w:t>
      </w:r>
      <w:r>
        <w:rPr>
          <w:rFonts w:hint="eastAsia"/>
          <w:color w:val="auto"/>
          <w:highlight w:val="none"/>
          <w:lang w:val="en-US" w:eastAsia="zh-CN"/>
        </w:rPr>
        <w:t>的；</w:t>
      </w:r>
    </w:p>
    <w:p w14:paraId="3A6B238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default"/>
          <w:color w:val="auto"/>
          <w:highlight w:val="none"/>
          <w:lang w:val="en-US" w:eastAsia="zh-CN"/>
        </w:rPr>
      </w:pPr>
      <w:r>
        <w:rPr>
          <w:rFonts w:hint="eastAsia"/>
          <w:color w:val="auto"/>
          <w:highlight w:val="none"/>
          <w:lang w:val="en-US" w:eastAsia="zh-CN"/>
        </w:rPr>
        <w:t>19.11投标文件含有采购人不能接受的附加条件的；</w:t>
      </w:r>
    </w:p>
    <w:p w14:paraId="3764E979">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1</w:t>
      </w:r>
      <w:r>
        <w:rPr>
          <w:rFonts w:hint="eastAsia"/>
          <w:color w:val="auto"/>
          <w:highlight w:val="none"/>
          <w:lang w:val="en-US" w:eastAsia="zh-CN"/>
        </w:rPr>
        <w:t>2</w:t>
      </w:r>
      <w:r>
        <w:rPr>
          <w:rFonts w:hint="eastAsia"/>
          <w:color w:val="auto"/>
          <w:highlight w:val="none"/>
          <w:lang w:val="zh-CN" w:eastAsia="zh-CN"/>
        </w:rPr>
        <w:t>法律、法规、规章规定属于</w:t>
      </w:r>
      <w:r>
        <w:rPr>
          <w:rFonts w:hint="eastAsia"/>
          <w:color w:val="auto"/>
          <w:highlight w:val="none"/>
          <w:lang w:val="en-US" w:eastAsia="zh-CN"/>
        </w:rPr>
        <w:t>投标</w:t>
      </w:r>
      <w:r>
        <w:rPr>
          <w:rFonts w:hint="eastAsia"/>
          <w:color w:val="auto"/>
          <w:highlight w:val="none"/>
          <w:lang w:val="zh-CN" w:eastAsia="zh-CN"/>
        </w:rPr>
        <w:t>无效的其他情形。</w:t>
      </w:r>
    </w:p>
    <w:p w14:paraId="601D797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20.有下列情形之一的，视为投标人串通投标，其</w:t>
      </w:r>
      <w:r>
        <w:rPr>
          <w:rFonts w:hint="eastAsia"/>
          <w:b/>
          <w:bCs/>
          <w:color w:val="auto"/>
          <w:highlight w:val="none"/>
          <w:lang w:val="en-US" w:eastAsia="zh-CN"/>
        </w:rPr>
        <w:t>投标无效</w:t>
      </w:r>
      <w:r>
        <w:rPr>
          <w:rFonts w:hint="eastAsia"/>
          <w:color w:val="auto"/>
          <w:highlight w:val="none"/>
          <w:lang w:val="en-US" w:eastAsia="zh-CN"/>
        </w:rPr>
        <w:t>：</w:t>
      </w:r>
    </w:p>
    <w:p w14:paraId="0BD50610">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20.1不同投标人的投标文件由同一单位或者个人编制；</w:t>
      </w:r>
    </w:p>
    <w:p w14:paraId="3181555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20.2不同投标人委托同一单位或者个人办理投标事宜；</w:t>
      </w:r>
    </w:p>
    <w:p w14:paraId="3AD2037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20.3不同投标人的投标文件载明的项目管理成员或者联系人员为同一人；</w:t>
      </w:r>
    </w:p>
    <w:p w14:paraId="3F168EA2">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20.4不同投标人的投标文件异常一致或者投标报价呈规律性差异；</w:t>
      </w:r>
    </w:p>
    <w:p w14:paraId="634E7939">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20.5不同投标人的投标文件相互混装；</w:t>
      </w:r>
    </w:p>
    <w:p w14:paraId="3B078CE3">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20.6不同投标人的投标保证金从同一单位或者个人的账户转出；</w:t>
      </w:r>
    </w:p>
    <w:p w14:paraId="1C3AF755">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20.7</w:t>
      </w:r>
      <w:r>
        <w:rPr>
          <w:rFonts w:hint="eastAsia"/>
          <w:color w:val="auto"/>
          <w:highlight w:val="none"/>
          <w:lang w:val="zh-CN" w:eastAsia="zh-CN"/>
        </w:rPr>
        <w:t>不同投标人使用同一电脑（机器特征值一致：如MAC地址等）或使用同一电子密钥，编制或上传电子投标文件</w:t>
      </w:r>
      <w:r>
        <w:rPr>
          <w:rFonts w:hint="eastAsia"/>
          <w:color w:val="auto"/>
          <w:highlight w:val="none"/>
          <w:lang w:val="en-US" w:eastAsia="zh-CN"/>
        </w:rPr>
        <w:t>；</w:t>
      </w:r>
    </w:p>
    <w:p w14:paraId="0641DF48">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default" w:eastAsia="宋体"/>
          <w:color w:val="auto"/>
          <w:highlight w:val="none"/>
          <w:lang w:val="en-US" w:eastAsia="zh-CN"/>
        </w:rPr>
      </w:pPr>
      <w:r>
        <w:rPr>
          <w:rFonts w:hint="eastAsia"/>
          <w:color w:val="auto"/>
          <w:highlight w:val="none"/>
          <w:lang w:val="en-US" w:eastAsia="zh-CN"/>
        </w:rPr>
        <w:t>20.8法律、法规、规章规定属于投标人串通投标的其他情形</w:t>
      </w:r>
      <w:r>
        <w:rPr>
          <w:rFonts w:hint="eastAsia"/>
          <w:color w:val="auto"/>
          <w:highlight w:val="none"/>
          <w:lang w:val="zh-CN" w:eastAsia="zh-CN"/>
        </w:rPr>
        <w:t>。</w:t>
      </w:r>
    </w:p>
    <w:p w14:paraId="737FAF06">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w:t>
      </w:r>
      <w:r>
        <w:rPr>
          <w:rFonts w:hint="eastAsia"/>
          <w:color w:val="auto"/>
          <w:highlight w:val="none"/>
        </w:rPr>
        <w:t>根据《中华人民共和国政府采购法》第三十六条之规定，在招标采购过程中，出现下列情形之一的，应予</w:t>
      </w:r>
      <w:r>
        <w:rPr>
          <w:rFonts w:hint="eastAsia"/>
          <w:b/>
          <w:bCs/>
          <w:color w:val="auto"/>
          <w:highlight w:val="none"/>
        </w:rPr>
        <w:t>废标</w:t>
      </w:r>
      <w:r>
        <w:rPr>
          <w:rFonts w:hint="eastAsia"/>
          <w:color w:val="auto"/>
          <w:highlight w:val="none"/>
        </w:rPr>
        <w:t>：</w:t>
      </w:r>
    </w:p>
    <w:p w14:paraId="2C92042A">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.1</w:t>
      </w:r>
      <w:r>
        <w:rPr>
          <w:rFonts w:hint="eastAsia"/>
          <w:iCs/>
          <w:color w:val="auto"/>
          <w:spacing w:val="-6"/>
          <w:sz w:val="24"/>
          <w:highlight w:val="none"/>
        </w:rPr>
        <w:t>符合专业条件的供应商或者对招标文件作实质响应的供应商不足3家的；</w:t>
      </w:r>
    </w:p>
    <w:p w14:paraId="34ECD7A2">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.2</w:t>
      </w:r>
      <w:r>
        <w:rPr>
          <w:rFonts w:hint="eastAsia"/>
          <w:color w:val="auto"/>
          <w:highlight w:val="none"/>
        </w:rPr>
        <w:t>出现影响采购公正的违法、违规行为的；</w:t>
      </w:r>
    </w:p>
    <w:p w14:paraId="55223AA1">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.3</w:t>
      </w:r>
      <w:r>
        <w:rPr>
          <w:rFonts w:hint="eastAsia"/>
          <w:color w:val="auto"/>
          <w:highlight w:val="none"/>
        </w:rPr>
        <w:t>投标人的报价均超过了采购预算，采购人不能支付的；</w:t>
      </w:r>
    </w:p>
    <w:p w14:paraId="238CC2DB">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21</w:t>
      </w:r>
      <w:r>
        <w:rPr>
          <w:color w:val="auto"/>
          <w:highlight w:val="none"/>
        </w:rPr>
        <w:t>.4</w:t>
      </w:r>
      <w:r>
        <w:rPr>
          <w:rFonts w:hint="eastAsia"/>
          <w:color w:val="auto"/>
          <w:highlight w:val="none"/>
        </w:rPr>
        <w:t>因重大变故，采购任务取消的</w:t>
      </w:r>
      <w:r>
        <w:rPr>
          <w:rFonts w:hint="eastAsia"/>
          <w:color w:val="auto"/>
          <w:highlight w:val="none"/>
          <w:lang w:val="en-US" w:eastAsia="zh-CN"/>
        </w:rPr>
        <w:t>；</w:t>
      </w:r>
    </w:p>
    <w:p w14:paraId="42948BC7">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21.5</w:t>
      </w:r>
      <w:r>
        <w:rPr>
          <w:rFonts w:hint="eastAsia"/>
          <w:color w:val="auto"/>
          <w:highlight w:val="none"/>
        </w:rPr>
        <w:t>法律、法规、规章规定属于</w:t>
      </w:r>
      <w:r>
        <w:rPr>
          <w:rFonts w:hint="eastAsia"/>
          <w:color w:val="auto"/>
          <w:highlight w:val="none"/>
          <w:lang w:val="en-US" w:eastAsia="zh-CN"/>
        </w:rPr>
        <w:t>废标</w:t>
      </w:r>
      <w:r>
        <w:rPr>
          <w:rFonts w:hint="eastAsia"/>
          <w:color w:val="auto"/>
          <w:highlight w:val="none"/>
        </w:rPr>
        <w:t>的其他情形。</w:t>
      </w:r>
    </w:p>
    <w:p w14:paraId="3EE39131">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22.</w:t>
      </w:r>
      <w:r>
        <w:rPr>
          <w:rFonts w:hint="eastAsia"/>
          <w:color w:val="auto"/>
          <w:highlight w:val="none"/>
        </w:rPr>
        <w:t>废标后，采购人应当将废标理由通知所有投标人。</w:t>
      </w:r>
    </w:p>
    <w:p w14:paraId="05AB6DCD">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05" w:name="_Toc102116152"/>
      <w:bookmarkStart w:id="506" w:name="_Toc102119853"/>
      <w:bookmarkStart w:id="507" w:name="_Toc163492907"/>
      <w:bookmarkStart w:id="508" w:name="_Toc102116022"/>
      <w:bookmarkStart w:id="509" w:name="_Toc5243"/>
      <w:bookmarkStart w:id="510" w:name="_Toc102057718"/>
      <w:bookmarkStart w:id="511" w:name="_Toc155185914"/>
      <w:bookmarkStart w:id="512" w:name="_Toc14002"/>
      <w:bookmarkStart w:id="513" w:name="_Toc20839"/>
      <w:bookmarkStart w:id="514" w:name="_Toc102114920"/>
      <w:bookmarkStart w:id="515" w:name="_Toc10205621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505"/>
      <w:bookmarkEnd w:id="506"/>
      <w:bookmarkEnd w:id="507"/>
      <w:bookmarkEnd w:id="508"/>
      <w:bookmarkEnd w:id="509"/>
      <w:bookmarkEnd w:id="510"/>
      <w:bookmarkEnd w:id="511"/>
      <w:bookmarkEnd w:id="512"/>
      <w:bookmarkEnd w:id="513"/>
      <w:bookmarkEnd w:id="514"/>
      <w:bookmarkEnd w:id="515"/>
    </w:p>
    <w:p w14:paraId="190044DE">
      <w:pPr>
        <w:pStyle w:val="36"/>
        <w:rPr>
          <w:rFonts w:hint="eastAsia"/>
          <w:color w:val="auto"/>
          <w:highlight w:val="none"/>
        </w:rPr>
      </w:pPr>
      <w:r>
        <w:rPr>
          <w:rFonts w:hint="eastAsia"/>
          <w:color w:val="auto"/>
          <w:highlight w:val="none"/>
          <w:lang w:val="en-US" w:eastAsia="zh-CN"/>
        </w:rPr>
        <w:t>23</w:t>
      </w:r>
      <w:r>
        <w:rPr>
          <w:color w:val="auto"/>
          <w:highlight w:val="none"/>
        </w:rPr>
        <w:t>.</w:t>
      </w: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16" w:name="_Toc10597"/>
      <w:bookmarkStart w:id="517" w:name="_Toc8262"/>
      <w:bookmarkStart w:id="518" w:name="_Toc1396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516"/>
      <w:bookmarkEnd w:id="517"/>
      <w:bookmarkEnd w:id="518"/>
    </w:p>
    <w:p w14:paraId="461B653A">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有</w:t>
      </w:r>
      <w:r>
        <w:rPr>
          <w:rFonts w:hint="eastAsia"/>
          <w:color w:val="auto"/>
          <w:highlight w:val="none"/>
          <w:lang w:eastAsia="zh-CN"/>
        </w:rPr>
        <w:t>《</w:t>
      </w:r>
      <w:r>
        <w:rPr>
          <w:rFonts w:hint="eastAsia"/>
          <w:color w:val="auto"/>
          <w:highlight w:val="none"/>
        </w:rPr>
        <w:t>中华人民共和国政府采购法</w:t>
      </w:r>
      <w:r>
        <w:rPr>
          <w:rFonts w:hint="eastAsia"/>
          <w:color w:val="auto"/>
          <w:highlight w:val="none"/>
          <w:lang w:eastAsia="zh-CN"/>
        </w:rPr>
        <w:t>》</w:t>
      </w:r>
      <w:r>
        <w:rPr>
          <w:rFonts w:hint="eastAsia"/>
          <w:color w:val="auto"/>
          <w:highlight w:val="none"/>
        </w:rPr>
        <w:t>第七十一条、第七十二条规定的违法行为之一，影响或者可能影响中标结果的，依照下列规定处理：</w:t>
      </w:r>
    </w:p>
    <w:p w14:paraId="7AA5C7C3">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.1</w:t>
      </w:r>
      <w:r>
        <w:rPr>
          <w:rFonts w:hint="eastAsia"/>
          <w:iCs/>
          <w:color w:val="auto"/>
          <w:spacing w:val="-6"/>
          <w:sz w:val="24"/>
          <w:highlight w:val="none"/>
        </w:rPr>
        <w:t>未确定中标供应商的，终止本次政府采购活动，重新开展政府采购活动。</w:t>
      </w:r>
    </w:p>
    <w:p w14:paraId="3A794890">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.2已确定中标供应商但尚未签订政府采购合同的，中标结果无效，从合格的中标候选人中另行确定中标供应商；没有合格的中标候选人的，重新开展政府采购活动。</w:t>
      </w:r>
    </w:p>
    <w:p w14:paraId="595100CC">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.3政府采购合同已签订但尚未履行的，撤销合同，从合格的中标候选人中另行确定中标供应商；没有合格的中标候选人的，重新开展政府采购活动。</w:t>
      </w:r>
    </w:p>
    <w:p w14:paraId="45E078B1">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.4政府采购合同已经履行，给采购人、供应商造成损失的，由责任人承担赔偿责任。</w:t>
      </w:r>
    </w:p>
    <w:p w14:paraId="43A428E9">
      <w:pPr>
        <w:pStyle w:val="36"/>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24</w:t>
      </w:r>
      <w:r>
        <w:rPr>
          <w:rFonts w:hint="eastAsia"/>
          <w:color w:val="auto"/>
          <w:highlight w:val="none"/>
        </w:rPr>
        <w:t>.5政府采购当事人有其他违反</w:t>
      </w:r>
      <w:r>
        <w:rPr>
          <w:rFonts w:hint="eastAsia"/>
          <w:iCs/>
          <w:color w:val="auto"/>
          <w:spacing w:val="-6"/>
          <w:sz w:val="24"/>
          <w:highlight w:val="none"/>
          <w:lang w:eastAsia="zh-CN"/>
        </w:rPr>
        <w:t>《</w:t>
      </w:r>
      <w:r>
        <w:rPr>
          <w:rFonts w:hint="eastAsia"/>
          <w:iCs/>
          <w:color w:val="auto"/>
          <w:spacing w:val="-6"/>
          <w:sz w:val="24"/>
          <w:highlight w:val="none"/>
        </w:rPr>
        <w:t>中华人民共和国政府采购法</w:t>
      </w:r>
      <w:r>
        <w:rPr>
          <w:rFonts w:hint="eastAsia"/>
          <w:iCs/>
          <w:color w:val="auto"/>
          <w:spacing w:val="-6"/>
          <w:sz w:val="24"/>
          <w:highlight w:val="none"/>
          <w:lang w:eastAsia="zh-CN"/>
        </w:rPr>
        <w:t>》</w:t>
      </w:r>
      <w:r>
        <w:rPr>
          <w:rFonts w:hint="eastAsia"/>
          <w:iCs/>
          <w:color w:val="auto"/>
          <w:spacing w:val="-6"/>
          <w:sz w:val="24"/>
          <w:highlight w:val="none"/>
        </w:rPr>
        <w:t>或者</w:t>
      </w:r>
      <w:r>
        <w:rPr>
          <w:rFonts w:hint="eastAsia"/>
          <w:iCs/>
          <w:color w:val="auto"/>
          <w:spacing w:val="-6"/>
          <w:sz w:val="24"/>
          <w:highlight w:val="none"/>
          <w:lang w:eastAsia="zh-CN"/>
        </w:rPr>
        <w:t>《</w:t>
      </w:r>
      <w:r>
        <w:rPr>
          <w:rFonts w:hint="eastAsia"/>
          <w:iCs/>
          <w:color w:val="auto"/>
          <w:spacing w:val="-6"/>
          <w:sz w:val="24"/>
          <w:highlight w:val="none"/>
        </w:rPr>
        <w:t>中华人民共和国政府采购法实施条例</w:t>
      </w:r>
      <w:r>
        <w:rPr>
          <w:rFonts w:hint="eastAsia"/>
          <w:iCs/>
          <w:color w:val="auto"/>
          <w:spacing w:val="-6"/>
          <w:sz w:val="24"/>
          <w:highlight w:val="none"/>
          <w:lang w:eastAsia="zh-CN"/>
        </w:rPr>
        <w:t>》</w:t>
      </w:r>
      <w:r>
        <w:rPr>
          <w:rFonts w:hint="eastAsia"/>
          <w:color w:val="auto"/>
          <w:highlight w:val="none"/>
        </w:rPr>
        <w:t>等法律法规规定的行为，经改正后仍然影响或者可能影响中标结果或者依法被认定为中标无效的，依照</w:t>
      </w:r>
      <w:r>
        <w:rPr>
          <w:rFonts w:hint="eastAsia"/>
          <w:color w:val="auto"/>
          <w:highlight w:val="none"/>
          <w:lang w:val="en-US" w:eastAsia="zh-CN"/>
        </w:rPr>
        <w:t>24</w:t>
      </w:r>
      <w:r>
        <w:rPr>
          <w:rFonts w:hint="eastAsia"/>
          <w:color w:val="auto"/>
          <w:highlight w:val="none"/>
        </w:rPr>
        <w:t>.1</w:t>
      </w:r>
      <w:r>
        <w:rPr>
          <w:rFonts w:hint="eastAsia"/>
          <w:color w:val="auto"/>
          <w:highlight w:val="none"/>
          <w:lang w:eastAsia="zh-CN"/>
        </w:rPr>
        <w:t>—</w:t>
      </w:r>
      <w:r>
        <w:rPr>
          <w:rFonts w:hint="eastAsia"/>
          <w:color w:val="auto"/>
          <w:highlight w:val="none"/>
          <w:lang w:val="en-US" w:eastAsia="zh-CN"/>
        </w:rPr>
        <w:t>24</w:t>
      </w:r>
      <w:r>
        <w:rPr>
          <w:rFonts w:hint="eastAsia"/>
          <w:color w:val="auto"/>
          <w:highlight w:val="none"/>
        </w:rPr>
        <w:t>.4规定处理。</w:t>
      </w:r>
    </w:p>
    <w:bookmarkEnd w:id="454"/>
    <w:bookmarkEnd w:id="455"/>
    <w:bookmarkEnd w:id="456"/>
    <w:bookmarkEnd w:id="457"/>
    <w:bookmarkEnd w:id="458"/>
    <w:bookmarkEnd w:id="459"/>
    <w:bookmarkEnd w:id="460"/>
    <w:bookmarkEnd w:id="461"/>
    <w:bookmarkEnd w:id="462"/>
    <w:bookmarkEnd w:id="463"/>
    <w:p w14:paraId="6AD5E43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default" w:ascii="宋体" w:hAnsi="宋体" w:eastAsia="宋体" w:cs="宋体"/>
          <w:color w:val="auto"/>
          <w:sz w:val="28"/>
          <w:szCs w:val="28"/>
          <w:highlight w:val="none"/>
          <w:lang w:val="en-US" w:eastAsia="zh-CN"/>
        </w:rPr>
      </w:pPr>
      <w:bookmarkStart w:id="519" w:name="_Toc27264"/>
      <w:bookmarkStart w:id="520" w:name="_Toc14768"/>
      <w:r>
        <w:rPr>
          <w:rFonts w:hint="eastAsia" w:ascii="宋体" w:hAnsi="宋体" w:eastAsia="宋体" w:cs="宋体"/>
          <w:color w:val="auto"/>
          <w:sz w:val="28"/>
          <w:szCs w:val="28"/>
          <w:highlight w:val="none"/>
          <w:lang w:val="zh-CN" w:eastAsia="zh-CN"/>
        </w:rPr>
        <w:t>三、评标</w:t>
      </w:r>
      <w:r>
        <w:rPr>
          <w:rFonts w:hint="eastAsia" w:ascii="宋体" w:hAnsi="宋体" w:eastAsia="宋体" w:cs="宋体"/>
          <w:color w:val="auto"/>
          <w:sz w:val="28"/>
          <w:szCs w:val="28"/>
          <w:highlight w:val="none"/>
          <w:lang w:val="en-US" w:eastAsia="zh-CN"/>
        </w:rPr>
        <w:t>其他要求</w:t>
      </w:r>
      <w:bookmarkEnd w:id="519"/>
      <w:bookmarkEnd w:id="520"/>
    </w:p>
    <w:p w14:paraId="555D6B49">
      <w:pPr>
        <w:pStyle w:val="36"/>
        <w:keepNext w:val="0"/>
        <w:keepLines w:val="0"/>
        <w:pageBreakBefore w:val="0"/>
        <w:widowControl w:val="0"/>
        <w:kinsoku/>
        <w:overflowPunct/>
        <w:topLinePunct w:val="0"/>
        <w:autoSpaceDE/>
        <w:autoSpaceDN/>
        <w:bidi w:val="0"/>
        <w:adjustRightInd/>
        <w:snapToGrid/>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可根据项目的情况增加上述内容中未包含的要求</w:t>
      </w:r>
      <w:r>
        <w:rPr>
          <w:rFonts w:hint="eastAsia"/>
          <w:color w:val="auto"/>
          <w:highlight w:val="none"/>
          <w:lang w:eastAsia="zh-CN"/>
        </w:rPr>
        <w:t>】</w:t>
      </w:r>
    </w:p>
    <w:p w14:paraId="0BE29AB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21" w:name="_Toc2099"/>
      <w:bookmarkStart w:id="522" w:name="_Toc22385"/>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521"/>
      <w:bookmarkEnd w:id="522"/>
    </w:p>
    <w:p w14:paraId="6FC1DEB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23" w:name="_Toc29368"/>
      <w:bookmarkStart w:id="524" w:name="_Toc1508"/>
      <w:bookmarkStart w:id="525" w:name="_Toc12396"/>
      <w:bookmarkStart w:id="526" w:name="_Toc163492909"/>
      <w:r>
        <w:rPr>
          <w:rFonts w:hint="eastAsia" w:ascii="宋体" w:hAnsi="宋体" w:eastAsia="宋体" w:cs="宋体"/>
          <w:b/>
          <w:bCs/>
          <w:color w:val="auto"/>
          <w:kern w:val="2"/>
          <w:sz w:val="24"/>
          <w:szCs w:val="24"/>
          <w:highlight w:val="none"/>
          <w:lang w:val="zh-CN" w:eastAsia="zh-CN" w:bidi="ar-SA"/>
        </w:rPr>
        <w:t>（一）符合性审查表</w:t>
      </w:r>
      <w:bookmarkEnd w:id="523"/>
      <w:bookmarkEnd w:id="524"/>
      <w:bookmarkEnd w:id="525"/>
      <w:bookmarkEnd w:id="526"/>
    </w:p>
    <w:tbl>
      <w:tblPr>
        <w:tblStyle w:val="29"/>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9"/>
        <w:gridCol w:w="1303"/>
        <w:gridCol w:w="5484"/>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5" w:type="pct"/>
            <w:vMerge w:val="restart"/>
            <w:shd w:val="clear" w:color="auto" w:fill="D8D8D8" w:themeFill="background1" w:themeFillShade="D9"/>
            <w:vAlign w:val="center"/>
          </w:tcPr>
          <w:p w14:paraId="3B188FC3">
            <w:pPr>
              <w:pStyle w:val="48"/>
              <w:jc w:val="center"/>
              <w:rPr>
                <w:rFonts w:hint="eastAsia" w:ascii="宋体" w:hAnsi="宋体" w:eastAsia="宋体" w:cs="宋体"/>
                <w:b/>
                <w:bCs/>
                <w:color w:val="auto"/>
                <w:sz w:val="21"/>
                <w:szCs w:val="21"/>
                <w:highlight w:val="none"/>
                <w:lang w:val="zh-CN"/>
              </w:rPr>
            </w:pPr>
            <w:bookmarkStart w:id="527" w:name="_Toc163492910"/>
            <w:bookmarkStart w:id="528" w:name="_Toc155185917"/>
            <w:r>
              <w:rPr>
                <w:rFonts w:hint="eastAsia" w:ascii="宋体" w:hAnsi="宋体" w:eastAsia="宋体" w:cs="宋体"/>
                <w:b/>
                <w:bCs/>
                <w:color w:val="auto"/>
                <w:sz w:val="21"/>
                <w:szCs w:val="21"/>
                <w:highlight w:val="none"/>
                <w:lang w:val="zh-CN"/>
              </w:rPr>
              <w:t>序号</w:t>
            </w:r>
          </w:p>
        </w:tc>
        <w:tc>
          <w:tcPr>
            <w:tcW w:w="704" w:type="pct"/>
            <w:vMerge w:val="restart"/>
            <w:shd w:val="clear" w:color="auto" w:fill="D8D8D8" w:themeFill="background1" w:themeFillShade="D9"/>
            <w:vAlign w:val="center"/>
          </w:tcPr>
          <w:p w14:paraId="316B5F87">
            <w:pPr>
              <w:pStyle w:val="48"/>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审查项名称</w:t>
            </w:r>
          </w:p>
        </w:tc>
        <w:tc>
          <w:tcPr>
            <w:tcW w:w="2963" w:type="pct"/>
            <w:vMerge w:val="restart"/>
            <w:shd w:val="clear" w:color="auto" w:fill="D8D8D8" w:themeFill="background1" w:themeFillShade="D9"/>
            <w:vAlign w:val="center"/>
          </w:tcPr>
          <w:p w14:paraId="44B32FDC">
            <w:pPr>
              <w:pStyle w:val="48"/>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审查内容</w:t>
            </w:r>
          </w:p>
        </w:tc>
        <w:tc>
          <w:tcPr>
            <w:tcW w:w="1056" w:type="pct"/>
            <w:gridSpan w:val="2"/>
            <w:shd w:val="clear" w:color="auto" w:fill="D8D8D8" w:themeFill="background1" w:themeFillShade="D9"/>
            <w:vAlign w:val="center"/>
          </w:tcPr>
          <w:p w14:paraId="2724C461">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5" w:type="pct"/>
            <w:vMerge w:val="continue"/>
            <w:shd w:val="clear" w:color="auto" w:fill="D8D8D8" w:themeFill="background1" w:themeFillShade="D9"/>
            <w:vAlign w:val="center"/>
          </w:tcPr>
          <w:p w14:paraId="1859AA86">
            <w:pPr>
              <w:pStyle w:val="48"/>
              <w:jc w:val="center"/>
              <w:rPr>
                <w:rFonts w:hint="eastAsia" w:ascii="宋体" w:hAnsi="宋体" w:eastAsia="宋体" w:cs="宋体"/>
                <w:b/>
                <w:bCs/>
                <w:color w:val="auto"/>
                <w:sz w:val="21"/>
                <w:szCs w:val="21"/>
                <w:highlight w:val="none"/>
                <w:lang w:val="zh-CN"/>
              </w:rPr>
            </w:pPr>
          </w:p>
        </w:tc>
        <w:tc>
          <w:tcPr>
            <w:tcW w:w="704" w:type="pct"/>
            <w:vMerge w:val="continue"/>
            <w:shd w:val="clear" w:color="auto" w:fill="D8D8D8" w:themeFill="background1" w:themeFillShade="D9"/>
            <w:vAlign w:val="center"/>
          </w:tcPr>
          <w:p w14:paraId="51EF0565">
            <w:pPr>
              <w:pStyle w:val="48"/>
              <w:jc w:val="center"/>
              <w:rPr>
                <w:rFonts w:hint="eastAsia" w:ascii="宋体" w:hAnsi="宋体" w:eastAsia="宋体" w:cs="宋体"/>
                <w:b/>
                <w:bCs/>
                <w:color w:val="auto"/>
                <w:sz w:val="21"/>
                <w:szCs w:val="21"/>
                <w:highlight w:val="none"/>
                <w:lang w:val="zh-CN"/>
              </w:rPr>
            </w:pPr>
          </w:p>
        </w:tc>
        <w:tc>
          <w:tcPr>
            <w:tcW w:w="2963" w:type="pct"/>
            <w:vMerge w:val="continue"/>
            <w:shd w:val="clear" w:color="auto" w:fill="D8D8D8" w:themeFill="background1" w:themeFillShade="D9"/>
            <w:vAlign w:val="center"/>
          </w:tcPr>
          <w:p w14:paraId="2128C077">
            <w:pPr>
              <w:pStyle w:val="48"/>
              <w:jc w:val="center"/>
              <w:rPr>
                <w:rFonts w:hint="eastAsia" w:ascii="宋体" w:hAnsi="宋体" w:eastAsia="宋体" w:cs="宋体"/>
                <w:b/>
                <w:bCs/>
                <w:color w:val="auto"/>
                <w:sz w:val="21"/>
                <w:szCs w:val="21"/>
                <w:highlight w:val="none"/>
                <w:lang w:val="zh-CN"/>
              </w:rPr>
            </w:pPr>
          </w:p>
        </w:tc>
        <w:tc>
          <w:tcPr>
            <w:tcW w:w="468" w:type="pct"/>
            <w:shd w:val="clear" w:color="auto" w:fill="D8D8D8" w:themeFill="background1" w:themeFillShade="D9"/>
            <w:vAlign w:val="center"/>
          </w:tcPr>
          <w:p w14:paraId="0CAA21D7">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符合</w:t>
            </w:r>
          </w:p>
        </w:tc>
        <w:tc>
          <w:tcPr>
            <w:tcW w:w="588" w:type="pct"/>
            <w:shd w:val="clear" w:color="auto" w:fill="D8D8D8" w:themeFill="background1" w:themeFillShade="D9"/>
            <w:vAlign w:val="center"/>
          </w:tcPr>
          <w:p w14:paraId="15D1F439">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5" w:type="pct"/>
            <w:shd w:val="clear" w:color="auto" w:fill="auto"/>
            <w:vAlign w:val="center"/>
          </w:tcPr>
          <w:p w14:paraId="4A515C07">
            <w:pPr>
              <w:pStyle w:val="48"/>
              <w:numPr>
                <w:ilvl w:val="0"/>
                <w:numId w:val="0"/>
              </w:numPr>
              <w:ind w:left="420" w:leftChars="0" w:hanging="42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1</w:t>
            </w:r>
          </w:p>
        </w:tc>
        <w:tc>
          <w:tcPr>
            <w:tcW w:w="704" w:type="pct"/>
            <w:vAlign w:val="center"/>
          </w:tcPr>
          <w:p w14:paraId="5E0E3062">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w:t>
            </w:r>
            <w:r>
              <w:rPr>
                <w:rFonts w:hint="eastAsia" w:ascii="宋体" w:hAnsi="宋体" w:eastAsia="宋体" w:cs="宋体"/>
                <w:color w:val="auto"/>
                <w:sz w:val="21"/>
                <w:szCs w:val="21"/>
                <w:highlight w:val="none"/>
              </w:rPr>
              <w:t>签署</w:t>
            </w:r>
          </w:p>
        </w:tc>
        <w:tc>
          <w:tcPr>
            <w:tcW w:w="2963" w:type="pct"/>
            <w:shd w:val="clear" w:color="auto" w:fill="auto"/>
            <w:vAlign w:val="center"/>
          </w:tcPr>
          <w:p w14:paraId="0FA4ED80">
            <w:pPr>
              <w:pStyle w:val="48"/>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投标文件按招标文件要求签署、盖章的</w:t>
            </w:r>
          </w:p>
        </w:tc>
        <w:tc>
          <w:tcPr>
            <w:tcW w:w="468" w:type="pct"/>
            <w:shd w:val="clear" w:color="auto" w:fill="auto"/>
            <w:vAlign w:val="center"/>
          </w:tcPr>
          <w:p w14:paraId="1E1F1EB1">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35325BAA">
            <w:pPr>
              <w:pStyle w:val="48"/>
              <w:rPr>
                <w:rFonts w:hint="eastAsia" w:ascii="宋体" w:hAnsi="宋体" w:eastAsia="宋体" w:cs="宋体"/>
                <w:color w:val="auto"/>
                <w:sz w:val="21"/>
                <w:szCs w:val="21"/>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5" w:type="pct"/>
            <w:shd w:val="clear" w:color="auto" w:fill="auto"/>
            <w:vAlign w:val="center"/>
          </w:tcPr>
          <w:p w14:paraId="70154C2F">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w:t>
            </w:r>
          </w:p>
        </w:tc>
        <w:tc>
          <w:tcPr>
            <w:tcW w:w="704" w:type="pct"/>
            <w:shd w:val="clear" w:color="auto" w:fill="auto"/>
            <w:vAlign w:val="center"/>
          </w:tcPr>
          <w:p w14:paraId="1B390AF0">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实质性要求</w:t>
            </w:r>
          </w:p>
        </w:tc>
        <w:tc>
          <w:tcPr>
            <w:tcW w:w="2963" w:type="pct"/>
            <w:shd w:val="clear" w:color="auto" w:fill="auto"/>
            <w:vAlign w:val="center"/>
          </w:tcPr>
          <w:p w14:paraId="6D95F485">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eastAsia="zh-CN"/>
              </w:rPr>
              <w:t>文件中标注“★”号的实质性条款（或指标）要求的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具体详见</w:t>
            </w:r>
            <w:r>
              <w:rPr>
                <w:rFonts w:hint="eastAsia" w:ascii="宋体" w:hAnsi="宋体" w:eastAsia="宋体" w:cs="宋体"/>
                <w:color w:val="auto"/>
                <w:sz w:val="21"/>
                <w:szCs w:val="21"/>
                <w:highlight w:val="none"/>
                <w:lang w:val="zh-CN"/>
              </w:rPr>
              <w:t>“实质性响应一览表”</w:t>
            </w:r>
          </w:p>
        </w:tc>
        <w:tc>
          <w:tcPr>
            <w:tcW w:w="468" w:type="pct"/>
            <w:shd w:val="clear" w:color="auto" w:fill="auto"/>
            <w:vAlign w:val="center"/>
          </w:tcPr>
          <w:p w14:paraId="4C63B966">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5A615EFE">
            <w:pPr>
              <w:pStyle w:val="48"/>
              <w:rPr>
                <w:rFonts w:hint="eastAsia" w:ascii="宋体" w:hAnsi="宋体" w:eastAsia="宋体" w:cs="宋体"/>
                <w:color w:val="auto"/>
                <w:sz w:val="21"/>
                <w:szCs w:val="21"/>
                <w:highlight w:val="none"/>
                <w:lang w:val="zh-CN"/>
              </w:rPr>
            </w:pPr>
          </w:p>
        </w:tc>
      </w:tr>
      <w:tr w14:paraId="591B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5" w:type="pct"/>
            <w:shd w:val="clear" w:color="auto" w:fill="auto"/>
            <w:vAlign w:val="center"/>
          </w:tcPr>
          <w:p w14:paraId="48860C47">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704" w:type="pct"/>
            <w:vAlign w:val="center"/>
          </w:tcPr>
          <w:p w14:paraId="31EA832C">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2963" w:type="pct"/>
            <w:shd w:val="clear" w:color="auto" w:fill="auto"/>
            <w:vAlign w:val="center"/>
          </w:tcPr>
          <w:p w14:paraId="02D97709">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投标人报价未超过招标文件中规定的</w:t>
            </w:r>
            <w:r>
              <w:rPr>
                <w:rFonts w:hint="eastAsia" w:ascii="宋体" w:hAnsi="宋体" w:eastAsia="宋体" w:cs="宋体"/>
                <w:color w:val="auto"/>
                <w:sz w:val="21"/>
                <w:szCs w:val="21"/>
                <w:highlight w:val="none"/>
                <w:lang w:val="en-US" w:eastAsia="zh-CN"/>
              </w:rPr>
              <w:t>最高限价或者预算金额</w:t>
            </w:r>
            <w:r>
              <w:rPr>
                <w:rFonts w:hint="eastAsia" w:ascii="宋体" w:hAnsi="宋体" w:eastAsia="宋体" w:cs="宋体"/>
                <w:color w:val="auto"/>
                <w:kern w:val="2"/>
                <w:sz w:val="21"/>
                <w:szCs w:val="21"/>
                <w:highlight w:val="none"/>
                <w:lang w:val="en-US" w:eastAsia="zh-CN" w:bidi="ar-SA"/>
              </w:rPr>
              <w:t>的</w:t>
            </w:r>
          </w:p>
        </w:tc>
        <w:tc>
          <w:tcPr>
            <w:tcW w:w="468" w:type="pct"/>
            <w:shd w:val="clear" w:color="auto" w:fill="auto"/>
            <w:vAlign w:val="center"/>
          </w:tcPr>
          <w:p w14:paraId="18835E98">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32826E79">
            <w:pPr>
              <w:pStyle w:val="48"/>
              <w:rPr>
                <w:rFonts w:hint="eastAsia" w:ascii="宋体" w:hAnsi="宋体" w:eastAsia="宋体" w:cs="宋体"/>
                <w:color w:val="auto"/>
                <w:sz w:val="21"/>
                <w:szCs w:val="21"/>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5" w:type="pct"/>
            <w:shd w:val="clear" w:color="auto" w:fill="auto"/>
            <w:vAlign w:val="center"/>
          </w:tcPr>
          <w:p w14:paraId="0D25BA5B">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704" w:type="pct"/>
            <w:vAlign w:val="center"/>
          </w:tcPr>
          <w:p w14:paraId="6B53D7DD">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虚假材料</w:t>
            </w:r>
          </w:p>
        </w:tc>
        <w:tc>
          <w:tcPr>
            <w:tcW w:w="2963" w:type="pct"/>
            <w:shd w:val="clear" w:color="auto" w:fill="auto"/>
            <w:vAlign w:val="center"/>
          </w:tcPr>
          <w:p w14:paraId="3C241A91">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提供虚假材料的</w:t>
            </w:r>
          </w:p>
        </w:tc>
        <w:tc>
          <w:tcPr>
            <w:tcW w:w="468" w:type="pct"/>
            <w:shd w:val="clear" w:color="auto" w:fill="auto"/>
            <w:vAlign w:val="center"/>
          </w:tcPr>
          <w:p w14:paraId="4B513014">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48AFA180">
            <w:pPr>
              <w:pStyle w:val="48"/>
              <w:rPr>
                <w:rFonts w:hint="eastAsia" w:ascii="宋体" w:hAnsi="宋体" w:eastAsia="宋体" w:cs="宋体"/>
                <w:color w:val="auto"/>
                <w:sz w:val="21"/>
                <w:szCs w:val="21"/>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5" w:type="pct"/>
            <w:shd w:val="clear" w:color="auto" w:fill="auto"/>
            <w:vAlign w:val="center"/>
          </w:tcPr>
          <w:p w14:paraId="6C002E13">
            <w:pPr>
              <w:pStyle w:val="48"/>
              <w:numPr>
                <w:ilvl w:val="0"/>
                <w:numId w:val="0"/>
              </w:numPr>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sz w:val="21"/>
                <w:szCs w:val="21"/>
                <w:highlight w:val="none"/>
                <w:lang w:val="en-US" w:eastAsia="zh-CN"/>
              </w:rPr>
              <w:t>5</w:t>
            </w:r>
          </w:p>
        </w:tc>
        <w:tc>
          <w:tcPr>
            <w:tcW w:w="704" w:type="pct"/>
            <w:vAlign w:val="center"/>
          </w:tcPr>
          <w:p w14:paraId="5C91A4A7">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投标文件的澄清、说明、补正</w:t>
            </w:r>
          </w:p>
        </w:tc>
        <w:tc>
          <w:tcPr>
            <w:tcW w:w="2963" w:type="pct"/>
            <w:shd w:val="clear" w:color="auto" w:fill="auto"/>
            <w:vAlign w:val="center"/>
          </w:tcPr>
          <w:p w14:paraId="3E6052BB">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评审期间,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按评标委员会的要求提交经授权代表签字的澄清、说明、补正或</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改变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文件的实质性内容</w:t>
            </w:r>
          </w:p>
        </w:tc>
        <w:tc>
          <w:tcPr>
            <w:tcW w:w="468" w:type="pct"/>
            <w:shd w:val="clear" w:color="auto" w:fill="auto"/>
            <w:vAlign w:val="center"/>
          </w:tcPr>
          <w:p w14:paraId="1EA81190">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2394B23D">
            <w:pPr>
              <w:pStyle w:val="48"/>
              <w:rPr>
                <w:rFonts w:hint="eastAsia" w:ascii="宋体" w:hAnsi="宋体" w:eastAsia="宋体" w:cs="宋体"/>
                <w:color w:val="auto"/>
                <w:sz w:val="21"/>
                <w:szCs w:val="21"/>
                <w:highlight w:val="none"/>
                <w:lang w:val="zh-CN"/>
              </w:rPr>
            </w:pPr>
          </w:p>
        </w:tc>
      </w:tr>
      <w:tr w14:paraId="6D40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5" w:type="pct"/>
            <w:shd w:val="clear" w:color="auto" w:fill="auto"/>
            <w:vAlign w:val="center"/>
          </w:tcPr>
          <w:p w14:paraId="09617D9C">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kern w:val="2"/>
                <w:sz w:val="21"/>
                <w:szCs w:val="21"/>
                <w:highlight w:val="none"/>
                <w:lang w:val="en-US" w:eastAsia="zh-CN" w:bidi="ar-SA"/>
              </w:rPr>
              <w:t>6</w:t>
            </w:r>
          </w:p>
        </w:tc>
        <w:tc>
          <w:tcPr>
            <w:tcW w:w="704" w:type="pct"/>
            <w:vAlign w:val="center"/>
          </w:tcPr>
          <w:p w14:paraId="2016E93A">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投标人影响评标</w:t>
            </w:r>
          </w:p>
        </w:tc>
        <w:tc>
          <w:tcPr>
            <w:tcW w:w="2963" w:type="pct"/>
            <w:shd w:val="clear" w:color="auto" w:fill="auto"/>
            <w:vAlign w:val="center"/>
          </w:tcPr>
          <w:p w14:paraId="50B76BB4">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对采购人、采购代理机构、评标委员会及其工作人员</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施加影响,</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有碍公平、公正</w:t>
            </w:r>
            <w:r>
              <w:rPr>
                <w:rFonts w:hint="eastAsia" w:ascii="宋体" w:hAnsi="宋体" w:eastAsia="宋体" w:cs="宋体"/>
                <w:color w:val="auto"/>
                <w:sz w:val="21"/>
                <w:szCs w:val="21"/>
                <w:highlight w:val="none"/>
                <w:lang w:val="en-US" w:eastAsia="zh-CN"/>
              </w:rPr>
              <w:t>的</w:t>
            </w:r>
          </w:p>
        </w:tc>
        <w:tc>
          <w:tcPr>
            <w:tcW w:w="468" w:type="pct"/>
            <w:shd w:val="clear" w:color="auto" w:fill="auto"/>
            <w:vAlign w:val="center"/>
          </w:tcPr>
          <w:p w14:paraId="75DB24A7">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7D6DA84C">
            <w:pPr>
              <w:pStyle w:val="48"/>
              <w:rPr>
                <w:rFonts w:hint="eastAsia" w:ascii="宋体" w:hAnsi="宋体" w:eastAsia="宋体" w:cs="宋体"/>
                <w:color w:val="auto"/>
                <w:sz w:val="21"/>
                <w:szCs w:val="21"/>
                <w:highlight w:val="none"/>
                <w:lang w:val="zh-CN"/>
              </w:rPr>
            </w:pPr>
          </w:p>
        </w:tc>
      </w:tr>
      <w:tr w14:paraId="6719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06D38870">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7</w:t>
            </w:r>
          </w:p>
        </w:tc>
        <w:tc>
          <w:tcPr>
            <w:tcW w:w="704" w:type="pct"/>
            <w:vAlign w:val="center"/>
          </w:tcPr>
          <w:p w14:paraId="32AEC3D4">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围标串标情形</w:t>
            </w:r>
          </w:p>
        </w:tc>
        <w:tc>
          <w:tcPr>
            <w:tcW w:w="2963" w:type="pct"/>
            <w:shd w:val="clear" w:color="auto" w:fill="auto"/>
            <w:vAlign w:val="center"/>
          </w:tcPr>
          <w:p w14:paraId="68DBD364">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“第五章 评标方法及标准”</w:t>
            </w:r>
            <w:r>
              <w:rPr>
                <w:rFonts w:hint="eastAsia" w:ascii="宋体" w:hAnsi="宋体" w:eastAsia="宋体" w:cs="宋体"/>
                <w:color w:val="auto"/>
                <w:sz w:val="21"/>
                <w:szCs w:val="21"/>
                <w:highlight w:val="none"/>
                <w:lang w:val="en-US" w:eastAsia="zh-CN"/>
              </w:rPr>
              <w:t>第20条情形之一的</w:t>
            </w:r>
          </w:p>
        </w:tc>
        <w:tc>
          <w:tcPr>
            <w:tcW w:w="468" w:type="pct"/>
            <w:shd w:val="clear" w:color="auto" w:fill="auto"/>
            <w:vAlign w:val="center"/>
          </w:tcPr>
          <w:p w14:paraId="5A26F512">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06C24958">
            <w:pPr>
              <w:pStyle w:val="48"/>
              <w:rPr>
                <w:rFonts w:hint="eastAsia" w:ascii="宋体" w:hAnsi="宋体" w:eastAsia="宋体" w:cs="宋体"/>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332BD4A6">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8</w:t>
            </w:r>
          </w:p>
        </w:tc>
        <w:tc>
          <w:tcPr>
            <w:tcW w:w="704" w:type="pct"/>
            <w:vAlign w:val="center"/>
          </w:tcPr>
          <w:p w14:paraId="56EEFE7E">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附加条件</w:t>
            </w:r>
          </w:p>
        </w:tc>
        <w:tc>
          <w:tcPr>
            <w:tcW w:w="2963" w:type="pct"/>
            <w:shd w:val="clear" w:color="auto" w:fill="auto"/>
            <w:vAlign w:val="center"/>
          </w:tcPr>
          <w:p w14:paraId="618DB2FB">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投标文件没有采购人不能接受的附加条件的</w:t>
            </w:r>
          </w:p>
        </w:tc>
        <w:tc>
          <w:tcPr>
            <w:tcW w:w="468" w:type="pct"/>
            <w:shd w:val="clear" w:color="auto" w:fill="auto"/>
            <w:vAlign w:val="center"/>
          </w:tcPr>
          <w:p w14:paraId="36C2A679">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73E4201A">
            <w:pPr>
              <w:pStyle w:val="48"/>
              <w:rPr>
                <w:rFonts w:hint="eastAsia" w:ascii="宋体" w:hAnsi="宋体" w:eastAsia="宋体" w:cs="宋体"/>
                <w:color w:val="auto"/>
                <w:sz w:val="21"/>
                <w:szCs w:val="21"/>
                <w:highlight w:val="none"/>
                <w:lang w:val="zh-CN"/>
              </w:rPr>
            </w:pPr>
          </w:p>
        </w:tc>
      </w:tr>
      <w:tr w14:paraId="5677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3CD6AABE">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9</w:t>
            </w:r>
          </w:p>
        </w:tc>
        <w:tc>
          <w:tcPr>
            <w:tcW w:w="704" w:type="pct"/>
            <w:vAlign w:val="center"/>
          </w:tcPr>
          <w:p w14:paraId="40726A5F">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其他无效情形</w:t>
            </w:r>
          </w:p>
        </w:tc>
        <w:tc>
          <w:tcPr>
            <w:tcW w:w="2963" w:type="pct"/>
            <w:shd w:val="clear" w:color="auto" w:fill="auto"/>
            <w:vAlign w:val="center"/>
          </w:tcPr>
          <w:p w14:paraId="05CC0303">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法律、法规、规章规定属于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无效的其他情形。</w:t>
            </w:r>
          </w:p>
        </w:tc>
        <w:tc>
          <w:tcPr>
            <w:tcW w:w="468" w:type="pct"/>
            <w:shd w:val="clear" w:color="auto" w:fill="auto"/>
            <w:vAlign w:val="center"/>
          </w:tcPr>
          <w:p w14:paraId="3A44DE13">
            <w:pPr>
              <w:pStyle w:val="48"/>
              <w:rPr>
                <w:rFonts w:hint="eastAsia" w:ascii="宋体" w:hAnsi="宋体" w:eastAsia="宋体" w:cs="宋体"/>
                <w:color w:val="auto"/>
                <w:sz w:val="21"/>
                <w:szCs w:val="21"/>
                <w:highlight w:val="none"/>
                <w:lang w:val="zh-CN"/>
              </w:rPr>
            </w:pPr>
          </w:p>
        </w:tc>
        <w:tc>
          <w:tcPr>
            <w:tcW w:w="588" w:type="pct"/>
            <w:shd w:val="clear" w:color="auto" w:fill="auto"/>
            <w:vAlign w:val="center"/>
          </w:tcPr>
          <w:p w14:paraId="5D1C94D8">
            <w:pPr>
              <w:pStyle w:val="48"/>
              <w:rPr>
                <w:rFonts w:hint="eastAsia" w:ascii="宋体" w:hAnsi="宋体" w:eastAsia="宋体" w:cs="宋体"/>
                <w:color w:val="auto"/>
                <w:sz w:val="21"/>
                <w:szCs w:val="21"/>
                <w:highlight w:val="none"/>
                <w:lang w:val="zh-CN"/>
              </w:rPr>
            </w:pPr>
          </w:p>
        </w:tc>
      </w:tr>
    </w:tbl>
    <w:p w14:paraId="1300A53A">
      <w:pPr>
        <w:rPr>
          <w:rFonts w:hint="eastAsia" w:ascii="宋体" w:hAnsi="宋体" w:eastAsia="宋体" w:cstheme="minorBidi"/>
          <w:b/>
          <w:bCs/>
          <w:color w:val="auto"/>
          <w:kern w:val="2"/>
          <w:sz w:val="30"/>
          <w:szCs w:val="32"/>
          <w:highlight w:val="none"/>
          <w:lang w:val="zh-CN" w:eastAsia="zh-CN" w:bidi="ar-SA"/>
        </w:rPr>
      </w:pPr>
      <w:r>
        <w:rPr>
          <w:rFonts w:hint="eastAsia" w:ascii="宋体" w:hAnsi="宋体" w:eastAsia="宋体" w:cstheme="minorBidi"/>
          <w:b/>
          <w:bCs/>
          <w:color w:val="auto"/>
          <w:kern w:val="2"/>
          <w:sz w:val="30"/>
          <w:szCs w:val="32"/>
          <w:highlight w:val="none"/>
          <w:lang w:val="zh-CN" w:eastAsia="zh-CN" w:bidi="ar-SA"/>
        </w:rPr>
        <w:br w:type="page"/>
      </w:r>
    </w:p>
    <w:p w14:paraId="7D635A1B">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3DB6FBF5">
      <w:pPr>
        <w:shd w:val="clear" w:color="auto" w:fill="FFFFFF"/>
        <w:tabs>
          <w:tab w:val="left" w:pos="3045"/>
        </w:tabs>
        <w:autoSpaceDE w:val="0"/>
        <w:autoSpaceDN w:val="0"/>
        <w:adjustRightInd w:val="0"/>
        <w:snapToGrid w:val="0"/>
        <w:spacing w:line="360" w:lineRule="exact"/>
        <w:rPr>
          <w:rFonts w:hint="eastAsia"/>
          <w:color w:val="auto"/>
          <w:highlight w:val="none"/>
        </w:rPr>
      </w:pPr>
      <w:r>
        <w:rPr>
          <w:rFonts w:hint="eastAsia" w:ascii="宋体" w:hAnsi="宋体" w:cs="宋体"/>
          <w:b/>
          <w:color w:val="auto"/>
          <w:sz w:val="24"/>
          <w:highlight w:val="none"/>
        </w:rPr>
        <w:t>符合</w:t>
      </w:r>
      <w:r>
        <w:rPr>
          <w:rFonts w:hint="eastAsia" w:ascii="宋体" w:hAnsi="宋体" w:cs="宋体"/>
          <w:b/>
          <w:color w:val="auto"/>
          <w:sz w:val="24"/>
          <w:highlight w:val="none"/>
          <w:lang w:eastAsia="zh-CN"/>
        </w:rPr>
        <w:t>性</w:t>
      </w:r>
      <w:r>
        <w:rPr>
          <w:rFonts w:hint="eastAsia" w:cs="宋体"/>
          <w:b/>
          <w:color w:val="auto"/>
          <w:sz w:val="24"/>
          <w:highlight w:val="none"/>
          <w:lang w:val="en-US" w:eastAsia="zh-CN"/>
        </w:rPr>
        <w:t>审查表-</w:t>
      </w:r>
      <w:r>
        <w:rPr>
          <w:rFonts w:hint="eastAsia" w:ascii="宋体" w:hAnsi="宋体" w:cs="宋体"/>
          <w:b/>
          <w:color w:val="auto"/>
          <w:sz w:val="24"/>
          <w:highlight w:val="none"/>
        </w:rPr>
        <w:t>附表</w:t>
      </w:r>
    </w:p>
    <w:p w14:paraId="70584E3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529" w:name="_Toc15958"/>
      <w:bookmarkStart w:id="530" w:name="_Toc26981"/>
      <w:bookmarkStart w:id="531" w:name="_Toc32259"/>
      <w:r>
        <w:rPr>
          <w:rFonts w:hint="eastAsia" w:ascii="宋体" w:hAnsi="宋体" w:eastAsia="宋体" w:cstheme="minorBidi"/>
          <w:b/>
          <w:bCs/>
          <w:color w:val="auto"/>
          <w:kern w:val="2"/>
          <w:sz w:val="28"/>
          <w:szCs w:val="28"/>
          <w:highlight w:val="none"/>
          <w:lang w:val="zh-CN" w:eastAsia="zh-CN" w:bidi="ar-SA"/>
        </w:rPr>
        <w:t>实质性响应一览表</w:t>
      </w:r>
      <w:bookmarkEnd w:id="529"/>
      <w:bookmarkEnd w:id="530"/>
      <w:bookmarkEnd w:id="531"/>
    </w:p>
    <w:p w14:paraId="7DFD9111">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须对本附表所有内容逐条响应且无负偏离，否则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212CF784">
      <w:pPr>
        <w:pStyle w:val="23"/>
        <w:rPr>
          <w:rFonts w:hint="eastAsia" w:ascii="宋体" w:hAnsi="宋体" w:cs="宋体"/>
          <w:color w:val="auto"/>
          <w:highlight w:val="none"/>
        </w:rPr>
      </w:pPr>
    </w:p>
    <w:tbl>
      <w:tblPr>
        <w:tblStyle w:val="29"/>
        <w:tblW w:w="5435"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3"/>
        <w:gridCol w:w="4261"/>
        <w:gridCol w:w="1874"/>
        <w:gridCol w:w="732"/>
      </w:tblGrid>
      <w:tr w14:paraId="098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0" w:type="pct"/>
            <w:vMerge w:val="restart"/>
            <w:noWrap w:val="0"/>
            <w:vAlign w:val="center"/>
          </w:tcPr>
          <w:p w14:paraId="7CE32AA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73" w:type="pct"/>
            <w:gridSpan w:val="2"/>
            <w:noWrap w:val="0"/>
            <w:vAlign w:val="center"/>
          </w:tcPr>
          <w:p w14:paraId="01AF850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文件要求的实质性响应内容</w:t>
            </w:r>
          </w:p>
        </w:tc>
        <w:tc>
          <w:tcPr>
            <w:tcW w:w="1010" w:type="pct"/>
            <w:vMerge w:val="restart"/>
            <w:noWrap w:val="0"/>
            <w:vAlign w:val="center"/>
          </w:tcPr>
          <w:p w14:paraId="2428BDF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具体内容</w:t>
            </w:r>
          </w:p>
        </w:tc>
        <w:tc>
          <w:tcPr>
            <w:tcW w:w="395" w:type="pct"/>
            <w:vMerge w:val="restart"/>
            <w:noWrap w:val="0"/>
            <w:vAlign w:val="center"/>
          </w:tcPr>
          <w:p w14:paraId="2BD318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63C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0" w:type="pct"/>
            <w:vMerge w:val="continue"/>
            <w:noWrap w:val="0"/>
            <w:vAlign w:val="center"/>
          </w:tcPr>
          <w:p w14:paraId="01C8640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075" w:type="pct"/>
            <w:noWrap w:val="0"/>
            <w:vAlign w:val="center"/>
          </w:tcPr>
          <w:p w14:paraId="38AFEC8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实质性要求</w:t>
            </w:r>
          </w:p>
        </w:tc>
        <w:tc>
          <w:tcPr>
            <w:tcW w:w="2298" w:type="pct"/>
            <w:noWrap w:val="0"/>
            <w:vAlign w:val="center"/>
          </w:tcPr>
          <w:p w14:paraId="11DB857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招标文件中的规定</w:t>
            </w:r>
          </w:p>
        </w:tc>
        <w:tc>
          <w:tcPr>
            <w:tcW w:w="1010" w:type="pct"/>
            <w:vMerge w:val="continue"/>
            <w:noWrap w:val="0"/>
            <w:vAlign w:val="center"/>
          </w:tcPr>
          <w:p w14:paraId="3D2B011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vMerge w:val="continue"/>
            <w:noWrap w:val="0"/>
            <w:vAlign w:val="center"/>
          </w:tcPr>
          <w:p w14:paraId="485D618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r>
      <w:tr w14:paraId="0E7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ECA803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shd w:val="clear" w:color="auto" w:fill="auto"/>
            <w:noWrap w:val="0"/>
            <w:vAlign w:val="center"/>
          </w:tcPr>
          <w:p w14:paraId="6264251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2298" w:type="pct"/>
            <w:shd w:val="clear" w:color="auto" w:fill="auto"/>
            <w:noWrap w:val="0"/>
            <w:vAlign w:val="center"/>
          </w:tcPr>
          <w:p w14:paraId="3517C39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招标文件“第二章投标须知”关于投标有效期的规定</w:t>
            </w:r>
          </w:p>
        </w:tc>
        <w:tc>
          <w:tcPr>
            <w:tcW w:w="1010" w:type="pct"/>
            <w:noWrap w:val="0"/>
            <w:vAlign w:val="center"/>
          </w:tcPr>
          <w:p w14:paraId="3F7DA8E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729A312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bl>
    <w:p w14:paraId="1E416027">
      <w:pPr>
        <w:rPr>
          <w:rFonts w:hint="eastAsia"/>
          <w:b/>
          <w:bCs/>
          <w:color w:val="auto"/>
          <w:sz w:val="21"/>
          <w:szCs w:val="21"/>
          <w:highlight w:val="none"/>
          <w:lang w:val="en-US" w:eastAsia="zh-CN"/>
        </w:rPr>
      </w:pPr>
    </w:p>
    <w:p w14:paraId="73C7580B">
      <w:pP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注：“实质性响应一览表”中的内容为参考，可根据项目情况自行设置。</w:t>
      </w:r>
    </w:p>
    <w:p w14:paraId="16A7E26A">
      <w:pPr>
        <w:rPr>
          <w:rFonts w:hint="eastAsia" w:ascii="宋体" w:hAnsi="宋体" w:eastAsia="宋体" w:cstheme="minorBidi"/>
          <w:b/>
          <w:bCs/>
          <w:color w:val="auto"/>
          <w:kern w:val="2"/>
          <w:sz w:val="30"/>
          <w:szCs w:val="32"/>
          <w:highlight w:val="none"/>
          <w:lang w:val="zh-CN" w:eastAsia="zh-CN" w:bidi="ar-SA"/>
        </w:rPr>
      </w:pPr>
      <w:r>
        <w:rPr>
          <w:rFonts w:hint="eastAsia" w:ascii="宋体" w:hAnsi="宋体" w:eastAsia="宋体" w:cstheme="minorBidi"/>
          <w:b/>
          <w:bCs/>
          <w:color w:val="auto"/>
          <w:kern w:val="2"/>
          <w:sz w:val="30"/>
          <w:szCs w:val="32"/>
          <w:highlight w:val="none"/>
          <w:lang w:val="zh-CN" w:eastAsia="zh-CN" w:bidi="ar-SA"/>
        </w:rPr>
        <w:br w:type="page"/>
      </w:r>
    </w:p>
    <w:p w14:paraId="3FE0903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2" w:name="_Toc27284"/>
      <w:bookmarkStart w:id="533" w:name="_Toc9173"/>
      <w:bookmarkStart w:id="534" w:name="_Toc30949"/>
      <w:r>
        <w:rPr>
          <w:rFonts w:hint="eastAsia" w:ascii="宋体" w:hAnsi="宋体" w:eastAsia="宋体" w:cs="宋体"/>
          <w:b/>
          <w:bCs/>
          <w:color w:val="auto"/>
          <w:kern w:val="2"/>
          <w:sz w:val="24"/>
          <w:szCs w:val="24"/>
          <w:highlight w:val="none"/>
          <w:lang w:val="zh-CN" w:eastAsia="zh-CN" w:bidi="ar-SA"/>
        </w:rPr>
        <w:t>（二）评分标准</w:t>
      </w:r>
      <w:bookmarkEnd w:id="527"/>
      <w:bookmarkEnd w:id="528"/>
      <w:bookmarkEnd w:id="532"/>
      <w:bookmarkEnd w:id="533"/>
      <w:bookmarkEnd w:id="534"/>
    </w:p>
    <w:p w14:paraId="7679D3A0">
      <w:pPr>
        <w:rPr>
          <w:rFonts w:hint="eastAsia"/>
          <w:color w:val="auto"/>
          <w:sz w:val="21"/>
          <w:szCs w:val="21"/>
          <w:highlight w:val="none"/>
          <w:lang w:val="zh-CN" w:eastAsia="zh-CN"/>
        </w:rPr>
      </w:pPr>
      <w:r>
        <w:rPr>
          <w:rFonts w:hint="eastAsia"/>
          <w:color w:val="auto"/>
          <w:sz w:val="21"/>
          <w:szCs w:val="21"/>
          <w:highlight w:val="none"/>
          <w:lang w:val="en-US" w:eastAsia="zh-CN"/>
        </w:rPr>
        <w:t>注：以下评标分项根据项目实际情况可自行设置。</w:t>
      </w:r>
    </w:p>
    <w:tbl>
      <w:tblPr>
        <w:tblStyle w:val="29"/>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574"/>
        <w:gridCol w:w="1000"/>
        <w:gridCol w:w="6040"/>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7" w:type="pct"/>
            <w:shd w:val="clear" w:color="auto" w:fill="D8D8D8" w:themeFill="background1" w:themeFillShade="D9"/>
            <w:vAlign w:val="center"/>
          </w:tcPr>
          <w:p w14:paraId="4924CA4E">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836" w:type="pct"/>
            <w:shd w:val="clear" w:color="auto" w:fill="D8D8D8" w:themeFill="background1" w:themeFillShade="D9"/>
            <w:vAlign w:val="center"/>
          </w:tcPr>
          <w:p w14:paraId="7A3DCB70">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评标分项</w:t>
            </w:r>
          </w:p>
        </w:tc>
        <w:tc>
          <w:tcPr>
            <w:tcW w:w="532" w:type="pct"/>
            <w:shd w:val="clear" w:color="auto" w:fill="D8D8D8" w:themeFill="background1" w:themeFillShade="D9"/>
            <w:vAlign w:val="center"/>
          </w:tcPr>
          <w:p w14:paraId="65B86E0D">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213" w:type="pct"/>
            <w:shd w:val="clear" w:color="auto" w:fill="D8D8D8" w:themeFill="background1" w:themeFillShade="D9"/>
            <w:vAlign w:val="center"/>
          </w:tcPr>
          <w:p w14:paraId="467A385D">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子项目及分值</w:t>
            </w:r>
          </w:p>
        </w:tc>
      </w:tr>
      <w:tr w14:paraId="497D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417" w:type="pct"/>
            <w:vAlign w:val="center"/>
          </w:tcPr>
          <w:p w14:paraId="3C48038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375F38A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836" w:type="pct"/>
            <w:tcBorders>
              <w:bottom w:val="single" w:color="auto" w:sz="4" w:space="0"/>
            </w:tcBorders>
            <w:vAlign w:val="center"/>
          </w:tcPr>
          <w:p w14:paraId="4D31CF3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2" w:type="pct"/>
            <w:vAlign w:val="center"/>
          </w:tcPr>
          <w:p w14:paraId="318A84CC">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p>
        </w:tc>
        <w:tc>
          <w:tcPr>
            <w:tcW w:w="3213" w:type="pct"/>
            <w:vAlign w:val="center"/>
          </w:tcPr>
          <w:p w14:paraId="76A28B05">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w:t>
            </w:r>
          </w:p>
          <w:p w14:paraId="5254A4DB">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w:t>
            </w:r>
            <w:r>
              <w:rPr>
                <w:rFonts w:hint="eastAsia" w:ascii="宋体" w:hAnsi="宋体" w:eastAsia="宋体" w:cs="宋体"/>
                <w:color w:val="auto"/>
                <w:sz w:val="21"/>
                <w:szCs w:val="21"/>
                <w:highlight w:val="none"/>
                <w:lang w:eastAsia="zh-CN"/>
              </w:rPr>
              <w:t>分值</w:t>
            </w:r>
          </w:p>
          <w:p w14:paraId="201E7F07">
            <w:pPr>
              <w:pStyle w:val="4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rPr>
              <w:t>中价格扣除规定的，在评审时予以价格扣除，用扣除后的价格参与评审。</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7" w:type="pct"/>
            <w:vMerge w:val="restart"/>
            <w:vAlign w:val="center"/>
          </w:tcPr>
          <w:p w14:paraId="0EA6283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6C0619A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836" w:type="pct"/>
            <w:tcBorders>
              <w:top w:val="single" w:color="auto" w:sz="4" w:space="0"/>
            </w:tcBorders>
            <w:vAlign w:val="center"/>
          </w:tcPr>
          <w:p w14:paraId="7B47B92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类似项目业绩</w:t>
            </w:r>
          </w:p>
        </w:tc>
        <w:tc>
          <w:tcPr>
            <w:tcW w:w="532" w:type="pct"/>
            <w:vAlign w:val="center"/>
          </w:tcPr>
          <w:p w14:paraId="4E7EA155">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3213" w:type="pct"/>
            <w:vAlign w:val="center"/>
          </w:tcPr>
          <w:p w14:paraId="63DA64FC">
            <w:pPr>
              <w:pStyle w:val="48"/>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近三年有类似项目业绩的，每提供一个得</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分，最高</w:t>
            </w:r>
            <w:r>
              <w:rPr>
                <w:rFonts w:hint="eastAsia" w:cs="宋体"/>
                <w:color w:val="auto"/>
                <w:sz w:val="21"/>
                <w:szCs w:val="21"/>
                <w:highlight w:val="none"/>
                <w:lang w:val="en-US" w:eastAsia="zh-CN"/>
              </w:rPr>
              <w:t>得1</w:t>
            </w:r>
            <w:r>
              <w:rPr>
                <w:rFonts w:hint="eastAsia" w:ascii="宋体" w:hAnsi="宋体" w:eastAsia="宋体" w:cs="宋体"/>
                <w:color w:val="auto"/>
                <w:sz w:val="21"/>
                <w:szCs w:val="21"/>
                <w:highlight w:val="none"/>
                <w:lang w:val="en-US" w:eastAsia="zh-CN"/>
              </w:rPr>
              <w:t xml:space="preserve">分。 </w:t>
            </w:r>
          </w:p>
          <w:p w14:paraId="00872C1F">
            <w:pPr>
              <w:pStyle w:val="48"/>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注：需提供业绩证明材料（中标/ 成交通知书或合同协议书）</w:t>
            </w:r>
          </w:p>
        </w:tc>
      </w:tr>
      <w:tr w14:paraId="05A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7" w:type="pct"/>
            <w:vMerge w:val="continue"/>
            <w:vAlign w:val="center"/>
          </w:tcPr>
          <w:p w14:paraId="3BD7C09E">
            <w:pPr>
              <w:pStyle w:val="48"/>
              <w:jc w:val="center"/>
              <w:rPr>
                <w:rFonts w:hint="eastAsia" w:ascii="宋体" w:hAnsi="宋体" w:eastAsia="宋体" w:cs="宋体"/>
                <w:color w:val="auto"/>
                <w:sz w:val="21"/>
                <w:szCs w:val="21"/>
                <w:highlight w:val="none"/>
              </w:rPr>
            </w:pPr>
          </w:p>
        </w:tc>
        <w:tc>
          <w:tcPr>
            <w:tcW w:w="836" w:type="pct"/>
            <w:tcBorders>
              <w:top w:val="single" w:color="auto" w:sz="4" w:space="0"/>
            </w:tcBorders>
            <w:vAlign w:val="center"/>
          </w:tcPr>
          <w:p w14:paraId="35AED6A0">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服务响应</w:t>
            </w:r>
          </w:p>
        </w:tc>
        <w:tc>
          <w:tcPr>
            <w:tcW w:w="532" w:type="pct"/>
            <w:vAlign w:val="center"/>
          </w:tcPr>
          <w:p w14:paraId="5CC6F5C7">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3213" w:type="pct"/>
            <w:vAlign w:val="center"/>
          </w:tcPr>
          <w:p w14:paraId="423C2D10">
            <w:pPr>
              <w:pStyle w:val="4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据投标人服务响应时间进行评审：投标人承诺出现问题保证30 分钟内响应，1小时内解决故障得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分；保证2小时内响应，4小时内解决故障得2分。保证4小时内响应，6小时内解决故障得1分。未提供承诺不得分。（投标人在投标文件以承诺函形式进行承诺加盖投标人公章）</w:t>
            </w:r>
          </w:p>
        </w:tc>
      </w:tr>
      <w:tr w14:paraId="1E7C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7" w:type="pct"/>
            <w:vMerge w:val="continue"/>
            <w:vAlign w:val="center"/>
          </w:tcPr>
          <w:p w14:paraId="62336E52">
            <w:pPr>
              <w:pStyle w:val="48"/>
              <w:jc w:val="center"/>
              <w:rPr>
                <w:rFonts w:hint="eastAsia" w:ascii="宋体" w:hAnsi="宋体" w:eastAsia="宋体" w:cs="宋体"/>
                <w:color w:val="auto"/>
                <w:sz w:val="21"/>
                <w:szCs w:val="21"/>
                <w:highlight w:val="none"/>
              </w:rPr>
            </w:pPr>
          </w:p>
        </w:tc>
        <w:tc>
          <w:tcPr>
            <w:tcW w:w="836" w:type="pct"/>
            <w:tcBorders>
              <w:top w:val="single" w:color="auto" w:sz="4" w:space="0"/>
            </w:tcBorders>
            <w:vAlign w:val="center"/>
          </w:tcPr>
          <w:p w14:paraId="16595CC7">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组织机构及人员配置</w:t>
            </w:r>
          </w:p>
        </w:tc>
        <w:tc>
          <w:tcPr>
            <w:tcW w:w="532" w:type="pct"/>
            <w:vAlign w:val="center"/>
          </w:tcPr>
          <w:p w14:paraId="48AA2DE0">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p>
        </w:tc>
        <w:tc>
          <w:tcPr>
            <w:tcW w:w="3213" w:type="pct"/>
            <w:vAlign w:val="center"/>
          </w:tcPr>
          <w:p w14:paraId="36694946">
            <w:pPr>
              <w:pStyle w:val="4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根据本项目采购需求，需配备10名人员，满足10人得</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分，每多增加1人加</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分，最高加</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分。本项最高得</w:t>
            </w:r>
            <w:r>
              <w:rPr>
                <w:rFonts w:hint="eastAsia"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分。后附拟投入本项目人员身份证复印件，否则不得分。</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417" w:type="pct"/>
            <w:vMerge w:val="restart"/>
            <w:vAlign w:val="center"/>
          </w:tcPr>
          <w:p w14:paraId="009533A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3C5A6CF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836" w:type="pct"/>
            <w:tcBorders>
              <w:top w:val="single" w:color="auto" w:sz="4" w:space="0"/>
            </w:tcBorders>
            <w:vAlign w:val="center"/>
          </w:tcPr>
          <w:p w14:paraId="1ECFDBB7">
            <w:pPr>
              <w:pStyle w:val="5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en-US" w:bidi="ar-SA"/>
              </w:rPr>
              <w:t>工作计划及整体思路</w:t>
            </w:r>
          </w:p>
        </w:tc>
        <w:tc>
          <w:tcPr>
            <w:tcW w:w="532" w:type="pct"/>
            <w:vAlign w:val="center"/>
          </w:tcPr>
          <w:p w14:paraId="35C961A9">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3213" w:type="pct"/>
            <w:vAlign w:val="center"/>
          </w:tcPr>
          <w:p w14:paraId="5050357A">
            <w:pPr>
              <w:pStyle w:val="48"/>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en-US"/>
              </w:rPr>
              <w:t>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en-US"/>
              </w:rPr>
              <w:t>文件要求，针对本项目提供相对应的整体工作阶段任务计划、服务质量保证体系和应对措施、工作思路。上述 3 项内容描述清晰完整且与项目需求相符合的得12分，方案不合理、表述不充分每有一条扣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en-US"/>
              </w:rPr>
              <w:t>分，未提供的不得分。(备注：不合理指方案简略、阐述不清楚且存在不适用 本项目实际情况的情形，项目名称、实施地点、内容前后不一致、前后逻辑错误、涉及的规范或标准错误、直接套用其他项目内容的)</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417" w:type="pct"/>
            <w:vMerge w:val="continue"/>
            <w:vAlign w:val="center"/>
          </w:tcPr>
          <w:p w14:paraId="24E10105">
            <w:pPr>
              <w:pStyle w:val="48"/>
              <w:jc w:val="center"/>
              <w:rPr>
                <w:rFonts w:hint="eastAsia" w:ascii="宋体" w:hAnsi="宋体" w:eastAsia="宋体" w:cs="宋体"/>
                <w:color w:val="auto"/>
                <w:sz w:val="21"/>
                <w:szCs w:val="21"/>
                <w:highlight w:val="none"/>
              </w:rPr>
            </w:pPr>
          </w:p>
        </w:tc>
        <w:tc>
          <w:tcPr>
            <w:tcW w:w="836" w:type="pct"/>
            <w:vAlign w:val="center"/>
          </w:tcPr>
          <w:p w14:paraId="5DE92257">
            <w:pPr>
              <w:pStyle w:val="5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项目管理</w:t>
            </w:r>
          </w:p>
          <w:p w14:paraId="4D90C3C8">
            <w:pPr>
              <w:pStyle w:val="5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w:t>
            </w:r>
          </w:p>
          <w:p w14:paraId="308B8F92">
            <w:pPr>
              <w:pStyle w:val="55"/>
              <w:jc w:val="center"/>
              <w:rPr>
                <w:rFonts w:hint="eastAsia" w:ascii="宋体" w:hAnsi="宋体" w:eastAsia="宋体" w:cs="宋体"/>
                <w:color w:val="auto"/>
                <w:kern w:val="2"/>
                <w:sz w:val="21"/>
                <w:szCs w:val="21"/>
                <w:highlight w:val="none"/>
                <w:lang w:val="en-US" w:eastAsia="zh-CN" w:bidi="ar-SA"/>
              </w:rPr>
            </w:pPr>
          </w:p>
        </w:tc>
        <w:tc>
          <w:tcPr>
            <w:tcW w:w="532" w:type="pct"/>
            <w:vAlign w:val="center"/>
          </w:tcPr>
          <w:p w14:paraId="7922AA03">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3213" w:type="pct"/>
            <w:vAlign w:val="center"/>
          </w:tcPr>
          <w:p w14:paraId="08F1C419">
            <w:pPr>
              <w:pStyle w:val="48"/>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根据采购需求中的服务内容的实质性要求，制定具体的项目服务方案，包括：1.日常巡查和道路检查；2.路基日常养护；3.路面日常养护；4.桥涵日常养护；5.</w:t>
            </w:r>
            <w:r>
              <w:rPr>
                <w:rFonts w:hint="eastAsia" w:cs="宋体"/>
                <w:color w:val="auto"/>
                <w:sz w:val="21"/>
                <w:szCs w:val="21"/>
                <w:highlight w:val="none"/>
                <w:lang w:val="en-US" w:eastAsia="zh-CN"/>
              </w:rPr>
              <w:t>公路</w:t>
            </w:r>
            <w:r>
              <w:rPr>
                <w:rFonts w:hint="eastAsia" w:ascii="宋体" w:hAnsi="宋体" w:eastAsia="宋体" w:cs="宋体"/>
                <w:color w:val="auto"/>
                <w:sz w:val="21"/>
                <w:szCs w:val="21"/>
                <w:highlight w:val="none"/>
                <w:lang w:val="en-US" w:eastAsia="zh-CN"/>
              </w:rPr>
              <w:t>沿线设施日常养护。上述</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项内容描述清晰完整且与项目需求相符合的得30分。方案不合理、表述不充分每有一条扣1分，未提供的不得分。 (备注：不合理指方案简略、阐述不清楚且存在不适用本项目实际情况的情形，项目名称、实施地点、 内容前后不一致、前后逻辑错误、涉及的规范或标准错误、直接套用其他项目内容的)</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417" w:type="pct"/>
            <w:vMerge w:val="continue"/>
            <w:vAlign w:val="center"/>
          </w:tcPr>
          <w:p w14:paraId="6BC81CA5">
            <w:pPr>
              <w:pStyle w:val="48"/>
              <w:jc w:val="center"/>
              <w:rPr>
                <w:rFonts w:hint="eastAsia" w:ascii="宋体" w:hAnsi="宋体" w:eastAsia="宋体" w:cs="宋体"/>
                <w:color w:val="auto"/>
                <w:sz w:val="21"/>
                <w:szCs w:val="21"/>
                <w:highlight w:val="none"/>
              </w:rPr>
            </w:pPr>
          </w:p>
        </w:tc>
        <w:tc>
          <w:tcPr>
            <w:tcW w:w="836" w:type="pct"/>
            <w:vAlign w:val="center"/>
          </w:tcPr>
          <w:p w14:paraId="4FF5A0D7">
            <w:pPr>
              <w:pStyle w:val="5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安全文明作业控制措施</w:t>
            </w:r>
          </w:p>
        </w:tc>
        <w:tc>
          <w:tcPr>
            <w:tcW w:w="532" w:type="pct"/>
            <w:vAlign w:val="center"/>
          </w:tcPr>
          <w:p w14:paraId="124035BA">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分 </w:t>
            </w:r>
          </w:p>
        </w:tc>
        <w:tc>
          <w:tcPr>
            <w:tcW w:w="3213" w:type="pct"/>
            <w:vAlign w:val="center"/>
          </w:tcPr>
          <w:p w14:paraId="012BAC0B">
            <w:pPr>
              <w:pStyle w:val="48"/>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根据供应商针对本项目提供的安全文明作业控制措施进行综合比较，安全文明作业控制措 施内容包括:1.人员培训；2.安全教育；3.安全措施；4.考核制度方面进行综合评分。上述 4项内容描述清晰完整且与项目需求相符合的得 8 分，方案不合理、表述不充分每有一条扣1分，未提供的不得分。(备注：不合理指方案简略、阐述不清楚且存在不适用本项目实际情况的情形，项目名称、实施地点、内容前后不一致、前后逻辑错误、涉及的规范或标准错误、直接套用其他项目内容的)</w:t>
            </w: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417" w:type="pct"/>
            <w:vMerge w:val="continue"/>
            <w:vAlign w:val="center"/>
          </w:tcPr>
          <w:p w14:paraId="0520050F">
            <w:pPr>
              <w:pStyle w:val="48"/>
              <w:jc w:val="center"/>
              <w:rPr>
                <w:rFonts w:hint="eastAsia" w:ascii="宋体" w:hAnsi="宋体" w:eastAsia="宋体" w:cs="宋体"/>
                <w:color w:val="auto"/>
                <w:sz w:val="21"/>
                <w:szCs w:val="21"/>
                <w:highlight w:val="none"/>
              </w:rPr>
            </w:pPr>
          </w:p>
        </w:tc>
        <w:tc>
          <w:tcPr>
            <w:tcW w:w="836" w:type="pct"/>
            <w:vAlign w:val="center"/>
          </w:tcPr>
          <w:p w14:paraId="4009041A">
            <w:pPr>
              <w:pStyle w:val="55"/>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应急服务能力</w:t>
            </w:r>
          </w:p>
        </w:tc>
        <w:tc>
          <w:tcPr>
            <w:tcW w:w="532" w:type="pct"/>
            <w:vAlign w:val="center"/>
          </w:tcPr>
          <w:p w14:paraId="56908100">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3213" w:type="pct"/>
            <w:vAlign w:val="center"/>
          </w:tcPr>
          <w:p w14:paraId="17119387">
            <w:pPr>
              <w:pStyle w:val="48"/>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根据供应商针对本项目提供的应急方案进行综合比较，应急方案内容包括:1.突发事件；2.特殊天气、 自然灾害；3.应急事故方案；4.重大节日或迎检活动；5.交通事故方面进行综合评分。上述 5 项内容描述清晰完整且与项目需求相符合的得10分，方案不合理、表述不充分每有一条扣1分， 未提供的不得分。 (备注：不合理指方案简略、 阐述不清楚且存在不适用本项目实际情况的情形，项目名称、实施地点、内容前后不一致、前后逻辑错误、涉及的规范或标准错误、直接套用其他项目内容的)</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54" w:type="pct"/>
            <w:gridSpan w:val="2"/>
            <w:vAlign w:val="center"/>
          </w:tcPr>
          <w:p w14:paraId="1F1436F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532" w:type="pct"/>
            <w:tcBorders>
              <w:bottom w:val="single" w:color="auto" w:sz="4" w:space="0"/>
            </w:tcBorders>
            <w:vAlign w:val="center"/>
          </w:tcPr>
          <w:p w14:paraId="2C7F1184">
            <w:pPr>
              <w:pStyle w:val="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=SUM(ABOVE)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分</w:t>
            </w:r>
          </w:p>
        </w:tc>
        <w:tc>
          <w:tcPr>
            <w:tcW w:w="3213" w:type="pct"/>
            <w:tcBorders>
              <w:bottom w:val="single" w:color="auto" w:sz="4" w:space="0"/>
            </w:tcBorders>
            <w:vAlign w:val="center"/>
          </w:tcPr>
          <w:p w14:paraId="7EBD69F8">
            <w:pPr>
              <w:pStyle w:val="48"/>
              <w:rPr>
                <w:rFonts w:hint="eastAsia" w:ascii="宋体" w:hAnsi="宋体" w:eastAsia="宋体" w:cs="宋体"/>
                <w:color w:val="auto"/>
                <w:sz w:val="21"/>
                <w:szCs w:val="21"/>
                <w:highlight w:val="none"/>
              </w:rPr>
            </w:pPr>
          </w:p>
        </w:tc>
      </w:tr>
    </w:tbl>
    <w:p w14:paraId="04B10D29">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535" w:name="_Toc155185918"/>
      <w:bookmarkStart w:id="536" w:name="_Toc17112"/>
    </w:p>
    <w:p w14:paraId="273DE4C1">
      <w:pPr>
        <w:rPr>
          <w:rFonts w:hint="eastAsia" w:ascii="宋体" w:hAnsi="宋体" w:eastAsia="宋体" w:cs="宋体"/>
          <w:b/>
          <w:bCs/>
          <w:color w:val="auto"/>
          <w:kern w:val="44"/>
          <w:sz w:val="36"/>
          <w:szCs w:val="36"/>
          <w:highlight w:val="none"/>
          <w:lang w:val="zh-CN" w:eastAsia="zh-CN" w:bidi="ar-SA"/>
        </w:rPr>
      </w:pPr>
    </w:p>
    <w:p w14:paraId="5356E054">
      <w:pPr>
        <w:rPr>
          <w:rFonts w:hint="eastAsia" w:ascii="宋体" w:hAnsi="宋体" w:eastAsia="宋体" w:cs="宋体"/>
          <w:b/>
          <w:bCs/>
          <w:color w:val="auto"/>
          <w:kern w:val="44"/>
          <w:sz w:val="36"/>
          <w:szCs w:val="36"/>
          <w:highlight w:val="none"/>
          <w:lang w:val="zh-CN" w:eastAsia="zh-CN" w:bidi="ar-SA"/>
        </w:rPr>
      </w:pPr>
    </w:p>
    <w:p w14:paraId="6F479C9D">
      <w:pPr>
        <w:rPr>
          <w:rFonts w:hint="eastAsia" w:ascii="宋体" w:hAnsi="宋体" w:eastAsia="宋体" w:cs="宋体"/>
          <w:b/>
          <w:bCs/>
          <w:color w:val="auto"/>
          <w:kern w:val="44"/>
          <w:sz w:val="36"/>
          <w:szCs w:val="36"/>
          <w:highlight w:val="none"/>
          <w:lang w:val="zh-CN" w:eastAsia="zh-CN" w:bidi="ar-SA"/>
        </w:rPr>
      </w:pPr>
    </w:p>
    <w:p w14:paraId="26AF5FC7">
      <w:pPr>
        <w:rPr>
          <w:rFonts w:hint="eastAsia" w:ascii="宋体" w:hAnsi="宋体" w:eastAsia="宋体" w:cs="宋体"/>
          <w:b/>
          <w:bCs/>
          <w:color w:val="auto"/>
          <w:kern w:val="44"/>
          <w:sz w:val="36"/>
          <w:szCs w:val="36"/>
          <w:highlight w:val="none"/>
          <w:lang w:val="zh-CN" w:eastAsia="zh-CN" w:bidi="ar-SA"/>
        </w:rPr>
      </w:pPr>
    </w:p>
    <w:p w14:paraId="645FB4E4">
      <w:pPr>
        <w:rPr>
          <w:rFonts w:hint="eastAsia" w:ascii="宋体" w:hAnsi="宋体" w:eastAsia="宋体" w:cs="宋体"/>
          <w:b/>
          <w:bCs/>
          <w:color w:val="auto"/>
          <w:kern w:val="44"/>
          <w:sz w:val="36"/>
          <w:szCs w:val="36"/>
          <w:highlight w:val="none"/>
          <w:lang w:val="zh-CN" w:eastAsia="zh-CN" w:bidi="ar-SA"/>
        </w:rPr>
      </w:pPr>
    </w:p>
    <w:p w14:paraId="3F56F95E">
      <w:pPr>
        <w:rPr>
          <w:rFonts w:hint="eastAsia" w:ascii="宋体" w:hAnsi="宋体" w:eastAsia="宋体" w:cs="宋体"/>
          <w:b/>
          <w:bCs/>
          <w:color w:val="auto"/>
          <w:kern w:val="44"/>
          <w:sz w:val="36"/>
          <w:szCs w:val="36"/>
          <w:highlight w:val="none"/>
          <w:lang w:val="zh-CN" w:eastAsia="zh-CN" w:bidi="ar-SA"/>
        </w:rPr>
      </w:pPr>
    </w:p>
    <w:p w14:paraId="3FF9C66D">
      <w:pPr>
        <w:rPr>
          <w:rFonts w:hint="eastAsia" w:ascii="宋体" w:hAnsi="宋体" w:eastAsia="宋体" w:cs="宋体"/>
          <w:b/>
          <w:bCs/>
          <w:color w:val="auto"/>
          <w:kern w:val="44"/>
          <w:sz w:val="36"/>
          <w:szCs w:val="36"/>
          <w:highlight w:val="none"/>
          <w:lang w:val="zh-CN" w:eastAsia="zh-CN" w:bidi="ar-SA"/>
        </w:rPr>
      </w:pPr>
    </w:p>
    <w:p w14:paraId="63DC68AD">
      <w:pPr>
        <w:rPr>
          <w:rFonts w:hint="eastAsia" w:ascii="宋体" w:hAnsi="宋体" w:eastAsia="宋体" w:cs="宋体"/>
          <w:b/>
          <w:bCs/>
          <w:color w:val="auto"/>
          <w:kern w:val="44"/>
          <w:sz w:val="36"/>
          <w:szCs w:val="36"/>
          <w:highlight w:val="none"/>
          <w:lang w:val="zh-CN" w:eastAsia="zh-CN" w:bidi="ar-SA"/>
        </w:rPr>
      </w:pPr>
    </w:p>
    <w:p w14:paraId="2C5D5D86">
      <w:pPr>
        <w:rPr>
          <w:rFonts w:hint="eastAsia" w:ascii="宋体" w:hAnsi="宋体" w:eastAsia="宋体" w:cs="宋体"/>
          <w:b/>
          <w:bCs/>
          <w:color w:val="auto"/>
          <w:kern w:val="44"/>
          <w:sz w:val="36"/>
          <w:szCs w:val="36"/>
          <w:highlight w:val="none"/>
          <w:lang w:val="zh-CN" w:eastAsia="zh-CN" w:bidi="ar-SA"/>
        </w:rPr>
      </w:pPr>
    </w:p>
    <w:p w14:paraId="36E7FDD6">
      <w:pPr>
        <w:rPr>
          <w:rFonts w:hint="eastAsia" w:ascii="宋体" w:hAnsi="宋体" w:eastAsia="宋体" w:cs="宋体"/>
          <w:b/>
          <w:bCs/>
          <w:color w:val="auto"/>
          <w:kern w:val="44"/>
          <w:sz w:val="36"/>
          <w:szCs w:val="36"/>
          <w:highlight w:val="none"/>
          <w:lang w:val="zh-CN" w:eastAsia="zh-CN" w:bidi="ar-SA"/>
        </w:rPr>
      </w:pPr>
    </w:p>
    <w:p w14:paraId="3CC6B02D">
      <w:pPr>
        <w:rPr>
          <w:rFonts w:hint="eastAsia" w:ascii="宋体" w:hAnsi="宋体" w:eastAsia="宋体" w:cs="宋体"/>
          <w:b/>
          <w:bCs/>
          <w:color w:val="auto"/>
          <w:kern w:val="44"/>
          <w:sz w:val="36"/>
          <w:szCs w:val="36"/>
          <w:highlight w:val="none"/>
          <w:lang w:val="zh-CN" w:eastAsia="zh-CN" w:bidi="ar-SA"/>
        </w:rPr>
      </w:pPr>
    </w:p>
    <w:p w14:paraId="2BF0EE21">
      <w:pPr>
        <w:rPr>
          <w:rFonts w:hint="eastAsia" w:ascii="宋体" w:hAnsi="宋体" w:eastAsia="宋体" w:cs="宋体"/>
          <w:b/>
          <w:bCs/>
          <w:color w:val="auto"/>
          <w:kern w:val="44"/>
          <w:sz w:val="36"/>
          <w:szCs w:val="36"/>
          <w:highlight w:val="none"/>
          <w:lang w:val="zh-CN" w:eastAsia="zh-CN" w:bidi="ar-SA"/>
        </w:rPr>
      </w:pPr>
    </w:p>
    <w:p w14:paraId="23CC9153">
      <w:pPr>
        <w:rPr>
          <w:rFonts w:hint="eastAsia" w:ascii="宋体" w:hAnsi="宋体" w:eastAsia="宋体" w:cs="宋体"/>
          <w:b/>
          <w:bCs/>
          <w:color w:val="auto"/>
          <w:kern w:val="44"/>
          <w:sz w:val="36"/>
          <w:szCs w:val="36"/>
          <w:highlight w:val="none"/>
          <w:lang w:val="zh-CN" w:eastAsia="zh-CN" w:bidi="ar-SA"/>
        </w:rPr>
      </w:pPr>
    </w:p>
    <w:p w14:paraId="54C8715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r>
        <w:rPr>
          <w:rFonts w:hint="eastAsia" w:ascii="宋体" w:hAnsi="宋体" w:eastAsia="宋体" w:cs="宋体"/>
          <w:b/>
          <w:bCs/>
          <w:color w:val="auto"/>
          <w:kern w:val="44"/>
          <w:sz w:val="36"/>
          <w:szCs w:val="36"/>
          <w:highlight w:val="none"/>
          <w:lang w:val="zh-CN" w:eastAsia="zh-CN" w:bidi="ar-SA"/>
        </w:rPr>
        <w:t>第六章 合同</w:t>
      </w:r>
      <w:bookmarkEnd w:id="535"/>
      <w:r>
        <w:rPr>
          <w:rFonts w:hint="eastAsia" w:ascii="宋体" w:hAnsi="宋体" w:eastAsia="宋体" w:cs="宋体"/>
          <w:b/>
          <w:bCs/>
          <w:color w:val="auto"/>
          <w:kern w:val="44"/>
          <w:sz w:val="36"/>
          <w:szCs w:val="36"/>
          <w:highlight w:val="none"/>
          <w:lang w:val="zh-CN" w:eastAsia="zh-CN" w:bidi="ar-SA"/>
        </w:rPr>
        <w:t>草案</w:t>
      </w:r>
      <w:bookmarkEnd w:id="536"/>
    </w:p>
    <w:p w14:paraId="0F73DEB3">
      <w:pPr>
        <w:wordWrap w:val="0"/>
        <w:jc w:val="center"/>
        <w:rPr>
          <w:bCs/>
          <w:color w:val="auto"/>
          <w:sz w:val="36"/>
          <w:szCs w:val="36"/>
          <w:highlight w:val="none"/>
        </w:rPr>
      </w:pPr>
      <w:r>
        <w:rPr>
          <w:rFonts w:hint="eastAsia"/>
          <w:color w:val="auto"/>
          <w:highlight w:val="none"/>
        </w:rPr>
        <w:t>（</w:t>
      </w:r>
      <w:r>
        <w:rPr>
          <w:rFonts w:hint="eastAsia"/>
          <w:color w:val="auto"/>
          <w:szCs w:val="24"/>
          <w:highlight w:val="none"/>
        </w:rPr>
        <w:t>此合同书仅作为签订正式合同时的参考，正式合同书应包括本参考格式的内容）</w:t>
      </w:r>
    </w:p>
    <w:p w14:paraId="51E629DD">
      <w:pPr>
        <w:wordWrap w:val="0"/>
        <w:rPr>
          <w:bCs/>
          <w:color w:val="auto"/>
          <w:sz w:val="28"/>
          <w:szCs w:val="28"/>
          <w:highlight w:val="none"/>
        </w:rPr>
      </w:pPr>
      <w:r>
        <w:rPr>
          <w:rFonts w:hint="eastAsia" w:cs="Helvetica"/>
          <w:bCs/>
          <w:color w:val="auto"/>
          <w:szCs w:val="24"/>
          <w:highlight w:val="none"/>
          <w:lang w:val="zh-CN"/>
        </w:rPr>
        <w:t>合同编号：</w:t>
      </w:r>
      <w:r>
        <w:rPr>
          <w:rFonts w:hint="eastAsia" w:cs="Helvetica"/>
          <w:bCs/>
          <w:color w:val="auto"/>
          <w:szCs w:val="24"/>
          <w:highlight w:val="none"/>
          <w:u w:val="single"/>
        </w:rPr>
        <w:t xml:space="preserve">              </w:t>
      </w:r>
    </w:p>
    <w:p w14:paraId="4DD54709">
      <w:pPr>
        <w:pStyle w:val="13"/>
        <w:spacing w:after="0"/>
        <w:jc w:val="center"/>
        <w:rPr>
          <w:rFonts w:ascii="宋体" w:hAnsi="宋体" w:cs="宋体"/>
          <w:b/>
          <w:bCs/>
          <w:color w:val="auto"/>
          <w:spacing w:val="-20"/>
          <w:kern w:val="44"/>
          <w:sz w:val="48"/>
          <w:szCs w:val="48"/>
          <w:highlight w:val="none"/>
        </w:rPr>
      </w:pPr>
      <w:bookmarkStart w:id="537" w:name="_Toc3995"/>
    </w:p>
    <w:p w14:paraId="3B059C39">
      <w:pPr>
        <w:pStyle w:val="13"/>
        <w:rPr>
          <w:color w:val="auto"/>
          <w:highlight w:val="none"/>
        </w:rPr>
      </w:pPr>
    </w:p>
    <w:p w14:paraId="1EAD278A">
      <w:pPr>
        <w:spacing w:line="240" w:lineRule="auto"/>
        <w:jc w:val="center"/>
        <w:outlineLvl w:val="1"/>
        <w:rPr>
          <w:rFonts w:hint="eastAsia" w:ascii="宋体" w:hAnsi="宋体" w:eastAsia="宋体" w:cs="宋体"/>
          <w:b/>
          <w:bCs/>
          <w:color w:val="auto"/>
          <w:spacing w:val="-20"/>
          <w:kern w:val="44"/>
          <w:sz w:val="44"/>
          <w:szCs w:val="44"/>
          <w:highlight w:val="none"/>
          <w:lang w:val="en-US" w:eastAsia="zh-CN" w:bidi="ar-SA"/>
        </w:rPr>
      </w:pPr>
      <w:bookmarkStart w:id="538" w:name="_Toc3714"/>
      <w:bookmarkStart w:id="539" w:name="_Toc9350"/>
      <w:r>
        <w:rPr>
          <w:rFonts w:hint="eastAsia" w:ascii="宋体" w:hAnsi="宋体" w:eastAsia="宋体" w:cs="宋体"/>
          <w:b/>
          <w:bCs/>
          <w:color w:val="auto"/>
          <w:spacing w:val="-20"/>
          <w:kern w:val="44"/>
          <w:sz w:val="44"/>
          <w:szCs w:val="44"/>
          <w:highlight w:val="none"/>
          <w:lang w:val="en-US" w:eastAsia="zh-CN" w:bidi="ar-SA"/>
        </w:rPr>
        <w:t>政府采购合同参考范本</w:t>
      </w:r>
      <w:bookmarkEnd w:id="538"/>
      <w:bookmarkEnd w:id="539"/>
    </w:p>
    <w:p w14:paraId="4571CDB1">
      <w:pPr>
        <w:spacing w:line="480" w:lineRule="auto"/>
        <w:jc w:val="center"/>
        <w:outlineLvl w:val="1"/>
        <w:rPr>
          <w:rFonts w:hint="eastAsia" w:ascii="宋体" w:hAnsi="宋体" w:eastAsia="宋体" w:cs="宋体"/>
          <w:b/>
          <w:bCs/>
          <w:color w:val="auto"/>
          <w:spacing w:val="-20"/>
          <w:kern w:val="44"/>
          <w:sz w:val="44"/>
          <w:szCs w:val="44"/>
          <w:highlight w:val="none"/>
          <w:lang w:val="en-US" w:eastAsia="zh-CN" w:bidi="ar-SA"/>
        </w:rPr>
      </w:pPr>
      <w:bookmarkStart w:id="540" w:name="_Toc22704"/>
      <w:bookmarkStart w:id="541" w:name="_Toc8560"/>
      <w:r>
        <w:rPr>
          <w:rFonts w:hint="eastAsia" w:ascii="宋体" w:hAnsi="宋体" w:eastAsia="宋体" w:cs="宋体"/>
          <w:b/>
          <w:bCs/>
          <w:color w:val="auto"/>
          <w:spacing w:val="-20"/>
          <w:kern w:val="44"/>
          <w:sz w:val="44"/>
          <w:szCs w:val="44"/>
          <w:highlight w:val="none"/>
          <w:lang w:val="en-US" w:eastAsia="zh-CN" w:bidi="ar-SA"/>
        </w:rPr>
        <w:t>（服务类）</w:t>
      </w:r>
      <w:bookmarkEnd w:id="540"/>
      <w:bookmarkEnd w:id="541"/>
    </w:p>
    <w:p w14:paraId="78DDAE5C">
      <w:pPr>
        <w:spacing w:line="480" w:lineRule="auto"/>
        <w:jc w:val="center"/>
        <w:rPr>
          <w:rFonts w:cs="Times New Roman" w:asciiTheme="minorEastAsia" w:hAnsiTheme="minorEastAsia" w:eastAsiaTheme="minorEastAsia"/>
          <w:b/>
          <w:color w:val="auto"/>
          <w:sz w:val="24"/>
          <w:szCs w:val="24"/>
          <w:highlight w:val="none"/>
        </w:rPr>
      </w:pPr>
    </w:p>
    <w:p w14:paraId="317A7DEF">
      <w:pPr>
        <w:spacing w:line="480" w:lineRule="auto"/>
        <w:jc w:val="center"/>
        <w:rPr>
          <w:rFonts w:cs="Times New Roman" w:asciiTheme="minorEastAsia" w:hAnsiTheme="minorEastAsia" w:eastAsiaTheme="minorEastAsia"/>
          <w:b/>
          <w:color w:val="auto"/>
          <w:sz w:val="24"/>
          <w:szCs w:val="24"/>
          <w:highlight w:val="none"/>
        </w:rPr>
      </w:pPr>
    </w:p>
    <w:p w14:paraId="55C3B597">
      <w:pPr>
        <w:spacing w:line="360" w:lineRule="auto"/>
        <w:jc w:val="center"/>
        <w:outlineLvl w:val="1"/>
        <w:rPr>
          <w:rFonts w:hint="eastAsia" w:ascii="宋体" w:hAnsi="宋体" w:eastAsia="宋体" w:cs="宋体"/>
          <w:b/>
          <w:color w:val="auto"/>
          <w:sz w:val="36"/>
          <w:szCs w:val="36"/>
          <w:highlight w:val="none"/>
        </w:rPr>
      </w:pPr>
      <w:bookmarkStart w:id="542" w:name="_Toc16803"/>
      <w:bookmarkStart w:id="543" w:name="_Toc24900"/>
      <w:bookmarkStart w:id="544" w:name="_Toc2449"/>
      <w:r>
        <w:rPr>
          <w:rFonts w:hint="eastAsia" w:ascii="宋体" w:hAnsi="宋体" w:eastAsia="宋体" w:cs="宋体"/>
          <w:b/>
          <w:color w:val="auto"/>
          <w:sz w:val="36"/>
          <w:szCs w:val="36"/>
          <w:highlight w:val="none"/>
        </w:rPr>
        <w:t>第一部分 合同书</w:t>
      </w:r>
      <w:bookmarkEnd w:id="542"/>
      <w:bookmarkEnd w:id="543"/>
      <w:bookmarkEnd w:id="544"/>
    </w:p>
    <w:p w14:paraId="4BA01776">
      <w:pPr>
        <w:spacing w:line="480" w:lineRule="auto"/>
        <w:jc w:val="center"/>
        <w:rPr>
          <w:rFonts w:cs="Times New Roman" w:asciiTheme="minorEastAsia" w:hAnsiTheme="minorEastAsia" w:eastAsiaTheme="minorEastAsia"/>
          <w:b/>
          <w:color w:val="auto"/>
          <w:sz w:val="24"/>
          <w:szCs w:val="24"/>
          <w:highlight w:val="none"/>
        </w:rPr>
      </w:pPr>
    </w:p>
    <w:p w14:paraId="5F204112">
      <w:pPr>
        <w:pStyle w:val="13"/>
        <w:rPr>
          <w:color w:val="auto"/>
          <w:highlight w:val="none"/>
        </w:rPr>
      </w:pPr>
    </w:p>
    <w:p w14:paraId="69570DA0">
      <w:pPr>
        <w:pStyle w:val="13"/>
        <w:rPr>
          <w:color w:val="auto"/>
          <w:highlight w:val="none"/>
        </w:rPr>
      </w:pPr>
    </w:p>
    <w:p w14:paraId="77910ED1">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（分包项目须填写完整的分包号及分包名称）</w:t>
      </w:r>
    </w:p>
    <w:p w14:paraId="730F4465">
      <w:pPr>
        <w:spacing w:before="120" w:line="480" w:lineRule="auto"/>
        <w:ind w:left="96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p>
    <w:p w14:paraId="66872538">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甲方（采购人）：</w:t>
      </w:r>
      <w:r>
        <w:rPr>
          <w:rFonts w:hint="eastAsia" w:ascii="宋体" w:hAnsi="宋体" w:eastAsia="宋体" w:cs="宋体"/>
          <w:i w:val="0"/>
          <w:iCs w:val="0"/>
          <w:color w:val="auto"/>
          <w:sz w:val="24"/>
          <w:szCs w:val="24"/>
          <w:highlight w:val="none"/>
          <w:u w:val="single"/>
        </w:rPr>
        <w:t xml:space="preserve">                              </w:t>
      </w:r>
    </w:p>
    <w:p w14:paraId="557645D2">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乙方（中标人）：</w:t>
      </w:r>
      <w:r>
        <w:rPr>
          <w:rFonts w:hint="eastAsia" w:ascii="宋体" w:hAnsi="宋体" w:eastAsia="宋体" w:cs="宋体"/>
          <w:i w:val="0"/>
          <w:iCs w:val="0"/>
          <w:color w:val="auto"/>
          <w:sz w:val="24"/>
          <w:szCs w:val="24"/>
          <w:highlight w:val="none"/>
          <w:u w:val="single"/>
        </w:rPr>
        <w:t xml:space="preserve">                              </w:t>
      </w:r>
    </w:p>
    <w:p w14:paraId="263D5C0B">
      <w:pPr>
        <w:spacing w:before="120" w:line="480" w:lineRule="auto"/>
        <w:ind w:firstLine="960" w:firstLineChars="4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签订地：</w:t>
      </w:r>
      <w:r>
        <w:rPr>
          <w:rFonts w:hint="eastAsia" w:ascii="宋体" w:hAnsi="宋体" w:eastAsia="宋体" w:cs="宋体"/>
          <w:i w:val="0"/>
          <w:iCs w:val="0"/>
          <w:color w:val="auto"/>
          <w:sz w:val="24"/>
          <w:szCs w:val="24"/>
          <w:highlight w:val="none"/>
          <w:u w:val="single"/>
        </w:rPr>
        <w:t xml:space="preserve">                                     </w:t>
      </w:r>
    </w:p>
    <w:p w14:paraId="28A94FB3">
      <w:pPr>
        <w:spacing w:before="120" w:line="48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34F4996A">
      <w:pPr>
        <w:widowControl/>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br w:type="page"/>
      </w:r>
    </w:p>
    <w:p w14:paraId="5343AEB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以下简称：甲方</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方式采购活动，经</w:t>
      </w:r>
      <w:r>
        <w:rPr>
          <w:rFonts w:hint="eastAsia" w:ascii="宋体" w:hAnsi="宋体" w:eastAsia="宋体" w:cs="宋体"/>
          <w:color w:val="auto"/>
          <w:sz w:val="24"/>
          <w:szCs w:val="24"/>
          <w:highlight w:val="none"/>
          <w:u w:val="single"/>
        </w:rPr>
        <w:t>评标委员会</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以下简称：乙方</w:t>
      </w:r>
      <w:r>
        <w:rPr>
          <w:rFonts w:hint="eastAsia" w:ascii="宋体" w:hAnsi="宋体" w:eastAsia="宋体" w:cs="宋体"/>
          <w:color w:val="auto"/>
          <w:sz w:val="24"/>
          <w:szCs w:val="24"/>
          <w:highlight w:val="none"/>
        </w:rPr>
        <w:t>）为本项目中标人，现按照采购文件确定的事项签订本合同。</w:t>
      </w:r>
    </w:p>
    <w:p w14:paraId="1A7D6614">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81298ED">
      <w:pPr>
        <w:spacing w:line="360" w:lineRule="auto"/>
        <w:ind w:firstLine="437"/>
        <w:outlineLvl w:val="2"/>
        <w:rPr>
          <w:rFonts w:hint="eastAsia" w:ascii="宋体" w:hAnsi="宋体" w:eastAsia="宋体" w:cs="宋体"/>
          <w:b/>
          <w:bCs/>
          <w:color w:val="auto"/>
          <w:sz w:val="24"/>
          <w:szCs w:val="24"/>
          <w:highlight w:val="none"/>
          <w:lang w:val="zh-CN"/>
        </w:rPr>
      </w:pPr>
      <w:bookmarkStart w:id="545" w:name="_Toc32343"/>
      <w:bookmarkStart w:id="546" w:name="_Toc3029"/>
      <w:bookmarkStart w:id="547" w:name="_Toc2232"/>
      <w:bookmarkStart w:id="548" w:name="_Toc1600"/>
      <w:bookmarkStart w:id="549" w:name="_Toc24059"/>
      <w:r>
        <w:rPr>
          <w:rFonts w:hint="eastAsia" w:ascii="宋体" w:hAnsi="宋体" w:eastAsia="宋体" w:cs="宋体"/>
          <w:b/>
          <w:bCs/>
          <w:color w:val="auto"/>
          <w:sz w:val="24"/>
          <w:szCs w:val="24"/>
          <w:highlight w:val="none"/>
          <w:lang w:val="zh-CN"/>
        </w:rPr>
        <w:t>1.1 合同组成部分</w:t>
      </w:r>
      <w:bookmarkEnd w:id="545"/>
      <w:bookmarkEnd w:id="546"/>
      <w:bookmarkEnd w:id="547"/>
      <w:bookmarkEnd w:id="548"/>
      <w:bookmarkEnd w:id="549"/>
    </w:p>
    <w:p w14:paraId="024A42B6">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BC58A8">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037DCF58">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20FA8DCC">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01E3C1E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7BCC15D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283E7943">
      <w:pPr>
        <w:spacing w:line="360" w:lineRule="auto"/>
        <w:ind w:firstLine="437"/>
        <w:outlineLvl w:val="2"/>
        <w:rPr>
          <w:rFonts w:hint="eastAsia" w:ascii="宋体" w:hAnsi="宋体" w:eastAsia="宋体" w:cs="宋体"/>
          <w:b/>
          <w:bCs/>
          <w:color w:val="auto"/>
          <w:sz w:val="24"/>
          <w:szCs w:val="24"/>
          <w:highlight w:val="none"/>
          <w:lang w:val="zh-CN"/>
        </w:rPr>
      </w:pPr>
      <w:bookmarkStart w:id="550" w:name="_Toc22185"/>
      <w:bookmarkStart w:id="551" w:name="_Toc18585"/>
      <w:bookmarkStart w:id="552" w:name="_Toc6773"/>
      <w:bookmarkStart w:id="553" w:name="_Toc6311"/>
      <w:bookmarkStart w:id="554" w:name="_Toc2918"/>
      <w:bookmarkStart w:id="555" w:name="_Toc8950"/>
      <w:bookmarkStart w:id="556" w:name="_Toc4436"/>
      <w:r>
        <w:rPr>
          <w:rFonts w:hint="eastAsia" w:ascii="宋体" w:hAnsi="宋体" w:eastAsia="宋体" w:cs="宋体"/>
          <w:b/>
          <w:bCs/>
          <w:color w:val="auto"/>
          <w:sz w:val="24"/>
          <w:szCs w:val="24"/>
          <w:highlight w:val="none"/>
          <w:lang w:val="zh-CN"/>
        </w:rPr>
        <w:t xml:space="preserve">1.2 </w:t>
      </w:r>
      <w:bookmarkEnd w:id="550"/>
      <w:bookmarkEnd w:id="551"/>
      <w:bookmarkEnd w:id="552"/>
      <w:bookmarkEnd w:id="553"/>
      <w:bookmarkEnd w:id="554"/>
      <w:r>
        <w:rPr>
          <w:rFonts w:hint="eastAsia" w:ascii="宋体" w:hAnsi="宋体" w:eastAsia="宋体" w:cs="宋体"/>
          <w:b/>
          <w:bCs/>
          <w:color w:val="auto"/>
          <w:sz w:val="24"/>
          <w:szCs w:val="24"/>
          <w:highlight w:val="none"/>
          <w:lang w:val="zh-CN"/>
        </w:rPr>
        <w:t>服务</w:t>
      </w:r>
      <w:bookmarkEnd w:id="555"/>
      <w:bookmarkEnd w:id="556"/>
    </w:p>
    <w:p w14:paraId="2A8C8081">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507EFA">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170C5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949008">
      <w:pPr>
        <w:spacing w:line="360" w:lineRule="auto"/>
        <w:ind w:firstLine="437"/>
        <w:outlineLvl w:val="2"/>
        <w:rPr>
          <w:rFonts w:hint="eastAsia" w:ascii="宋体" w:hAnsi="宋体" w:eastAsia="宋体" w:cs="宋体"/>
          <w:b/>
          <w:bCs/>
          <w:color w:val="auto"/>
          <w:sz w:val="24"/>
          <w:szCs w:val="24"/>
          <w:highlight w:val="none"/>
          <w:lang w:val="zh-CN"/>
        </w:rPr>
      </w:pPr>
      <w:bookmarkStart w:id="557" w:name="_Toc21551"/>
      <w:bookmarkStart w:id="558" w:name="_Toc21631"/>
      <w:bookmarkStart w:id="559" w:name="_Toc11350"/>
      <w:bookmarkStart w:id="560" w:name="_Toc8047"/>
      <w:bookmarkStart w:id="561" w:name="_Toc23292"/>
      <w:r>
        <w:rPr>
          <w:rFonts w:hint="eastAsia" w:ascii="宋体" w:hAnsi="宋体" w:eastAsia="宋体" w:cs="宋体"/>
          <w:b/>
          <w:bCs/>
          <w:color w:val="auto"/>
          <w:sz w:val="24"/>
          <w:szCs w:val="24"/>
          <w:highlight w:val="none"/>
          <w:lang w:val="zh-CN"/>
        </w:rPr>
        <w:t>1.3 价款</w:t>
      </w:r>
      <w:bookmarkEnd w:id="557"/>
      <w:bookmarkEnd w:id="558"/>
      <w:bookmarkEnd w:id="559"/>
      <w:bookmarkEnd w:id="560"/>
      <w:bookmarkEnd w:id="561"/>
    </w:p>
    <w:p w14:paraId="0E6E2DB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85CBE51">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7AF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CD18D7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4316" w:type="dxa"/>
            <w:vAlign w:val="center"/>
          </w:tcPr>
          <w:p w14:paraId="4F68A816">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37" w:type="dxa"/>
            <w:gridSpan w:val="2"/>
            <w:vAlign w:val="center"/>
          </w:tcPr>
          <w:p w14:paraId="4C7FFB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B9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F360428">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4316" w:type="dxa"/>
            <w:vAlign w:val="center"/>
          </w:tcPr>
          <w:p w14:paraId="2461E5E0">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0E415F66">
            <w:pPr>
              <w:ind w:firstLine="200"/>
              <w:jc w:val="center"/>
              <w:rPr>
                <w:rFonts w:hint="eastAsia" w:ascii="宋体" w:hAnsi="宋体" w:eastAsia="宋体" w:cs="宋体"/>
                <w:color w:val="auto"/>
                <w:sz w:val="24"/>
                <w:szCs w:val="24"/>
                <w:highlight w:val="none"/>
              </w:rPr>
            </w:pPr>
          </w:p>
        </w:tc>
      </w:tr>
      <w:tr w14:paraId="0D8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24CE31A">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4316" w:type="dxa"/>
            <w:vAlign w:val="center"/>
          </w:tcPr>
          <w:p w14:paraId="345F5B41">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3722A032">
            <w:pPr>
              <w:ind w:firstLine="200"/>
              <w:jc w:val="center"/>
              <w:rPr>
                <w:rFonts w:hint="eastAsia" w:ascii="宋体" w:hAnsi="宋体" w:eastAsia="宋体" w:cs="宋体"/>
                <w:color w:val="auto"/>
                <w:sz w:val="24"/>
                <w:szCs w:val="24"/>
                <w:highlight w:val="none"/>
              </w:rPr>
            </w:pPr>
          </w:p>
        </w:tc>
      </w:tr>
      <w:tr w14:paraId="6F0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12C37D0">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4316" w:type="dxa"/>
            <w:vAlign w:val="center"/>
          </w:tcPr>
          <w:p w14:paraId="498FC842">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4CAABBD7">
            <w:pPr>
              <w:ind w:firstLine="200"/>
              <w:jc w:val="center"/>
              <w:rPr>
                <w:rFonts w:hint="eastAsia" w:ascii="宋体" w:hAnsi="宋体" w:eastAsia="宋体" w:cs="宋体"/>
                <w:color w:val="auto"/>
                <w:sz w:val="24"/>
                <w:szCs w:val="24"/>
                <w:highlight w:val="none"/>
              </w:rPr>
            </w:pPr>
          </w:p>
        </w:tc>
      </w:tr>
      <w:tr w14:paraId="7BB6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019B673">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4316" w:type="dxa"/>
            <w:vAlign w:val="center"/>
          </w:tcPr>
          <w:p w14:paraId="1668CCE7">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14647217">
            <w:pPr>
              <w:ind w:firstLine="200"/>
              <w:jc w:val="center"/>
              <w:rPr>
                <w:rFonts w:hint="eastAsia" w:ascii="宋体" w:hAnsi="宋体" w:eastAsia="宋体" w:cs="宋体"/>
                <w:color w:val="auto"/>
                <w:sz w:val="24"/>
                <w:szCs w:val="24"/>
                <w:highlight w:val="none"/>
              </w:rPr>
            </w:pPr>
          </w:p>
        </w:tc>
      </w:tr>
      <w:tr w14:paraId="7B38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445538F7">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37" w:type="dxa"/>
            <w:gridSpan w:val="2"/>
            <w:vAlign w:val="center"/>
          </w:tcPr>
          <w:p w14:paraId="155BB530">
            <w:pPr>
              <w:ind w:firstLine="200"/>
              <w:jc w:val="center"/>
              <w:rPr>
                <w:rFonts w:hint="eastAsia" w:ascii="宋体" w:hAnsi="宋体" w:eastAsia="宋体" w:cs="宋体"/>
                <w:color w:val="auto"/>
                <w:sz w:val="24"/>
                <w:szCs w:val="24"/>
                <w:highlight w:val="none"/>
              </w:rPr>
            </w:pPr>
          </w:p>
        </w:tc>
      </w:tr>
    </w:tbl>
    <w:p w14:paraId="17E2FC9E">
      <w:pPr>
        <w:spacing w:line="360" w:lineRule="auto"/>
        <w:ind w:firstLine="437"/>
        <w:outlineLvl w:val="2"/>
        <w:rPr>
          <w:rFonts w:hint="eastAsia" w:ascii="宋体" w:hAnsi="宋体" w:eastAsia="宋体" w:cs="宋体"/>
          <w:b/>
          <w:bCs/>
          <w:color w:val="auto"/>
          <w:sz w:val="24"/>
          <w:szCs w:val="24"/>
          <w:highlight w:val="none"/>
          <w:lang w:val="zh-CN"/>
        </w:rPr>
      </w:pPr>
      <w:bookmarkStart w:id="562" w:name="_Toc22618"/>
      <w:bookmarkStart w:id="563" w:name="_Toc20171"/>
      <w:bookmarkStart w:id="564" w:name="_Toc10340"/>
      <w:bookmarkStart w:id="565" w:name="_Toc21546"/>
      <w:bookmarkStart w:id="566" w:name="_Toc1814"/>
      <w:r>
        <w:rPr>
          <w:rFonts w:hint="eastAsia" w:ascii="宋体" w:hAnsi="宋体" w:eastAsia="宋体" w:cs="宋体"/>
          <w:b/>
          <w:bCs/>
          <w:color w:val="auto"/>
          <w:sz w:val="24"/>
          <w:szCs w:val="24"/>
          <w:highlight w:val="none"/>
          <w:lang w:val="zh-CN"/>
        </w:rPr>
        <w:t>1.4 付款方式和发票开具方式</w:t>
      </w:r>
      <w:bookmarkEnd w:id="562"/>
      <w:bookmarkEnd w:id="563"/>
      <w:bookmarkEnd w:id="564"/>
      <w:bookmarkEnd w:id="565"/>
      <w:bookmarkEnd w:id="566"/>
    </w:p>
    <w:p w14:paraId="0D15CC0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91FB6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035217">
      <w:pPr>
        <w:spacing w:line="360" w:lineRule="auto"/>
        <w:ind w:firstLine="437"/>
        <w:outlineLvl w:val="2"/>
        <w:rPr>
          <w:rFonts w:hint="eastAsia" w:ascii="宋体" w:hAnsi="宋体" w:eastAsia="宋体" w:cs="宋体"/>
          <w:b/>
          <w:bCs/>
          <w:color w:val="auto"/>
          <w:sz w:val="24"/>
          <w:szCs w:val="24"/>
          <w:highlight w:val="none"/>
          <w:lang w:val="zh-CN"/>
        </w:rPr>
      </w:pPr>
      <w:bookmarkStart w:id="567" w:name="_Toc21443"/>
      <w:bookmarkStart w:id="568" w:name="_Toc32071"/>
      <w:bookmarkStart w:id="569" w:name="_Toc19304"/>
      <w:bookmarkStart w:id="570" w:name="_Toc2846"/>
      <w:bookmarkStart w:id="571" w:name="_Toc15519"/>
      <w:r>
        <w:rPr>
          <w:rFonts w:hint="eastAsia" w:ascii="宋体" w:hAnsi="宋体" w:eastAsia="宋体" w:cs="宋体"/>
          <w:b/>
          <w:bCs/>
          <w:color w:val="auto"/>
          <w:sz w:val="24"/>
          <w:szCs w:val="24"/>
          <w:highlight w:val="none"/>
          <w:lang w:val="zh-CN"/>
        </w:rPr>
        <w:t>1.5 服务期限、地点和方式</w:t>
      </w:r>
      <w:bookmarkEnd w:id="567"/>
      <w:bookmarkEnd w:id="568"/>
      <w:bookmarkEnd w:id="569"/>
      <w:bookmarkEnd w:id="570"/>
      <w:bookmarkEnd w:id="571"/>
    </w:p>
    <w:p w14:paraId="5A2C5E65">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FF65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E4FC7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2ED679">
      <w:pPr>
        <w:spacing w:line="360" w:lineRule="auto"/>
        <w:ind w:firstLine="437"/>
        <w:outlineLvl w:val="2"/>
        <w:rPr>
          <w:rFonts w:hint="eastAsia" w:ascii="宋体" w:hAnsi="宋体" w:eastAsia="宋体" w:cs="宋体"/>
          <w:b/>
          <w:bCs/>
          <w:color w:val="auto"/>
          <w:sz w:val="24"/>
          <w:szCs w:val="24"/>
          <w:highlight w:val="none"/>
          <w:lang w:val="zh-CN"/>
        </w:rPr>
      </w:pPr>
      <w:bookmarkStart w:id="572" w:name="_Toc27250"/>
      <w:bookmarkStart w:id="573" w:name="_Toc19554"/>
      <w:bookmarkStart w:id="574" w:name="_Toc21423"/>
      <w:bookmarkStart w:id="575" w:name="_Toc9372"/>
      <w:bookmarkStart w:id="576" w:name="_Toc26348"/>
      <w:r>
        <w:rPr>
          <w:rFonts w:hint="eastAsia" w:ascii="宋体" w:hAnsi="宋体" w:eastAsia="宋体" w:cs="宋体"/>
          <w:b/>
          <w:bCs/>
          <w:color w:val="auto"/>
          <w:sz w:val="24"/>
          <w:szCs w:val="24"/>
          <w:highlight w:val="none"/>
          <w:lang w:val="zh-CN"/>
        </w:rPr>
        <w:t>1.6 违约责任</w:t>
      </w:r>
      <w:bookmarkEnd w:id="572"/>
      <w:bookmarkEnd w:id="573"/>
      <w:bookmarkEnd w:id="574"/>
      <w:bookmarkEnd w:id="575"/>
      <w:bookmarkEnd w:id="576"/>
    </w:p>
    <w:p w14:paraId="5DD1292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7B8B7DE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1A4EF16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1211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20104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44C0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DDBD4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D4B476D">
      <w:pPr>
        <w:spacing w:line="360" w:lineRule="auto"/>
        <w:ind w:firstLine="437"/>
        <w:outlineLvl w:val="2"/>
        <w:rPr>
          <w:rFonts w:hint="eastAsia" w:ascii="宋体" w:hAnsi="宋体" w:eastAsia="宋体" w:cs="宋体"/>
          <w:b/>
          <w:bCs/>
          <w:color w:val="auto"/>
          <w:sz w:val="24"/>
          <w:szCs w:val="24"/>
          <w:highlight w:val="none"/>
          <w:lang w:val="zh-CN"/>
        </w:rPr>
      </w:pPr>
      <w:bookmarkStart w:id="577" w:name="_Toc20996"/>
      <w:bookmarkStart w:id="578" w:name="_Toc15583"/>
      <w:bookmarkStart w:id="579" w:name="_Toc10408"/>
      <w:bookmarkStart w:id="580" w:name="_Toc28375"/>
      <w:bookmarkStart w:id="581" w:name="_Toc16021"/>
      <w:r>
        <w:rPr>
          <w:rFonts w:hint="eastAsia" w:ascii="宋体" w:hAnsi="宋体" w:eastAsia="宋体" w:cs="宋体"/>
          <w:b/>
          <w:bCs/>
          <w:color w:val="auto"/>
          <w:sz w:val="24"/>
          <w:szCs w:val="24"/>
          <w:highlight w:val="none"/>
          <w:lang w:val="zh-CN"/>
        </w:rPr>
        <w:t>1.7 合同争议的解决</w:t>
      </w:r>
      <w:bookmarkEnd w:id="577"/>
      <w:bookmarkEnd w:id="578"/>
      <w:bookmarkEnd w:id="579"/>
      <w:bookmarkEnd w:id="580"/>
      <w:bookmarkEnd w:id="581"/>
    </w:p>
    <w:p w14:paraId="7C025FB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856D44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525321B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21D8E3B4">
      <w:pPr>
        <w:spacing w:line="360" w:lineRule="auto"/>
        <w:ind w:firstLine="437"/>
        <w:outlineLvl w:val="2"/>
        <w:rPr>
          <w:rFonts w:hint="eastAsia" w:ascii="宋体" w:hAnsi="宋体" w:eastAsia="宋体" w:cs="宋体"/>
          <w:b/>
          <w:bCs/>
          <w:color w:val="auto"/>
          <w:sz w:val="24"/>
          <w:szCs w:val="24"/>
          <w:highlight w:val="none"/>
          <w:lang w:val="zh-CN"/>
        </w:rPr>
      </w:pPr>
      <w:bookmarkStart w:id="582" w:name="_Toc7245"/>
      <w:bookmarkStart w:id="583" w:name="_Toc21422"/>
      <w:bookmarkStart w:id="584" w:name="_Toc14122"/>
      <w:bookmarkStart w:id="585" w:name="_Toc11173"/>
      <w:bookmarkStart w:id="586" w:name="_Toc15322"/>
      <w:r>
        <w:rPr>
          <w:rFonts w:hint="eastAsia" w:ascii="宋体" w:hAnsi="宋体" w:eastAsia="宋体" w:cs="宋体"/>
          <w:b/>
          <w:bCs/>
          <w:color w:val="auto"/>
          <w:sz w:val="24"/>
          <w:szCs w:val="24"/>
          <w:highlight w:val="none"/>
          <w:lang w:val="zh-CN"/>
        </w:rPr>
        <w:t>1.8 合同生效</w:t>
      </w:r>
      <w:bookmarkEnd w:id="582"/>
      <w:bookmarkEnd w:id="583"/>
      <w:bookmarkEnd w:id="584"/>
      <w:bookmarkEnd w:id="585"/>
      <w:bookmarkEnd w:id="586"/>
    </w:p>
    <w:p w14:paraId="5961B88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2F65E252">
      <w:pPr>
        <w:autoSpaceDE w:val="0"/>
        <w:autoSpaceDN w:val="0"/>
        <w:adjustRightInd w:val="0"/>
        <w:spacing w:line="560" w:lineRule="exact"/>
        <w:rPr>
          <w:rFonts w:hint="eastAsia" w:ascii="宋体" w:hAnsi="宋体" w:eastAsia="宋体" w:cs="宋体"/>
          <w:color w:val="auto"/>
          <w:sz w:val="24"/>
          <w:szCs w:val="24"/>
          <w:highlight w:val="none"/>
          <w:lang w:val="zh-CN"/>
        </w:rPr>
      </w:pPr>
    </w:p>
    <w:p w14:paraId="6DB0DE5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1B900B9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009FFBB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5226F04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bookmarkStart w:id="587"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0FB8187C">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588" w:name="_Hlk110099149"/>
      <w:r>
        <w:rPr>
          <w:rFonts w:hint="eastAsia" w:ascii="宋体" w:hAnsi="宋体" w:eastAsia="宋体" w:cs="宋体"/>
          <w:color w:val="auto"/>
          <w:sz w:val="24"/>
          <w:szCs w:val="24"/>
          <w:highlight w:val="none"/>
        </w:rPr>
        <w:t>乙方账户信息</w:t>
      </w:r>
    </w:p>
    <w:p w14:paraId="58A2B11B">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0D697104">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7309CDF0">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588"/>
    <w:p w14:paraId="4D631BBC">
      <w:pPr>
        <w:widowControl/>
        <w:jc w:val="left"/>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br w:type="page"/>
      </w:r>
    </w:p>
    <w:p w14:paraId="37D2F896">
      <w:pPr>
        <w:spacing w:line="360" w:lineRule="auto"/>
        <w:jc w:val="center"/>
        <w:outlineLvl w:val="1"/>
        <w:rPr>
          <w:rFonts w:hint="eastAsia" w:ascii="宋体" w:hAnsi="宋体" w:eastAsia="宋体" w:cs="宋体"/>
          <w:b/>
          <w:color w:val="auto"/>
          <w:sz w:val="36"/>
          <w:szCs w:val="36"/>
          <w:highlight w:val="none"/>
        </w:rPr>
      </w:pPr>
      <w:bookmarkStart w:id="589" w:name="_Toc415"/>
      <w:bookmarkStart w:id="590" w:name="_Toc4008"/>
      <w:bookmarkStart w:id="591" w:name="_Toc13256"/>
      <w:r>
        <w:rPr>
          <w:rFonts w:hint="eastAsia" w:ascii="宋体" w:hAnsi="宋体" w:eastAsia="宋体" w:cs="宋体"/>
          <w:b/>
          <w:color w:val="auto"/>
          <w:sz w:val="36"/>
          <w:szCs w:val="36"/>
          <w:highlight w:val="none"/>
        </w:rPr>
        <w:t>第二部分 合同一般条款</w:t>
      </w:r>
      <w:bookmarkEnd w:id="587"/>
      <w:bookmarkEnd w:id="589"/>
      <w:bookmarkEnd w:id="590"/>
      <w:bookmarkEnd w:id="591"/>
    </w:p>
    <w:p w14:paraId="232A2B3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92" w:name="_Ref467379101"/>
      <w:bookmarkStart w:id="593" w:name="_Toc15955"/>
      <w:bookmarkStart w:id="594" w:name="_Toc19614"/>
      <w:bookmarkStart w:id="595" w:name="_Ref467379225"/>
      <w:bookmarkStart w:id="596" w:name="_Toc16917"/>
      <w:bookmarkStart w:id="597" w:name="_Ref467378404"/>
      <w:bookmarkStart w:id="598" w:name="_Ref467379195"/>
      <w:bookmarkStart w:id="599" w:name="_Ref467379205"/>
      <w:bookmarkStart w:id="600" w:name="_Toc28763"/>
      <w:bookmarkStart w:id="601" w:name="_Toc487900349"/>
      <w:bookmarkStart w:id="602" w:name="_Toc259093669"/>
      <w:bookmarkStart w:id="603" w:name="_Ref467379214"/>
      <w:bookmarkStart w:id="604" w:name="_Toc6755"/>
      <w:bookmarkStart w:id="605" w:name="_Ref467379094"/>
      <w:bookmarkStart w:id="606" w:name="_Ref467378463"/>
      <w:bookmarkStart w:id="607" w:name="_Ref467378499"/>
      <w:bookmarkStart w:id="608" w:name="_Ref467379109"/>
      <w:bookmarkStart w:id="609" w:name="_Toc279701240"/>
      <w:r>
        <w:rPr>
          <w:rFonts w:hint="eastAsia" w:ascii="宋体" w:hAnsi="宋体" w:eastAsia="宋体" w:cs="宋体"/>
          <w:b/>
          <w:bCs/>
          <w:i w:val="0"/>
          <w:iCs w:val="0"/>
          <w:color w:val="auto"/>
          <w:sz w:val="24"/>
          <w:szCs w:val="24"/>
          <w:highlight w:val="none"/>
          <w:lang w:val="zh-CN"/>
        </w:rPr>
        <w:t>2.1 定义</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3DABC3C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029314F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2.1.1“合同”系指采购人和中标人签订的载明双方当事人所达成的协议，并包括所有的附件、附录和构成合同的其他文件。</w:t>
      </w:r>
    </w:p>
    <w:p w14:paraId="2F4EDFD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2.1.2“合同价”系指根据合同约定，中标人在完全履行合同义务后，采购人应支付给中标人的价格。</w:t>
      </w:r>
    </w:p>
    <w:p w14:paraId="5824C10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802AAD8">
      <w:pPr>
        <w:spacing w:line="360" w:lineRule="auto"/>
        <w:ind w:firstLine="435"/>
        <w:rPr>
          <w:rFonts w:hint="eastAsia" w:ascii="宋体" w:hAnsi="宋体" w:eastAsia="宋体" w:cs="宋体"/>
          <w:i w:val="0"/>
          <w:iCs w:val="0"/>
          <w:color w:val="auto"/>
          <w:sz w:val="24"/>
          <w:szCs w:val="24"/>
          <w:highlight w:val="none"/>
        </w:rPr>
      </w:pPr>
      <w:bookmarkStart w:id="610" w:name="_Ref467378840"/>
      <w:r>
        <w:rPr>
          <w:rFonts w:hint="eastAsia" w:ascii="宋体" w:hAnsi="宋体" w:eastAsia="宋体" w:cs="宋体"/>
          <w:i w:val="0"/>
          <w:iCs w:val="0"/>
          <w:color w:val="auto"/>
          <w:sz w:val="24"/>
          <w:szCs w:val="24"/>
          <w:highlight w:val="none"/>
        </w:rPr>
        <w:t>2.1.4“甲方”系指与中标人签署合同的采购人</w:t>
      </w:r>
      <w:bookmarkEnd w:id="610"/>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1106E655">
      <w:pPr>
        <w:spacing w:line="360" w:lineRule="auto"/>
        <w:ind w:firstLine="435"/>
        <w:rPr>
          <w:rFonts w:hint="eastAsia" w:ascii="宋体" w:hAnsi="宋体" w:eastAsia="宋体" w:cs="宋体"/>
          <w:i w:val="0"/>
          <w:iCs w:val="0"/>
          <w:color w:val="auto"/>
          <w:sz w:val="24"/>
          <w:szCs w:val="24"/>
          <w:highlight w:val="none"/>
        </w:rPr>
      </w:pPr>
      <w:bookmarkStart w:id="611" w:name="_Ref467379400"/>
      <w:r>
        <w:rPr>
          <w:rFonts w:hint="eastAsia" w:ascii="宋体" w:hAnsi="宋体" w:eastAsia="宋体" w:cs="宋体"/>
          <w:i w:val="0"/>
          <w:iCs w:val="0"/>
          <w:color w:val="auto"/>
          <w:sz w:val="24"/>
          <w:szCs w:val="24"/>
          <w:highlight w:val="none"/>
        </w:rPr>
        <w:t>2.1.5“乙方”系指根据合同约定提供服务的中标人</w:t>
      </w:r>
      <w:bookmarkEnd w:id="611"/>
      <w:r>
        <w:rPr>
          <w:rFonts w:hint="eastAsia" w:ascii="宋体" w:hAnsi="宋体" w:eastAsia="宋体" w:cs="宋体"/>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FF11B">
      <w:pPr>
        <w:spacing w:line="360" w:lineRule="auto"/>
        <w:ind w:firstLine="435"/>
        <w:rPr>
          <w:rFonts w:hint="eastAsia" w:ascii="宋体" w:hAnsi="宋体" w:eastAsia="宋体" w:cs="宋体"/>
          <w:i w:val="0"/>
          <w:iCs w:val="0"/>
          <w:color w:val="auto"/>
          <w:sz w:val="24"/>
          <w:szCs w:val="24"/>
          <w:highlight w:val="none"/>
        </w:rPr>
      </w:pPr>
      <w:bookmarkStart w:id="612" w:name="_Ref467379436"/>
      <w:r>
        <w:rPr>
          <w:rFonts w:hint="eastAsia" w:ascii="宋体" w:hAnsi="宋体" w:eastAsia="宋体" w:cs="宋体"/>
          <w:i w:val="0"/>
          <w:iCs w:val="0"/>
          <w:color w:val="auto"/>
          <w:sz w:val="24"/>
          <w:szCs w:val="24"/>
          <w:highlight w:val="none"/>
        </w:rPr>
        <w:t>2.1.6“现场”系指合同约定提供服务的地点。</w:t>
      </w:r>
      <w:bookmarkEnd w:id="612"/>
    </w:p>
    <w:p w14:paraId="6E2582CC">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3" w:name="_Toc279701241"/>
      <w:bookmarkStart w:id="614" w:name="_Toc32079"/>
      <w:bookmarkStart w:id="615" w:name="_Toc487900350"/>
      <w:bookmarkStart w:id="616" w:name="_Toc259093670"/>
      <w:bookmarkStart w:id="617" w:name="_Toc13336"/>
      <w:bookmarkStart w:id="618" w:name="_Toc28490"/>
      <w:bookmarkStart w:id="619" w:name="_Toc27635"/>
      <w:bookmarkStart w:id="620" w:name="_Toc32504"/>
      <w:r>
        <w:rPr>
          <w:rFonts w:hint="eastAsia" w:ascii="宋体" w:hAnsi="宋体" w:eastAsia="宋体" w:cs="宋体"/>
          <w:b/>
          <w:bCs/>
          <w:i w:val="0"/>
          <w:iCs w:val="0"/>
          <w:color w:val="auto"/>
          <w:sz w:val="24"/>
          <w:szCs w:val="24"/>
          <w:highlight w:val="none"/>
          <w:lang w:val="zh-CN"/>
        </w:rPr>
        <w:t>2.2 技术规范</w:t>
      </w:r>
      <w:bookmarkEnd w:id="613"/>
      <w:bookmarkEnd w:id="614"/>
      <w:bookmarkEnd w:id="615"/>
      <w:bookmarkEnd w:id="616"/>
      <w:bookmarkEnd w:id="617"/>
      <w:bookmarkEnd w:id="618"/>
      <w:bookmarkEnd w:id="619"/>
      <w:bookmarkEnd w:id="620"/>
    </w:p>
    <w:p w14:paraId="69A21D8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340A7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1" w:name="_Toc9829"/>
      <w:bookmarkStart w:id="622" w:name="_Toc27853"/>
      <w:bookmarkStart w:id="623" w:name="_Toc487900351"/>
      <w:bookmarkStart w:id="624" w:name="_Toc17683"/>
      <w:bookmarkStart w:id="625" w:name="_Toc259093671"/>
      <w:bookmarkStart w:id="626" w:name="_Toc31634"/>
      <w:bookmarkStart w:id="627" w:name="_Toc15907"/>
      <w:bookmarkStart w:id="628" w:name="_Toc279701242"/>
      <w:r>
        <w:rPr>
          <w:rFonts w:hint="eastAsia" w:ascii="宋体" w:hAnsi="宋体" w:eastAsia="宋体" w:cs="宋体"/>
          <w:b/>
          <w:bCs/>
          <w:i w:val="0"/>
          <w:iCs w:val="0"/>
          <w:color w:val="auto"/>
          <w:sz w:val="24"/>
          <w:szCs w:val="24"/>
          <w:highlight w:val="none"/>
          <w:lang w:val="zh-CN"/>
        </w:rPr>
        <w:t>2.3 知识产权</w:t>
      </w:r>
      <w:bookmarkEnd w:id="621"/>
      <w:bookmarkEnd w:id="622"/>
      <w:bookmarkEnd w:id="623"/>
      <w:bookmarkEnd w:id="624"/>
      <w:bookmarkEnd w:id="625"/>
      <w:bookmarkEnd w:id="626"/>
      <w:bookmarkEnd w:id="627"/>
      <w:bookmarkEnd w:id="628"/>
    </w:p>
    <w:p w14:paraId="0051651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B5AB00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7FDDB45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9" w:name="_Ref467379527"/>
      <w:bookmarkStart w:id="630" w:name="_Toc279701245"/>
      <w:bookmarkStart w:id="631" w:name="_Ref467378591"/>
      <w:bookmarkStart w:id="632" w:name="_Ref467379536"/>
      <w:bookmarkStart w:id="633" w:name="_Ref467379542"/>
      <w:bookmarkStart w:id="634" w:name="_Toc487900354"/>
      <w:bookmarkStart w:id="635" w:name="_Toc259093674"/>
      <w:bookmarkStart w:id="636" w:name="_Ref467378541"/>
      <w:bookmarkStart w:id="637" w:name="_Toc29150"/>
      <w:bookmarkStart w:id="638" w:name="_Toc26182"/>
      <w:bookmarkStart w:id="639" w:name="_Toc30272"/>
      <w:bookmarkStart w:id="640" w:name="_Toc28304"/>
      <w:bookmarkStart w:id="641" w:name="_Toc19074"/>
      <w:r>
        <w:rPr>
          <w:rFonts w:hint="eastAsia" w:ascii="宋体" w:hAnsi="宋体" w:eastAsia="宋体" w:cs="宋体"/>
          <w:b/>
          <w:bCs/>
          <w:i w:val="0"/>
          <w:iCs w:val="0"/>
          <w:color w:val="auto"/>
          <w:sz w:val="24"/>
          <w:szCs w:val="24"/>
          <w:highlight w:val="none"/>
          <w:lang w:val="zh-CN"/>
        </w:rPr>
        <w:t>2.</w:t>
      </w:r>
      <w:bookmarkEnd w:id="629"/>
      <w:bookmarkEnd w:id="630"/>
      <w:bookmarkEnd w:id="631"/>
      <w:bookmarkEnd w:id="632"/>
      <w:bookmarkEnd w:id="633"/>
      <w:bookmarkEnd w:id="634"/>
      <w:bookmarkEnd w:id="635"/>
      <w:bookmarkEnd w:id="636"/>
      <w:r>
        <w:rPr>
          <w:rFonts w:hint="eastAsia" w:ascii="宋体" w:hAnsi="宋体" w:eastAsia="宋体" w:cs="宋体"/>
          <w:b/>
          <w:bCs/>
          <w:i w:val="0"/>
          <w:iCs w:val="0"/>
          <w:color w:val="auto"/>
          <w:sz w:val="24"/>
          <w:szCs w:val="24"/>
          <w:highlight w:val="none"/>
          <w:lang w:val="zh-CN"/>
        </w:rPr>
        <w:t>4 履约检查和问题反馈</w:t>
      </w:r>
      <w:bookmarkEnd w:id="637"/>
      <w:bookmarkEnd w:id="638"/>
      <w:bookmarkEnd w:id="639"/>
      <w:bookmarkEnd w:id="640"/>
      <w:bookmarkEnd w:id="641"/>
    </w:p>
    <w:p w14:paraId="1F572855">
      <w:pPr>
        <w:spacing w:line="360" w:lineRule="auto"/>
        <w:ind w:firstLine="435"/>
        <w:rPr>
          <w:rFonts w:hint="eastAsia" w:ascii="宋体" w:hAnsi="宋体" w:eastAsia="宋体" w:cs="宋体"/>
          <w:i w:val="0"/>
          <w:iCs w:val="0"/>
          <w:color w:val="auto"/>
          <w:sz w:val="24"/>
          <w:szCs w:val="24"/>
          <w:highlight w:val="none"/>
        </w:rPr>
      </w:pPr>
      <w:bookmarkStart w:id="642" w:name="_Toc186431854"/>
      <w:bookmarkStart w:id="643" w:name="_Toc279701247"/>
      <w:bookmarkStart w:id="644" w:name="_Ref467379807"/>
      <w:bookmarkStart w:id="645" w:name="_Toc259093676"/>
      <w:bookmarkStart w:id="646" w:name="_Ref467379793"/>
      <w:bookmarkStart w:id="647" w:name="_Toc487900357"/>
      <w:r>
        <w:rPr>
          <w:rFonts w:hint="eastAsia" w:ascii="宋体" w:hAnsi="宋体" w:eastAsia="宋体" w:cs="宋体"/>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6A90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2.4.2合同履行期间，甲方有权将履行过程中出现的问题反馈给乙方，双方当事人应以书面形式约定需要完善和改进的内容</w:t>
      </w:r>
      <w:bookmarkEnd w:id="642"/>
      <w:bookmarkStart w:id="648" w:name="_Toc186431855"/>
      <w:r>
        <w:rPr>
          <w:rFonts w:hint="eastAsia" w:ascii="宋体" w:hAnsi="宋体" w:eastAsia="宋体" w:cs="宋体"/>
          <w:i w:val="0"/>
          <w:iCs w:val="0"/>
          <w:color w:val="auto"/>
          <w:sz w:val="24"/>
          <w:szCs w:val="24"/>
          <w:highlight w:val="none"/>
        </w:rPr>
        <w:t>。</w:t>
      </w:r>
    </w:p>
    <w:bookmarkEnd w:id="648"/>
    <w:p w14:paraId="37DDF5E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49" w:name="_Toc6918"/>
      <w:bookmarkStart w:id="650" w:name="_Toc19219"/>
      <w:bookmarkStart w:id="651" w:name="_Toc745"/>
      <w:bookmarkStart w:id="652" w:name="_Toc28451"/>
      <w:bookmarkStart w:id="653" w:name="_Toc7836"/>
      <w:r>
        <w:rPr>
          <w:rFonts w:hint="eastAsia" w:ascii="宋体" w:hAnsi="宋体" w:eastAsia="宋体" w:cs="宋体"/>
          <w:b/>
          <w:bCs/>
          <w:i w:val="0"/>
          <w:iCs w:val="0"/>
          <w:color w:val="auto"/>
          <w:sz w:val="24"/>
          <w:szCs w:val="24"/>
          <w:highlight w:val="none"/>
          <w:lang w:val="zh-CN"/>
        </w:rPr>
        <w:t>2.5 结算方式和付款条件</w:t>
      </w:r>
      <w:bookmarkEnd w:id="643"/>
      <w:bookmarkEnd w:id="644"/>
      <w:bookmarkEnd w:id="645"/>
      <w:bookmarkEnd w:id="646"/>
      <w:bookmarkEnd w:id="647"/>
      <w:bookmarkEnd w:id="649"/>
      <w:bookmarkEnd w:id="650"/>
      <w:bookmarkEnd w:id="651"/>
      <w:bookmarkEnd w:id="652"/>
      <w:bookmarkEnd w:id="653"/>
    </w:p>
    <w:p w14:paraId="350F9F1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0E66E79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54" w:name="_Ref467379863"/>
      <w:bookmarkStart w:id="655" w:name="_Toc279701248"/>
      <w:bookmarkStart w:id="656" w:name="_Toc487900358"/>
      <w:bookmarkStart w:id="657" w:name="_Ref467379923"/>
      <w:bookmarkStart w:id="658" w:name="_Ref467379852"/>
      <w:bookmarkStart w:id="659" w:name="_Toc259093677"/>
      <w:bookmarkStart w:id="660" w:name="_Toc3225"/>
      <w:bookmarkStart w:id="661" w:name="_Toc16110"/>
      <w:bookmarkStart w:id="662" w:name="_Toc8947"/>
      <w:bookmarkStart w:id="663" w:name="_Toc6627"/>
      <w:bookmarkStart w:id="664" w:name="_Toc774"/>
      <w:r>
        <w:rPr>
          <w:rFonts w:hint="eastAsia" w:ascii="宋体" w:hAnsi="宋体" w:eastAsia="宋体" w:cs="宋体"/>
          <w:b/>
          <w:bCs/>
          <w:i w:val="0"/>
          <w:iCs w:val="0"/>
          <w:color w:val="auto"/>
          <w:sz w:val="24"/>
          <w:szCs w:val="24"/>
          <w:highlight w:val="none"/>
          <w:lang w:val="zh-CN"/>
        </w:rPr>
        <w:t>2.6 技术资料</w:t>
      </w:r>
      <w:bookmarkEnd w:id="654"/>
      <w:bookmarkEnd w:id="655"/>
      <w:bookmarkEnd w:id="656"/>
      <w:bookmarkEnd w:id="657"/>
      <w:bookmarkEnd w:id="658"/>
      <w:bookmarkEnd w:id="659"/>
      <w:r>
        <w:rPr>
          <w:rFonts w:hint="eastAsia" w:ascii="宋体" w:hAnsi="宋体" w:eastAsia="宋体" w:cs="宋体"/>
          <w:b/>
          <w:bCs/>
          <w:i w:val="0"/>
          <w:iCs w:val="0"/>
          <w:color w:val="auto"/>
          <w:sz w:val="24"/>
          <w:szCs w:val="24"/>
          <w:highlight w:val="none"/>
          <w:lang w:val="zh-CN"/>
        </w:rPr>
        <w:t>和保密义务</w:t>
      </w:r>
      <w:bookmarkEnd w:id="660"/>
      <w:bookmarkEnd w:id="661"/>
      <w:bookmarkEnd w:id="662"/>
      <w:bookmarkEnd w:id="663"/>
      <w:bookmarkEnd w:id="664"/>
    </w:p>
    <w:p w14:paraId="043E0FD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2.6.1乙方有权依据合同约定和项目需要，向甲方了解有关情况，调阅有关资料等，甲方应予积极配合；</w:t>
      </w:r>
    </w:p>
    <w:p w14:paraId="12D7A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2.6.2乙方有义务妥善保管和保护由甲方提供的前款信息和资料等；</w:t>
      </w:r>
    </w:p>
    <w:p w14:paraId="1BFAE2B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16C7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65" w:name="_Toc1434"/>
      <w:bookmarkStart w:id="666" w:name="_Toc20401"/>
      <w:bookmarkStart w:id="667" w:name="_Toc7860"/>
      <w:r>
        <w:rPr>
          <w:rFonts w:hint="eastAsia" w:ascii="宋体" w:hAnsi="宋体" w:eastAsia="宋体" w:cs="宋体"/>
          <w:b/>
          <w:bCs/>
          <w:i w:val="0"/>
          <w:iCs w:val="0"/>
          <w:color w:val="auto"/>
          <w:sz w:val="24"/>
          <w:szCs w:val="24"/>
          <w:highlight w:val="none"/>
          <w:lang w:val="zh-CN"/>
        </w:rPr>
        <w:t>2.7 质量保证</w:t>
      </w:r>
      <w:bookmarkEnd w:id="665"/>
      <w:bookmarkEnd w:id="666"/>
      <w:bookmarkEnd w:id="667"/>
    </w:p>
    <w:p w14:paraId="06F68E3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2.7.1乙方应建立和完善履行合同的内部质量保证体系，并提供相关内部规章制度给甲方，以便甲方进行监督检查；</w:t>
      </w:r>
    </w:p>
    <w:p w14:paraId="37CEC89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6EE54FD6">
      <w:pPr>
        <w:spacing w:line="360" w:lineRule="auto"/>
        <w:ind w:firstLine="437"/>
        <w:outlineLvl w:val="2"/>
        <w:rPr>
          <w:rFonts w:hint="eastAsia" w:ascii="宋体" w:hAnsi="宋体" w:eastAsia="宋体" w:cs="宋体"/>
          <w:b/>
          <w:i w:val="0"/>
          <w:iCs w:val="0"/>
          <w:color w:val="auto"/>
          <w:sz w:val="24"/>
          <w:szCs w:val="24"/>
          <w:highlight w:val="none"/>
        </w:rPr>
      </w:pPr>
      <w:bookmarkStart w:id="668" w:name="_Toc27251"/>
      <w:bookmarkStart w:id="669" w:name="_Toc22267"/>
      <w:bookmarkStart w:id="670" w:name="_Toc20440"/>
      <w:r>
        <w:rPr>
          <w:rFonts w:hint="eastAsia" w:ascii="宋体" w:hAnsi="宋体" w:eastAsia="宋体" w:cs="宋体"/>
          <w:b/>
          <w:i w:val="0"/>
          <w:iCs w:val="0"/>
          <w:color w:val="auto"/>
          <w:sz w:val="24"/>
          <w:szCs w:val="24"/>
          <w:highlight w:val="none"/>
        </w:rPr>
        <w:t>2.8 延迟履行</w:t>
      </w:r>
      <w:bookmarkEnd w:id="668"/>
      <w:bookmarkEnd w:id="669"/>
      <w:bookmarkEnd w:id="670"/>
    </w:p>
    <w:p w14:paraId="39241BB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6551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71" w:name="_Toc106"/>
      <w:bookmarkStart w:id="672" w:name="_Toc7502"/>
      <w:bookmarkStart w:id="673" w:name="_Toc22045"/>
      <w:bookmarkStart w:id="674" w:name="_Toc279701254"/>
      <w:bookmarkStart w:id="675" w:name="_Ref467378121"/>
      <w:bookmarkStart w:id="676" w:name="_Toc259093683"/>
      <w:bookmarkStart w:id="677" w:name="_Toc487900364"/>
      <w:r>
        <w:rPr>
          <w:rFonts w:hint="eastAsia" w:ascii="宋体" w:hAnsi="宋体" w:eastAsia="宋体" w:cs="宋体"/>
          <w:b/>
          <w:bCs/>
          <w:i w:val="0"/>
          <w:iCs w:val="0"/>
          <w:color w:val="auto"/>
          <w:sz w:val="24"/>
          <w:szCs w:val="24"/>
          <w:highlight w:val="none"/>
          <w:lang w:val="zh-CN"/>
        </w:rPr>
        <w:t>2.9 合同变更</w:t>
      </w:r>
      <w:bookmarkEnd w:id="671"/>
      <w:bookmarkEnd w:id="672"/>
      <w:bookmarkEnd w:id="673"/>
    </w:p>
    <w:p w14:paraId="60F58CC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2.9.1双方当事人协商一致，可以签订书面补充合同的形式变更合同，但不得违背采购文件确定的事项；</w:t>
      </w:r>
    </w:p>
    <w:p w14:paraId="42F7E75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678" w:name="_Toc279701259"/>
      <w:bookmarkStart w:id="679" w:name="_Toc487900369"/>
      <w:bookmarkStart w:id="680" w:name="_Toc259093688"/>
    </w:p>
    <w:p w14:paraId="742F9E7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81" w:name="_Toc22955"/>
      <w:bookmarkStart w:id="682" w:name="_Toc15237"/>
      <w:bookmarkStart w:id="683" w:name="_Toc19955"/>
      <w:bookmarkStart w:id="684" w:name="_Toc20243"/>
      <w:bookmarkStart w:id="685" w:name="_Toc10366"/>
      <w:r>
        <w:rPr>
          <w:rFonts w:hint="eastAsia" w:ascii="宋体" w:hAnsi="宋体" w:eastAsia="宋体" w:cs="宋体"/>
          <w:b/>
          <w:bCs/>
          <w:i w:val="0"/>
          <w:iCs w:val="0"/>
          <w:color w:val="auto"/>
          <w:sz w:val="24"/>
          <w:szCs w:val="24"/>
          <w:highlight w:val="none"/>
          <w:lang w:val="zh-CN"/>
        </w:rPr>
        <w:t>2.10 合同转让</w:t>
      </w:r>
      <w:bookmarkEnd w:id="678"/>
      <w:bookmarkEnd w:id="679"/>
      <w:bookmarkEnd w:id="680"/>
      <w:r>
        <w:rPr>
          <w:rFonts w:hint="eastAsia" w:ascii="宋体" w:hAnsi="宋体" w:eastAsia="宋体" w:cs="宋体"/>
          <w:b/>
          <w:bCs/>
          <w:i w:val="0"/>
          <w:iCs w:val="0"/>
          <w:color w:val="auto"/>
          <w:sz w:val="24"/>
          <w:szCs w:val="24"/>
          <w:highlight w:val="none"/>
          <w:lang w:val="zh-CN"/>
        </w:rPr>
        <w:t>和分包</w:t>
      </w:r>
      <w:bookmarkEnd w:id="681"/>
      <w:bookmarkEnd w:id="682"/>
      <w:bookmarkEnd w:id="683"/>
      <w:bookmarkEnd w:id="684"/>
      <w:bookmarkEnd w:id="685"/>
    </w:p>
    <w:p w14:paraId="26ADD7C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061B3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86" w:name="_Toc14066"/>
      <w:bookmarkStart w:id="687" w:name="_Toc22946"/>
      <w:bookmarkStart w:id="688" w:name="_Toc10157"/>
      <w:bookmarkStart w:id="689" w:name="_Toc13566"/>
      <w:bookmarkStart w:id="690" w:name="_Toc16508"/>
      <w:r>
        <w:rPr>
          <w:rFonts w:hint="eastAsia" w:ascii="宋体" w:hAnsi="宋体" w:eastAsia="宋体" w:cs="宋体"/>
          <w:b/>
          <w:bCs/>
          <w:i w:val="0"/>
          <w:iCs w:val="0"/>
          <w:color w:val="auto"/>
          <w:sz w:val="24"/>
          <w:szCs w:val="24"/>
          <w:highlight w:val="none"/>
          <w:lang w:val="zh-CN"/>
        </w:rPr>
        <w:t>2.11 不可抗力</w:t>
      </w:r>
      <w:bookmarkEnd w:id="686"/>
      <w:bookmarkEnd w:id="687"/>
      <w:bookmarkEnd w:id="688"/>
      <w:bookmarkEnd w:id="689"/>
      <w:bookmarkEnd w:id="690"/>
    </w:p>
    <w:p w14:paraId="2E7E6126">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584AA5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2.11.2因不可抗力致使不能实现合同目的的，当事人可以解除合同；</w:t>
      </w:r>
    </w:p>
    <w:p w14:paraId="7EC5696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2.11.3因不可抗力致使合同有变更必要的，双方当事人应在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约定时间内以书面形式变更合同；</w:t>
      </w:r>
    </w:p>
    <w:p w14:paraId="64C45C6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2.11.4受不可抗力影响的一方在不可抗力发生后，应在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约定时间内以书面形式通知对方当事人，并在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约定时间内，将有关部门出具的证明文件送达对方当事人。</w:t>
      </w:r>
    </w:p>
    <w:p w14:paraId="0737946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91" w:name="_Toc279701255"/>
      <w:bookmarkStart w:id="692" w:name="_Toc12787"/>
      <w:bookmarkStart w:id="693" w:name="_Toc487900365"/>
      <w:bookmarkStart w:id="694" w:name="_Toc689"/>
      <w:bookmarkStart w:id="695" w:name="_Toc259093684"/>
      <w:bookmarkStart w:id="696" w:name="_Toc6969"/>
      <w:bookmarkStart w:id="697" w:name="_Toc24332"/>
      <w:bookmarkStart w:id="698" w:name="_Toc30676"/>
      <w:r>
        <w:rPr>
          <w:rFonts w:hint="eastAsia" w:ascii="宋体" w:hAnsi="宋体" w:eastAsia="宋体" w:cs="宋体"/>
          <w:b/>
          <w:bCs/>
          <w:i w:val="0"/>
          <w:iCs w:val="0"/>
          <w:color w:val="auto"/>
          <w:sz w:val="24"/>
          <w:szCs w:val="24"/>
          <w:highlight w:val="none"/>
          <w:lang w:val="zh-CN"/>
        </w:rPr>
        <w:t>2.12 税费</w:t>
      </w:r>
      <w:bookmarkEnd w:id="691"/>
      <w:bookmarkEnd w:id="692"/>
      <w:bookmarkEnd w:id="693"/>
      <w:bookmarkEnd w:id="694"/>
      <w:bookmarkEnd w:id="695"/>
      <w:bookmarkEnd w:id="696"/>
      <w:bookmarkEnd w:id="697"/>
      <w:bookmarkEnd w:id="698"/>
    </w:p>
    <w:p w14:paraId="7FDC372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与合同有关的一切税费，均按照中华人民共和国法律的相关规定缴纳。</w:t>
      </w:r>
    </w:p>
    <w:p w14:paraId="485EEA4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99" w:name="_Toc30741"/>
      <w:bookmarkStart w:id="700" w:name="_Toc7102"/>
      <w:bookmarkStart w:id="701" w:name="_Toc16959"/>
      <w:bookmarkStart w:id="702" w:name="_Toc259093687"/>
      <w:bookmarkStart w:id="703" w:name="_Toc2206"/>
      <w:bookmarkStart w:id="704" w:name="_Toc487900368"/>
      <w:bookmarkStart w:id="705" w:name="_Toc8298"/>
      <w:bookmarkStart w:id="706" w:name="_Toc279701258"/>
      <w:r>
        <w:rPr>
          <w:rFonts w:hint="eastAsia" w:ascii="宋体" w:hAnsi="宋体" w:eastAsia="宋体" w:cs="宋体"/>
          <w:b/>
          <w:bCs/>
          <w:i w:val="0"/>
          <w:iCs w:val="0"/>
          <w:color w:val="auto"/>
          <w:sz w:val="24"/>
          <w:szCs w:val="24"/>
          <w:highlight w:val="none"/>
          <w:lang w:val="zh-CN"/>
        </w:rPr>
        <w:t>2.13 乙方破产</w:t>
      </w:r>
      <w:bookmarkEnd w:id="699"/>
      <w:bookmarkEnd w:id="700"/>
      <w:bookmarkEnd w:id="701"/>
      <w:bookmarkEnd w:id="702"/>
      <w:bookmarkEnd w:id="703"/>
      <w:bookmarkEnd w:id="704"/>
      <w:bookmarkEnd w:id="705"/>
      <w:bookmarkEnd w:id="706"/>
    </w:p>
    <w:p w14:paraId="4706273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9A5F8">
      <w:pPr>
        <w:spacing w:line="360" w:lineRule="auto"/>
        <w:ind w:firstLine="437"/>
        <w:outlineLvl w:val="2"/>
        <w:rPr>
          <w:rFonts w:hint="eastAsia" w:ascii="宋体" w:hAnsi="宋体" w:eastAsia="宋体" w:cs="宋体"/>
          <w:b/>
          <w:i w:val="0"/>
          <w:iCs w:val="0"/>
          <w:color w:val="auto"/>
          <w:sz w:val="24"/>
          <w:szCs w:val="24"/>
          <w:highlight w:val="none"/>
        </w:rPr>
      </w:pPr>
      <w:bookmarkStart w:id="707" w:name="_Toc9036"/>
      <w:bookmarkStart w:id="708" w:name="_Toc13537"/>
      <w:bookmarkStart w:id="709" w:name="_Toc6134"/>
      <w:bookmarkStart w:id="710" w:name="_Toc29333"/>
      <w:bookmarkStart w:id="711" w:name="_Toc15387"/>
      <w:r>
        <w:rPr>
          <w:rFonts w:hint="eastAsia" w:ascii="宋体" w:hAnsi="宋体" w:eastAsia="宋体" w:cs="宋体"/>
          <w:b/>
          <w:bCs/>
          <w:i w:val="0"/>
          <w:iCs w:val="0"/>
          <w:color w:val="auto"/>
          <w:sz w:val="24"/>
          <w:szCs w:val="24"/>
          <w:highlight w:val="none"/>
          <w:lang w:val="zh-CN"/>
        </w:rPr>
        <w:t>2.14 合同中止、终止</w:t>
      </w:r>
      <w:bookmarkEnd w:id="707"/>
      <w:bookmarkEnd w:id="708"/>
      <w:bookmarkEnd w:id="709"/>
      <w:bookmarkEnd w:id="710"/>
      <w:bookmarkEnd w:id="711"/>
    </w:p>
    <w:p w14:paraId="6151CDA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2.14.1双方当事人不得擅自中止或者终止合同；</w:t>
      </w:r>
    </w:p>
    <w:p w14:paraId="0A33DBB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1ADDB2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712" w:name="_Toc14791"/>
      <w:bookmarkStart w:id="713" w:name="_Toc14563"/>
      <w:bookmarkStart w:id="714" w:name="_Toc7061"/>
      <w:bookmarkStart w:id="715" w:name="_Toc6596"/>
      <w:bookmarkStart w:id="716" w:name="_Toc1125"/>
      <w:r>
        <w:rPr>
          <w:rFonts w:hint="eastAsia" w:ascii="宋体" w:hAnsi="宋体" w:eastAsia="宋体" w:cs="宋体"/>
          <w:b/>
          <w:bCs/>
          <w:i w:val="0"/>
          <w:iCs w:val="0"/>
          <w:color w:val="auto"/>
          <w:sz w:val="24"/>
          <w:szCs w:val="24"/>
          <w:highlight w:val="none"/>
          <w:lang w:val="zh-CN"/>
        </w:rPr>
        <w:t>2.15 检验和验收</w:t>
      </w:r>
      <w:bookmarkEnd w:id="712"/>
      <w:bookmarkEnd w:id="713"/>
      <w:bookmarkEnd w:id="714"/>
      <w:bookmarkEnd w:id="715"/>
      <w:bookmarkEnd w:id="716"/>
    </w:p>
    <w:p w14:paraId="4B523E1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2.15.1乙方按照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的约定进行定期验收；</w:t>
      </w:r>
    </w:p>
    <w:p w14:paraId="2691C9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30CD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674"/>
    <w:bookmarkEnd w:id="675"/>
    <w:bookmarkEnd w:id="676"/>
    <w:bookmarkEnd w:id="677"/>
    <w:p w14:paraId="73AF77C8">
      <w:pPr>
        <w:spacing w:line="360" w:lineRule="auto"/>
        <w:ind w:firstLine="437"/>
        <w:outlineLvl w:val="2"/>
        <w:rPr>
          <w:rFonts w:hint="eastAsia" w:ascii="宋体" w:hAnsi="宋体" w:eastAsia="宋体" w:cs="宋体"/>
          <w:b/>
          <w:bCs/>
          <w:i w:val="0"/>
          <w:iCs w:val="0"/>
          <w:color w:val="auto"/>
          <w:sz w:val="24"/>
          <w:szCs w:val="24"/>
          <w:highlight w:val="none"/>
        </w:rPr>
      </w:pPr>
      <w:bookmarkStart w:id="717" w:name="_Toc10330"/>
      <w:bookmarkStart w:id="718" w:name="_Toc487900373"/>
      <w:bookmarkStart w:id="719" w:name="_Toc12773"/>
      <w:bookmarkStart w:id="720" w:name="_Toc18567"/>
      <w:bookmarkStart w:id="721" w:name="_Toc279701263"/>
      <w:bookmarkStart w:id="722" w:name="_Toc259093692"/>
      <w:bookmarkStart w:id="723" w:name="_Toc28706"/>
      <w:bookmarkStart w:id="724" w:name="_Toc31923"/>
      <w:r>
        <w:rPr>
          <w:rFonts w:hint="eastAsia" w:ascii="宋体" w:hAnsi="宋体" w:eastAsia="宋体" w:cs="宋体"/>
          <w:b/>
          <w:bCs/>
          <w:i w:val="0"/>
          <w:iCs w:val="0"/>
          <w:color w:val="auto"/>
          <w:sz w:val="24"/>
          <w:szCs w:val="24"/>
          <w:highlight w:val="none"/>
        </w:rPr>
        <w:t xml:space="preserve">2.16 </w:t>
      </w:r>
      <w:r>
        <w:rPr>
          <w:rFonts w:hint="eastAsia" w:ascii="宋体" w:hAnsi="宋体" w:eastAsia="宋体" w:cs="宋体"/>
          <w:b/>
          <w:bCs/>
          <w:i w:val="0"/>
          <w:iCs w:val="0"/>
          <w:color w:val="auto"/>
          <w:sz w:val="24"/>
          <w:szCs w:val="24"/>
          <w:highlight w:val="none"/>
          <w:lang w:val="zh-CN"/>
        </w:rPr>
        <w:t>合同使用的文字和适用的法律</w:t>
      </w:r>
      <w:bookmarkEnd w:id="717"/>
      <w:bookmarkEnd w:id="718"/>
      <w:bookmarkEnd w:id="719"/>
      <w:bookmarkEnd w:id="720"/>
      <w:bookmarkEnd w:id="721"/>
      <w:bookmarkEnd w:id="722"/>
      <w:bookmarkEnd w:id="723"/>
      <w:bookmarkEnd w:id="724"/>
    </w:p>
    <w:p w14:paraId="584303E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2.16.1合同使用汉语书就、变更和解释；</w:t>
      </w:r>
    </w:p>
    <w:p w14:paraId="6120D4C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2.16.2合同适用中华人民共和国法律。</w:t>
      </w:r>
    </w:p>
    <w:p w14:paraId="6DD35A5C">
      <w:pPr>
        <w:spacing w:line="360" w:lineRule="auto"/>
        <w:ind w:firstLine="437"/>
        <w:outlineLvl w:val="2"/>
        <w:rPr>
          <w:rFonts w:hint="eastAsia" w:ascii="宋体" w:hAnsi="宋体" w:eastAsia="宋体" w:cs="宋体"/>
          <w:b/>
          <w:i w:val="0"/>
          <w:iCs w:val="0"/>
          <w:color w:val="auto"/>
          <w:sz w:val="24"/>
          <w:szCs w:val="24"/>
          <w:highlight w:val="none"/>
        </w:rPr>
      </w:pPr>
      <w:bookmarkStart w:id="725" w:name="_Toc16673"/>
      <w:bookmarkStart w:id="726" w:name="_Toc12004"/>
      <w:bookmarkStart w:id="727" w:name="_Toc279701264"/>
      <w:bookmarkStart w:id="728" w:name="_Toc13059"/>
      <w:bookmarkStart w:id="729" w:name="_Toc30894"/>
      <w:bookmarkStart w:id="730" w:name="_Toc3148"/>
      <w:bookmarkStart w:id="731" w:name="_Toc259093693"/>
      <w:bookmarkStart w:id="732" w:name="_Toc487900374"/>
      <w:r>
        <w:rPr>
          <w:rFonts w:hint="eastAsia" w:ascii="宋体" w:hAnsi="宋体" w:eastAsia="宋体" w:cs="宋体"/>
          <w:b/>
          <w:bCs/>
          <w:i w:val="0"/>
          <w:iCs w:val="0"/>
          <w:color w:val="auto"/>
          <w:sz w:val="24"/>
          <w:szCs w:val="24"/>
          <w:highlight w:val="none"/>
          <w:lang w:val="zh-CN"/>
        </w:rPr>
        <w:t>2.17 履约保证金</w:t>
      </w:r>
      <w:bookmarkEnd w:id="725"/>
      <w:bookmarkEnd w:id="726"/>
      <w:bookmarkEnd w:id="727"/>
      <w:bookmarkEnd w:id="728"/>
      <w:bookmarkEnd w:id="729"/>
      <w:bookmarkEnd w:id="730"/>
      <w:bookmarkEnd w:id="731"/>
    </w:p>
    <w:p w14:paraId="1C42A5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2.17.1采购文件要求乙方提交履约保证金的，乙方应按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约定的方式，以支票、汇票、本票或者金融机构、担保机构出具的保函等非现金形式提交；</w:t>
      </w:r>
    </w:p>
    <w:p w14:paraId="4D9AC60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2.17.2履约保证金在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约定期间内不予退还或者应完全有效，前述约定期间届满之日起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个工作日内，甲方应将履约保证金退还乙方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逾期退还履约保证金</w:t>
      </w:r>
      <w:r>
        <w:rPr>
          <w:rFonts w:hint="eastAsia" w:ascii="宋体" w:hAnsi="宋体" w:eastAsia="宋体" w:cs="宋体"/>
          <w:i w:val="0"/>
          <w:iCs w:val="0"/>
          <w:color w:val="auto"/>
          <w:sz w:val="24"/>
          <w:szCs w:val="24"/>
          <w:highlight w:val="none"/>
          <w:lang w:val="en-US" w:eastAsia="zh-CN"/>
        </w:rPr>
        <w:t>应承担违约责任。</w:t>
      </w:r>
    </w:p>
    <w:p w14:paraId="5DC1A76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32"/>
    <w:p w14:paraId="1186696B">
      <w:pPr>
        <w:spacing w:line="360" w:lineRule="auto"/>
        <w:ind w:firstLine="437"/>
        <w:outlineLvl w:val="2"/>
        <w:rPr>
          <w:rFonts w:hint="eastAsia" w:ascii="宋体" w:hAnsi="宋体" w:eastAsia="宋体" w:cs="宋体"/>
          <w:b/>
          <w:i w:val="0"/>
          <w:iCs w:val="0"/>
          <w:color w:val="auto"/>
          <w:sz w:val="24"/>
          <w:szCs w:val="24"/>
          <w:highlight w:val="none"/>
        </w:rPr>
      </w:pPr>
      <w:bookmarkStart w:id="733" w:name="_Toc7242"/>
      <w:bookmarkStart w:id="734" w:name="_Toc11238"/>
      <w:bookmarkStart w:id="735" w:name="_Toc19890"/>
      <w:bookmarkStart w:id="736" w:name="_Toc14001"/>
      <w:bookmarkStart w:id="737" w:name="_Toc6885"/>
      <w:r>
        <w:rPr>
          <w:rFonts w:hint="eastAsia" w:ascii="宋体" w:hAnsi="宋体" w:eastAsia="宋体" w:cs="宋体"/>
          <w:b/>
          <w:bCs/>
          <w:i w:val="0"/>
          <w:iCs w:val="0"/>
          <w:color w:val="auto"/>
          <w:sz w:val="24"/>
          <w:szCs w:val="24"/>
          <w:highlight w:val="none"/>
          <w:lang w:val="zh-CN"/>
        </w:rPr>
        <w:t>2.18 合同份数</w:t>
      </w:r>
      <w:bookmarkEnd w:id="733"/>
      <w:bookmarkEnd w:id="734"/>
      <w:bookmarkEnd w:id="735"/>
      <w:bookmarkEnd w:id="736"/>
      <w:bookmarkEnd w:id="737"/>
    </w:p>
    <w:p w14:paraId="1E34590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53F3690C">
      <w:pPr>
        <w:spacing w:line="360" w:lineRule="auto"/>
        <w:jc w:val="center"/>
        <w:outlineLvl w:val="1"/>
        <w:rPr>
          <w:rFonts w:hint="eastAsia" w:ascii="宋体" w:hAnsi="宋体" w:eastAsia="宋体" w:cs="宋体"/>
          <w:b/>
          <w:color w:val="auto"/>
          <w:sz w:val="36"/>
          <w:szCs w:val="36"/>
          <w:highlight w:val="none"/>
        </w:rPr>
      </w:pPr>
      <w:r>
        <w:rPr>
          <w:rFonts w:cs="Times New Roman" w:asciiTheme="minorEastAsia" w:hAnsiTheme="minorEastAsia" w:eastAsiaTheme="minorEastAsia"/>
          <w:color w:val="auto"/>
          <w:sz w:val="24"/>
          <w:szCs w:val="24"/>
          <w:highlight w:val="none"/>
        </w:rPr>
        <w:br w:type="page"/>
      </w:r>
      <w:bookmarkStart w:id="738" w:name="_Toc19801"/>
      <w:bookmarkStart w:id="739" w:name="_Toc3736"/>
      <w:bookmarkStart w:id="740" w:name="_Toc24453"/>
      <w:r>
        <w:rPr>
          <w:rFonts w:hint="eastAsia" w:ascii="宋体" w:hAnsi="宋体" w:eastAsia="宋体" w:cs="宋体"/>
          <w:b/>
          <w:color w:val="auto"/>
          <w:sz w:val="36"/>
          <w:szCs w:val="36"/>
          <w:highlight w:val="none"/>
        </w:rPr>
        <w:t>第三部分 合同专用条款</w:t>
      </w:r>
      <w:bookmarkEnd w:id="738"/>
      <w:bookmarkEnd w:id="739"/>
      <w:bookmarkEnd w:id="740"/>
    </w:p>
    <w:p w14:paraId="3D7C59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24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0CAE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vAlign w:val="center"/>
          </w:tcPr>
          <w:p w14:paraId="5E297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47A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B4B21CE">
            <w:pPr>
              <w:spacing w:line="560" w:lineRule="exact"/>
              <w:rPr>
                <w:rFonts w:hint="eastAsia" w:ascii="宋体" w:hAnsi="宋体" w:eastAsia="宋体" w:cs="宋体"/>
                <w:color w:val="auto"/>
                <w:sz w:val="24"/>
                <w:szCs w:val="24"/>
                <w:highlight w:val="none"/>
              </w:rPr>
            </w:pPr>
          </w:p>
        </w:tc>
        <w:tc>
          <w:tcPr>
            <w:tcW w:w="7568" w:type="dxa"/>
            <w:vAlign w:val="center"/>
          </w:tcPr>
          <w:p w14:paraId="40655C46">
            <w:pPr>
              <w:spacing w:line="560" w:lineRule="exact"/>
              <w:rPr>
                <w:rFonts w:hint="eastAsia" w:ascii="宋体" w:hAnsi="宋体" w:eastAsia="宋体" w:cs="宋体"/>
                <w:color w:val="auto"/>
                <w:sz w:val="24"/>
                <w:szCs w:val="24"/>
                <w:highlight w:val="none"/>
              </w:rPr>
            </w:pPr>
          </w:p>
        </w:tc>
      </w:tr>
      <w:tr w14:paraId="0B04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F3CD612">
            <w:pPr>
              <w:spacing w:line="560" w:lineRule="exact"/>
              <w:rPr>
                <w:rFonts w:hint="eastAsia" w:ascii="宋体" w:hAnsi="宋体" w:eastAsia="宋体" w:cs="宋体"/>
                <w:color w:val="auto"/>
                <w:sz w:val="24"/>
                <w:szCs w:val="24"/>
                <w:highlight w:val="none"/>
              </w:rPr>
            </w:pPr>
          </w:p>
        </w:tc>
        <w:tc>
          <w:tcPr>
            <w:tcW w:w="7568" w:type="dxa"/>
            <w:vAlign w:val="center"/>
          </w:tcPr>
          <w:p w14:paraId="32E7ECB0">
            <w:pPr>
              <w:spacing w:line="560" w:lineRule="exact"/>
              <w:rPr>
                <w:rFonts w:hint="eastAsia" w:ascii="宋体" w:hAnsi="宋体" w:eastAsia="宋体" w:cs="宋体"/>
                <w:color w:val="auto"/>
                <w:sz w:val="24"/>
                <w:szCs w:val="24"/>
                <w:highlight w:val="none"/>
              </w:rPr>
            </w:pPr>
          </w:p>
        </w:tc>
      </w:tr>
      <w:tr w14:paraId="1FC9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9AF35CA">
            <w:pPr>
              <w:spacing w:line="560" w:lineRule="exact"/>
              <w:rPr>
                <w:rFonts w:hint="eastAsia" w:ascii="宋体" w:hAnsi="宋体" w:eastAsia="宋体" w:cs="宋体"/>
                <w:color w:val="auto"/>
                <w:sz w:val="24"/>
                <w:szCs w:val="24"/>
                <w:highlight w:val="none"/>
              </w:rPr>
            </w:pPr>
          </w:p>
        </w:tc>
        <w:tc>
          <w:tcPr>
            <w:tcW w:w="7568" w:type="dxa"/>
            <w:vAlign w:val="center"/>
          </w:tcPr>
          <w:p w14:paraId="611385EA">
            <w:pPr>
              <w:spacing w:line="560" w:lineRule="exact"/>
              <w:rPr>
                <w:rFonts w:hint="eastAsia" w:ascii="宋体" w:hAnsi="宋体" w:eastAsia="宋体" w:cs="宋体"/>
                <w:color w:val="auto"/>
                <w:sz w:val="24"/>
                <w:szCs w:val="24"/>
                <w:highlight w:val="none"/>
              </w:rPr>
            </w:pPr>
          </w:p>
        </w:tc>
      </w:tr>
      <w:tr w14:paraId="4AA1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C18170">
            <w:pPr>
              <w:spacing w:line="560" w:lineRule="exact"/>
              <w:rPr>
                <w:rFonts w:hint="eastAsia" w:ascii="宋体" w:hAnsi="宋体" w:eastAsia="宋体" w:cs="宋体"/>
                <w:color w:val="auto"/>
                <w:sz w:val="24"/>
                <w:szCs w:val="24"/>
                <w:highlight w:val="none"/>
              </w:rPr>
            </w:pPr>
          </w:p>
        </w:tc>
        <w:tc>
          <w:tcPr>
            <w:tcW w:w="7568" w:type="dxa"/>
            <w:vAlign w:val="center"/>
          </w:tcPr>
          <w:p w14:paraId="728B2346">
            <w:pPr>
              <w:spacing w:line="560" w:lineRule="exact"/>
              <w:rPr>
                <w:rFonts w:hint="eastAsia" w:ascii="宋体" w:hAnsi="宋体" w:eastAsia="宋体" w:cs="宋体"/>
                <w:color w:val="auto"/>
                <w:sz w:val="24"/>
                <w:szCs w:val="24"/>
                <w:highlight w:val="none"/>
              </w:rPr>
            </w:pPr>
          </w:p>
        </w:tc>
      </w:tr>
      <w:tr w14:paraId="2F6F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A51C9F">
            <w:pPr>
              <w:spacing w:line="560" w:lineRule="exact"/>
              <w:rPr>
                <w:rFonts w:hint="eastAsia" w:ascii="宋体" w:hAnsi="宋体" w:eastAsia="宋体" w:cs="宋体"/>
                <w:color w:val="auto"/>
                <w:sz w:val="24"/>
                <w:szCs w:val="24"/>
                <w:highlight w:val="none"/>
              </w:rPr>
            </w:pPr>
          </w:p>
        </w:tc>
        <w:tc>
          <w:tcPr>
            <w:tcW w:w="7568" w:type="dxa"/>
            <w:vAlign w:val="center"/>
          </w:tcPr>
          <w:p w14:paraId="41CA5680">
            <w:pPr>
              <w:spacing w:line="560" w:lineRule="exact"/>
              <w:rPr>
                <w:rFonts w:hint="eastAsia" w:ascii="宋体" w:hAnsi="宋体" w:eastAsia="宋体" w:cs="宋体"/>
                <w:color w:val="auto"/>
                <w:sz w:val="24"/>
                <w:szCs w:val="24"/>
                <w:highlight w:val="none"/>
                <w:u w:val="single"/>
              </w:rPr>
            </w:pPr>
          </w:p>
        </w:tc>
      </w:tr>
      <w:tr w14:paraId="3E01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316856">
            <w:pPr>
              <w:spacing w:line="560" w:lineRule="exact"/>
              <w:rPr>
                <w:rFonts w:hint="eastAsia" w:ascii="宋体" w:hAnsi="宋体" w:eastAsia="宋体" w:cs="宋体"/>
                <w:color w:val="auto"/>
                <w:sz w:val="24"/>
                <w:szCs w:val="24"/>
                <w:highlight w:val="none"/>
              </w:rPr>
            </w:pPr>
          </w:p>
        </w:tc>
        <w:tc>
          <w:tcPr>
            <w:tcW w:w="7568" w:type="dxa"/>
            <w:vAlign w:val="center"/>
          </w:tcPr>
          <w:p w14:paraId="5CD2BDDA">
            <w:pPr>
              <w:spacing w:line="560" w:lineRule="exact"/>
              <w:rPr>
                <w:rFonts w:hint="eastAsia" w:ascii="宋体" w:hAnsi="宋体" w:eastAsia="宋体" w:cs="宋体"/>
                <w:color w:val="auto"/>
                <w:sz w:val="24"/>
                <w:szCs w:val="24"/>
                <w:highlight w:val="none"/>
              </w:rPr>
            </w:pPr>
          </w:p>
        </w:tc>
      </w:tr>
      <w:tr w14:paraId="3FED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5B688D">
            <w:pPr>
              <w:spacing w:line="560" w:lineRule="exact"/>
              <w:rPr>
                <w:rFonts w:hint="eastAsia" w:ascii="宋体" w:hAnsi="宋体" w:eastAsia="宋体" w:cs="宋体"/>
                <w:color w:val="auto"/>
                <w:sz w:val="24"/>
                <w:szCs w:val="24"/>
                <w:highlight w:val="none"/>
              </w:rPr>
            </w:pPr>
          </w:p>
        </w:tc>
        <w:tc>
          <w:tcPr>
            <w:tcW w:w="7568" w:type="dxa"/>
            <w:vAlign w:val="center"/>
          </w:tcPr>
          <w:p w14:paraId="7E92421C">
            <w:pPr>
              <w:spacing w:line="560" w:lineRule="exact"/>
              <w:rPr>
                <w:rFonts w:hint="eastAsia" w:ascii="宋体" w:hAnsi="宋体" w:eastAsia="宋体" w:cs="宋体"/>
                <w:color w:val="auto"/>
                <w:sz w:val="24"/>
                <w:szCs w:val="24"/>
                <w:highlight w:val="none"/>
                <w:u w:val="single"/>
              </w:rPr>
            </w:pPr>
          </w:p>
        </w:tc>
      </w:tr>
      <w:tr w14:paraId="7AA8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3B5D46E">
            <w:pPr>
              <w:spacing w:line="560" w:lineRule="exact"/>
              <w:rPr>
                <w:rFonts w:hint="eastAsia" w:ascii="宋体" w:hAnsi="宋体" w:eastAsia="宋体" w:cs="宋体"/>
                <w:color w:val="auto"/>
                <w:sz w:val="24"/>
                <w:szCs w:val="24"/>
                <w:highlight w:val="none"/>
              </w:rPr>
            </w:pPr>
          </w:p>
        </w:tc>
        <w:tc>
          <w:tcPr>
            <w:tcW w:w="7568" w:type="dxa"/>
            <w:vAlign w:val="center"/>
          </w:tcPr>
          <w:p w14:paraId="4A52371D">
            <w:pPr>
              <w:spacing w:line="560" w:lineRule="exact"/>
              <w:rPr>
                <w:rFonts w:hint="eastAsia" w:ascii="宋体" w:hAnsi="宋体" w:eastAsia="宋体" w:cs="宋体"/>
                <w:color w:val="auto"/>
                <w:sz w:val="24"/>
                <w:szCs w:val="24"/>
                <w:highlight w:val="none"/>
              </w:rPr>
            </w:pPr>
          </w:p>
        </w:tc>
      </w:tr>
      <w:tr w14:paraId="220B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CD534FB">
            <w:pPr>
              <w:spacing w:line="560" w:lineRule="exact"/>
              <w:rPr>
                <w:rFonts w:hint="eastAsia" w:ascii="宋体" w:hAnsi="宋体" w:eastAsia="宋体" w:cs="宋体"/>
                <w:color w:val="auto"/>
                <w:sz w:val="24"/>
                <w:szCs w:val="24"/>
                <w:highlight w:val="none"/>
              </w:rPr>
            </w:pPr>
          </w:p>
        </w:tc>
        <w:tc>
          <w:tcPr>
            <w:tcW w:w="7568" w:type="dxa"/>
            <w:vAlign w:val="center"/>
          </w:tcPr>
          <w:p w14:paraId="6035952A">
            <w:pPr>
              <w:spacing w:line="560" w:lineRule="exact"/>
              <w:rPr>
                <w:rFonts w:hint="eastAsia" w:ascii="宋体" w:hAnsi="宋体" w:eastAsia="宋体" w:cs="宋体"/>
                <w:color w:val="auto"/>
                <w:sz w:val="24"/>
                <w:szCs w:val="24"/>
                <w:highlight w:val="none"/>
              </w:rPr>
            </w:pPr>
          </w:p>
        </w:tc>
      </w:tr>
      <w:tr w14:paraId="00AF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C13F9E">
            <w:pPr>
              <w:spacing w:line="560" w:lineRule="exact"/>
              <w:rPr>
                <w:rFonts w:hint="eastAsia" w:ascii="宋体" w:hAnsi="宋体" w:eastAsia="宋体" w:cs="宋体"/>
                <w:color w:val="auto"/>
                <w:sz w:val="24"/>
                <w:szCs w:val="24"/>
                <w:highlight w:val="none"/>
              </w:rPr>
            </w:pPr>
          </w:p>
        </w:tc>
        <w:tc>
          <w:tcPr>
            <w:tcW w:w="7568" w:type="dxa"/>
            <w:vAlign w:val="center"/>
          </w:tcPr>
          <w:p w14:paraId="3AE9AB17">
            <w:pPr>
              <w:spacing w:line="560" w:lineRule="exact"/>
              <w:rPr>
                <w:rFonts w:hint="eastAsia" w:ascii="宋体" w:hAnsi="宋体" w:eastAsia="宋体" w:cs="宋体"/>
                <w:color w:val="auto"/>
                <w:sz w:val="24"/>
                <w:szCs w:val="24"/>
                <w:highlight w:val="none"/>
              </w:rPr>
            </w:pPr>
          </w:p>
        </w:tc>
      </w:tr>
      <w:tr w14:paraId="3EE9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A2E4F5">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966F80C">
            <w:pPr>
              <w:spacing w:line="560" w:lineRule="exact"/>
              <w:rPr>
                <w:rFonts w:hint="eastAsia" w:ascii="宋体" w:hAnsi="宋体" w:eastAsia="宋体" w:cs="宋体"/>
                <w:color w:val="auto"/>
                <w:sz w:val="24"/>
                <w:szCs w:val="24"/>
                <w:highlight w:val="none"/>
              </w:rPr>
            </w:pPr>
          </w:p>
        </w:tc>
      </w:tr>
      <w:tr w14:paraId="504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06642C">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D2113A">
            <w:pPr>
              <w:spacing w:line="560" w:lineRule="exact"/>
              <w:rPr>
                <w:rFonts w:hint="eastAsia" w:ascii="宋体" w:hAnsi="宋体" w:eastAsia="宋体" w:cs="宋体"/>
                <w:color w:val="auto"/>
                <w:sz w:val="24"/>
                <w:szCs w:val="24"/>
                <w:highlight w:val="none"/>
              </w:rPr>
            </w:pPr>
          </w:p>
        </w:tc>
      </w:tr>
    </w:tbl>
    <w:p w14:paraId="1FAB85DE">
      <w:pPr>
        <w:spacing w:line="360" w:lineRule="auto"/>
        <w:rPr>
          <w:rFonts w:asciiTheme="minorEastAsia" w:hAnsiTheme="minorEastAsia" w:eastAsiaTheme="minorEastAsia"/>
          <w:color w:val="auto"/>
          <w:sz w:val="24"/>
          <w:highlight w:val="none"/>
        </w:rPr>
      </w:pPr>
    </w:p>
    <w:p w14:paraId="02ABD43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bookmarkEnd w:id="537"/>
    <w:p w14:paraId="557A8F2F">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bookmarkStart w:id="741" w:name="_Toc155185919"/>
    </w:p>
    <w:p w14:paraId="72D513E7">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p>
    <w:p w14:paraId="5CAF313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742" w:name="_Toc4770"/>
      <w:r>
        <w:rPr>
          <w:rFonts w:hint="eastAsia" w:ascii="宋体" w:hAnsi="宋体" w:eastAsia="宋体" w:cs="宋体"/>
          <w:b/>
          <w:bCs/>
          <w:color w:val="auto"/>
          <w:kern w:val="44"/>
          <w:sz w:val="36"/>
          <w:szCs w:val="36"/>
          <w:highlight w:val="none"/>
          <w:lang w:val="en-US" w:eastAsia="zh-CN" w:bidi="ar-SA"/>
        </w:rPr>
        <w:t>第七章 投标文件格式</w:t>
      </w:r>
      <w:bookmarkEnd w:id="741"/>
      <w:bookmarkEnd w:id="742"/>
    </w:p>
    <w:p w14:paraId="20B1063D">
      <w:pPr>
        <w:ind w:left="240" w:leftChars="100" w:firstLine="480" w:firstLineChars="200"/>
        <w:rPr>
          <w:rFonts w:cs="仿宋_GB2312"/>
          <w:color w:val="auto"/>
          <w:szCs w:val="24"/>
          <w:highlight w:val="none"/>
        </w:rPr>
      </w:pPr>
    </w:p>
    <w:p w14:paraId="29D44C55">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44DD0F1">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9EDECB5">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5F9B001">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2E1D158">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E6822E5">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2CA045B">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893E9FD">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95452EF">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AA66CC1">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69FA17D">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72E3CAE">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565C3EB">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7DA079A">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E15166A">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3A9983C">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48F8DEC">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F52A8AF">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FC05CF">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61F2B5A">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99474F0">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390F1A2">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A93A46C">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C290983">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55D68F1">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025489F">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08F138C">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CDCE37B">
      <w:pPr>
        <w:ind w:firstLine="480" w:firstLineChars="200"/>
        <w:rPr>
          <w:rFonts w:hint="eastAsia" w:cs="仿宋_GB2312"/>
          <w:color w:val="auto"/>
          <w:szCs w:val="24"/>
          <w:highlight w:val="none"/>
          <w:lang w:val="zh-CN"/>
        </w:rPr>
      </w:pPr>
    </w:p>
    <w:p w14:paraId="3D40132F">
      <w:pPr>
        <w:ind w:firstLine="480" w:firstLineChars="200"/>
        <w:rPr>
          <w:rFonts w:hint="eastAsia" w:cs="仿宋_GB2312"/>
          <w:color w:val="auto"/>
          <w:szCs w:val="24"/>
          <w:highlight w:val="none"/>
          <w:lang w:val="zh-CN"/>
        </w:rPr>
      </w:pPr>
    </w:p>
    <w:p w14:paraId="375DA883">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6466A4DC">
      <w:pPr>
        <w:autoSpaceDE w:val="0"/>
        <w:autoSpaceDN w:val="0"/>
        <w:adjustRightInd w:val="0"/>
        <w:rPr>
          <w:color w:val="auto"/>
          <w:sz w:val="21"/>
          <w:szCs w:val="24"/>
          <w:highlight w:val="none"/>
        </w:rPr>
      </w:pPr>
    </w:p>
    <w:p w14:paraId="445E5BF7">
      <w:pPr>
        <w:autoSpaceDE w:val="0"/>
        <w:autoSpaceDN w:val="0"/>
        <w:adjustRightInd w:val="0"/>
        <w:rPr>
          <w:color w:val="auto"/>
          <w:sz w:val="21"/>
          <w:szCs w:val="24"/>
          <w:highlight w:val="none"/>
        </w:rPr>
      </w:pPr>
    </w:p>
    <w:p w14:paraId="4BD0E164">
      <w:pPr>
        <w:autoSpaceDE w:val="0"/>
        <w:autoSpaceDN w:val="0"/>
        <w:adjustRightInd w:val="0"/>
        <w:jc w:val="center"/>
        <w:rPr>
          <w:color w:val="auto"/>
          <w:sz w:val="21"/>
          <w:szCs w:val="24"/>
          <w:highlight w:val="none"/>
        </w:rPr>
      </w:pPr>
    </w:p>
    <w:p w14:paraId="2280C3BA">
      <w:pPr>
        <w:pStyle w:val="3"/>
        <w:bidi w:val="0"/>
        <w:jc w:val="center"/>
        <w:rPr>
          <w:sz w:val="84"/>
          <w:szCs w:val="84"/>
        </w:rPr>
      </w:pPr>
      <w:bookmarkStart w:id="743" w:name="_Toc29969"/>
      <w:r>
        <w:rPr>
          <w:rFonts w:hint="eastAsia"/>
          <w:sz w:val="84"/>
          <w:szCs w:val="84"/>
        </w:rPr>
        <w:t>投 标 文 件</w:t>
      </w:r>
      <w:bookmarkEnd w:id="743"/>
    </w:p>
    <w:p w14:paraId="0FA5F802">
      <w:pPr>
        <w:pStyle w:val="3"/>
        <w:bidi w:val="0"/>
        <w:spacing w:before="0" w:after="0" w:line="240" w:lineRule="auto"/>
        <w:jc w:val="center"/>
        <w:rPr>
          <w:sz w:val="56"/>
          <w:szCs w:val="56"/>
        </w:rPr>
      </w:pPr>
      <w:bookmarkStart w:id="744" w:name="_Toc26966"/>
      <w:r>
        <w:rPr>
          <w:rFonts w:hint="eastAsia"/>
          <w:sz w:val="56"/>
          <w:szCs w:val="56"/>
        </w:rPr>
        <w:t>资格证明文件</w:t>
      </w:r>
      <w:bookmarkEnd w:id="744"/>
    </w:p>
    <w:p w14:paraId="66E88D4F">
      <w:pPr>
        <w:autoSpaceDE w:val="0"/>
        <w:autoSpaceDN w:val="0"/>
        <w:adjustRightInd w:val="0"/>
        <w:rPr>
          <w:b/>
          <w:bCs/>
          <w:color w:val="auto"/>
          <w:sz w:val="22"/>
          <w:highlight w:val="none"/>
        </w:rPr>
      </w:pPr>
    </w:p>
    <w:p w14:paraId="537F8D86">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26E8C70">
      <w:pPr>
        <w:autoSpaceDE w:val="0"/>
        <w:autoSpaceDN w:val="0"/>
        <w:adjustRightInd w:val="0"/>
        <w:rPr>
          <w:color w:val="auto"/>
          <w:sz w:val="21"/>
          <w:szCs w:val="21"/>
          <w:highlight w:val="none"/>
        </w:rPr>
      </w:pPr>
    </w:p>
    <w:p w14:paraId="2874C375">
      <w:pPr>
        <w:pStyle w:val="3"/>
        <w:rPr>
          <w:color w:val="auto"/>
          <w:highlight w:val="none"/>
        </w:rPr>
      </w:pPr>
    </w:p>
    <w:p w14:paraId="2085130F">
      <w:pPr>
        <w:autoSpaceDE w:val="0"/>
        <w:autoSpaceDN w:val="0"/>
        <w:adjustRightInd w:val="0"/>
        <w:rPr>
          <w:color w:val="auto"/>
          <w:sz w:val="21"/>
          <w:szCs w:val="21"/>
          <w:highlight w:val="none"/>
        </w:rPr>
      </w:pPr>
    </w:p>
    <w:p w14:paraId="39700BDA">
      <w:pPr>
        <w:autoSpaceDE w:val="0"/>
        <w:autoSpaceDN w:val="0"/>
        <w:adjustRightInd w:val="0"/>
        <w:rPr>
          <w:color w:val="auto"/>
          <w:sz w:val="21"/>
          <w:szCs w:val="21"/>
          <w:highlight w:val="none"/>
        </w:rPr>
      </w:pPr>
    </w:p>
    <w:p w14:paraId="6334E3E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5A643116">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710CA78">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A39596D">
      <w:pPr>
        <w:ind w:left="840" w:firstLine="420"/>
        <w:rPr>
          <w:b/>
          <w:bCs/>
          <w:color w:val="auto"/>
          <w:sz w:val="28"/>
          <w:szCs w:val="28"/>
          <w:highlight w:val="none"/>
        </w:rPr>
      </w:pPr>
    </w:p>
    <w:p w14:paraId="0613F091">
      <w:pPr>
        <w:ind w:left="840" w:firstLine="420"/>
        <w:rPr>
          <w:b/>
          <w:bCs/>
          <w:color w:val="auto"/>
          <w:sz w:val="28"/>
          <w:szCs w:val="28"/>
          <w:highlight w:val="none"/>
        </w:rPr>
      </w:pPr>
    </w:p>
    <w:p w14:paraId="2330D405">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6447D651">
      <w:pPr>
        <w:rPr>
          <w:color w:val="auto"/>
          <w:highlight w:val="none"/>
          <w:lang w:val="zh-CN"/>
        </w:rPr>
      </w:pPr>
      <w:r>
        <w:rPr>
          <w:color w:val="auto"/>
          <w:highlight w:val="none"/>
          <w:lang w:val="zh-CN"/>
        </w:rPr>
        <w:br w:type="page"/>
      </w:r>
    </w:p>
    <w:p w14:paraId="6DBE2CDA">
      <w:pPr>
        <w:rPr>
          <w:color w:val="auto"/>
          <w:highlight w:val="none"/>
          <w:lang w:val="zh-CN"/>
        </w:rPr>
      </w:pPr>
    </w:p>
    <w:p w14:paraId="215FC2E3">
      <w:pPr>
        <w:pStyle w:val="3"/>
        <w:bidi w:val="0"/>
        <w:rPr>
          <w:rFonts w:hint="eastAsia"/>
          <w:sz w:val="28"/>
          <w:szCs w:val="28"/>
          <w:lang w:val="en-US" w:eastAsia="zh-CN"/>
        </w:rPr>
      </w:pPr>
      <w:bookmarkStart w:id="745" w:name="_Toc25215"/>
      <w:bookmarkStart w:id="746" w:name="_Toc155185927"/>
      <w:r>
        <w:rPr>
          <w:rFonts w:hint="eastAsia"/>
          <w:sz w:val="28"/>
          <w:szCs w:val="28"/>
          <w:lang w:val="en-US" w:eastAsia="zh-CN"/>
        </w:rPr>
        <w:t>一、满足《中华人民共和国政府采购法》第二十二条规定</w:t>
      </w:r>
      <w:bookmarkEnd w:id="745"/>
    </w:p>
    <w:bookmarkEnd w:id="746"/>
    <w:p w14:paraId="4C0324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2881C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1CA280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4C09FD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323934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47F836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r>
        <w:rPr>
          <w:rFonts w:hint="eastAsia" w:cs="宋体"/>
          <w:b w:val="0"/>
          <w:bCs w:val="0"/>
          <w:color w:val="auto"/>
          <w:kern w:val="0"/>
          <w:sz w:val="24"/>
          <w:szCs w:val="24"/>
          <w:highlight w:val="none"/>
          <w:lang w:val="en-US" w:eastAsia="zh-CN"/>
        </w:rPr>
        <w:t>。</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2FE2A9CA">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p w14:paraId="6FC7F68F">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747" w:name="_Toc23771"/>
      <w:bookmarkStart w:id="748" w:name="_Toc15114"/>
      <w:r>
        <w:rPr>
          <w:rFonts w:hint="eastAsia" w:eastAsia="宋体" w:cstheme="majorBidi"/>
          <w:b/>
          <w:bCs/>
          <w:color w:val="auto"/>
          <w:kern w:val="2"/>
          <w:sz w:val="24"/>
          <w:szCs w:val="24"/>
          <w:highlight w:val="none"/>
          <w:lang w:val="en-US" w:eastAsia="zh-CN" w:bidi="ar-SA"/>
        </w:rPr>
        <w:t>（二）兵团政府采购供应商信用承诺函</w:t>
      </w:r>
      <w:bookmarkEnd w:id="747"/>
      <w:bookmarkEnd w:id="748"/>
    </w:p>
    <w:p w14:paraId="695B752A">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BF1CBCB">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14E343E">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F4CE840">
      <w:pPr>
        <w:spacing w:line="560" w:lineRule="exact"/>
        <w:ind w:firstLine="480" w:firstLineChars="200"/>
        <w:rPr>
          <w:rFonts w:hint="eastAsia" w:ascii="宋体" w:hAnsi="宋体" w:eastAsia="宋体" w:cs="宋体"/>
          <w:color w:val="auto"/>
          <w:kern w:val="0"/>
          <w:sz w:val="24"/>
          <w:szCs w:val="24"/>
          <w:highlight w:val="none"/>
        </w:rPr>
      </w:pPr>
    </w:p>
    <w:p w14:paraId="776D870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353CD75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6C579D2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1253879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550B1CDF">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221E549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56D831AE">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126A1F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48BFD221">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30747A83">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663B752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B6C39AD">
      <w:pPr>
        <w:spacing w:line="560" w:lineRule="exact"/>
        <w:rPr>
          <w:rFonts w:hint="eastAsia" w:ascii="宋体" w:hAnsi="宋体" w:eastAsia="宋体" w:cs="宋体"/>
          <w:color w:val="auto"/>
          <w:kern w:val="0"/>
          <w:sz w:val="24"/>
          <w:szCs w:val="24"/>
          <w:highlight w:val="none"/>
        </w:rPr>
      </w:pPr>
    </w:p>
    <w:p w14:paraId="49F57DB1">
      <w:pPr>
        <w:spacing w:line="560" w:lineRule="exact"/>
        <w:rPr>
          <w:rFonts w:hint="eastAsia" w:ascii="宋体" w:hAnsi="宋体" w:eastAsia="宋体" w:cs="宋体"/>
          <w:color w:val="auto"/>
          <w:kern w:val="0"/>
          <w:sz w:val="24"/>
          <w:szCs w:val="24"/>
          <w:highlight w:val="none"/>
        </w:rPr>
      </w:pPr>
    </w:p>
    <w:p w14:paraId="5AA4881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5C65A8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524E5AD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2CB41018">
      <w:pPr>
        <w:widowControl/>
        <w:spacing w:line="560" w:lineRule="exact"/>
        <w:ind w:firstLine="630"/>
        <w:jc w:val="left"/>
        <w:rPr>
          <w:rFonts w:hint="eastAsia" w:ascii="宋体" w:hAnsi="宋体" w:eastAsia="宋体" w:cs="宋体"/>
          <w:color w:val="auto"/>
          <w:kern w:val="0"/>
          <w:sz w:val="24"/>
          <w:szCs w:val="24"/>
          <w:highlight w:val="none"/>
        </w:rPr>
      </w:pPr>
    </w:p>
    <w:p w14:paraId="67DF1B87">
      <w:pPr>
        <w:rPr>
          <w:rFonts w:ascii="Arial" w:hAnsi="Arial" w:cs="Arial"/>
          <w:color w:val="auto"/>
          <w:szCs w:val="21"/>
          <w:highlight w:val="none"/>
        </w:rPr>
      </w:pPr>
      <w:r>
        <w:rPr>
          <w:rFonts w:ascii="Arial" w:hAnsi="Arial" w:cs="Arial"/>
          <w:color w:val="auto"/>
          <w:szCs w:val="21"/>
          <w:highlight w:val="none"/>
        </w:rPr>
        <w:br w:type="page"/>
      </w:r>
    </w:p>
    <w:p w14:paraId="70BE810B">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749" w:name="_Toc109899498"/>
      <w:bookmarkStart w:id="750" w:name="_Toc155185930"/>
      <w:bookmarkStart w:id="751" w:name="_Toc163492923"/>
      <w:bookmarkStart w:id="752" w:name="_Toc109899917"/>
      <w:bookmarkStart w:id="753" w:name="_Toc109900336"/>
      <w:bookmarkStart w:id="754" w:name="_Toc140132840"/>
      <w:bookmarkStart w:id="755" w:name="_Toc21383"/>
      <w:r>
        <w:rPr>
          <w:rFonts w:hint="eastAsia" w:cstheme="majorBidi"/>
          <w:b/>
          <w:bCs/>
          <w:color w:val="auto"/>
          <w:kern w:val="2"/>
          <w:sz w:val="28"/>
          <w:szCs w:val="28"/>
          <w:highlight w:val="none"/>
          <w:lang w:val="en-US" w:eastAsia="zh-CN" w:bidi="ar-SA"/>
        </w:rPr>
        <w:t>二</w:t>
      </w:r>
      <w:r>
        <w:rPr>
          <w:rFonts w:hint="eastAsia" w:eastAsia="宋体" w:asciiTheme="majorHAnsi" w:hAnsiTheme="majorHAnsi" w:cstheme="majorBidi"/>
          <w:b/>
          <w:bCs/>
          <w:color w:val="auto"/>
          <w:kern w:val="2"/>
          <w:sz w:val="28"/>
          <w:szCs w:val="28"/>
          <w:highlight w:val="none"/>
          <w:lang w:val="en-US" w:eastAsia="zh-CN" w:bidi="ar-SA"/>
        </w:rPr>
        <w:t>、</w:t>
      </w:r>
      <w:bookmarkEnd w:id="749"/>
      <w:bookmarkEnd w:id="750"/>
      <w:bookmarkEnd w:id="751"/>
      <w:bookmarkEnd w:id="752"/>
      <w:bookmarkEnd w:id="753"/>
      <w:bookmarkEnd w:id="754"/>
      <w:bookmarkStart w:id="756" w:name="_Toc155185931"/>
      <w:r>
        <w:rPr>
          <w:rFonts w:hint="eastAsia" w:eastAsia="宋体" w:asciiTheme="majorHAnsi" w:hAnsiTheme="majorHAnsi" w:cstheme="majorBidi"/>
          <w:b/>
          <w:bCs/>
          <w:color w:val="auto"/>
          <w:kern w:val="2"/>
          <w:sz w:val="28"/>
          <w:szCs w:val="28"/>
          <w:highlight w:val="none"/>
          <w:lang w:val="zh-CN" w:eastAsia="zh-CN" w:bidi="ar-SA"/>
        </w:rPr>
        <w:t>联合体协议书</w:t>
      </w:r>
      <w:bookmarkEnd w:id="756"/>
      <w:r>
        <w:rPr>
          <w:rFonts w:hint="eastAsia" w:ascii="宋体" w:hAnsi="宋体" w:eastAsia="宋体" w:cstheme="minorBidi"/>
          <w:b w:val="0"/>
          <w:bCs w:val="0"/>
          <w:color w:val="auto"/>
          <w:kern w:val="2"/>
          <w:sz w:val="28"/>
          <w:szCs w:val="28"/>
          <w:highlight w:val="none"/>
          <w:lang w:val="zh-CN" w:eastAsia="zh-CN" w:bidi="ar-SA"/>
        </w:rPr>
        <w:t>【如适用】</w:t>
      </w:r>
      <w:bookmarkEnd w:id="755"/>
    </w:p>
    <w:p w14:paraId="39563C7F">
      <w:pPr>
        <w:snapToGrid w:val="0"/>
        <w:spacing w:line="360" w:lineRule="auto"/>
        <w:jc w:val="center"/>
        <w:outlineLvl w:val="0"/>
        <w:rPr>
          <w:rFonts w:hint="eastAsia" w:ascii="宋体" w:hAnsi="宋体" w:cs="宋体"/>
          <w:b/>
          <w:color w:val="auto"/>
          <w:kern w:val="0"/>
          <w:sz w:val="32"/>
          <w:szCs w:val="32"/>
          <w:highlight w:val="none"/>
        </w:rPr>
      </w:pPr>
    </w:p>
    <w:p w14:paraId="23E3BC9F">
      <w:pPr>
        <w:snapToGrid w:val="0"/>
        <w:spacing w:line="360" w:lineRule="auto"/>
        <w:jc w:val="center"/>
        <w:outlineLvl w:val="0"/>
        <w:rPr>
          <w:rFonts w:hint="eastAsia" w:ascii="宋体" w:hAnsi="宋体" w:cs="宋体"/>
          <w:b/>
          <w:color w:val="auto"/>
          <w:kern w:val="0"/>
          <w:sz w:val="32"/>
          <w:szCs w:val="32"/>
          <w:highlight w:val="none"/>
        </w:rPr>
      </w:pPr>
      <w:bookmarkStart w:id="757" w:name="_Toc6437"/>
      <w:bookmarkStart w:id="758" w:name="_Toc631"/>
      <w:r>
        <w:rPr>
          <w:rFonts w:hint="eastAsia" w:ascii="宋体" w:hAnsi="宋体" w:cs="宋体"/>
          <w:b/>
          <w:color w:val="auto"/>
          <w:kern w:val="0"/>
          <w:sz w:val="32"/>
          <w:szCs w:val="32"/>
          <w:highlight w:val="none"/>
        </w:rPr>
        <w:t>联合体协议书</w:t>
      </w:r>
      <w:bookmarkEnd w:id="757"/>
      <w:bookmarkEnd w:id="758"/>
    </w:p>
    <w:p w14:paraId="6795462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w:t>
      </w:r>
      <w:r>
        <w:rPr>
          <w:rFonts w:hint="eastAsia" w:cs="宋体"/>
          <w:b/>
          <w:color w:val="auto"/>
          <w:sz w:val="24"/>
          <w:highlight w:val="none"/>
          <w:lang w:val="en-US" w:eastAsia="zh-CN"/>
        </w:rPr>
        <w:t>体</w:t>
      </w:r>
      <w:r>
        <w:rPr>
          <w:rFonts w:hint="eastAsia" w:ascii="宋体" w:hAnsi="宋体" w:cs="宋体"/>
          <w:b/>
          <w:color w:val="auto"/>
          <w:sz w:val="24"/>
          <w:highlight w:val="none"/>
        </w:rPr>
        <w:t>协议</w:t>
      </w:r>
      <w:r>
        <w:rPr>
          <w:rFonts w:hint="eastAsia" w:cs="宋体"/>
          <w:b/>
          <w:color w:val="auto"/>
          <w:sz w:val="24"/>
          <w:highlight w:val="none"/>
          <w:lang w:val="en-US" w:eastAsia="zh-CN"/>
        </w:rPr>
        <w:t>书</w:t>
      </w:r>
      <w:r>
        <w:rPr>
          <w:rFonts w:hint="eastAsia" w:ascii="宋体" w:hAnsi="宋体" w:cs="宋体"/>
          <w:b/>
          <w:color w:val="auto"/>
          <w:sz w:val="24"/>
          <w:highlight w:val="none"/>
        </w:rPr>
        <w:t>；本项目不接受联合体投标或者投标人不以联合体形式投标的，则不需要提供）</w:t>
      </w:r>
    </w:p>
    <w:p w14:paraId="14187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82E8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FA3C7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94C75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742291A">
      <w:pPr>
        <w:snapToGrid w:val="0"/>
        <w:spacing w:line="360" w:lineRule="auto"/>
        <w:ind w:firstLine="576"/>
        <w:rPr>
          <w:rFonts w:ascii="宋体" w:hAnsi="宋体" w:cs="宋体"/>
          <w:color w:val="auto"/>
          <w:kern w:val="0"/>
          <w:sz w:val="24"/>
          <w:highlight w:val="none"/>
          <w:lang w:val="zh-CN"/>
        </w:rPr>
      </w:pPr>
      <w:bookmarkStart w:id="75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F758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4350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59"/>
    <w:p w14:paraId="417425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049397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cs="宋体"/>
          <w:color w:val="auto"/>
          <w:kern w:val="0"/>
          <w:sz w:val="24"/>
          <w:highlight w:val="none"/>
          <w:lang w:val="en-US" w:eastAsia="zh-CN"/>
        </w:rPr>
        <w:t>服务及</w:t>
      </w:r>
      <w:r>
        <w:rPr>
          <w:rFonts w:hint="eastAsia" w:ascii="宋体" w:hAnsi="宋体" w:cs="宋体"/>
          <w:color w:val="auto"/>
          <w:kern w:val="0"/>
          <w:sz w:val="24"/>
          <w:highlight w:val="none"/>
        </w:rPr>
        <w:t>货物由小微企业</w:t>
      </w:r>
      <w:r>
        <w:rPr>
          <w:rFonts w:hint="eastAsia" w:cs="宋体"/>
          <w:color w:val="auto"/>
          <w:kern w:val="0"/>
          <w:sz w:val="24"/>
          <w:highlight w:val="none"/>
          <w:lang w:val="en-US" w:eastAsia="zh-CN"/>
        </w:rPr>
        <w:t>提供和</w:t>
      </w:r>
      <w:r>
        <w:rPr>
          <w:rFonts w:hint="eastAsia" w:ascii="宋体" w:hAnsi="宋体" w:cs="宋体"/>
          <w:color w:val="auto"/>
          <w:kern w:val="0"/>
          <w:sz w:val="24"/>
          <w:highlight w:val="none"/>
        </w:rPr>
        <w:t>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w:t>
      </w:r>
      <w:r>
        <w:rPr>
          <w:rFonts w:hint="eastAsia" w:cs="宋体"/>
          <w:b/>
          <w:color w:val="auto"/>
          <w:kern w:val="0"/>
          <w:sz w:val="24"/>
          <w:highlight w:val="none"/>
          <w:lang w:val="en-US" w:eastAsia="zh-CN"/>
        </w:rPr>
        <w:t>体</w:t>
      </w:r>
      <w:r>
        <w:rPr>
          <w:rFonts w:hint="eastAsia" w:ascii="宋体" w:hAnsi="宋体" w:cs="宋体"/>
          <w:b/>
          <w:color w:val="auto"/>
          <w:kern w:val="0"/>
          <w:sz w:val="24"/>
          <w:highlight w:val="none"/>
          <w:lang w:val="zh-CN"/>
        </w:rPr>
        <w:t>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0B6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w:t>
      </w:r>
      <w:r>
        <w:rPr>
          <w:rFonts w:hint="eastAsia" w:cs="宋体"/>
          <w:b/>
          <w:bCs/>
          <w:color w:val="auto"/>
          <w:sz w:val="24"/>
          <w:highlight w:val="none"/>
          <w:lang w:val="en-US" w:eastAsia="zh-CN"/>
        </w:rPr>
        <w:t>体</w:t>
      </w:r>
      <w:r>
        <w:rPr>
          <w:rFonts w:hint="eastAsia" w:ascii="宋体" w:hAnsi="宋体" w:cs="宋体"/>
          <w:b/>
          <w:bCs/>
          <w:color w:val="auto"/>
          <w:sz w:val="24"/>
          <w:highlight w:val="none"/>
        </w:rPr>
        <w:t>协议</w:t>
      </w:r>
      <w:r>
        <w:rPr>
          <w:rFonts w:hint="eastAsia" w:cs="宋体"/>
          <w:b/>
          <w:bCs/>
          <w:color w:val="auto"/>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C462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合同，并就采购合同约定的事项对采购人承担连带责任。</w:t>
      </w:r>
    </w:p>
    <w:p w14:paraId="0B6A82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18CE9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C062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DAC400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B293209">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4、</w:t>
      </w:r>
      <w:r>
        <w:rPr>
          <w:rFonts w:hint="eastAsia" w:ascii="宋体" w:hAnsi="宋体" w:cs="宋体"/>
          <w:color w:val="auto"/>
          <w:kern w:val="0"/>
          <w:sz w:val="24"/>
          <w:highlight w:val="none"/>
          <w:lang w:val="zh-CN"/>
        </w:rPr>
        <w:t>其他：……</w:t>
      </w:r>
    </w:p>
    <w:p w14:paraId="43009373">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5、</w:t>
      </w:r>
      <w:r>
        <w:rPr>
          <w:rFonts w:hint="eastAsia" w:ascii="宋体" w:hAnsi="宋体" w:cs="宋体"/>
          <w:color w:val="auto"/>
          <w:kern w:val="0"/>
          <w:sz w:val="24"/>
          <w:highlight w:val="none"/>
          <w:lang w:val="zh-CN"/>
        </w:rPr>
        <w:t>本协议书自签署之日起生效，若未中标，自本次投标有效期结束后自行失效；若中标，自合同书规定的期限之后自行失效。</w:t>
      </w:r>
    </w:p>
    <w:p w14:paraId="580F475F">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6、</w:t>
      </w:r>
      <w:r>
        <w:rPr>
          <w:rFonts w:hint="eastAsia" w:ascii="宋体" w:hAnsi="宋体" w:cs="宋体"/>
          <w:color w:val="auto"/>
          <w:kern w:val="0"/>
          <w:sz w:val="24"/>
          <w:highlight w:val="none"/>
          <w:lang w:val="zh-CN"/>
        </w:rPr>
        <w:t>本协议书正本一式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份；副本一式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w:t>
      </w:r>
    </w:p>
    <w:p w14:paraId="75ABC4BD">
      <w:pPr>
        <w:snapToGrid w:val="0"/>
        <w:spacing w:line="360" w:lineRule="auto"/>
        <w:ind w:firstLine="576"/>
        <w:rPr>
          <w:rFonts w:hint="eastAsia" w:ascii="宋体" w:hAnsi="宋体" w:cs="宋体"/>
          <w:color w:val="auto"/>
          <w:kern w:val="0"/>
          <w:sz w:val="24"/>
          <w:highlight w:val="none"/>
          <w:lang w:val="zh-CN"/>
        </w:rPr>
      </w:pPr>
    </w:p>
    <w:p w14:paraId="4D791421">
      <w:pPr>
        <w:snapToGrid w:val="0"/>
        <w:spacing w:line="360" w:lineRule="auto"/>
        <w:ind w:firstLine="576"/>
        <w:rPr>
          <w:rFonts w:hint="eastAsia" w:ascii="宋体" w:hAnsi="宋体" w:cs="宋体"/>
          <w:color w:val="auto"/>
          <w:kern w:val="0"/>
          <w:sz w:val="24"/>
          <w:highlight w:val="none"/>
          <w:lang w:val="zh-CN"/>
        </w:rPr>
      </w:pPr>
    </w:p>
    <w:p w14:paraId="1BE31DA1">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F946487">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2C01AA7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4D03F6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BB115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cs="Tahoma"/>
          <w:color w:val="auto"/>
          <w:highlight w:val="none"/>
          <w:u w:val="single"/>
        </w:rPr>
      </w:pPr>
      <w:r>
        <w:rPr>
          <w:rFonts w:cs="Tahoma"/>
          <w:color w:val="auto"/>
          <w:highlight w:val="none"/>
          <w:u w:val="single"/>
        </w:rPr>
        <w:br w:type="page"/>
      </w:r>
    </w:p>
    <w:p w14:paraId="054D30BD">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760" w:name="_Toc31421"/>
      <w:bookmarkStart w:id="761" w:name="_Toc156490356"/>
      <w:bookmarkStart w:id="762" w:name="_Toc162299566"/>
      <w:bookmarkStart w:id="763" w:name="_Hlk101169080"/>
      <w:r>
        <w:rPr>
          <w:rFonts w:hint="eastAsia" w:cstheme="majorBidi"/>
          <w:b/>
          <w:bCs/>
          <w:color w:val="auto"/>
          <w:kern w:val="2"/>
          <w:sz w:val="28"/>
          <w:szCs w:val="28"/>
          <w:highlight w:val="none"/>
          <w:lang w:val="en-US" w:eastAsia="zh-CN" w:bidi="ar-SA"/>
        </w:rPr>
        <w:t>三</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分包意向协议书</w:t>
      </w:r>
      <w:r>
        <w:rPr>
          <w:rFonts w:hint="eastAsia" w:ascii="宋体" w:hAnsi="宋体" w:eastAsia="宋体" w:cstheme="minorBidi"/>
          <w:b w:val="0"/>
          <w:bCs w:val="0"/>
          <w:color w:val="auto"/>
          <w:kern w:val="2"/>
          <w:sz w:val="28"/>
          <w:szCs w:val="28"/>
          <w:highlight w:val="none"/>
          <w:lang w:val="zh-CN" w:eastAsia="zh-CN" w:bidi="ar-SA"/>
        </w:rPr>
        <w:t>【如适用】</w:t>
      </w:r>
      <w:bookmarkEnd w:id="760"/>
      <w:bookmarkEnd w:id="761"/>
      <w:bookmarkEnd w:id="762"/>
    </w:p>
    <w:p w14:paraId="72EF9FB2">
      <w:pPr>
        <w:snapToGrid w:val="0"/>
        <w:spacing w:line="360" w:lineRule="auto"/>
        <w:jc w:val="center"/>
        <w:outlineLvl w:val="0"/>
        <w:rPr>
          <w:rFonts w:hint="eastAsia" w:ascii="宋体" w:hAnsi="宋体" w:cs="宋体"/>
          <w:b/>
          <w:color w:val="auto"/>
          <w:kern w:val="0"/>
          <w:sz w:val="32"/>
          <w:szCs w:val="32"/>
          <w:highlight w:val="none"/>
        </w:rPr>
      </w:pPr>
    </w:p>
    <w:p w14:paraId="7214AD2B">
      <w:pPr>
        <w:snapToGrid w:val="0"/>
        <w:spacing w:line="360" w:lineRule="auto"/>
        <w:jc w:val="center"/>
        <w:outlineLvl w:val="0"/>
        <w:rPr>
          <w:rFonts w:hint="eastAsia" w:ascii="宋体" w:hAnsi="宋体" w:eastAsia="宋体" w:cs="宋体"/>
          <w:b/>
          <w:color w:val="auto"/>
          <w:kern w:val="0"/>
          <w:sz w:val="32"/>
          <w:szCs w:val="32"/>
          <w:highlight w:val="none"/>
          <w:lang w:val="en-US" w:eastAsia="zh-CN"/>
        </w:rPr>
      </w:pPr>
      <w:bookmarkStart w:id="764" w:name="_Toc24460"/>
      <w:bookmarkStart w:id="765" w:name="_Toc16974"/>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书</w:t>
      </w:r>
      <w:bookmarkEnd w:id="764"/>
      <w:bookmarkEnd w:id="765"/>
    </w:p>
    <w:p w14:paraId="4E9F0BF4">
      <w:pPr>
        <w:widowControl/>
        <w:spacing w:line="360" w:lineRule="auto"/>
        <w:ind w:firstLine="120" w:firstLineChars="50"/>
        <w:jc w:val="left"/>
        <w:rPr>
          <w:rFonts w:hint="eastAsia" w:ascii="宋体" w:hAnsi="宋体" w:eastAsia="宋体" w:cs="宋体"/>
          <w:color w:val="auto"/>
          <w:sz w:val="24"/>
          <w:highlight w:val="none"/>
          <w:lang w:eastAsia="zh-CN"/>
        </w:rPr>
      </w:pPr>
      <w:r>
        <w:rPr>
          <w:rFonts w:hint="eastAsia" w:cs="宋体"/>
          <w:color w:val="auto"/>
          <w:sz w:val="24"/>
          <w:highlight w:val="none"/>
          <w:lang w:eastAsia="zh-CN"/>
        </w:rPr>
        <w:t>【</w:t>
      </w:r>
      <w:r>
        <w:rPr>
          <w:rFonts w:hint="eastAsia" w:ascii="宋体" w:hAnsi="宋体" w:cs="宋体"/>
          <w:b/>
          <w:color w:val="auto"/>
          <w:sz w:val="24"/>
          <w:highlight w:val="none"/>
        </w:rPr>
        <w:t>中标后以分包方式履行合同的，提供分包意向协议</w:t>
      </w:r>
      <w:r>
        <w:rPr>
          <w:rFonts w:hint="eastAsia" w:cs="宋体"/>
          <w:b/>
          <w:color w:val="auto"/>
          <w:sz w:val="24"/>
          <w:highlight w:val="none"/>
          <w:lang w:val="en-US" w:eastAsia="zh-CN"/>
        </w:rPr>
        <w:t>书</w:t>
      </w:r>
      <w:r>
        <w:rPr>
          <w:rFonts w:hint="eastAsia" w:ascii="宋体" w:hAnsi="宋体" w:cs="宋体"/>
          <w:b/>
          <w:color w:val="auto"/>
          <w:sz w:val="24"/>
          <w:highlight w:val="none"/>
        </w:rPr>
        <w:t>；采购人不同意分包或者投标人中标后不以分包方式履行合同的，则不需要提供。</w:t>
      </w:r>
      <w:r>
        <w:rPr>
          <w:rFonts w:hint="eastAsia" w:cs="宋体"/>
          <w:color w:val="auto"/>
          <w:sz w:val="24"/>
          <w:highlight w:val="none"/>
          <w:lang w:eastAsia="zh-CN"/>
        </w:rPr>
        <w:t>】</w:t>
      </w:r>
    </w:p>
    <w:p w14:paraId="5791A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cs="宋体"/>
          <w:color w:val="auto"/>
          <w:kern w:val="0"/>
          <w:sz w:val="24"/>
          <w:highlight w:val="none"/>
          <w:lang w:val="en-US" w:eastAsia="zh-CN"/>
        </w:rPr>
        <w:t>书</w:t>
      </w:r>
      <w:r>
        <w:rPr>
          <w:rFonts w:hint="eastAsia" w:ascii="宋体" w:hAnsi="宋体" w:cs="宋体"/>
          <w:color w:val="auto"/>
          <w:kern w:val="0"/>
          <w:sz w:val="24"/>
          <w:highlight w:val="none"/>
          <w:lang w:val="zh-CN"/>
        </w:rPr>
        <w:t xml:space="preserve">。 </w:t>
      </w:r>
    </w:p>
    <w:p w14:paraId="545E90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E0873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7B916C5">
      <w:pPr>
        <w:pStyle w:val="3"/>
        <w:tabs>
          <w:tab w:val="left" w:pos="432"/>
        </w:tabs>
        <w:ind w:left="758" w:leftChars="316" w:firstLine="229" w:firstLineChars="95"/>
        <w:rPr>
          <w:rFonts w:ascii="宋体" w:hAnsi="宋体" w:eastAsia="宋体" w:cs="宋体"/>
          <w:color w:val="auto"/>
          <w:kern w:val="0"/>
          <w:sz w:val="24"/>
          <w:szCs w:val="24"/>
          <w:highlight w:val="none"/>
        </w:rPr>
      </w:pPr>
      <w:bookmarkStart w:id="766" w:name="_Toc29070"/>
      <w:bookmarkStart w:id="767" w:name="_Toc7988"/>
      <w:r>
        <w:rPr>
          <w:rFonts w:hint="eastAsia" w:ascii="宋体" w:hAnsi="宋体" w:eastAsia="宋体" w:cs="宋体"/>
          <w:color w:val="auto"/>
          <w:kern w:val="0"/>
          <w:sz w:val="24"/>
          <w:szCs w:val="24"/>
          <w:highlight w:val="none"/>
        </w:rPr>
        <w:t>……</w:t>
      </w:r>
      <w:bookmarkEnd w:id="766"/>
      <w:bookmarkEnd w:id="767"/>
    </w:p>
    <w:p w14:paraId="042688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88898B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cs="宋体"/>
          <w:color w:val="auto"/>
          <w:kern w:val="0"/>
          <w:sz w:val="24"/>
          <w:highlight w:val="none"/>
          <w:u w:val="single"/>
          <w:lang w:val="en-US" w:eastAsia="zh-CN"/>
        </w:rPr>
        <w:t>承担</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5FF20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6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cs="宋体"/>
          <w:b/>
          <w:color w:val="auto"/>
          <w:kern w:val="0"/>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768"/>
    </w:p>
    <w:p w14:paraId="51C56E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F26E4A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92502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369B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7AB0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32B92C8">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79FAF7">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7F77B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CBB9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D83C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C21D17">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286910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63AD0D69">
      <w:pPr>
        <w:snapToGrid w:val="0"/>
        <w:spacing w:line="360" w:lineRule="auto"/>
        <w:jc w:val="right"/>
        <w:rPr>
          <w:rFonts w:ascii="宋体" w:hAnsi="宋体" w:cs="宋体"/>
          <w:color w:val="auto"/>
          <w:kern w:val="0"/>
          <w:sz w:val="24"/>
          <w:highlight w:val="none"/>
          <w:lang w:val="zh-CN"/>
        </w:rPr>
      </w:pPr>
    </w:p>
    <w:p w14:paraId="102F6BD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C38D7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A2F910">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7F0D76CC">
      <w:pPr>
        <w:topLinePunct/>
        <w:ind w:firstLine="480" w:firstLineChars="200"/>
        <w:rPr>
          <w:rFonts w:hint="eastAsia"/>
          <w:color w:val="auto"/>
          <w:szCs w:val="32"/>
          <w:highlight w:val="none"/>
        </w:rPr>
      </w:pPr>
    </w:p>
    <w:p w14:paraId="5F400CB9">
      <w:pPr>
        <w:topLinePunct/>
        <w:ind w:firstLine="480" w:firstLineChars="200"/>
        <w:rPr>
          <w:rFonts w:hint="eastAsia"/>
          <w:color w:val="auto"/>
          <w:szCs w:val="32"/>
          <w:highlight w:val="none"/>
        </w:rPr>
      </w:pPr>
    </w:p>
    <w:p w14:paraId="11CAF290">
      <w:pPr>
        <w:topLinePunct/>
        <w:ind w:firstLine="480" w:firstLineChars="200"/>
        <w:rPr>
          <w:rFonts w:hint="eastAsia"/>
          <w:color w:val="auto"/>
          <w:szCs w:val="32"/>
          <w:highlight w:val="none"/>
        </w:rPr>
      </w:pPr>
    </w:p>
    <w:p w14:paraId="35CFE103">
      <w:pPr>
        <w:topLinePunct/>
        <w:ind w:firstLine="480" w:firstLineChars="200"/>
        <w:rPr>
          <w:rFonts w:hint="eastAsia"/>
          <w:color w:val="auto"/>
          <w:szCs w:val="32"/>
          <w:highlight w:val="none"/>
        </w:rPr>
      </w:pPr>
    </w:p>
    <w:bookmarkEnd w:id="763"/>
    <w:p w14:paraId="5775F461">
      <w:pPr>
        <w:ind w:left="2520" w:leftChars="1050"/>
        <w:rPr>
          <w:color w:val="auto"/>
          <w:highlight w:val="none"/>
        </w:rPr>
      </w:pPr>
      <w:r>
        <w:rPr>
          <w:rFonts w:cs="Courier New"/>
          <w:color w:val="auto"/>
          <w:szCs w:val="24"/>
          <w:highlight w:val="none"/>
        </w:rPr>
        <w:br w:type="page"/>
      </w:r>
    </w:p>
    <w:p w14:paraId="6C745F3D">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769" w:name="_Toc155185932"/>
      <w:bookmarkStart w:id="770" w:name="_Toc163492926"/>
      <w:bookmarkStart w:id="771" w:name="_Toc8875"/>
      <w:r>
        <w:rPr>
          <w:rFonts w:hint="eastAsia" w:cstheme="majorBidi"/>
          <w:b/>
          <w:bCs/>
          <w:color w:val="auto"/>
          <w:kern w:val="2"/>
          <w:sz w:val="28"/>
          <w:szCs w:val="28"/>
          <w:highlight w:val="none"/>
          <w:lang w:val="en-US" w:eastAsia="zh-CN" w:bidi="ar-SA"/>
        </w:rPr>
        <w:t>四</w:t>
      </w:r>
      <w:r>
        <w:rPr>
          <w:rFonts w:hint="eastAsia" w:eastAsia="宋体" w:asciiTheme="majorHAnsi" w:hAnsiTheme="majorHAnsi" w:cstheme="majorBidi"/>
          <w:b/>
          <w:bCs/>
          <w:color w:val="auto"/>
          <w:kern w:val="2"/>
          <w:sz w:val="28"/>
          <w:szCs w:val="28"/>
          <w:highlight w:val="none"/>
          <w:lang w:val="en-US" w:eastAsia="zh-CN" w:bidi="ar-SA"/>
        </w:rPr>
        <w:t>、</w:t>
      </w:r>
      <w:bookmarkEnd w:id="769"/>
      <w:bookmarkEnd w:id="770"/>
      <w:r>
        <w:rPr>
          <w:rFonts w:hint="eastAsia" w:eastAsia="宋体" w:asciiTheme="majorHAnsi" w:hAnsiTheme="majorHAnsi" w:cstheme="majorBidi"/>
          <w:b/>
          <w:bCs/>
          <w:color w:val="auto"/>
          <w:kern w:val="2"/>
          <w:sz w:val="28"/>
          <w:szCs w:val="28"/>
          <w:highlight w:val="none"/>
          <w:lang w:val="en-US" w:eastAsia="zh-CN" w:bidi="ar-SA"/>
        </w:rPr>
        <w:t>落实政府采购政策相关证明文件</w:t>
      </w:r>
      <w:bookmarkEnd w:id="771"/>
    </w:p>
    <w:p w14:paraId="0076F407">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772" w:name="_Toc163492938"/>
      <w:bookmarkStart w:id="773" w:name="_Toc17038"/>
      <w:bookmarkStart w:id="774" w:name="_Toc8350"/>
      <w:r>
        <w:rPr>
          <w:rFonts w:hint="eastAsia" w:ascii="宋体" w:hAnsi="宋体" w:eastAsia="宋体" w:cs="宋体"/>
          <w:b/>
          <w:bCs/>
          <w:color w:val="auto"/>
          <w:kern w:val="2"/>
          <w:sz w:val="24"/>
          <w:szCs w:val="24"/>
          <w:highlight w:val="none"/>
          <w:lang w:val="en-US" w:eastAsia="zh-CN" w:bidi="ar-SA"/>
        </w:rPr>
        <w:t>（一）节能环保产品清单及证明材料</w:t>
      </w:r>
      <w:r>
        <w:rPr>
          <w:rFonts w:hint="eastAsia" w:ascii="宋体" w:hAnsi="宋体" w:eastAsia="宋体" w:cs="宋体"/>
          <w:b w:val="0"/>
          <w:bCs w:val="0"/>
          <w:color w:val="auto"/>
          <w:kern w:val="2"/>
          <w:sz w:val="24"/>
          <w:szCs w:val="24"/>
          <w:highlight w:val="none"/>
          <w:lang w:val="en-US" w:eastAsia="zh-CN" w:bidi="ar-SA"/>
        </w:rPr>
        <w:t>【如适用】</w:t>
      </w:r>
      <w:bookmarkEnd w:id="772"/>
      <w:bookmarkEnd w:id="773"/>
      <w:bookmarkEnd w:id="774"/>
    </w:p>
    <w:p w14:paraId="129366EF">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51FADA0E">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214B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19BA53A1">
            <w:pPr>
              <w:pStyle w:val="48"/>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33C66ABB">
            <w:pPr>
              <w:pStyle w:val="48"/>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0A6767B6">
            <w:pPr>
              <w:pStyle w:val="48"/>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31DEE91E">
            <w:pPr>
              <w:pStyle w:val="48"/>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5BB11F42">
            <w:pPr>
              <w:pStyle w:val="48"/>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146CD78D">
            <w:pPr>
              <w:pStyle w:val="48"/>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52ABF9B6">
            <w:pPr>
              <w:pStyle w:val="48"/>
              <w:jc w:val="center"/>
              <w:rPr>
                <w:color w:val="auto"/>
                <w:sz w:val="21"/>
                <w:szCs w:val="21"/>
                <w:highlight w:val="none"/>
              </w:rPr>
            </w:pPr>
            <w:r>
              <w:rPr>
                <w:rFonts w:hint="eastAsia"/>
                <w:color w:val="auto"/>
                <w:sz w:val="21"/>
                <w:szCs w:val="21"/>
                <w:highlight w:val="none"/>
              </w:rPr>
              <w:t>单价</w:t>
            </w:r>
          </w:p>
          <w:p w14:paraId="022A35EE">
            <w:pPr>
              <w:pStyle w:val="48"/>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47F9C89C">
            <w:pPr>
              <w:pStyle w:val="48"/>
              <w:jc w:val="center"/>
              <w:rPr>
                <w:color w:val="auto"/>
                <w:sz w:val="21"/>
                <w:szCs w:val="21"/>
                <w:highlight w:val="none"/>
              </w:rPr>
            </w:pPr>
            <w:r>
              <w:rPr>
                <w:rFonts w:hint="eastAsia"/>
                <w:color w:val="auto"/>
                <w:sz w:val="21"/>
                <w:szCs w:val="21"/>
                <w:highlight w:val="none"/>
              </w:rPr>
              <w:t>总价</w:t>
            </w:r>
          </w:p>
          <w:p w14:paraId="13E39665">
            <w:pPr>
              <w:pStyle w:val="48"/>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5EF1CA54">
            <w:pPr>
              <w:pStyle w:val="48"/>
              <w:jc w:val="center"/>
              <w:rPr>
                <w:color w:val="auto"/>
                <w:sz w:val="21"/>
                <w:szCs w:val="21"/>
                <w:highlight w:val="none"/>
              </w:rPr>
            </w:pPr>
            <w:r>
              <w:rPr>
                <w:rFonts w:hint="eastAsia"/>
                <w:color w:val="auto"/>
                <w:sz w:val="21"/>
                <w:szCs w:val="21"/>
                <w:highlight w:val="none"/>
              </w:rPr>
              <w:t>属强制采购或优先采购</w:t>
            </w:r>
          </w:p>
        </w:tc>
      </w:tr>
      <w:tr w14:paraId="2E90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ADB00D2">
            <w:pPr>
              <w:pStyle w:val="48"/>
              <w:numPr>
                <w:ilvl w:val="0"/>
                <w:numId w:val="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3FEE94B">
            <w:pPr>
              <w:pStyle w:val="48"/>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10BB06E">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C5A5920">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35E1910D">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648ECA9">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264C2E61">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25FE785">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64D763D">
            <w:pPr>
              <w:pStyle w:val="48"/>
              <w:jc w:val="center"/>
              <w:rPr>
                <w:color w:val="auto"/>
                <w:sz w:val="21"/>
                <w:szCs w:val="21"/>
                <w:highlight w:val="none"/>
              </w:rPr>
            </w:pPr>
          </w:p>
        </w:tc>
      </w:tr>
      <w:tr w14:paraId="37C9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FEF61DD">
            <w:pPr>
              <w:pStyle w:val="48"/>
              <w:numPr>
                <w:ilvl w:val="0"/>
                <w:numId w:val="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416B1F1">
            <w:pPr>
              <w:pStyle w:val="48"/>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2C36B510">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0AC0C7C">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67CCBE2">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BBEE273">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202F913">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4965158B">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778C7D9">
            <w:pPr>
              <w:pStyle w:val="48"/>
              <w:jc w:val="center"/>
              <w:rPr>
                <w:color w:val="auto"/>
                <w:sz w:val="21"/>
                <w:szCs w:val="21"/>
                <w:highlight w:val="none"/>
              </w:rPr>
            </w:pPr>
          </w:p>
        </w:tc>
      </w:tr>
      <w:tr w14:paraId="54DDF495">
        <w:tblPrEx>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48CCAB2">
            <w:pPr>
              <w:pStyle w:val="48"/>
              <w:numPr>
                <w:ilvl w:val="0"/>
                <w:numId w:val="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25CCB97">
            <w:pPr>
              <w:pStyle w:val="48"/>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20FBEE7F">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FABF0FD">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41EE4F1">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34758BE8">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4A503622">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3CD9502">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1E5F4FE">
            <w:pPr>
              <w:pStyle w:val="48"/>
              <w:jc w:val="center"/>
              <w:rPr>
                <w:color w:val="auto"/>
                <w:sz w:val="21"/>
                <w:szCs w:val="21"/>
                <w:highlight w:val="none"/>
              </w:rPr>
            </w:pPr>
          </w:p>
        </w:tc>
      </w:tr>
    </w:tbl>
    <w:p w14:paraId="0BF4E52B">
      <w:pPr>
        <w:spacing w:line="300" w:lineRule="auto"/>
        <w:rPr>
          <w:rFonts w:ascii="Arial" w:hAnsi="Arial" w:cs="Arial"/>
          <w:color w:val="auto"/>
          <w:szCs w:val="21"/>
          <w:highlight w:val="none"/>
        </w:rPr>
      </w:pPr>
    </w:p>
    <w:p w14:paraId="37B13C23">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75A5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E1C37F0">
            <w:pPr>
              <w:pStyle w:val="48"/>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1FD081C">
            <w:pPr>
              <w:pStyle w:val="48"/>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29856322">
            <w:pPr>
              <w:pStyle w:val="48"/>
              <w:jc w:val="center"/>
              <w:rPr>
                <w:color w:val="auto"/>
                <w:sz w:val="21"/>
                <w:szCs w:val="21"/>
                <w:highlight w:val="none"/>
              </w:rPr>
            </w:pPr>
            <w:r>
              <w:rPr>
                <w:rFonts w:hint="eastAsia"/>
                <w:color w:val="auto"/>
                <w:sz w:val="21"/>
                <w:szCs w:val="21"/>
                <w:highlight w:val="none"/>
              </w:rPr>
              <w:t>制造商</w:t>
            </w:r>
          </w:p>
          <w:p w14:paraId="43D7ECA8">
            <w:pPr>
              <w:pStyle w:val="48"/>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3DA2F666">
            <w:pPr>
              <w:pStyle w:val="48"/>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C041C3A">
            <w:pPr>
              <w:pStyle w:val="48"/>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5EC682A5">
            <w:pPr>
              <w:pStyle w:val="48"/>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5112D1F1">
            <w:pPr>
              <w:pStyle w:val="48"/>
              <w:jc w:val="center"/>
              <w:rPr>
                <w:color w:val="auto"/>
                <w:sz w:val="21"/>
                <w:szCs w:val="21"/>
                <w:highlight w:val="none"/>
              </w:rPr>
            </w:pPr>
            <w:r>
              <w:rPr>
                <w:rFonts w:hint="eastAsia"/>
                <w:color w:val="auto"/>
                <w:sz w:val="21"/>
                <w:szCs w:val="21"/>
                <w:highlight w:val="none"/>
              </w:rPr>
              <w:t>单价</w:t>
            </w:r>
          </w:p>
          <w:p w14:paraId="0270B2E8">
            <w:pPr>
              <w:pStyle w:val="48"/>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52D01C53">
            <w:pPr>
              <w:pStyle w:val="48"/>
              <w:jc w:val="center"/>
              <w:rPr>
                <w:color w:val="auto"/>
                <w:sz w:val="21"/>
                <w:szCs w:val="21"/>
                <w:highlight w:val="none"/>
              </w:rPr>
            </w:pPr>
            <w:r>
              <w:rPr>
                <w:rFonts w:hint="eastAsia"/>
                <w:color w:val="auto"/>
                <w:sz w:val="21"/>
                <w:szCs w:val="21"/>
                <w:highlight w:val="none"/>
              </w:rPr>
              <w:t>总价</w:t>
            </w:r>
          </w:p>
          <w:p w14:paraId="461D4258">
            <w:pPr>
              <w:pStyle w:val="48"/>
              <w:jc w:val="center"/>
              <w:rPr>
                <w:color w:val="auto"/>
                <w:sz w:val="21"/>
                <w:szCs w:val="21"/>
                <w:highlight w:val="none"/>
              </w:rPr>
            </w:pPr>
            <w:r>
              <w:rPr>
                <w:rFonts w:hint="eastAsia"/>
                <w:color w:val="auto"/>
                <w:sz w:val="21"/>
                <w:szCs w:val="21"/>
                <w:highlight w:val="none"/>
              </w:rPr>
              <w:t>（万元）</w:t>
            </w:r>
          </w:p>
        </w:tc>
      </w:tr>
      <w:tr w14:paraId="3C0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7FEDD7F">
            <w:pPr>
              <w:pStyle w:val="48"/>
              <w:numPr>
                <w:ilvl w:val="0"/>
                <w:numId w:val="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E411FCE">
            <w:pPr>
              <w:pStyle w:val="48"/>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21DE2B">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C5EDF09">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D72516A">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6E3E6DE">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8F18718">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4FAA2A4">
            <w:pPr>
              <w:pStyle w:val="48"/>
              <w:jc w:val="center"/>
              <w:rPr>
                <w:color w:val="auto"/>
                <w:sz w:val="21"/>
                <w:szCs w:val="21"/>
                <w:highlight w:val="none"/>
              </w:rPr>
            </w:pPr>
          </w:p>
        </w:tc>
      </w:tr>
      <w:tr w14:paraId="507C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CEE92A2">
            <w:pPr>
              <w:pStyle w:val="48"/>
              <w:numPr>
                <w:ilvl w:val="0"/>
                <w:numId w:val="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7004DF9">
            <w:pPr>
              <w:pStyle w:val="48"/>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7819FE1">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DD8FC99">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FB45CEE">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552F00C">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0679DB2">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241F95D">
            <w:pPr>
              <w:pStyle w:val="48"/>
              <w:jc w:val="center"/>
              <w:rPr>
                <w:color w:val="auto"/>
                <w:sz w:val="21"/>
                <w:szCs w:val="21"/>
                <w:highlight w:val="none"/>
              </w:rPr>
            </w:pPr>
          </w:p>
        </w:tc>
      </w:tr>
      <w:tr w14:paraId="5757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FF9C542">
            <w:pPr>
              <w:pStyle w:val="48"/>
              <w:numPr>
                <w:ilvl w:val="0"/>
                <w:numId w:val="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56190D9">
            <w:pPr>
              <w:pStyle w:val="48"/>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29185C8">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278FA62">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DC75679">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EAC5B30">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78F02ED0">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61916AC5">
            <w:pPr>
              <w:pStyle w:val="48"/>
              <w:jc w:val="center"/>
              <w:rPr>
                <w:color w:val="auto"/>
                <w:sz w:val="21"/>
                <w:szCs w:val="21"/>
                <w:highlight w:val="none"/>
              </w:rPr>
            </w:pPr>
          </w:p>
        </w:tc>
      </w:tr>
    </w:tbl>
    <w:p w14:paraId="04CE5F65">
      <w:pPr>
        <w:spacing w:line="300" w:lineRule="auto"/>
        <w:rPr>
          <w:rFonts w:ascii="Arial" w:hAnsi="Arial" w:cs="Arial"/>
          <w:color w:val="auto"/>
          <w:szCs w:val="21"/>
          <w:highlight w:val="none"/>
        </w:rPr>
      </w:pPr>
    </w:p>
    <w:p w14:paraId="4FDC8CEF">
      <w:pPr>
        <w:rPr>
          <w:rFonts w:ascii="Arial" w:hAnsi="Arial" w:cs="Arial"/>
          <w:b/>
          <w:color w:val="auto"/>
          <w:sz w:val="21"/>
          <w:szCs w:val="21"/>
          <w:highlight w:val="none"/>
        </w:rPr>
      </w:pPr>
      <w:r>
        <w:rPr>
          <w:rFonts w:hint="eastAsia" w:ascii="Arial" w:hAnsi="Arial" w:cs="Arial"/>
          <w:b/>
          <w:color w:val="auto"/>
          <w:sz w:val="21"/>
          <w:szCs w:val="21"/>
          <w:highlight w:val="none"/>
        </w:rPr>
        <w:t>特别说明：投标人应将所投产品中节能、环保产品分别列入上表中，并按本招标文件</w:t>
      </w:r>
      <w:r>
        <w:rPr>
          <w:rFonts w:hint="eastAsia" w:ascii="Arial" w:hAnsi="Arial" w:cs="Arial"/>
          <w:b/>
          <w:color w:val="auto"/>
          <w:sz w:val="21"/>
          <w:szCs w:val="21"/>
          <w:highlight w:val="none"/>
          <w:lang w:val="en-US" w:eastAsia="zh-CN"/>
        </w:rPr>
        <w:t>“</w:t>
      </w:r>
      <w:r>
        <w:rPr>
          <w:rFonts w:hint="eastAsia" w:ascii="Arial" w:hAnsi="Arial" w:cs="Arial"/>
          <w:b/>
          <w:color w:val="auto"/>
          <w:sz w:val="21"/>
          <w:szCs w:val="21"/>
          <w:highlight w:val="none"/>
        </w:rPr>
        <w:t>第二章</w:t>
      </w:r>
      <w:r>
        <w:rPr>
          <w:rFonts w:hint="eastAsia" w:ascii="Arial" w:hAnsi="Arial" w:cs="Arial"/>
          <w:b/>
          <w:color w:val="auto"/>
          <w:sz w:val="21"/>
          <w:szCs w:val="21"/>
          <w:highlight w:val="none"/>
          <w:lang w:val="en-US" w:eastAsia="zh-CN"/>
        </w:rPr>
        <w:t>投标人须知”</w:t>
      </w:r>
      <w:r>
        <w:rPr>
          <w:rFonts w:hint="eastAsia" w:ascii="Arial" w:hAnsi="Arial" w:cs="Arial"/>
          <w:b/>
          <w:color w:val="auto"/>
          <w:sz w:val="21"/>
          <w:szCs w:val="21"/>
          <w:highlight w:val="none"/>
        </w:rPr>
        <w:t>提供相关证明材料，未填写本表或未提供有效认证证书</w:t>
      </w:r>
      <w:r>
        <w:rPr>
          <w:rFonts w:ascii="Arial" w:hAnsi="Arial" w:cs="Arial"/>
          <w:b/>
          <w:color w:val="auto"/>
          <w:sz w:val="21"/>
          <w:szCs w:val="21"/>
          <w:highlight w:val="none"/>
        </w:rPr>
        <w:t>的</w:t>
      </w:r>
      <w:r>
        <w:rPr>
          <w:rFonts w:hint="eastAsia" w:ascii="Arial" w:hAnsi="Arial" w:cs="Arial"/>
          <w:b/>
          <w:color w:val="auto"/>
          <w:sz w:val="21"/>
          <w:szCs w:val="21"/>
          <w:highlight w:val="none"/>
        </w:rPr>
        <w:t>不给予</w:t>
      </w:r>
      <w:r>
        <w:rPr>
          <w:rFonts w:ascii="Arial" w:hAnsi="Arial" w:cs="Arial"/>
          <w:b/>
          <w:color w:val="auto"/>
          <w:sz w:val="21"/>
          <w:szCs w:val="21"/>
          <w:highlight w:val="none"/>
        </w:rPr>
        <w:t>价格扣除</w:t>
      </w:r>
      <w:r>
        <w:rPr>
          <w:rFonts w:hint="eastAsia" w:ascii="Arial" w:hAnsi="Arial" w:cs="Arial"/>
          <w:b/>
          <w:color w:val="auto"/>
          <w:sz w:val="21"/>
          <w:szCs w:val="21"/>
          <w:highlight w:val="none"/>
        </w:rPr>
        <w:t>。</w:t>
      </w:r>
    </w:p>
    <w:p w14:paraId="4AE49928">
      <w:pPr>
        <w:spacing w:line="300" w:lineRule="auto"/>
        <w:rPr>
          <w:rFonts w:ascii="Arial" w:hAnsi="Arial" w:cs="Arial"/>
          <w:color w:val="auto"/>
          <w:szCs w:val="21"/>
          <w:highlight w:val="none"/>
        </w:rPr>
      </w:pPr>
    </w:p>
    <w:p w14:paraId="054561CD">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31A4D567">
      <w:pPr>
        <w:rPr>
          <w:rFonts w:ascii="Arial" w:hAnsi="Arial" w:cs="Arial"/>
          <w:color w:val="auto"/>
          <w:szCs w:val="21"/>
          <w:highlight w:val="none"/>
        </w:rPr>
      </w:pPr>
      <w:r>
        <w:rPr>
          <w:rFonts w:ascii="Arial" w:hAnsi="Arial" w:cs="Arial"/>
          <w:color w:val="auto"/>
          <w:szCs w:val="21"/>
          <w:highlight w:val="none"/>
        </w:rPr>
        <w:t>日期：</w:t>
      </w:r>
    </w:p>
    <w:p w14:paraId="0A67E61C">
      <w:pPr>
        <w:rPr>
          <w:rFonts w:ascii="Arial" w:hAnsi="Arial" w:cs="Arial"/>
          <w:color w:val="auto"/>
          <w:szCs w:val="21"/>
          <w:highlight w:val="none"/>
        </w:rPr>
      </w:pPr>
    </w:p>
    <w:p w14:paraId="70617D68">
      <w:pPr>
        <w:rPr>
          <w:rFonts w:ascii="Arial" w:hAnsi="Arial" w:cs="Arial"/>
          <w:color w:val="auto"/>
          <w:szCs w:val="21"/>
          <w:highlight w:val="none"/>
        </w:rPr>
      </w:pPr>
      <w:r>
        <w:rPr>
          <w:rFonts w:ascii="Arial" w:hAnsi="Arial" w:cs="Arial"/>
          <w:color w:val="auto"/>
          <w:szCs w:val="21"/>
          <w:highlight w:val="none"/>
        </w:rPr>
        <w:br w:type="page"/>
      </w:r>
    </w:p>
    <w:p w14:paraId="2A9F81A4">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775" w:name="_Toc163492939"/>
      <w:bookmarkStart w:id="776" w:name="_Toc24277"/>
      <w:bookmarkStart w:id="777" w:name="_Toc29603"/>
      <w:r>
        <w:rPr>
          <w:rFonts w:hint="eastAsia" w:ascii="宋体" w:hAnsi="宋体" w:eastAsia="宋体" w:cstheme="minorBidi"/>
          <w:b/>
          <w:bCs/>
          <w:color w:val="auto"/>
          <w:kern w:val="2"/>
          <w:sz w:val="24"/>
          <w:szCs w:val="24"/>
          <w:highlight w:val="none"/>
          <w:lang w:val="en-US" w:eastAsia="zh-CN" w:bidi="ar-SA"/>
        </w:rPr>
        <w:t>（二）中小企业声明函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color w:val="auto"/>
          <w:kern w:val="2"/>
          <w:sz w:val="24"/>
          <w:szCs w:val="24"/>
          <w:highlight w:val="none"/>
          <w:lang w:val="en-US" w:eastAsia="zh-CN" w:bidi="ar-SA"/>
        </w:rPr>
        <w:t>】</w:t>
      </w:r>
      <w:bookmarkEnd w:id="775"/>
      <w:bookmarkEnd w:id="776"/>
      <w:bookmarkEnd w:id="777"/>
    </w:p>
    <w:p w14:paraId="16CFCD4A">
      <w:pPr>
        <w:pStyle w:val="3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0D7CD940">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5688740A">
      <w:pPr>
        <w:ind w:firstLine="504" w:firstLineChars="200"/>
        <w:rPr>
          <w:rFonts w:hint="eastAsia"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采购活动，服务全部由符合政策要求的中小企业承接。相关企业（含联合体中的中小企业、签订分包意向协议的中小企业）的具体情况如下：</w:t>
      </w:r>
    </w:p>
    <w:p w14:paraId="57A088DF">
      <w:pPr>
        <w:ind w:firstLine="504" w:firstLineChars="200"/>
        <w:rPr>
          <w:rFonts w:hint="eastAsia" w:cs="宋体"/>
          <w:color w:val="auto"/>
          <w:spacing w:val="6"/>
          <w:szCs w:val="24"/>
          <w:highlight w:val="none"/>
        </w:rPr>
      </w:pPr>
      <w:r>
        <w:rPr>
          <w:rFonts w:hint="eastAsia" w:cs="宋体"/>
          <w:color w:val="auto"/>
          <w:spacing w:val="6"/>
          <w:szCs w:val="24"/>
          <w:highlight w:val="none"/>
        </w:rPr>
        <w:t xml:space="preserve">1. </w:t>
      </w:r>
      <w:r>
        <w:rPr>
          <w:rFonts w:hint="eastAsia" w:cs="宋体"/>
          <w:color w:val="auto"/>
          <w:spacing w:val="6"/>
          <w:szCs w:val="24"/>
          <w:highlight w:val="none"/>
          <w:u w:val="single"/>
        </w:rPr>
        <w:t xml:space="preserve">（标的名称）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 </w:t>
      </w:r>
      <w:r>
        <w:rPr>
          <w:rFonts w:hint="eastAsia" w:cs="宋体"/>
          <w:color w:val="auto"/>
          <w:spacing w:val="6"/>
          <w:szCs w:val="24"/>
          <w:highlight w:val="none"/>
        </w:rPr>
        <w:t>；承接企业为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（中型企业、小型企业、微型企业）</w:t>
      </w:r>
      <w:r>
        <w:rPr>
          <w:rFonts w:hint="eastAsia" w:cs="宋体"/>
          <w:color w:val="auto"/>
          <w:spacing w:val="6"/>
          <w:szCs w:val="24"/>
          <w:highlight w:val="none"/>
        </w:rPr>
        <w:t>；</w:t>
      </w:r>
    </w:p>
    <w:p w14:paraId="222AFB4D">
      <w:pPr>
        <w:ind w:firstLine="504" w:firstLineChars="200"/>
        <w:rPr>
          <w:rFonts w:hint="eastAsia"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w:t>
      </w:r>
      <w:r>
        <w:rPr>
          <w:rFonts w:hint="eastAsia" w:cs="宋体"/>
          <w:color w:val="auto"/>
          <w:spacing w:val="6"/>
          <w:szCs w:val="24"/>
          <w:highlight w:val="none"/>
        </w:rPr>
        <w:t xml:space="preserve"> ，属于</w:t>
      </w:r>
      <w:r>
        <w:rPr>
          <w:rFonts w:hint="eastAsia" w:cs="宋体"/>
          <w:color w:val="auto"/>
          <w:spacing w:val="6"/>
          <w:szCs w:val="24"/>
          <w:highlight w:val="none"/>
          <w:u w:val="single"/>
        </w:rPr>
        <w:t xml:space="preserve"> （采购文件中明确的所属行业） </w:t>
      </w:r>
      <w:r>
        <w:rPr>
          <w:rFonts w:hint="eastAsia" w:cs="宋体"/>
          <w:color w:val="auto"/>
          <w:spacing w:val="6"/>
          <w:szCs w:val="24"/>
          <w:highlight w:val="none"/>
        </w:rPr>
        <w:t>；承接企业为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（中型企业、小型企业、微型企业）</w:t>
      </w:r>
      <w:r>
        <w:rPr>
          <w:rFonts w:hint="eastAsia" w:cs="宋体"/>
          <w:color w:val="auto"/>
          <w:spacing w:val="6"/>
          <w:szCs w:val="24"/>
          <w:highlight w:val="none"/>
        </w:rPr>
        <w:t>；</w:t>
      </w:r>
    </w:p>
    <w:p w14:paraId="39DCDC52">
      <w:pPr>
        <w:ind w:firstLine="504" w:firstLineChars="200"/>
        <w:rPr>
          <w:rFonts w:hint="eastAsia" w:cs="宋体"/>
          <w:color w:val="auto"/>
          <w:spacing w:val="6"/>
          <w:szCs w:val="24"/>
          <w:highlight w:val="none"/>
        </w:rPr>
      </w:pPr>
      <w:r>
        <w:rPr>
          <w:rFonts w:hint="eastAsia" w:cs="宋体"/>
          <w:color w:val="auto"/>
          <w:spacing w:val="6"/>
          <w:szCs w:val="24"/>
          <w:highlight w:val="none"/>
        </w:rPr>
        <w:t>……</w:t>
      </w:r>
    </w:p>
    <w:p w14:paraId="708F1D10">
      <w:pPr>
        <w:ind w:firstLine="504" w:firstLineChars="200"/>
        <w:rPr>
          <w:rFonts w:hint="eastAsia"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02D6F1D3">
      <w:pPr>
        <w:ind w:firstLine="504" w:firstLineChars="200"/>
        <w:rPr>
          <w:rFonts w:hint="eastAsia"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1ADB2C8D">
      <w:pPr>
        <w:ind w:firstLine="504" w:firstLineChars="200"/>
        <w:rPr>
          <w:rFonts w:cs="宋体"/>
          <w:color w:val="auto"/>
          <w:spacing w:val="6"/>
          <w:szCs w:val="24"/>
          <w:highlight w:val="none"/>
        </w:rPr>
      </w:pPr>
    </w:p>
    <w:p w14:paraId="5A6D844B">
      <w:pPr>
        <w:ind w:right="1008" w:firstLine="4788" w:firstLineChars="1900"/>
        <w:rPr>
          <w:rFonts w:cs="宋体"/>
          <w:color w:val="auto"/>
          <w:spacing w:val="6"/>
          <w:szCs w:val="24"/>
          <w:highlight w:val="none"/>
        </w:rPr>
      </w:pPr>
    </w:p>
    <w:p w14:paraId="165AEE2D">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50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126DF3AF">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13E0A5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7EA8D8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F0BA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5190A2D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5E2CB0B5">
      <w:pPr>
        <w:keepNext w:val="0"/>
        <w:keepLines w:val="0"/>
        <w:widowControl/>
        <w:suppressLineNumbers w:val="0"/>
        <w:ind w:firstLine="562" w:firstLineChars="200"/>
        <w:jc w:val="left"/>
        <w:rPr>
          <w:rStyle w:val="32"/>
          <w:rFonts w:hint="eastAsia" w:ascii="宋体" w:hAnsi="宋体" w:eastAsia="宋体" w:cs="宋体"/>
          <w:color w:val="auto"/>
          <w:kern w:val="0"/>
          <w:sz w:val="28"/>
          <w:szCs w:val="28"/>
          <w:highlight w:val="none"/>
          <w:lang w:val="en-US" w:eastAsia="zh-CN" w:bidi="ar"/>
        </w:rPr>
      </w:pPr>
    </w:p>
    <w:p w14:paraId="62EF0AA4">
      <w:pPr>
        <w:keepNext w:val="0"/>
        <w:keepLines w:val="0"/>
        <w:widowControl/>
        <w:suppressLineNumbers w:val="0"/>
        <w:ind w:firstLine="482" w:firstLineChars="200"/>
        <w:jc w:val="left"/>
        <w:rPr>
          <w:rStyle w:val="32"/>
          <w:rFonts w:hint="eastAsia" w:ascii="宋体" w:hAnsi="宋体" w:eastAsia="宋体" w:cs="宋体"/>
          <w:color w:val="auto"/>
          <w:kern w:val="0"/>
          <w:sz w:val="28"/>
          <w:szCs w:val="28"/>
          <w:highlight w:val="none"/>
          <w:lang w:val="en-US" w:eastAsia="zh-CN" w:bidi="ar"/>
        </w:rPr>
      </w:pPr>
      <w:r>
        <w:rPr>
          <w:rStyle w:val="32"/>
          <w:rFonts w:hint="eastAsia" w:ascii="宋体" w:hAnsi="宋体" w:eastAsia="宋体" w:cs="宋体"/>
          <w:color w:val="auto"/>
          <w:kern w:val="0"/>
          <w:sz w:val="24"/>
          <w:szCs w:val="24"/>
          <w:highlight w:val="none"/>
          <w:lang w:val="en-US" w:eastAsia="zh-CN" w:bidi="ar"/>
        </w:rPr>
        <w:t>（一）关于</w:t>
      </w:r>
      <w:r>
        <w:rPr>
          <w:rStyle w:val="32"/>
          <w:rFonts w:hint="eastAsia" w:cs="宋体"/>
          <w:color w:val="auto"/>
          <w:kern w:val="0"/>
          <w:sz w:val="24"/>
          <w:szCs w:val="24"/>
          <w:highlight w:val="none"/>
          <w:lang w:val="en-US" w:eastAsia="zh-CN" w:bidi="ar"/>
        </w:rPr>
        <w:t>“</w:t>
      </w:r>
      <w:r>
        <w:rPr>
          <w:rStyle w:val="32"/>
          <w:rFonts w:hint="eastAsia" w:ascii="宋体" w:hAnsi="宋体" w:eastAsia="宋体" w:cs="宋体"/>
          <w:color w:val="auto"/>
          <w:kern w:val="0"/>
          <w:sz w:val="24"/>
          <w:szCs w:val="24"/>
          <w:highlight w:val="none"/>
          <w:lang w:val="en-US" w:eastAsia="zh-CN" w:bidi="ar"/>
        </w:rPr>
        <w:t>中小企业声明函</w:t>
      </w:r>
      <w:r>
        <w:rPr>
          <w:rStyle w:val="32"/>
          <w:rFonts w:hint="eastAsia" w:cs="宋体"/>
          <w:color w:val="auto"/>
          <w:kern w:val="0"/>
          <w:sz w:val="24"/>
          <w:szCs w:val="24"/>
          <w:highlight w:val="none"/>
          <w:lang w:val="en-US" w:eastAsia="zh-CN" w:bidi="ar"/>
        </w:rPr>
        <w:t>”</w:t>
      </w:r>
      <w:r>
        <w:rPr>
          <w:rStyle w:val="32"/>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2"/>
          <w:rFonts w:hint="eastAsia" w:ascii="宋体" w:hAnsi="宋体" w:eastAsia="宋体" w:cs="宋体"/>
          <w:color w:val="auto"/>
          <w:kern w:val="0"/>
          <w:sz w:val="24"/>
          <w:szCs w:val="24"/>
          <w:highlight w:val="none"/>
          <w:lang w:val="en-US" w:eastAsia="zh-CN" w:bidi="ar"/>
        </w:rPr>
      </w:pPr>
      <w:r>
        <w:rPr>
          <w:rStyle w:val="32"/>
          <w:rFonts w:hint="eastAsia" w:ascii="宋体" w:hAnsi="宋体" w:eastAsia="宋体" w:cs="宋体"/>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1.投标（响应）供应商对</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3.如供应商提供的</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cs="宋体"/>
          <w:color w:val="auto"/>
          <w:spacing w:val="6"/>
          <w:sz w:val="21"/>
          <w:szCs w:val="21"/>
          <w:highlight w:val="none"/>
        </w:rPr>
      </w:pPr>
    </w:p>
    <w:p w14:paraId="6B42F924">
      <w:pPr>
        <w:rPr>
          <w:rFonts w:cs="宋体"/>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639A9CC2">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259220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2"/>
          <w:rFonts w:hint="eastAsia" w:ascii="宋体" w:hAnsi="宋体" w:eastAsia="宋体" w:cs="宋体"/>
          <w:b/>
          <w:bCs w:val="0"/>
          <w:color w:val="auto"/>
          <w:sz w:val="28"/>
          <w:szCs w:val="28"/>
          <w:highlight w:val="none"/>
        </w:rPr>
      </w:pPr>
      <w:r>
        <w:rPr>
          <w:rStyle w:val="32"/>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5BCE9D64">
      <w:pPr>
        <w:rPr>
          <w:rFonts w:cs="宋体"/>
          <w:color w:val="auto"/>
          <w:spacing w:val="6"/>
          <w:sz w:val="21"/>
          <w:szCs w:val="21"/>
          <w:highlight w:val="none"/>
        </w:rPr>
      </w:pPr>
      <w:r>
        <w:rPr>
          <w:rFonts w:cs="宋体"/>
          <w:color w:val="auto"/>
          <w:spacing w:val="6"/>
          <w:sz w:val="21"/>
          <w:szCs w:val="21"/>
          <w:highlight w:val="none"/>
        </w:rPr>
        <w:br w:type="page"/>
      </w:r>
    </w:p>
    <w:p w14:paraId="6BF97866">
      <w:pPr>
        <w:rPr>
          <w:rFonts w:cs="宋体"/>
          <w:color w:val="auto"/>
          <w:spacing w:val="6"/>
          <w:sz w:val="21"/>
          <w:szCs w:val="21"/>
          <w:highlight w:val="none"/>
        </w:rPr>
      </w:pPr>
      <w:bookmarkStart w:id="778" w:name="_Toc163492940"/>
    </w:p>
    <w:p w14:paraId="07DD59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754A877D">
      <w:pPr>
        <w:rPr>
          <w:rFonts w:hint="eastAsia" w:cs="宋体"/>
          <w:color w:val="auto"/>
          <w:spacing w:val="6"/>
          <w:sz w:val="21"/>
          <w:szCs w:val="21"/>
          <w:highlight w:val="none"/>
        </w:rPr>
      </w:pPr>
    </w:p>
    <w:p w14:paraId="36D4DB1B">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46F847F3">
      <w:pPr>
        <w:jc w:val="center"/>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2"/>
          <w:rFonts w:hint="eastAsia" w:ascii="宋体" w:hAnsi="宋体" w:eastAsia="宋体" w:cs="宋体"/>
          <w:b w:val="0"/>
          <w:bCs w:val="0"/>
          <w:color w:val="auto"/>
          <w:sz w:val="24"/>
          <w:szCs w:val="24"/>
          <w:highlight w:val="none"/>
        </w:rPr>
        <w:t>       </w:t>
      </w:r>
      <w:r>
        <w:rPr>
          <w:rStyle w:val="32"/>
          <w:rFonts w:hint="eastAsia" w:cs="宋体"/>
          <w:b w:val="0"/>
          <w:bCs w:val="0"/>
          <w:color w:val="auto"/>
          <w:sz w:val="24"/>
          <w:szCs w:val="24"/>
          <w:highlight w:val="none"/>
          <w:lang w:val="en-US" w:eastAsia="zh-CN"/>
        </w:rPr>
        <w:t xml:space="preserve">                            </w:t>
      </w:r>
      <w:r>
        <w:rPr>
          <w:rStyle w:val="32"/>
          <w:rFonts w:hint="eastAsia" w:ascii="宋体" w:hAnsi="宋体" w:eastAsia="宋体" w:cs="宋体"/>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w:t>
      </w:r>
      <w:r>
        <w:rPr>
          <w:rStyle w:val="32"/>
          <w:rFonts w:hint="eastAsia" w:cs="宋体"/>
          <w:b w:val="0"/>
          <w:bCs w:val="0"/>
          <w:color w:val="auto"/>
          <w:sz w:val="24"/>
          <w:szCs w:val="24"/>
          <w:highlight w:val="none"/>
          <w:lang w:val="en-US" w:eastAsia="zh-CN"/>
        </w:rPr>
        <w:t xml:space="preserve">     </w:t>
      </w:r>
      <w:r>
        <w:rPr>
          <w:rStyle w:val="32"/>
          <w:rFonts w:hint="eastAsia" w:ascii="宋体" w:hAnsi="宋体" w:eastAsia="宋体" w:cs="宋体"/>
          <w:b w:val="0"/>
          <w:bCs w:val="0"/>
          <w:color w:val="auto"/>
          <w:sz w:val="24"/>
          <w:szCs w:val="24"/>
          <w:highlight w:val="none"/>
        </w:rPr>
        <w:t> 2015年9月28日</w:t>
      </w:r>
    </w:p>
    <w:p w14:paraId="2D875BF0">
      <w:pPr>
        <w:rPr>
          <w:rFonts w:hint="eastAsia" w:cs="宋体"/>
          <w:color w:val="auto"/>
          <w:spacing w:val="6"/>
          <w:sz w:val="21"/>
          <w:szCs w:val="21"/>
          <w:highlight w:val="none"/>
        </w:rPr>
      </w:pPr>
    </w:p>
    <w:p w14:paraId="3D3E2F07">
      <w:pPr>
        <w:rPr>
          <w:rFonts w:hint="eastAsia" w:cs="宋体"/>
          <w:color w:val="auto"/>
          <w:spacing w:val="6"/>
          <w:sz w:val="21"/>
          <w:szCs w:val="21"/>
          <w:highlight w:val="none"/>
          <w:lang w:val="en-US" w:eastAsia="zh-CN"/>
        </w:rPr>
      </w:pPr>
    </w:p>
    <w:p w14:paraId="7D55D2C4">
      <w:pPr>
        <w:rPr>
          <w:rFonts w:hint="eastAsia" w:cs="宋体"/>
          <w:color w:val="auto"/>
          <w:spacing w:val="6"/>
          <w:sz w:val="21"/>
          <w:szCs w:val="21"/>
          <w:highlight w:val="none"/>
          <w:lang w:val="en-US" w:eastAsia="zh-CN"/>
        </w:rPr>
      </w:pPr>
    </w:p>
    <w:p w14:paraId="535B7B3C">
      <w:pPr>
        <w:rPr>
          <w:rFonts w:hint="eastAsia" w:cs="宋体"/>
          <w:color w:val="auto"/>
          <w:spacing w:val="6"/>
          <w:sz w:val="21"/>
          <w:szCs w:val="21"/>
          <w:highlight w:val="none"/>
          <w:lang w:val="en-US" w:eastAsia="zh-CN"/>
        </w:rPr>
      </w:pPr>
    </w:p>
    <w:p w14:paraId="0003DA46">
      <w:pPr>
        <w:rPr>
          <w:rFonts w:hint="eastAsia" w:cs="宋体"/>
          <w:color w:val="auto"/>
          <w:spacing w:val="6"/>
          <w:sz w:val="21"/>
          <w:szCs w:val="21"/>
          <w:highlight w:val="none"/>
          <w:lang w:val="en-US" w:eastAsia="zh-CN"/>
        </w:rPr>
      </w:pPr>
    </w:p>
    <w:p w14:paraId="2EB5298D">
      <w:pPr>
        <w:rPr>
          <w:rFonts w:hint="eastAsia" w:cs="宋体"/>
          <w:color w:val="auto"/>
          <w:spacing w:val="6"/>
          <w:sz w:val="21"/>
          <w:szCs w:val="21"/>
          <w:highlight w:val="none"/>
          <w:lang w:val="en-US" w:eastAsia="zh-CN"/>
        </w:rPr>
      </w:pPr>
    </w:p>
    <w:p w14:paraId="22DC8AB1">
      <w:pPr>
        <w:rPr>
          <w:rFonts w:hint="eastAsia" w:cs="宋体"/>
          <w:color w:val="auto"/>
          <w:spacing w:val="6"/>
          <w:sz w:val="21"/>
          <w:szCs w:val="21"/>
          <w:highlight w:val="none"/>
          <w:lang w:val="en-US" w:eastAsia="zh-CN"/>
        </w:rPr>
      </w:pPr>
    </w:p>
    <w:p w14:paraId="62A6A0C9">
      <w:pPr>
        <w:rPr>
          <w:rFonts w:hint="eastAsia" w:cs="宋体"/>
          <w:color w:val="auto"/>
          <w:spacing w:val="6"/>
          <w:sz w:val="21"/>
          <w:szCs w:val="21"/>
          <w:highlight w:val="none"/>
          <w:lang w:val="en-US" w:eastAsia="zh-CN"/>
        </w:rPr>
      </w:pPr>
    </w:p>
    <w:p w14:paraId="10A8E63C">
      <w:pPr>
        <w:rPr>
          <w:rFonts w:hint="eastAsia" w:cs="宋体"/>
          <w:color w:val="auto"/>
          <w:spacing w:val="6"/>
          <w:sz w:val="21"/>
          <w:szCs w:val="21"/>
          <w:highlight w:val="none"/>
          <w:lang w:val="en-US" w:eastAsia="zh-CN"/>
        </w:rPr>
      </w:pPr>
    </w:p>
    <w:p w14:paraId="422FF70F">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3E48D324">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5AB18E4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D87CEE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405839B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99C178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7793BE6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520E443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3C947BA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6D9795B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76FAEF4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9CAA27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1C3C005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158B91F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78FD5B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2"/>
          <w:rFonts w:hint="eastAsia" w:cs="宋体"/>
          <w:b w:val="0"/>
          <w:bCs w:val="0"/>
          <w:color w:val="auto"/>
          <w:sz w:val="24"/>
          <w:szCs w:val="24"/>
          <w:highlight w:val="none"/>
          <w:lang w:eastAsia="zh-CN"/>
        </w:rPr>
        <w:t>。</w:t>
      </w:r>
    </w:p>
    <w:p w14:paraId="064C9A6D">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2"/>
          <w:rFonts w:hint="eastAsia" w:cs="宋体"/>
          <w:b w:val="0"/>
          <w:bCs w:val="0"/>
          <w:color w:val="auto"/>
          <w:sz w:val="24"/>
          <w:szCs w:val="24"/>
          <w:highlight w:val="none"/>
          <w:lang w:eastAsia="zh-CN"/>
        </w:rPr>
        <w:t>，</w:t>
      </w:r>
      <w:r>
        <w:rPr>
          <w:rStyle w:val="32"/>
          <w:rFonts w:hint="eastAsia" w:ascii="宋体" w:hAnsi="宋体" w:eastAsia="宋体" w:cs="宋体"/>
          <w:b w:val="0"/>
          <w:bCs w:val="0"/>
          <w:color w:val="auto"/>
          <w:sz w:val="24"/>
          <w:szCs w:val="24"/>
          <w:highlight w:val="none"/>
        </w:rPr>
        <w:t>方便政府部门和社会各界查询使用。</w:t>
      </w:r>
    </w:p>
    <w:p w14:paraId="2C50E64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350BE40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2"/>
          <w:rFonts w:hint="eastAsia" w:cs="宋体"/>
          <w:b w:val="0"/>
          <w:bCs w:val="0"/>
          <w:color w:val="auto"/>
          <w:sz w:val="24"/>
          <w:szCs w:val="24"/>
          <w:highlight w:val="none"/>
          <w:lang w:eastAsia="zh-CN"/>
        </w:rPr>
        <w:t>。</w:t>
      </w:r>
    </w:p>
    <w:p w14:paraId="61D82EC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2"/>
          <w:rFonts w:hint="eastAsia" w:cs="宋体"/>
          <w:b w:val="0"/>
          <w:bCs w:val="0"/>
          <w:color w:val="auto"/>
          <w:sz w:val="24"/>
          <w:szCs w:val="24"/>
          <w:highlight w:val="none"/>
          <w:lang w:eastAsia="zh-CN"/>
        </w:rPr>
        <w:t>。</w:t>
      </w:r>
    </w:p>
    <w:p w14:paraId="63FF348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十、本规定由人民银行会同银监会、证监会、保监会和统计局负责解释。</w:t>
      </w:r>
    </w:p>
    <w:p w14:paraId="01147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十一、本规定自发布之日起实施</w:t>
      </w:r>
      <w:r>
        <w:rPr>
          <w:rStyle w:val="32"/>
          <w:rFonts w:hint="eastAsia" w:cs="宋体"/>
          <w:b w:val="0"/>
          <w:bCs w:val="0"/>
          <w:color w:val="auto"/>
          <w:sz w:val="24"/>
          <w:szCs w:val="24"/>
          <w:highlight w:val="none"/>
          <w:lang w:eastAsia="zh-CN"/>
        </w:rPr>
        <w:t>。</w:t>
      </w:r>
    </w:p>
    <w:p w14:paraId="74D81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p>
    <w:p w14:paraId="4033EFE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附:金融业企业划型标准</w:t>
      </w:r>
    </w:p>
    <w:p w14:paraId="4CB94869">
      <w:pPr>
        <w:rPr>
          <w:rFonts w:cs="宋体"/>
          <w:color w:val="auto"/>
          <w:spacing w:val="6"/>
          <w:sz w:val="21"/>
          <w:szCs w:val="21"/>
          <w:highlight w:val="none"/>
        </w:rPr>
      </w:pPr>
    </w:p>
    <w:p w14:paraId="018058A8">
      <w:pPr>
        <w:rPr>
          <w:rFonts w:hint="eastAsia" w:cs="宋体"/>
          <w:color w:val="auto"/>
          <w:spacing w:val="6"/>
          <w:sz w:val="24"/>
          <w:szCs w:val="24"/>
          <w:highlight w:val="none"/>
          <w:lang w:val="en-US" w:eastAsia="zh-CN"/>
        </w:rPr>
      </w:pPr>
    </w:p>
    <w:p w14:paraId="5023B69E">
      <w:pPr>
        <w:rPr>
          <w:rFonts w:hint="eastAsia" w:cs="宋体"/>
          <w:color w:val="auto"/>
          <w:spacing w:val="6"/>
          <w:sz w:val="24"/>
          <w:szCs w:val="24"/>
          <w:highlight w:val="none"/>
          <w:lang w:val="en-US" w:eastAsia="zh-CN"/>
        </w:rPr>
      </w:pPr>
    </w:p>
    <w:p w14:paraId="5F7D4B83">
      <w:pPr>
        <w:rPr>
          <w:rFonts w:hint="eastAsia" w:cs="宋体"/>
          <w:color w:val="auto"/>
          <w:spacing w:val="6"/>
          <w:sz w:val="24"/>
          <w:szCs w:val="24"/>
          <w:highlight w:val="none"/>
          <w:lang w:val="en-US" w:eastAsia="zh-CN"/>
        </w:rPr>
      </w:pPr>
    </w:p>
    <w:p w14:paraId="20B74F82">
      <w:pPr>
        <w:rPr>
          <w:rFonts w:hint="eastAsia" w:cs="宋体"/>
          <w:color w:val="auto"/>
          <w:spacing w:val="6"/>
          <w:sz w:val="24"/>
          <w:szCs w:val="24"/>
          <w:highlight w:val="none"/>
          <w:lang w:val="en-US" w:eastAsia="zh-CN"/>
        </w:rPr>
      </w:pPr>
    </w:p>
    <w:p w14:paraId="568CB75F">
      <w:pPr>
        <w:rPr>
          <w:rFonts w:hint="eastAsia" w:cs="宋体"/>
          <w:color w:val="auto"/>
          <w:spacing w:val="6"/>
          <w:sz w:val="24"/>
          <w:szCs w:val="24"/>
          <w:highlight w:val="none"/>
          <w:lang w:val="en-US" w:eastAsia="zh-CN"/>
        </w:rPr>
      </w:pPr>
    </w:p>
    <w:p w14:paraId="46228B00">
      <w:pPr>
        <w:rPr>
          <w:rFonts w:hint="eastAsia" w:cs="宋体"/>
          <w:color w:val="auto"/>
          <w:spacing w:val="6"/>
          <w:sz w:val="24"/>
          <w:szCs w:val="24"/>
          <w:highlight w:val="none"/>
          <w:lang w:val="en-US" w:eastAsia="zh-CN"/>
        </w:rPr>
      </w:pPr>
    </w:p>
    <w:p w14:paraId="70123D58">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EB97DB1">
      <w:pPr>
        <w:pStyle w:val="17"/>
        <w:keepNext w:val="0"/>
        <w:keepLines w:val="0"/>
        <w:pageBreakBefore w:val="0"/>
        <w:widowControl w:val="0"/>
        <w:kinsoku/>
        <w:wordWrap/>
        <w:overflowPunct/>
        <w:topLinePunct w:val="0"/>
        <w:autoSpaceDE/>
        <w:autoSpaceDN/>
        <w:bidi w:val="0"/>
        <w:adjustRightInd/>
        <w:snapToGrid/>
        <w:spacing w:before="100" w:after="100"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76252C9C">
      <w:pPr>
        <w:pStyle w:val="1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Cs/>
          <w:color w:val="auto"/>
          <w:sz w:val="36"/>
          <w:szCs w:val="36"/>
          <w:highlight w:val="none"/>
          <w:lang w:val="en-US" w:eastAsia="zh-CN"/>
        </w:rPr>
      </w:pPr>
      <w:r>
        <w:rPr>
          <w:rFonts w:cs="宋体"/>
          <w:color w:val="auto"/>
          <w:spacing w:val="6"/>
          <w:sz w:val="21"/>
          <w:szCs w:val="21"/>
          <w:highlight w:val="none"/>
        </w:rPr>
        <w:br w:type="page"/>
      </w:r>
    </w:p>
    <w:p w14:paraId="3D939C43">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Cs/>
          <w:color w:val="auto"/>
          <w:sz w:val="36"/>
          <w:szCs w:val="36"/>
          <w:highlight w:val="none"/>
          <w:lang w:val="en-US" w:eastAsia="zh-CN"/>
        </w:rPr>
      </w:pPr>
    </w:p>
    <w:p w14:paraId="0711552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79" w:name="_Toc16227"/>
      <w:bookmarkStart w:id="780" w:name="_Toc30764"/>
      <w:r>
        <w:rPr>
          <w:rFonts w:hint="eastAsia" w:ascii="宋体" w:hAnsi="宋体" w:eastAsia="宋体" w:cstheme="minorBidi"/>
          <w:b/>
          <w:bCs/>
          <w:color w:val="auto"/>
          <w:kern w:val="2"/>
          <w:sz w:val="24"/>
          <w:szCs w:val="24"/>
          <w:highlight w:val="none"/>
          <w:lang w:val="en-US" w:eastAsia="zh-CN" w:bidi="ar-SA"/>
        </w:rPr>
        <w:t>（三）监狱企业证明文件</w:t>
      </w:r>
      <w:r>
        <w:rPr>
          <w:rFonts w:hint="eastAsia" w:ascii="宋体" w:hAnsi="宋体" w:eastAsia="宋体" w:cstheme="minorBidi"/>
          <w:b w:val="0"/>
          <w:bCs w:val="0"/>
          <w:color w:val="auto"/>
          <w:kern w:val="2"/>
          <w:sz w:val="24"/>
          <w:szCs w:val="24"/>
          <w:highlight w:val="none"/>
          <w:lang w:val="en-US" w:eastAsia="zh-CN" w:bidi="ar-SA"/>
        </w:rPr>
        <w:t>【如适用】</w:t>
      </w:r>
      <w:bookmarkEnd w:id="778"/>
      <w:bookmarkEnd w:id="779"/>
      <w:bookmarkEnd w:id="780"/>
    </w:p>
    <w:p w14:paraId="744F56E2">
      <w:pPr>
        <w:rPr>
          <w:rFonts w:cs="仿宋_GB2312"/>
          <w:b/>
          <w:color w:val="auto"/>
          <w:sz w:val="24"/>
          <w:szCs w:val="24"/>
          <w:highlight w:val="none"/>
        </w:rPr>
      </w:pPr>
    </w:p>
    <w:p w14:paraId="23D1BFC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75238DB1">
      <w:pPr>
        <w:pStyle w:val="17"/>
        <w:spacing w:line="360" w:lineRule="auto"/>
        <w:jc w:val="center"/>
        <w:rPr>
          <w:rFonts w:hint="eastAsia" w:ascii="宋体" w:hAnsi="宋体" w:eastAsia="宋体" w:cs="宋体"/>
          <w:b/>
          <w:bCs w:val="0"/>
          <w:color w:val="auto"/>
          <w:sz w:val="32"/>
          <w:szCs w:val="32"/>
          <w:highlight w:val="none"/>
        </w:rPr>
      </w:pPr>
    </w:p>
    <w:p w14:paraId="3EAA5E2A">
      <w:pPr>
        <w:pStyle w:val="17"/>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73EFA9C1">
      <w:pPr>
        <w:spacing w:line="360" w:lineRule="auto"/>
        <w:rPr>
          <w:rFonts w:hint="eastAsia" w:ascii="仿宋_GB2312" w:hAnsi="仿宋_GB2312" w:eastAsia="仿宋_GB2312" w:cs="仿宋_GB2312"/>
          <w:color w:val="auto"/>
          <w:sz w:val="32"/>
          <w:szCs w:val="32"/>
          <w:highlight w:val="none"/>
        </w:rPr>
      </w:pPr>
    </w:p>
    <w:p w14:paraId="7E6FDB37">
      <w:pPr>
        <w:ind w:firstLine="504" w:firstLineChars="200"/>
        <w:rPr>
          <w:rFonts w:hint="eastAsia" w:cs="宋体"/>
          <w:color w:val="auto"/>
          <w:spacing w:val="6"/>
          <w:szCs w:val="24"/>
          <w:highlight w:val="none"/>
        </w:rPr>
      </w:pPr>
      <w:r>
        <w:rPr>
          <w:rFonts w:hint="eastAsia" w:cs="宋体"/>
          <w:color w:val="auto"/>
          <w:spacing w:val="6"/>
          <w:szCs w:val="24"/>
          <w:highlight w:val="none"/>
        </w:rPr>
        <w:t>本公司郑重声明，根据财政部、司法部《关于政府采购支持监狱企业发展有关问题的通知》（财库</w:t>
      </w:r>
      <w:r>
        <w:rPr>
          <w:rFonts w:hint="eastAsia" w:ascii="微软雅黑" w:hAnsi="微软雅黑" w:eastAsia="微软雅黑" w:cs="微软雅黑"/>
          <w:color w:val="auto"/>
          <w:spacing w:val="6"/>
          <w:szCs w:val="24"/>
          <w:highlight w:val="none"/>
          <w:lang w:eastAsia="zh-CN"/>
        </w:rPr>
        <w:t>〔</w:t>
      </w:r>
      <w:r>
        <w:rPr>
          <w:rFonts w:hint="eastAsia" w:cs="宋体"/>
          <w:color w:val="auto"/>
          <w:spacing w:val="6"/>
          <w:szCs w:val="24"/>
          <w:highlight w:val="none"/>
        </w:rPr>
        <w:t>2014</w:t>
      </w:r>
      <w:r>
        <w:rPr>
          <w:rFonts w:hint="eastAsia" w:ascii="微软雅黑" w:hAnsi="微软雅黑" w:eastAsia="微软雅黑" w:cs="微软雅黑"/>
          <w:color w:val="auto"/>
          <w:spacing w:val="6"/>
          <w:szCs w:val="24"/>
          <w:highlight w:val="none"/>
          <w:lang w:eastAsia="zh-CN"/>
        </w:rPr>
        <w:t>〕</w:t>
      </w:r>
      <w:r>
        <w:rPr>
          <w:rFonts w:hint="eastAsia" w:cs="宋体"/>
          <w:color w:val="auto"/>
          <w:spacing w:val="6"/>
          <w:szCs w:val="24"/>
          <w:highlight w:val="none"/>
        </w:rPr>
        <w:t>68号）的规定，本公司为监狱企业。</w:t>
      </w:r>
    </w:p>
    <w:p w14:paraId="3C2CE4C6">
      <w:pPr>
        <w:spacing w:line="360" w:lineRule="auto"/>
        <w:rPr>
          <w:rFonts w:hint="eastAsia" w:ascii="宋体" w:hAnsi="宋体" w:eastAsia="宋体" w:cs="宋体"/>
          <w:color w:val="auto"/>
          <w:sz w:val="24"/>
          <w:szCs w:val="24"/>
          <w:highlight w:val="none"/>
        </w:rPr>
      </w:pPr>
    </w:p>
    <w:p w14:paraId="25406F97">
      <w:pPr>
        <w:ind w:firstLine="4440" w:firstLineChars="1850"/>
        <w:rPr>
          <w:rFonts w:hint="eastAsia" w:ascii="宋体" w:hAnsi="宋体" w:eastAsia="宋体" w:cs="宋体"/>
          <w:color w:val="auto"/>
          <w:sz w:val="24"/>
          <w:szCs w:val="24"/>
          <w:highlight w:val="none"/>
        </w:rPr>
      </w:pPr>
    </w:p>
    <w:p w14:paraId="44FF352C">
      <w:pPr>
        <w:ind w:firstLine="4440" w:firstLineChars="1850"/>
        <w:rPr>
          <w:rFonts w:hint="eastAsia" w:ascii="宋体" w:hAnsi="宋体" w:eastAsia="宋体" w:cs="宋体"/>
          <w:color w:val="auto"/>
          <w:sz w:val="24"/>
          <w:szCs w:val="24"/>
          <w:highlight w:val="none"/>
        </w:rPr>
      </w:pPr>
    </w:p>
    <w:p w14:paraId="0841D36F">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3678CEA7">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75D11779">
      <w:pPr>
        <w:spacing w:line="360" w:lineRule="auto"/>
        <w:ind w:firstLine="240" w:firstLineChars="100"/>
        <w:rPr>
          <w:rFonts w:hint="eastAsia" w:ascii="宋体" w:hAnsi="宋体" w:eastAsia="宋体" w:cs="宋体"/>
          <w:color w:val="auto"/>
          <w:sz w:val="24"/>
          <w:szCs w:val="24"/>
          <w:highlight w:val="none"/>
        </w:rPr>
      </w:pPr>
    </w:p>
    <w:p w14:paraId="7B8735C9">
      <w:pPr>
        <w:spacing w:line="360" w:lineRule="auto"/>
        <w:ind w:firstLine="240" w:firstLineChars="100"/>
        <w:rPr>
          <w:rFonts w:hint="eastAsia" w:ascii="宋体" w:hAnsi="宋体" w:eastAsia="宋体" w:cs="宋体"/>
          <w:color w:val="auto"/>
          <w:sz w:val="24"/>
          <w:szCs w:val="24"/>
          <w:highlight w:val="none"/>
        </w:rPr>
      </w:pPr>
    </w:p>
    <w:p w14:paraId="32722C7E">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20204BC0">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（含新疆生产建设兵团）（盖章）：  </w:t>
      </w:r>
    </w:p>
    <w:p w14:paraId="4A414B41">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color w:val="auto"/>
          <w:sz w:val="32"/>
          <w:szCs w:val="32"/>
          <w:highlight w:val="none"/>
        </w:rPr>
      </w:pPr>
    </w:p>
    <w:p w14:paraId="206A9633">
      <w:pPr>
        <w:spacing w:line="360" w:lineRule="auto"/>
        <w:rPr>
          <w:rFonts w:hint="eastAsia" w:ascii="仿宋_GB2312" w:hAnsi="仿宋_GB2312" w:eastAsia="仿宋_GB2312" w:cs="仿宋_GB2312"/>
          <w:color w:val="auto"/>
          <w:sz w:val="32"/>
          <w:szCs w:val="32"/>
          <w:highlight w:val="none"/>
        </w:rPr>
      </w:pPr>
    </w:p>
    <w:p w14:paraId="283F77FC">
      <w:pPr>
        <w:widowControl/>
        <w:spacing w:before="100" w:beforeAutospacing="1" w:after="100" w:afterAutospacing="1"/>
        <w:rPr>
          <w:rFonts w:ascii="Arial" w:hAnsi="Arial" w:cs="Arial"/>
          <w:color w:val="auto"/>
          <w:sz w:val="21"/>
          <w:szCs w:val="21"/>
          <w:highlight w:val="none"/>
        </w:rPr>
      </w:pPr>
    </w:p>
    <w:p w14:paraId="3ACDD48E">
      <w:pPr>
        <w:widowControl/>
        <w:spacing w:before="100" w:beforeAutospacing="1" w:after="100" w:afterAutospacing="1"/>
        <w:rPr>
          <w:rFonts w:ascii="Arial" w:hAnsi="Arial" w:cs="Arial"/>
          <w:color w:val="auto"/>
          <w:sz w:val="21"/>
          <w:szCs w:val="21"/>
          <w:highlight w:val="none"/>
        </w:rPr>
      </w:pPr>
    </w:p>
    <w:p w14:paraId="22F7A202">
      <w:pPr>
        <w:widowControl/>
        <w:spacing w:before="100" w:beforeAutospacing="1" w:after="100" w:afterAutospacing="1"/>
        <w:rPr>
          <w:rFonts w:ascii="Arial" w:hAnsi="Arial" w:cs="Arial"/>
          <w:color w:val="auto"/>
          <w:sz w:val="21"/>
          <w:szCs w:val="21"/>
          <w:highlight w:val="none"/>
        </w:rPr>
      </w:pPr>
    </w:p>
    <w:p w14:paraId="24405F3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81" w:name="_Toc163492941"/>
    </w:p>
    <w:p w14:paraId="05E6EFA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82" w:name="_Toc31652"/>
      <w:bookmarkStart w:id="783" w:name="_Toc13465"/>
      <w:r>
        <w:rPr>
          <w:rFonts w:hint="eastAsia" w:ascii="宋体" w:hAnsi="宋体" w:eastAsia="宋体" w:cstheme="minorBidi"/>
          <w:b/>
          <w:bCs/>
          <w:color w:val="auto"/>
          <w:kern w:val="2"/>
          <w:sz w:val="24"/>
          <w:szCs w:val="24"/>
          <w:highlight w:val="none"/>
          <w:lang w:val="en-US" w:eastAsia="zh-CN" w:bidi="ar-SA"/>
        </w:rPr>
        <w:t>（四）残疾人福利性单位声明函</w:t>
      </w:r>
      <w:r>
        <w:rPr>
          <w:rFonts w:hint="eastAsia" w:ascii="宋体" w:hAnsi="宋体" w:eastAsia="宋体" w:cstheme="minorBidi"/>
          <w:b w:val="0"/>
          <w:bCs w:val="0"/>
          <w:color w:val="auto"/>
          <w:kern w:val="2"/>
          <w:sz w:val="24"/>
          <w:szCs w:val="24"/>
          <w:highlight w:val="none"/>
          <w:lang w:val="en-US" w:eastAsia="zh-CN" w:bidi="ar-SA"/>
        </w:rPr>
        <w:t>【如适用】</w:t>
      </w:r>
      <w:bookmarkEnd w:id="781"/>
      <w:bookmarkEnd w:id="782"/>
      <w:bookmarkEnd w:id="783"/>
    </w:p>
    <w:p w14:paraId="0EAC9468">
      <w:pPr>
        <w:pStyle w:val="38"/>
        <w:numPr>
          <w:ilvl w:val="0"/>
          <w:numId w:val="0"/>
        </w:numPr>
        <w:ind w:left="420" w:leftChars="0" w:hanging="420" w:firstLineChars="0"/>
        <w:jc w:val="center"/>
        <w:rPr>
          <w:rFonts w:hint="eastAsia"/>
          <w:b/>
          <w:bCs/>
          <w:color w:val="auto"/>
          <w:sz w:val="32"/>
          <w:szCs w:val="32"/>
          <w:highlight w:val="none"/>
        </w:rPr>
      </w:pPr>
    </w:p>
    <w:p w14:paraId="091B47EA">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28D13EE8">
      <w:pPr>
        <w:wordWrap w:val="0"/>
        <w:ind w:firstLine="480" w:firstLineChars="200"/>
        <w:rPr>
          <w:rFonts w:hint="eastAsia"/>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w:t>
      </w:r>
      <w:r>
        <w:rPr>
          <w:rFonts w:hint="eastAsia"/>
          <w:i w:val="0"/>
          <w:iCs w:val="0"/>
          <w:color w:val="auto"/>
          <w:szCs w:val="24"/>
          <w:highlight w:val="none"/>
          <w:lang w:val="en-US" w:eastAsia="zh-CN"/>
        </w:rPr>
        <w:t>服务及</w:t>
      </w:r>
      <w:r>
        <w:rPr>
          <w:rFonts w:hint="eastAsia"/>
          <w:i w:val="0"/>
          <w:iCs w:val="0"/>
          <w:color w:val="auto"/>
          <w:szCs w:val="24"/>
          <w:highlight w:val="none"/>
        </w:rPr>
        <w:t>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提供和</w:t>
      </w:r>
      <w:r>
        <w:rPr>
          <w:rFonts w:hint="eastAsia"/>
          <w:b/>
          <w:i w:val="0"/>
          <w:iCs w:val="0"/>
          <w:color w:val="auto"/>
          <w:szCs w:val="24"/>
          <w:highlight w:val="none"/>
        </w:rPr>
        <w:t>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color w:val="auto"/>
          <w:szCs w:val="24"/>
          <w:highlight w:val="none"/>
        </w:rPr>
      </w:pPr>
      <w:r>
        <w:rPr>
          <w:rFonts w:hint="eastAsia"/>
          <w:color w:val="auto"/>
          <w:szCs w:val="24"/>
          <w:highlight w:val="none"/>
        </w:rPr>
        <w:t>本企业对上述声明内容的真实性负责。如有虚假，将依法承担相应责任。</w:t>
      </w:r>
    </w:p>
    <w:p w14:paraId="44C7A080">
      <w:pPr>
        <w:wordWrap w:val="0"/>
        <w:ind w:left="1091" w:hanging="1091" w:hangingChars="453"/>
        <w:rPr>
          <w:b/>
          <w:bCs/>
          <w:color w:val="auto"/>
          <w:szCs w:val="24"/>
          <w:highlight w:val="none"/>
        </w:rPr>
      </w:pPr>
    </w:p>
    <w:p w14:paraId="43523196">
      <w:pPr>
        <w:wordWrap w:val="0"/>
        <w:ind w:left="1091" w:hanging="1091" w:hangingChars="453"/>
        <w:rPr>
          <w:bCs/>
          <w:color w:val="auto"/>
          <w:szCs w:val="24"/>
          <w:highlight w:val="none"/>
        </w:rPr>
      </w:pPr>
      <w:r>
        <w:rPr>
          <w:rFonts w:hint="eastAsia"/>
          <w:b/>
          <w:bCs/>
          <w:color w:val="auto"/>
          <w:szCs w:val="24"/>
          <w:highlight w:val="none"/>
        </w:rPr>
        <w:t>说明：</w:t>
      </w:r>
      <w:r>
        <w:rPr>
          <w:rFonts w:hint="eastAsia"/>
          <w:bCs/>
          <w:color w:val="auto"/>
          <w:szCs w:val="24"/>
          <w:highlight w:val="none"/>
        </w:rPr>
        <w:t>1、</w:t>
      </w:r>
      <w:r>
        <w:rPr>
          <w:rFonts w:hint="eastAsia"/>
          <w:bCs/>
          <w:color w:val="auto"/>
          <w:szCs w:val="24"/>
          <w:highlight w:val="none"/>
          <w:lang w:val="en-US" w:eastAsia="zh-CN"/>
        </w:rPr>
        <w:t>服务及</w:t>
      </w:r>
      <w:r>
        <w:rPr>
          <w:rFonts w:hint="eastAsia"/>
          <w:bCs/>
          <w:color w:val="auto"/>
          <w:szCs w:val="21"/>
          <w:highlight w:val="none"/>
          <w:lang w:val="zh-CN"/>
        </w:rPr>
        <w:t>货物应当全部由符合政策要求的残疾人福利性单位</w:t>
      </w:r>
      <w:r>
        <w:rPr>
          <w:rFonts w:hint="eastAsia"/>
          <w:bCs/>
          <w:color w:val="auto"/>
          <w:szCs w:val="21"/>
          <w:highlight w:val="none"/>
          <w:lang w:val="en-US" w:eastAsia="zh-CN"/>
        </w:rPr>
        <w:t>提供及</w:t>
      </w:r>
      <w:r>
        <w:rPr>
          <w:rFonts w:hint="eastAsia"/>
          <w:bCs/>
          <w:color w:val="auto"/>
          <w:szCs w:val="21"/>
          <w:highlight w:val="none"/>
          <w:lang w:val="zh-CN"/>
        </w:rPr>
        <w:t>生产且使用该残疾人福利性单位商号或注册商标（与代理商或投标人无关）；应当严格按上述格式及内容进行填写（应当明确每个标的的生产企业类型及相关数据），否则导致的后果由投标人自行承担；</w:t>
      </w:r>
    </w:p>
    <w:p w14:paraId="2288B711">
      <w:pPr>
        <w:wordWrap w:val="0"/>
        <w:ind w:left="1087" w:hanging="1087" w:hangingChars="453"/>
        <w:rPr>
          <w:rFonts w:cs="Courier New"/>
          <w:color w:val="auto"/>
          <w:szCs w:val="21"/>
          <w:highlight w:val="none"/>
        </w:rPr>
      </w:pPr>
      <w:r>
        <w:rPr>
          <w:rFonts w:hint="eastAsia"/>
          <w:bCs/>
          <w:color w:val="auto"/>
          <w:szCs w:val="21"/>
          <w:highlight w:val="none"/>
          <w:lang w:val="zh-CN"/>
        </w:rPr>
        <w:t xml:space="preserve">      2、</w:t>
      </w:r>
      <w:r>
        <w:rPr>
          <w:rFonts w:hint="eastAsia" w:cs="Courier New"/>
          <w:color w:val="auto"/>
          <w:szCs w:val="21"/>
          <w:highlight w:val="none"/>
        </w:rPr>
        <w:t>以联合体形式参加的，应</w:t>
      </w:r>
      <w:r>
        <w:rPr>
          <w:rFonts w:hint="eastAsia"/>
          <w:bCs/>
          <w:color w:val="auto"/>
          <w:szCs w:val="21"/>
          <w:highlight w:val="none"/>
          <w:lang w:val="zh-CN"/>
        </w:rPr>
        <w:t>当</w:t>
      </w:r>
      <w:r>
        <w:rPr>
          <w:rFonts w:hint="eastAsia" w:cs="Courier New"/>
          <w:color w:val="auto"/>
          <w:szCs w:val="21"/>
          <w:highlight w:val="none"/>
        </w:rPr>
        <w:t>由联合体各方盖章。</w:t>
      </w:r>
    </w:p>
    <w:p w14:paraId="71983F83">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3A972AC9">
      <w:pPr>
        <w:wordWrap w:val="0"/>
        <w:spacing w:before="100" w:beforeAutospacing="1" w:after="100" w:afterAutospacing="1"/>
        <w:ind w:firstLine="3316" w:firstLineChars="1382"/>
        <w:rPr>
          <w:color w:val="auto"/>
          <w:highlight w:val="non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6F5F8DCA">
      <w:pPr>
        <w:ind w:left="4620" w:firstLine="281" w:firstLineChars="100"/>
        <w:rPr>
          <w:rFonts w:cs="仿宋_GB2312"/>
          <w:b/>
          <w:color w:val="auto"/>
          <w:sz w:val="28"/>
          <w:szCs w:val="28"/>
          <w:highlight w:val="none"/>
        </w:rPr>
      </w:pPr>
    </w:p>
    <w:p w14:paraId="7BDD1A80">
      <w:pPr>
        <w:rPr>
          <w:color w:val="auto"/>
          <w:highlight w:val="none"/>
        </w:rPr>
      </w:pPr>
      <w:r>
        <w:rPr>
          <w:color w:val="auto"/>
          <w:highlight w:val="none"/>
        </w:rPr>
        <w:br w:type="page"/>
      </w:r>
    </w:p>
    <w:p w14:paraId="66079641">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4B9EE2D8">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color w:val="auto"/>
          <w:kern w:val="2"/>
          <w:sz w:val="28"/>
          <w:szCs w:val="28"/>
          <w:highlight w:val="none"/>
          <w:lang w:val="en-US" w:eastAsia="zh-CN" w:bidi="ar-SA"/>
        </w:rPr>
      </w:pPr>
      <w:bookmarkStart w:id="784" w:name="_Toc24696"/>
      <w:r>
        <w:rPr>
          <w:rFonts w:hint="eastAsia" w:cstheme="majorBidi"/>
          <w:b/>
          <w:bCs/>
          <w:color w:val="auto"/>
          <w:kern w:val="2"/>
          <w:sz w:val="28"/>
          <w:szCs w:val="28"/>
          <w:highlight w:val="none"/>
          <w:lang w:val="en-US" w:eastAsia="zh-CN" w:bidi="ar-SA"/>
        </w:rPr>
        <w:t>五、不参与围标串标承诺书</w:t>
      </w:r>
      <w:bookmarkEnd w:id="784"/>
    </w:p>
    <w:p w14:paraId="70D7F20B">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75FF23AC">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6B233C07">
      <w:pPr>
        <w:rPr>
          <w:rFonts w:hint="eastAsia"/>
          <w:color w:val="auto"/>
          <w:highlight w:val="none"/>
          <w:lang w:val="en-US" w:eastAsia="zh-CN"/>
        </w:rPr>
      </w:pPr>
      <w:r>
        <w:rPr>
          <w:rFonts w:hint="eastAsia"/>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3"/>
        <w:rPr>
          <w:rFonts w:hint="eastAsia"/>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3"/>
        <w:rPr>
          <w:rFonts w:hint="eastAsia"/>
          <w:color w:val="auto"/>
          <w:highlight w:val="none"/>
          <w:lang w:val="en-US" w:eastAsia="zh-CN"/>
        </w:rPr>
      </w:pPr>
    </w:p>
    <w:p w14:paraId="6FC519D1">
      <w:pPr>
        <w:pStyle w:val="13"/>
        <w:rPr>
          <w:rFonts w:hint="eastAsia"/>
          <w:color w:val="auto"/>
          <w:highlight w:val="none"/>
          <w:lang w:val="en-US" w:eastAsia="zh-CN"/>
        </w:rPr>
      </w:pPr>
    </w:p>
    <w:p w14:paraId="7500053D">
      <w:pPr>
        <w:pStyle w:val="13"/>
        <w:rPr>
          <w:rFonts w:hint="eastAsia"/>
          <w:color w:val="auto"/>
          <w:highlight w:val="none"/>
          <w:lang w:val="en-US" w:eastAsia="zh-CN"/>
        </w:rPr>
      </w:pPr>
    </w:p>
    <w:p w14:paraId="5BF64493">
      <w:pPr>
        <w:pStyle w:val="13"/>
        <w:rPr>
          <w:rFonts w:hint="eastAsia"/>
          <w:color w:val="auto"/>
          <w:highlight w:val="none"/>
          <w:lang w:val="en-US" w:eastAsia="zh-CN"/>
        </w:rPr>
      </w:pPr>
    </w:p>
    <w:p w14:paraId="5CA01A8B">
      <w:pPr>
        <w:pStyle w:val="13"/>
        <w:rPr>
          <w:rFonts w:hint="eastAsia"/>
          <w:color w:val="auto"/>
          <w:highlight w:val="none"/>
          <w:lang w:val="en-US" w:eastAsia="zh-CN"/>
        </w:rPr>
      </w:pPr>
    </w:p>
    <w:p w14:paraId="029F743D">
      <w:pPr>
        <w:pStyle w:val="13"/>
        <w:rPr>
          <w:rFonts w:hint="eastAsia"/>
          <w:color w:val="auto"/>
          <w:highlight w:val="none"/>
          <w:lang w:val="en-US" w:eastAsia="zh-CN"/>
        </w:rPr>
      </w:pPr>
    </w:p>
    <w:p w14:paraId="41587146">
      <w:pPr>
        <w:pStyle w:val="13"/>
        <w:rPr>
          <w:rFonts w:hint="eastAsia"/>
          <w:color w:val="auto"/>
          <w:highlight w:val="none"/>
          <w:lang w:val="en-US" w:eastAsia="zh-CN"/>
        </w:rPr>
      </w:pPr>
    </w:p>
    <w:p w14:paraId="7CD2757F">
      <w:pPr>
        <w:pStyle w:val="13"/>
        <w:rPr>
          <w:rFonts w:hint="eastAsia"/>
          <w:color w:val="auto"/>
          <w:highlight w:val="none"/>
          <w:lang w:val="en-US" w:eastAsia="zh-CN"/>
        </w:rPr>
      </w:pPr>
    </w:p>
    <w:p w14:paraId="7EE0D7C2">
      <w:pPr>
        <w:pStyle w:val="13"/>
        <w:rPr>
          <w:rFonts w:hint="eastAsia"/>
          <w:color w:val="auto"/>
          <w:highlight w:val="none"/>
          <w:lang w:val="en-US" w:eastAsia="zh-CN"/>
        </w:rPr>
      </w:pPr>
    </w:p>
    <w:p w14:paraId="34406338">
      <w:pPr>
        <w:pStyle w:val="13"/>
        <w:rPr>
          <w:rFonts w:hint="eastAsia"/>
          <w:color w:val="auto"/>
          <w:highlight w:val="none"/>
          <w:lang w:val="en-US" w:eastAsia="zh-CN"/>
        </w:rPr>
      </w:pPr>
    </w:p>
    <w:p w14:paraId="30C8D33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785" w:name="_Toc2869"/>
      <w:r>
        <w:rPr>
          <w:rFonts w:hint="eastAsia" w:cstheme="majorBidi"/>
          <w:b/>
          <w:bCs/>
          <w:color w:val="auto"/>
          <w:kern w:val="2"/>
          <w:sz w:val="28"/>
          <w:szCs w:val="28"/>
          <w:highlight w:val="none"/>
          <w:lang w:val="en-US" w:eastAsia="zh-CN" w:bidi="ar-SA"/>
        </w:rPr>
        <w:t>六</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其他资格证明文件</w:t>
      </w:r>
      <w:bookmarkEnd w:id="785"/>
    </w:p>
    <w:p w14:paraId="0C24F0AE">
      <w:pPr>
        <w:pStyle w:val="36"/>
        <w:rPr>
          <w:rFonts w:hint="eastAsia"/>
          <w:color w:val="auto"/>
          <w:highlight w:val="none"/>
        </w:rPr>
      </w:pPr>
      <w:r>
        <w:rPr>
          <w:rFonts w:hint="eastAsia" w:cs="Courier New"/>
          <w:color w:val="auto"/>
          <w:szCs w:val="24"/>
          <w:highlight w:val="none"/>
        </w:rPr>
        <w:t>投标人认为需提供的其它相关资格证明材料</w:t>
      </w:r>
    </w:p>
    <w:p w14:paraId="7C2C3E83">
      <w:pPr>
        <w:pStyle w:val="36"/>
        <w:rPr>
          <w:rFonts w:hint="eastAsia"/>
          <w:color w:val="auto"/>
          <w:highlight w:val="none"/>
        </w:rPr>
      </w:pPr>
    </w:p>
    <w:p w14:paraId="58A36194">
      <w:pPr>
        <w:pStyle w:val="36"/>
        <w:rPr>
          <w:rFonts w:hint="eastAsia"/>
          <w:color w:val="auto"/>
          <w:highlight w:val="none"/>
        </w:rPr>
      </w:pPr>
    </w:p>
    <w:p w14:paraId="3553B395">
      <w:pPr>
        <w:pStyle w:val="36"/>
        <w:rPr>
          <w:rFonts w:hint="eastAsia"/>
          <w:color w:val="auto"/>
          <w:highlight w:val="none"/>
        </w:rPr>
      </w:pPr>
    </w:p>
    <w:p w14:paraId="49D404FC">
      <w:pPr>
        <w:pStyle w:val="36"/>
        <w:rPr>
          <w:rFonts w:hint="eastAsia"/>
          <w:color w:val="auto"/>
          <w:highlight w:val="none"/>
        </w:rPr>
      </w:pPr>
    </w:p>
    <w:p w14:paraId="4B98E4B6">
      <w:pPr>
        <w:pStyle w:val="36"/>
        <w:rPr>
          <w:rFonts w:hint="eastAsia"/>
          <w:color w:val="auto"/>
          <w:highlight w:val="none"/>
        </w:rPr>
      </w:pPr>
    </w:p>
    <w:p w14:paraId="737FEDD3">
      <w:pPr>
        <w:pStyle w:val="36"/>
        <w:rPr>
          <w:rFonts w:hint="eastAsia"/>
          <w:color w:val="auto"/>
          <w:highlight w:val="none"/>
        </w:rPr>
      </w:pPr>
    </w:p>
    <w:p w14:paraId="1C876135">
      <w:pPr>
        <w:pStyle w:val="36"/>
        <w:rPr>
          <w:rFonts w:hint="eastAsia"/>
          <w:color w:val="auto"/>
          <w:highlight w:val="none"/>
        </w:rPr>
      </w:pPr>
    </w:p>
    <w:p w14:paraId="7E85C842">
      <w:pPr>
        <w:pStyle w:val="36"/>
        <w:rPr>
          <w:rFonts w:hint="eastAsia"/>
          <w:color w:val="auto"/>
          <w:highlight w:val="none"/>
        </w:rPr>
      </w:pPr>
    </w:p>
    <w:p w14:paraId="4CBE3B0D">
      <w:pPr>
        <w:pStyle w:val="36"/>
        <w:rPr>
          <w:rFonts w:hint="eastAsia"/>
          <w:color w:val="auto"/>
          <w:highlight w:val="none"/>
        </w:rPr>
      </w:pPr>
    </w:p>
    <w:p w14:paraId="2E6E451F">
      <w:pPr>
        <w:pStyle w:val="36"/>
        <w:rPr>
          <w:rFonts w:hint="eastAsia"/>
          <w:color w:val="auto"/>
          <w:highlight w:val="none"/>
        </w:rPr>
      </w:pPr>
    </w:p>
    <w:p w14:paraId="38DC2C55">
      <w:pPr>
        <w:pStyle w:val="36"/>
        <w:rPr>
          <w:rFonts w:hint="eastAsia"/>
          <w:color w:val="auto"/>
          <w:highlight w:val="none"/>
        </w:rPr>
      </w:pPr>
    </w:p>
    <w:p w14:paraId="04DAFD3C">
      <w:pPr>
        <w:pStyle w:val="36"/>
        <w:rPr>
          <w:rFonts w:hint="eastAsia"/>
          <w:color w:val="auto"/>
          <w:highlight w:val="none"/>
        </w:rPr>
      </w:pPr>
    </w:p>
    <w:p w14:paraId="51E24CDC">
      <w:pPr>
        <w:pStyle w:val="36"/>
        <w:rPr>
          <w:rFonts w:hint="eastAsia"/>
          <w:color w:val="auto"/>
          <w:highlight w:val="none"/>
        </w:rPr>
      </w:pPr>
    </w:p>
    <w:p w14:paraId="1AC1942E">
      <w:pPr>
        <w:pStyle w:val="36"/>
        <w:rPr>
          <w:rFonts w:hint="eastAsia"/>
          <w:color w:val="auto"/>
          <w:highlight w:val="none"/>
        </w:rPr>
      </w:pPr>
    </w:p>
    <w:p w14:paraId="4722E259">
      <w:pPr>
        <w:pStyle w:val="36"/>
        <w:rPr>
          <w:rFonts w:hint="eastAsia"/>
          <w:color w:val="auto"/>
          <w:highlight w:val="none"/>
        </w:rPr>
      </w:pPr>
    </w:p>
    <w:p w14:paraId="07033BD3">
      <w:pPr>
        <w:pStyle w:val="36"/>
        <w:rPr>
          <w:rFonts w:hint="eastAsia"/>
          <w:color w:val="auto"/>
          <w:highlight w:val="none"/>
        </w:rPr>
      </w:pPr>
    </w:p>
    <w:p w14:paraId="6E1D094D">
      <w:pPr>
        <w:pStyle w:val="36"/>
        <w:rPr>
          <w:rFonts w:hint="eastAsia"/>
          <w:color w:val="auto"/>
          <w:highlight w:val="none"/>
        </w:rPr>
      </w:pPr>
    </w:p>
    <w:p w14:paraId="23B0DB54">
      <w:pPr>
        <w:pStyle w:val="36"/>
        <w:rPr>
          <w:rFonts w:hint="eastAsia"/>
          <w:color w:val="auto"/>
          <w:highlight w:val="none"/>
        </w:rPr>
      </w:pPr>
    </w:p>
    <w:p w14:paraId="07159DF6">
      <w:pPr>
        <w:pStyle w:val="36"/>
        <w:rPr>
          <w:rFonts w:hint="eastAsia"/>
          <w:color w:val="auto"/>
          <w:highlight w:val="none"/>
        </w:rPr>
      </w:pPr>
    </w:p>
    <w:p w14:paraId="44B3A5AA">
      <w:pPr>
        <w:pStyle w:val="36"/>
        <w:rPr>
          <w:rFonts w:hint="eastAsia"/>
          <w:color w:val="auto"/>
          <w:highlight w:val="none"/>
        </w:rPr>
      </w:pPr>
    </w:p>
    <w:p w14:paraId="05BB178A">
      <w:pPr>
        <w:pStyle w:val="36"/>
        <w:rPr>
          <w:rFonts w:hint="eastAsia"/>
          <w:color w:val="auto"/>
          <w:highlight w:val="none"/>
        </w:rPr>
      </w:pPr>
    </w:p>
    <w:p w14:paraId="0E7980AB">
      <w:pPr>
        <w:pStyle w:val="36"/>
        <w:rPr>
          <w:rFonts w:hint="eastAsia"/>
          <w:color w:val="auto"/>
          <w:highlight w:val="none"/>
        </w:rPr>
      </w:pPr>
    </w:p>
    <w:p w14:paraId="5A09B930">
      <w:pPr>
        <w:pStyle w:val="36"/>
        <w:rPr>
          <w:rFonts w:hint="eastAsia"/>
          <w:color w:val="auto"/>
          <w:highlight w:val="none"/>
        </w:rPr>
      </w:pPr>
    </w:p>
    <w:p w14:paraId="3FB1F62E">
      <w:pPr>
        <w:pStyle w:val="36"/>
        <w:rPr>
          <w:rFonts w:hint="eastAsia"/>
          <w:color w:val="auto"/>
          <w:highlight w:val="none"/>
        </w:rPr>
      </w:pPr>
    </w:p>
    <w:p w14:paraId="69D25AC1">
      <w:pPr>
        <w:pStyle w:val="36"/>
        <w:rPr>
          <w:rFonts w:hint="eastAsia"/>
          <w:color w:val="auto"/>
          <w:highlight w:val="none"/>
        </w:rPr>
      </w:pPr>
    </w:p>
    <w:p w14:paraId="3E9AC4C9">
      <w:pPr>
        <w:pStyle w:val="36"/>
        <w:rPr>
          <w:rFonts w:hint="eastAsia"/>
          <w:color w:val="auto"/>
          <w:highlight w:val="none"/>
        </w:rPr>
      </w:pPr>
    </w:p>
    <w:p w14:paraId="7FB9AF51">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02CB8C4">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73A003D2">
      <w:pPr>
        <w:autoSpaceDE w:val="0"/>
        <w:autoSpaceDN w:val="0"/>
        <w:adjustRightInd w:val="0"/>
        <w:rPr>
          <w:color w:val="auto"/>
          <w:sz w:val="21"/>
          <w:szCs w:val="24"/>
          <w:highlight w:val="none"/>
        </w:rPr>
      </w:pPr>
    </w:p>
    <w:p w14:paraId="7773B439">
      <w:pPr>
        <w:autoSpaceDE w:val="0"/>
        <w:autoSpaceDN w:val="0"/>
        <w:adjustRightInd w:val="0"/>
        <w:rPr>
          <w:color w:val="auto"/>
          <w:sz w:val="21"/>
          <w:szCs w:val="24"/>
          <w:highlight w:val="none"/>
        </w:rPr>
      </w:pPr>
    </w:p>
    <w:p w14:paraId="2E04646F">
      <w:pPr>
        <w:autoSpaceDE w:val="0"/>
        <w:autoSpaceDN w:val="0"/>
        <w:adjustRightInd w:val="0"/>
        <w:jc w:val="center"/>
        <w:rPr>
          <w:color w:val="auto"/>
          <w:sz w:val="21"/>
          <w:szCs w:val="24"/>
          <w:highlight w:val="none"/>
        </w:rPr>
      </w:pPr>
    </w:p>
    <w:p w14:paraId="71180696">
      <w:pPr>
        <w:pStyle w:val="3"/>
        <w:bidi w:val="0"/>
        <w:jc w:val="center"/>
        <w:rPr>
          <w:sz w:val="84"/>
          <w:szCs w:val="84"/>
        </w:rPr>
      </w:pPr>
      <w:bookmarkStart w:id="786" w:name="_Toc19075"/>
      <w:r>
        <w:rPr>
          <w:rFonts w:hint="eastAsia"/>
          <w:sz w:val="84"/>
          <w:szCs w:val="84"/>
        </w:rPr>
        <w:t>投 标 文 件</w:t>
      </w:r>
      <w:bookmarkEnd w:id="786"/>
    </w:p>
    <w:p w14:paraId="31C74C30">
      <w:pPr>
        <w:pStyle w:val="3"/>
        <w:bidi w:val="0"/>
        <w:spacing w:before="0" w:after="0" w:line="240" w:lineRule="auto"/>
        <w:jc w:val="center"/>
        <w:rPr>
          <w:rFonts w:hint="eastAsia"/>
          <w:sz w:val="56"/>
          <w:szCs w:val="56"/>
          <w:lang w:val="en-US" w:eastAsia="zh-CN"/>
        </w:rPr>
      </w:pPr>
      <w:bookmarkStart w:id="787" w:name="_Toc11387"/>
      <w:r>
        <w:rPr>
          <w:rFonts w:hint="eastAsia"/>
          <w:sz w:val="56"/>
          <w:szCs w:val="56"/>
          <w:lang w:val="en-US" w:eastAsia="zh-CN"/>
        </w:rPr>
        <w:t>报价文件</w:t>
      </w:r>
      <w:bookmarkEnd w:id="787"/>
    </w:p>
    <w:p w14:paraId="2C10D330">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01ADA03">
      <w:pPr>
        <w:pStyle w:val="3"/>
        <w:rPr>
          <w:color w:val="auto"/>
          <w:sz w:val="21"/>
          <w:szCs w:val="21"/>
          <w:highlight w:val="none"/>
        </w:rPr>
      </w:pPr>
    </w:p>
    <w:p w14:paraId="4800F1E7">
      <w:pPr>
        <w:rPr>
          <w:color w:val="auto"/>
          <w:sz w:val="21"/>
          <w:szCs w:val="21"/>
          <w:highlight w:val="none"/>
        </w:rPr>
      </w:pPr>
    </w:p>
    <w:p w14:paraId="4053884F">
      <w:pPr>
        <w:rPr>
          <w:color w:val="auto"/>
          <w:highlight w:val="none"/>
        </w:rPr>
      </w:pPr>
    </w:p>
    <w:p w14:paraId="5EABB570">
      <w:pPr>
        <w:autoSpaceDE w:val="0"/>
        <w:autoSpaceDN w:val="0"/>
        <w:adjustRightInd w:val="0"/>
        <w:rPr>
          <w:color w:val="auto"/>
          <w:sz w:val="21"/>
          <w:szCs w:val="21"/>
          <w:highlight w:val="none"/>
        </w:rPr>
      </w:pPr>
    </w:p>
    <w:p w14:paraId="4C687ECE">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01F64B59">
      <w:pPr>
        <w:ind w:left="840" w:firstLine="420"/>
        <w:rPr>
          <w:b/>
          <w:bCs/>
          <w:color w:val="auto"/>
          <w:sz w:val="28"/>
          <w:szCs w:val="28"/>
          <w:highlight w:val="none"/>
        </w:rPr>
      </w:pPr>
    </w:p>
    <w:p w14:paraId="1DC21250">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2B025C97">
      <w:pPr>
        <w:rPr>
          <w:color w:val="auto"/>
          <w:highlight w:val="none"/>
          <w:lang w:val="zh-CN"/>
        </w:rPr>
      </w:pPr>
      <w:r>
        <w:rPr>
          <w:color w:val="auto"/>
          <w:highlight w:val="none"/>
          <w:lang w:val="zh-CN"/>
        </w:rPr>
        <w:br w:type="page"/>
      </w:r>
    </w:p>
    <w:p w14:paraId="5A6B771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730DA0B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788" w:name="_Toc28928"/>
      <w:r>
        <w:rPr>
          <w:rFonts w:hint="eastAsia" w:cstheme="majorBidi"/>
          <w:b/>
          <w:bCs/>
          <w:color w:val="auto"/>
          <w:kern w:val="2"/>
          <w:sz w:val="32"/>
          <w:szCs w:val="32"/>
          <w:highlight w:val="none"/>
          <w:lang w:val="en-US" w:eastAsia="zh-CN" w:bidi="ar-SA"/>
        </w:rPr>
        <w:t>一、开标一览表</w:t>
      </w:r>
      <w:bookmarkEnd w:id="788"/>
    </w:p>
    <w:p w14:paraId="2AB3D72A">
      <w:pPr>
        <w:spacing w:line="300" w:lineRule="auto"/>
        <w:rPr>
          <w:rFonts w:cs="仿宋_GB2312"/>
          <w:color w:val="auto"/>
          <w:szCs w:val="24"/>
          <w:highlight w:val="none"/>
        </w:rPr>
      </w:pPr>
    </w:p>
    <w:p w14:paraId="33486E36">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5940ECBC">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jc w:val="center"/>
              <w:textAlignment w:val="bottom"/>
              <w:rPr>
                <w:color w:val="auto"/>
                <w:sz w:val="24"/>
                <w:szCs w:val="24"/>
                <w:highlight w:val="none"/>
              </w:rPr>
            </w:pPr>
            <w:r>
              <w:rPr>
                <w:rFonts w:hint="eastAsia"/>
                <w:color w:val="auto"/>
                <w:sz w:val="24"/>
                <w:szCs w:val="24"/>
                <w:highlight w:val="none"/>
              </w:rPr>
              <w:t>序号</w:t>
            </w:r>
          </w:p>
        </w:tc>
        <w:tc>
          <w:tcPr>
            <w:tcW w:w="2352" w:type="dxa"/>
            <w:vAlign w:val="center"/>
          </w:tcPr>
          <w:p w14:paraId="5D10FF2E">
            <w:pPr>
              <w:widowControl/>
              <w:autoSpaceDE w:val="0"/>
              <w:autoSpaceDN w:val="0"/>
              <w:ind w:left="851" w:hanging="851"/>
              <w:jc w:val="center"/>
              <w:textAlignment w:val="bottom"/>
              <w:rPr>
                <w:color w:val="auto"/>
                <w:sz w:val="24"/>
                <w:szCs w:val="24"/>
                <w:highlight w:val="none"/>
              </w:rPr>
            </w:pPr>
            <w:r>
              <w:rPr>
                <w:rFonts w:hint="eastAsia"/>
                <w:color w:val="auto"/>
                <w:sz w:val="24"/>
                <w:szCs w:val="24"/>
                <w:highlight w:val="none"/>
              </w:rPr>
              <w:t>投标报价</w:t>
            </w:r>
          </w:p>
        </w:tc>
        <w:tc>
          <w:tcPr>
            <w:tcW w:w="2161" w:type="dxa"/>
            <w:vAlign w:val="center"/>
          </w:tcPr>
          <w:p w14:paraId="48CC1886">
            <w:pPr>
              <w:widowControl/>
              <w:autoSpaceDE w:val="0"/>
              <w:autoSpaceDN w:val="0"/>
              <w:ind w:left="851" w:hanging="851"/>
              <w:jc w:val="center"/>
              <w:textAlignment w:val="bottom"/>
              <w:rPr>
                <w:color w:val="auto"/>
                <w:sz w:val="24"/>
                <w:szCs w:val="24"/>
                <w:highlight w:val="none"/>
              </w:rPr>
            </w:pPr>
            <w:r>
              <w:rPr>
                <w:rFonts w:hint="eastAsia"/>
                <w:color w:val="auto"/>
                <w:sz w:val="24"/>
                <w:szCs w:val="24"/>
                <w:highlight w:val="none"/>
                <w:lang w:val="en-US" w:eastAsia="zh-CN"/>
              </w:rPr>
              <w:t>服务</w:t>
            </w:r>
            <w:r>
              <w:rPr>
                <w:rFonts w:hint="eastAsia"/>
                <w:color w:val="auto"/>
                <w:sz w:val="24"/>
                <w:szCs w:val="24"/>
                <w:highlight w:val="none"/>
              </w:rPr>
              <w:t>期限</w:t>
            </w:r>
          </w:p>
        </w:tc>
        <w:tc>
          <w:tcPr>
            <w:tcW w:w="2611" w:type="dxa"/>
            <w:vAlign w:val="center"/>
          </w:tcPr>
          <w:p w14:paraId="620875ED">
            <w:pPr>
              <w:widowControl/>
              <w:autoSpaceDE w:val="0"/>
              <w:autoSpaceDN w:val="0"/>
              <w:jc w:val="center"/>
              <w:textAlignment w:val="bottom"/>
              <w:rPr>
                <w:color w:val="auto"/>
                <w:sz w:val="24"/>
                <w:szCs w:val="24"/>
                <w:highlight w:val="none"/>
              </w:rPr>
            </w:pPr>
            <w:r>
              <w:rPr>
                <w:rFonts w:hint="eastAsia"/>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jc w:val="center"/>
              <w:rPr>
                <w:color w:val="auto"/>
                <w:sz w:val="24"/>
                <w:szCs w:val="24"/>
                <w:highlight w:val="none"/>
              </w:rPr>
            </w:pPr>
          </w:p>
        </w:tc>
        <w:tc>
          <w:tcPr>
            <w:tcW w:w="2352" w:type="dxa"/>
            <w:vAlign w:val="center"/>
          </w:tcPr>
          <w:p w14:paraId="45A40F19">
            <w:pPr>
              <w:widowControl/>
              <w:autoSpaceDE w:val="0"/>
              <w:autoSpaceDN w:val="0"/>
              <w:spacing w:line="240" w:lineRule="auto"/>
              <w:ind w:left="851" w:hanging="851"/>
              <w:jc w:val="both"/>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小写：</w:t>
            </w:r>
          </w:p>
          <w:p w14:paraId="52F86517">
            <w:pPr>
              <w:jc w:val="both"/>
              <w:rPr>
                <w:color w:val="auto"/>
                <w:sz w:val="24"/>
                <w:szCs w:val="24"/>
                <w:highlight w:val="none"/>
              </w:rPr>
            </w:pPr>
            <w:r>
              <w:rPr>
                <w:rFonts w:hint="eastAsia"/>
                <w:color w:val="auto"/>
                <w:sz w:val="24"/>
                <w:szCs w:val="24"/>
                <w:highlight w:val="none"/>
                <w:lang w:val="en-US" w:eastAsia="zh-CN"/>
              </w:rPr>
              <w:t>大写：</w:t>
            </w:r>
          </w:p>
        </w:tc>
        <w:tc>
          <w:tcPr>
            <w:tcW w:w="2161" w:type="dxa"/>
            <w:vAlign w:val="center"/>
          </w:tcPr>
          <w:p w14:paraId="3409D243">
            <w:pPr>
              <w:jc w:val="center"/>
              <w:rPr>
                <w:color w:val="auto"/>
                <w:sz w:val="24"/>
                <w:szCs w:val="24"/>
                <w:highlight w:val="none"/>
              </w:rPr>
            </w:pPr>
          </w:p>
        </w:tc>
        <w:tc>
          <w:tcPr>
            <w:tcW w:w="2611" w:type="dxa"/>
            <w:vAlign w:val="center"/>
          </w:tcPr>
          <w:p w14:paraId="35602B49">
            <w:pPr>
              <w:jc w:val="center"/>
              <w:rPr>
                <w:color w:val="auto"/>
                <w:sz w:val="24"/>
                <w:szCs w:val="24"/>
                <w:highlight w:val="none"/>
              </w:rPr>
            </w:pPr>
          </w:p>
        </w:tc>
      </w:tr>
    </w:tbl>
    <w:p w14:paraId="486E37D7">
      <w:pPr>
        <w:spacing w:line="300" w:lineRule="auto"/>
        <w:rPr>
          <w:rFonts w:ascii="Arial" w:hAnsi="Arial" w:cs="Arial"/>
          <w:color w:val="auto"/>
          <w:szCs w:val="21"/>
          <w:highlight w:val="none"/>
          <w:u w:val="single"/>
        </w:rPr>
      </w:pPr>
    </w:p>
    <w:p w14:paraId="0270EFB4">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722CC087">
      <w:pPr>
        <w:rPr>
          <w:rFonts w:cs="Arial"/>
          <w:color w:val="auto"/>
          <w:szCs w:val="24"/>
          <w:highlight w:val="none"/>
        </w:rPr>
      </w:pPr>
    </w:p>
    <w:p w14:paraId="21BB3A26">
      <w:pPr>
        <w:pStyle w:val="13"/>
        <w:rPr>
          <w:rFonts w:cs="Arial"/>
          <w:color w:val="auto"/>
          <w:szCs w:val="24"/>
          <w:highlight w:val="none"/>
        </w:rPr>
      </w:pPr>
    </w:p>
    <w:p w14:paraId="4C551945">
      <w:pPr>
        <w:pStyle w:val="13"/>
        <w:rPr>
          <w:rFonts w:cs="Arial"/>
          <w:color w:val="auto"/>
          <w:szCs w:val="24"/>
          <w:highlight w:val="none"/>
        </w:rPr>
      </w:pPr>
    </w:p>
    <w:p w14:paraId="09ACCEBB">
      <w:pPr>
        <w:pStyle w:val="13"/>
        <w:rPr>
          <w:rFonts w:cs="Arial"/>
          <w:color w:val="auto"/>
          <w:szCs w:val="24"/>
          <w:highlight w:val="none"/>
        </w:rPr>
      </w:pPr>
    </w:p>
    <w:p w14:paraId="54CAC625">
      <w:pPr>
        <w:pStyle w:val="13"/>
        <w:rPr>
          <w:rFonts w:cs="Arial"/>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3B3B887F">
      <w:pPr>
        <w:pStyle w:val="13"/>
        <w:ind w:firstLine="420" w:firstLineChars="200"/>
        <w:rPr>
          <w:rFonts w:hint="eastAsia" w:ascii="宋体" w:hAnsi="宋体" w:eastAsia="宋体" w:cs="宋体"/>
          <w:color w:val="auto"/>
          <w:sz w:val="24"/>
          <w:szCs w:val="24"/>
          <w:highlight w:val="none"/>
        </w:rPr>
        <w:sectPr>
          <w:headerReference r:id="rId8" w:type="default"/>
          <w:footerReference r:id="rId9" w:type="default"/>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7B2B178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789" w:name="_Toc17062"/>
      <w:r>
        <w:rPr>
          <w:rFonts w:hint="eastAsia" w:cstheme="majorBidi"/>
          <w:b/>
          <w:bCs/>
          <w:color w:val="auto"/>
          <w:kern w:val="2"/>
          <w:sz w:val="32"/>
          <w:szCs w:val="32"/>
          <w:highlight w:val="none"/>
          <w:lang w:val="en-US" w:eastAsia="zh-CN" w:bidi="ar-SA"/>
        </w:rPr>
        <w:t>二、分项报价表</w:t>
      </w:r>
      <w:bookmarkEnd w:id="789"/>
    </w:p>
    <w:p w14:paraId="25D833CC">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6FFFD51E">
      <w:pPr>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2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720" w:type="dxa"/>
            <w:vAlign w:val="center"/>
          </w:tcPr>
          <w:p w14:paraId="088C5C1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65" w:type="dxa"/>
            <w:vAlign w:val="center"/>
          </w:tcPr>
          <w:p w14:paraId="73E9587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65" w:type="dxa"/>
            <w:vAlign w:val="center"/>
          </w:tcPr>
          <w:p w14:paraId="46AE39C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1066" w:type="dxa"/>
            <w:vAlign w:val="center"/>
          </w:tcPr>
          <w:p w14:paraId="39D5688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价</w:t>
            </w:r>
          </w:p>
        </w:tc>
        <w:tc>
          <w:tcPr>
            <w:tcW w:w="947" w:type="dxa"/>
            <w:vAlign w:val="center"/>
          </w:tcPr>
          <w:p w14:paraId="7A26779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20" w:type="dxa"/>
            <w:vAlign w:val="center"/>
          </w:tcPr>
          <w:p w14:paraId="07A38CC0">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0D2CE283">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47A98B0">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439055D0">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53350EE9">
            <w:pPr>
              <w:adjustRightInd w:val="0"/>
              <w:snapToGrid w:val="0"/>
              <w:spacing w:line="240" w:lineRule="auto"/>
              <w:jc w:val="center"/>
              <w:rPr>
                <w:rFonts w:hint="eastAsia" w:ascii="宋体" w:hAnsi="宋体" w:eastAsia="宋体" w:cs="宋体"/>
                <w:color w:val="auto"/>
                <w:sz w:val="21"/>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20" w:type="dxa"/>
            <w:vAlign w:val="center"/>
          </w:tcPr>
          <w:p w14:paraId="19F17531">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5FA2A257">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34862ED">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04070DF">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45B52869">
            <w:pPr>
              <w:adjustRightInd w:val="0"/>
              <w:snapToGrid w:val="0"/>
              <w:spacing w:line="240" w:lineRule="auto"/>
              <w:jc w:val="center"/>
              <w:rPr>
                <w:rFonts w:hint="eastAsia" w:ascii="宋体" w:hAnsi="宋体" w:eastAsia="宋体" w:cs="宋体"/>
                <w:color w:val="auto"/>
                <w:sz w:val="21"/>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20" w:type="dxa"/>
            <w:vAlign w:val="center"/>
          </w:tcPr>
          <w:p w14:paraId="7605B56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DB12A28">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17BFF74">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4B6F17D3">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1E8ED10E">
            <w:pPr>
              <w:adjustRightInd w:val="0"/>
              <w:snapToGrid w:val="0"/>
              <w:spacing w:line="240" w:lineRule="auto"/>
              <w:jc w:val="center"/>
              <w:rPr>
                <w:rFonts w:hint="eastAsia" w:ascii="宋体" w:hAnsi="宋体" w:eastAsia="宋体" w:cs="宋体"/>
                <w:color w:val="auto"/>
                <w:sz w:val="21"/>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720" w:type="dxa"/>
            <w:vAlign w:val="center"/>
          </w:tcPr>
          <w:p w14:paraId="0B0031F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1A9AB905">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0C40B8C">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FDFD679">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C259360">
            <w:pPr>
              <w:adjustRightInd w:val="0"/>
              <w:snapToGrid w:val="0"/>
              <w:spacing w:line="240" w:lineRule="auto"/>
              <w:jc w:val="center"/>
              <w:rPr>
                <w:rFonts w:hint="eastAsia" w:ascii="宋体" w:hAnsi="宋体" w:eastAsia="宋体" w:cs="宋体"/>
                <w:color w:val="auto"/>
                <w:sz w:val="21"/>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20" w:type="dxa"/>
            <w:vAlign w:val="center"/>
          </w:tcPr>
          <w:p w14:paraId="2B6E9910">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4E951A1">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5D9FC8D6">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745BDE0">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2F20BA25">
            <w:pPr>
              <w:adjustRightInd w:val="0"/>
              <w:snapToGrid w:val="0"/>
              <w:spacing w:line="240" w:lineRule="auto"/>
              <w:jc w:val="center"/>
              <w:rPr>
                <w:rFonts w:hint="eastAsia" w:ascii="宋体" w:hAnsi="宋体" w:eastAsia="宋体" w:cs="宋体"/>
                <w:color w:val="auto"/>
                <w:sz w:val="21"/>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720" w:type="dxa"/>
            <w:vAlign w:val="center"/>
          </w:tcPr>
          <w:p w14:paraId="63E7761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BA61A9A">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7DCA522F">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8A27993">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3A904F9">
            <w:pPr>
              <w:adjustRightInd w:val="0"/>
              <w:snapToGrid w:val="0"/>
              <w:spacing w:line="240" w:lineRule="auto"/>
              <w:jc w:val="center"/>
              <w:rPr>
                <w:rFonts w:hint="eastAsia" w:ascii="宋体" w:hAnsi="宋体" w:eastAsia="宋体" w:cs="宋体"/>
                <w:color w:val="auto"/>
                <w:sz w:val="21"/>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720" w:type="dxa"/>
            <w:vAlign w:val="center"/>
          </w:tcPr>
          <w:p w14:paraId="7864625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B4D906C">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A8DF27F">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54C5FBF7">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2690F475">
            <w:pPr>
              <w:adjustRightInd w:val="0"/>
              <w:snapToGrid w:val="0"/>
              <w:spacing w:line="240" w:lineRule="auto"/>
              <w:jc w:val="center"/>
              <w:rPr>
                <w:rFonts w:hint="eastAsia" w:ascii="宋体" w:hAnsi="宋体" w:eastAsia="宋体" w:cs="宋体"/>
                <w:color w:val="auto"/>
                <w:sz w:val="21"/>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F06304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720" w:type="dxa"/>
            <w:vAlign w:val="center"/>
          </w:tcPr>
          <w:p w14:paraId="7C3908AC">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62E8E8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F2704AB">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9394E0B">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5A8DCEE1">
            <w:pPr>
              <w:adjustRightInd w:val="0"/>
              <w:snapToGrid w:val="0"/>
              <w:spacing w:line="240" w:lineRule="auto"/>
              <w:jc w:val="center"/>
              <w:rPr>
                <w:rFonts w:hint="eastAsia" w:ascii="宋体" w:hAnsi="宋体" w:eastAsia="宋体" w:cs="宋体"/>
                <w:color w:val="auto"/>
                <w:sz w:val="21"/>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shd w:val="clear" w:color="auto" w:fill="auto"/>
            <w:vAlign w:val="center"/>
          </w:tcPr>
          <w:p w14:paraId="36B30C90">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3720" w:type="dxa"/>
            <w:shd w:val="clear" w:color="auto" w:fill="auto"/>
            <w:vAlign w:val="center"/>
          </w:tcPr>
          <w:p w14:paraId="547CA859">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065" w:type="dxa"/>
            <w:vAlign w:val="center"/>
          </w:tcPr>
          <w:p w14:paraId="7B9DBE1E">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851C226">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39505459">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14D910E3">
            <w:pPr>
              <w:adjustRightInd w:val="0"/>
              <w:snapToGrid w:val="0"/>
              <w:spacing w:line="240" w:lineRule="auto"/>
              <w:jc w:val="center"/>
              <w:rPr>
                <w:rFonts w:hint="eastAsia" w:ascii="宋体" w:hAnsi="宋体" w:eastAsia="宋体" w:cs="宋体"/>
                <w:color w:val="auto"/>
                <w:sz w:val="21"/>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rFonts w:hint="eastAsia" w:ascii="宋体" w:hAnsi="宋体" w:eastAsia="宋体" w:cs="宋体"/>
                <w:color w:val="auto"/>
                <w:sz w:val="21"/>
                <w:szCs w:val="21"/>
                <w:highlight w:val="none"/>
              </w:rPr>
            </w:pPr>
          </w:p>
        </w:tc>
        <w:tc>
          <w:tcPr>
            <w:tcW w:w="3720" w:type="dxa"/>
            <w:vAlign w:val="center"/>
          </w:tcPr>
          <w:p w14:paraId="6E3D4C2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1065" w:type="dxa"/>
            <w:vAlign w:val="center"/>
          </w:tcPr>
          <w:p w14:paraId="34269FA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46717F9">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1629B6A">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7F337C52">
            <w:pPr>
              <w:adjustRightInd w:val="0"/>
              <w:snapToGrid w:val="0"/>
              <w:spacing w:line="240" w:lineRule="auto"/>
              <w:jc w:val="center"/>
              <w:rPr>
                <w:rFonts w:hint="eastAsia" w:ascii="宋体" w:hAnsi="宋体" w:eastAsia="宋体" w:cs="宋体"/>
                <w:color w:val="auto"/>
                <w:sz w:val="21"/>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720" w:type="dxa"/>
            <w:vAlign w:val="center"/>
          </w:tcPr>
          <w:p w14:paraId="5D4BF5AE">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65" w:type="dxa"/>
            <w:vAlign w:val="center"/>
          </w:tcPr>
          <w:p w14:paraId="3E6B6F3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02B6CE3C">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15025601">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9116035">
            <w:pPr>
              <w:adjustRightInd w:val="0"/>
              <w:snapToGrid w:val="0"/>
              <w:spacing w:line="240" w:lineRule="auto"/>
              <w:jc w:val="center"/>
              <w:rPr>
                <w:rFonts w:hint="eastAsia" w:ascii="宋体" w:hAnsi="宋体" w:eastAsia="宋体" w:cs="宋体"/>
                <w:color w:val="auto"/>
                <w:sz w:val="21"/>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投标报价合计（元）</w:t>
            </w:r>
          </w:p>
        </w:tc>
        <w:tc>
          <w:tcPr>
            <w:tcW w:w="2013" w:type="dxa"/>
            <w:gridSpan w:val="2"/>
            <w:vAlign w:val="center"/>
          </w:tcPr>
          <w:p w14:paraId="0609C717">
            <w:pPr>
              <w:adjustRightInd w:val="0"/>
              <w:snapToGrid w:val="0"/>
              <w:spacing w:line="240" w:lineRule="auto"/>
              <w:jc w:val="center"/>
              <w:rPr>
                <w:rFonts w:hint="eastAsia" w:ascii="宋体" w:hAnsi="宋体" w:eastAsia="宋体" w:cs="宋体"/>
                <w:color w:val="auto"/>
                <w:sz w:val="21"/>
                <w:szCs w:val="21"/>
                <w:highlight w:val="none"/>
              </w:rPr>
            </w:pPr>
          </w:p>
        </w:tc>
      </w:tr>
    </w:tbl>
    <w:p w14:paraId="62480CF8">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ascii="宋体" w:hAnsi="宋体" w:cs="宋体"/>
          <w:color w:val="auto"/>
          <w:kern w:val="0"/>
          <w:sz w:val="24"/>
          <w:highlight w:val="none"/>
          <w:lang w:val="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8F15BC4">
      <w:pPr>
        <w:spacing w:line="300" w:lineRule="auto"/>
        <w:rPr>
          <w:rFonts w:ascii="Arial" w:hAnsi="Arial" w:cs="Arial"/>
          <w:color w:val="auto"/>
          <w:szCs w:val="21"/>
          <w:highlight w:val="none"/>
        </w:rPr>
      </w:pPr>
    </w:p>
    <w:p w14:paraId="19373AA9">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4681585F">
      <w:pPr>
        <w:spacing w:line="360" w:lineRule="auto"/>
        <w:ind w:firstLine="43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按照本表填写的各项目的投标报价合计填写到</w:t>
      </w:r>
      <w:r>
        <w:rPr>
          <w:rFonts w:hint="eastAsia" w:ascii="宋体" w:hAnsi="宋体" w:eastAsia="宋体" w:cs="宋体"/>
          <w:color w:val="auto"/>
          <w:sz w:val="21"/>
          <w:szCs w:val="21"/>
          <w:highlight w:val="none"/>
          <w:lang w:val="en-US" w:eastAsia="zh-CN"/>
        </w:rPr>
        <w:t>“开标一览表”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投标报价</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栏中。</w:t>
      </w:r>
    </w:p>
    <w:p w14:paraId="25B9431E">
      <w:pPr>
        <w:spacing w:line="360" w:lineRule="auto"/>
        <w:ind w:firstLine="435"/>
        <w:rPr>
          <w:rFonts w:hint="eastAsia" w:ascii="宋体" w:hAnsi="宋体" w:eastAsia="宋体" w:cs="宋体"/>
          <w:color w:val="auto"/>
          <w:sz w:val="24"/>
          <w:szCs w:val="24"/>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.所列服务为对应本项目需求的全部服务内容。如有漏项或缺项，投标人承担全部责任。</w:t>
      </w:r>
      <w:r>
        <w:rPr>
          <w:rFonts w:hint="eastAsia" w:ascii="宋体" w:hAnsi="宋体" w:eastAsia="宋体" w:cs="宋体"/>
          <w:color w:val="auto"/>
          <w:sz w:val="24"/>
          <w:szCs w:val="24"/>
          <w:highlight w:val="none"/>
        </w:rPr>
        <w:br w:type="page"/>
      </w:r>
    </w:p>
    <w:p w14:paraId="4A59D451">
      <w:pPr>
        <w:pStyle w:val="63"/>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253C07">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1369E9F7">
      <w:pPr>
        <w:autoSpaceDE w:val="0"/>
        <w:autoSpaceDN w:val="0"/>
        <w:adjustRightInd w:val="0"/>
        <w:rPr>
          <w:color w:val="auto"/>
          <w:sz w:val="21"/>
          <w:szCs w:val="24"/>
          <w:highlight w:val="none"/>
        </w:rPr>
      </w:pPr>
    </w:p>
    <w:p w14:paraId="7545DFD8">
      <w:pPr>
        <w:autoSpaceDE w:val="0"/>
        <w:autoSpaceDN w:val="0"/>
        <w:adjustRightInd w:val="0"/>
        <w:rPr>
          <w:color w:val="auto"/>
          <w:sz w:val="21"/>
          <w:szCs w:val="24"/>
          <w:highlight w:val="none"/>
        </w:rPr>
      </w:pPr>
    </w:p>
    <w:p w14:paraId="6E9DF04D">
      <w:pPr>
        <w:autoSpaceDE w:val="0"/>
        <w:autoSpaceDN w:val="0"/>
        <w:adjustRightInd w:val="0"/>
        <w:jc w:val="center"/>
        <w:rPr>
          <w:color w:val="auto"/>
          <w:sz w:val="21"/>
          <w:szCs w:val="24"/>
          <w:highlight w:val="none"/>
        </w:rPr>
      </w:pPr>
    </w:p>
    <w:p w14:paraId="4A09F0AA">
      <w:pPr>
        <w:pStyle w:val="3"/>
        <w:bidi w:val="0"/>
        <w:jc w:val="center"/>
        <w:rPr>
          <w:sz w:val="84"/>
          <w:szCs w:val="84"/>
        </w:rPr>
      </w:pPr>
      <w:bookmarkStart w:id="790" w:name="_Toc27080"/>
      <w:r>
        <w:rPr>
          <w:rFonts w:hint="eastAsia"/>
          <w:sz w:val="84"/>
          <w:szCs w:val="84"/>
        </w:rPr>
        <w:t>投 标 文 件</w:t>
      </w:r>
      <w:bookmarkEnd w:id="790"/>
    </w:p>
    <w:p w14:paraId="4E8ADE01">
      <w:pPr>
        <w:pStyle w:val="3"/>
        <w:bidi w:val="0"/>
        <w:jc w:val="center"/>
        <w:rPr>
          <w:rFonts w:hint="eastAsia"/>
          <w:sz w:val="56"/>
          <w:szCs w:val="56"/>
          <w:lang w:val="en-US" w:eastAsia="zh-CN"/>
        </w:rPr>
      </w:pPr>
      <w:bookmarkStart w:id="791" w:name="_Toc15320"/>
      <w:r>
        <w:rPr>
          <w:rFonts w:hint="eastAsia"/>
          <w:sz w:val="56"/>
          <w:szCs w:val="56"/>
          <w:lang w:val="en-US" w:eastAsia="zh-CN"/>
        </w:rPr>
        <w:t>商务技术文件</w:t>
      </w:r>
      <w:bookmarkEnd w:id="791"/>
    </w:p>
    <w:p w14:paraId="570FB9DD">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3BFF9900">
      <w:pPr>
        <w:pStyle w:val="3"/>
        <w:rPr>
          <w:color w:val="auto"/>
          <w:sz w:val="21"/>
          <w:szCs w:val="21"/>
          <w:highlight w:val="none"/>
        </w:rPr>
      </w:pPr>
    </w:p>
    <w:p w14:paraId="3304790D">
      <w:pPr>
        <w:rPr>
          <w:color w:val="auto"/>
          <w:sz w:val="21"/>
          <w:szCs w:val="21"/>
          <w:highlight w:val="none"/>
        </w:rPr>
      </w:pPr>
    </w:p>
    <w:p w14:paraId="414CC1ED">
      <w:pPr>
        <w:rPr>
          <w:color w:val="auto"/>
          <w:highlight w:val="none"/>
        </w:rPr>
      </w:pPr>
    </w:p>
    <w:p w14:paraId="789512AB">
      <w:pPr>
        <w:autoSpaceDE w:val="0"/>
        <w:autoSpaceDN w:val="0"/>
        <w:adjustRightInd w:val="0"/>
        <w:rPr>
          <w:color w:val="auto"/>
          <w:sz w:val="21"/>
          <w:szCs w:val="21"/>
          <w:highlight w:val="none"/>
        </w:rPr>
      </w:pPr>
    </w:p>
    <w:p w14:paraId="4BE21783">
      <w:pPr>
        <w:autoSpaceDE w:val="0"/>
        <w:autoSpaceDN w:val="0"/>
        <w:adjustRightInd w:val="0"/>
        <w:rPr>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420" w:leftChars="175"/>
        <w:rPr>
          <w:rFonts w:ascii="黑体" w:hAnsi="黑体" w:eastAsia="黑体"/>
          <w:color w:val="auto"/>
          <w:sz w:val="32"/>
          <w:szCs w:val="32"/>
          <w:highlight w:val="none"/>
        </w:rPr>
      </w:pPr>
    </w:p>
    <w:p w14:paraId="70A32CAD">
      <w:pPr>
        <w:ind w:left="840" w:firstLine="420"/>
        <w:rPr>
          <w:b/>
          <w:bCs/>
          <w:color w:val="auto"/>
          <w:sz w:val="28"/>
          <w:szCs w:val="28"/>
          <w:highlight w:val="none"/>
        </w:rPr>
      </w:pPr>
    </w:p>
    <w:p w14:paraId="25D3DD60">
      <w:pPr>
        <w:ind w:left="840" w:firstLine="420"/>
        <w:rPr>
          <w:b/>
          <w:bCs/>
          <w:color w:val="auto"/>
          <w:sz w:val="28"/>
          <w:szCs w:val="28"/>
          <w:highlight w:val="none"/>
        </w:rPr>
      </w:pPr>
    </w:p>
    <w:p w14:paraId="2F9296DD">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5C2AEB63">
      <w:pPr>
        <w:rPr>
          <w:color w:val="auto"/>
          <w:highlight w:val="none"/>
          <w:lang w:val="zh-CN"/>
        </w:rPr>
      </w:pPr>
      <w:r>
        <w:rPr>
          <w:color w:val="auto"/>
          <w:highlight w:val="none"/>
          <w:lang w:val="zh-CN"/>
        </w:rPr>
        <w:br w:type="page"/>
      </w:r>
    </w:p>
    <w:p w14:paraId="374BEE88">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92" w:name="_Toc140132831"/>
      <w:bookmarkStart w:id="793" w:name="_Toc23604"/>
      <w:bookmarkStart w:id="794" w:name="_Toc25402"/>
      <w:bookmarkStart w:id="795" w:name="_Toc109899908"/>
      <w:bookmarkStart w:id="796" w:name="_Toc155185921"/>
      <w:bookmarkStart w:id="797" w:name="_Toc109899489"/>
      <w:bookmarkStart w:id="798" w:name="_Toc109900327"/>
      <w:bookmarkStart w:id="799" w:name="_Toc3577"/>
      <w:r>
        <w:rPr>
          <w:rFonts w:hint="eastAsia" w:eastAsia="宋体" w:asciiTheme="majorHAnsi" w:hAnsiTheme="majorHAnsi" w:cstheme="majorBidi"/>
          <w:b/>
          <w:bCs/>
          <w:color w:val="auto"/>
          <w:kern w:val="2"/>
          <w:sz w:val="32"/>
          <w:szCs w:val="32"/>
          <w:highlight w:val="none"/>
          <w:lang w:val="en-US" w:eastAsia="zh-CN" w:bidi="ar-SA"/>
        </w:rPr>
        <w:t>一、投标函</w:t>
      </w:r>
      <w:bookmarkEnd w:id="792"/>
      <w:bookmarkEnd w:id="793"/>
      <w:bookmarkEnd w:id="794"/>
      <w:bookmarkEnd w:id="795"/>
      <w:bookmarkEnd w:id="796"/>
      <w:bookmarkEnd w:id="797"/>
      <w:bookmarkEnd w:id="798"/>
      <w:bookmarkEnd w:id="799"/>
    </w:p>
    <w:p w14:paraId="0ABD9EA3">
      <w:pPr>
        <w:rPr>
          <w:color w:val="auto"/>
          <w:highlight w:val="none"/>
        </w:rPr>
      </w:pPr>
      <w:r>
        <w:rPr>
          <w:rFonts w:hint="eastAsia"/>
          <w:color w:val="auto"/>
          <w:highlight w:val="none"/>
        </w:rPr>
        <w:t>致：（采购人）</w:t>
      </w:r>
    </w:p>
    <w:p w14:paraId="35C4266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21BBF032">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0A0EA079">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7C008F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2038C573">
      <w:pPr>
        <w:spacing w:line="324" w:lineRule="auto"/>
        <w:ind w:firstLine="480" w:firstLineChars="200"/>
        <w:rPr>
          <w:rFonts w:cs="Arial"/>
          <w:color w:val="auto"/>
          <w:szCs w:val="24"/>
          <w:highlight w:val="none"/>
        </w:rPr>
      </w:pPr>
      <w:r>
        <w:rPr>
          <w:rFonts w:cs="Arial"/>
          <w:color w:val="auto"/>
          <w:szCs w:val="24"/>
          <w:highlight w:val="none"/>
        </w:rPr>
        <w:t>根据此函，签字代表宣布同意如下：</w:t>
      </w:r>
    </w:p>
    <w:p w14:paraId="7021F25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Cs w:val="24"/>
          <w:highlight w:val="none"/>
        </w:rPr>
        <w:t>所附投标价格表中规定的应提交和交付的服务和</w:t>
      </w:r>
      <w:r>
        <w:rPr>
          <w:rFonts w:hint="eastAsia" w:cs="Arial"/>
          <w:color w:val="auto"/>
          <w:szCs w:val="24"/>
          <w:highlight w:val="none"/>
          <w:lang w:val="en-US" w:eastAsia="zh-CN"/>
        </w:rPr>
        <w:t>相关</w:t>
      </w:r>
      <w:r>
        <w:rPr>
          <w:rFonts w:hint="eastAsia" w:cs="Arial"/>
          <w:color w:val="auto"/>
          <w:szCs w:val="24"/>
          <w:highlight w:val="none"/>
        </w:rPr>
        <w:t>货物（如有）</w:t>
      </w:r>
      <w:r>
        <w:rPr>
          <w:rFonts w:cs="Arial"/>
          <w:color w:val="auto"/>
          <w:szCs w:val="24"/>
          <w:highlight w:val="none"/>
        </w:rPr>
        <w:t>的</w:t>
      </w:r>
      <w:r>
        <w:rPr>
          <w:rFonts w:hint="eastAsia" w:cs="Arial"/>
          <w:color w:val="auto"/>
          <w:szCs w:val="24"/>
          <w:highlight w:val="none"/>
        </w:rPr>
        <w:t>投标报价</w:t>
      </w:r>
      <w:r>
        <w:rPr>
          <w:rFonts w:cs="Arial"/>
          <w:color w:val="auto"/>
          <w:szCs w:val="24"/>
          <w:highlight w:val="none"/>
        </w:rPr>
        <w:t>为</w:t>
      </w:r>
      <w:r>
        <w:rPr>
          <w:rFonts w:hint="eastAsia" w:cs="Arial"/>
          <w:color w:val="auto"/>
          <w:szCs w:val="24"/>
          <w:highlight w:val="none"/>
        </w:rPr>
        <w:t xml:space="preserve"> </w:t>
      </w:r>
      <w:r>
        <w:rPr>
          <w:rFonts w:hint="eastAsia" w:cs="Arial"/>
          <w:color w:val="auto"/>
          <w:szCs w:val="24"/>
          <w:highlight w:val="none"/>
          <w:u w:val="single"/>
        </w:rPr>
        <w:t xml:space="preserve">                  </w:t>
      </w:r>
      <w:r>
        <w:rPr>
          <w:rFonts w:cs="Arial"/>
          <w:color w:val="auto"/>
          <w:szCs w:val="24"/>
          <w:highlight w:val="none"/>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将按招标文件的规定履行合同责任和义务。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w:t>
      </w:r>
      <w:r>
        <w:rPr>
          <w:rFonts w:cs="Arial"/>
          <w:i w:val="0"/>
          <w:iCs w:val="0"/>
          <w:color w:val="auto"/>
          <w:szCs w:val="24"/>
          <w:highlight w:val="none"/>
        </w:rPr>
        <w:t>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投标有效期为自提交投标文件的截止之日起</w:t>
      </w:r>
      <w:r>
        <w:rPr>
          <w:rFonts w:hint="eastAsia" w:cs="Arial"/>
          <w:i w:val="0"/>
          <w:iCs w:val="0"/>
          <w:color w:val="auto"/>
          <w:szCs w:val="24"/>
          <w:highlight w:val="none"/>
          <w:u w:val="single"/>
        </w:rPr>
        <w:t xml:space="preserve"> （由投标人填写）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招标</w:t>
      </w:r>
      <w:r>
        <w:rPr>
          <w:rFonts w:hint="eastAsia" w:cs="Arial"/>
          <w:i w:val="0"/>
          <w:iCs w:val="0"/>
          <w:color w:val="auto"/>
          <w:szCs w:val="24"/>
          <w:highlight w:val="none"/>
        </w:rPr>
        <w:t>文件</w:t>
      </w:r>
      <w:r>
        <w:rPr>
          <w:rFonts w:cs="Arial"/>
          <w:i w:val="0"/>
          <w:iCs w:val="0"/>
          <w:color w:val="auto"/>
          <w:szCs w:val="24"/>
          <w:highlight w:val="none"/>
        </w:rPr>
        <w:t>要求的与投标有关的一切数据或资料，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完全理解贵方不一定接受最低价的投标。</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4FC84088">
      <w:pPr>
        <w:spacing w:line="324" w:lineRule="auto"/>
        <w:ind w:firstLine="48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color w:val="auto"/>
          <w:szCs w:val="24"/>
          <w:highlight w:val="none"/>
        </w:rPr>
      </w:pPr>
      <w:r>
        <w:rPr>
          <w:rFonts w:hint="eastAsia"/>
          <w:color w:val="auto"/>
          <w:szCs w:val="24"/>
          <w:highlight w:val="none"/>
        </w:rPr>
        <w:t>5）</w:t>
      </w:r>
      <w:bookmarkStart w:id="800" w:name="_Hlk161604053"/>
      <w:r>
        <w:rPr>
          <w:rFonts w:hint="eastAsia"/>
          <w:color w:val="auto"/>
          <w:szCs w:val="24"/>
          <w:highlight w:val="none"/>
        </w:rPr>
        <w:t>我方承诺本《投标函》的签章对本投标文件全部内容具有约束力并承担法律责任。</w:t>
      </w:r>
      <w:bookmarkEnd w:id="800"/>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2DB608AC">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投 </w:t>
      </w:r>
      <w:r>
        <w:rPr>
          <w:rFonts w:cs="宋体"/>
          <w:color w:val="auto"/>
          <w:highlight w:val="none"/>
        </w:rPr>
        <w:t xml:space="preserve">   </w:t>
      </w:r>
      <w:r>
        <w:rPr>
          <w:rFonts w:hint="eastAsia" w:cs="宋体"/>
          <w:color w:val="auto"/>
          <w:highlight w:val="none"/>
        </w:rPr>
        <w:t xml:space="preserve">标 </w:t>
      </w:r>
      <w:r>
        <w:rPr>
          <w:rFonts w:cs="宋体"/>
          <w:color w:val="auto"/>
          <w:highlight w:val="none"/>
        </w:rPr>
        <w:t xml:space="preserve">   </w:t>
      </w:r>
      <w:r>
        <w:rPr>
          <w:rFonts w:hint="eastAsia" w:cs="宋体"/>
          <w:color w:val="auto"/>
          <w:highlight w:val="none"/>
        </w:rPr>
        <w:t>人</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CC9D16">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1" w:name="_Toc155185924"/>
      <w:bookmarkStart w:id="802" w:name="_Toc12459"/>
      <w:r>
        <w:rPr>
          <w:rFonts w:hint="eastAsia" w:cstheme="majorBidi"/>
          <w:b/>
          <w:bCs/>
          <w:color w:val="auto"/>
          <w:kern w:val="2"/>
          <w:sz w:val="32"/>
          <w:szCs w:val="32"/>
          <w:highlight w:val="none"/>
          <w:lang w:val="en-US" w:eastAsia="zh-CN" w:bidi="ar-SA"/>
        </w:rPr>
        <w:t>二</w:t>
      </w:r>
      <w:r>
        <w:rPr>
          <w:rFonts w:hint="eastAsia" w:eastAsia="宋体" w:asciiTheme="majorHAnsi" w:hAnsiTheme="majorHAnsi" w:cstheme="majorBidi"/>
          <w:b/>
          <w:bCs/>
          <w:color w:val="auto"/>
          <w:kern w:val="2"/>
          <w:sz w:val="32"/>
          <w:szCs w:val="32"/>
          <w:highlight w:val="none"/>
          <w:lang w:val="en-US" w:eastAsia="zh-CN" w:bidi="ar-SA"/>
        </w:rPr>
        <w:t>、法定代表人（单位负责人）身份证明</w:t>
      </w:r>
      <w:bookmarkEnd w:id="801"/>
      <w:bookmarkEnd w:id="802"/>
    </w:p>
    <w:p w14:paraId="46CF1AA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Cs w:val="24"/>
          <w:highlight w:val="none"/>
        </w:rPr>
      </w:pPr>
    </w:p>
    <w:p w14:paraId="473563CD">
      <w:pPr>
        <w:rPr>
          <w:rFonts w:cs="Arial"/>
          <w:color w:val="auto"/>
          <w:sz w:val="21"/>
          <w:szCs w:val="21"/>
          <w:highlight w:val="none"/>
        </w:rPr>
      </w:pP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84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3" w:name="_Toc155185925"/>
      <w:bookmarkStart w:id="804" w:name="_Toc26391"/>
      <w:r>
        <w:rPr>
          <w:rFonts w:hint="eastAsia" w:cstheme="majorBidi"/>
          <w:b/>
          <w:bCs/>
          <w:color w:val="auto"/>
          <w:kern w:val="2"/>
          <w:sz w:val="32"/>
          <w:szCs w:val="32"/>
          <w:highlight w:val="none"/>
          <w:lang w:val="en-US" w:eastAsia="zh-CN" w:bidi="ar-SA"/>
        </w:rPr>
        <w:t>三</w:t>
      </w:r>
      <w:r>
        <w:rPr>
          <w:rFonts w:hint="eastAsia" w:eastAsia="宋体" w:asciiTheme="majorHAnsi" w:hAnsiTheme="majorHAnsi" w:cstheme="majorBidi"/>
          <w:b/>
          <w:bCs/>
          <w:color w:val="auto"/>
          <w:kern w:val="2"/>
          <w:sz w:val="32"/>
          <w:szCs w:val="32"/>
          <w:highlight w:val="none"/>
          <w:lang w:val="en-US" w:eastAsia="zh-CN" w:bidi="ar-SA"/>
        </w:rPr>
        <w:t>、授权委托书</w:t>
      </w:r>
      <w:bookmarkEnd w:id="803"/>
      <w:bookmarkEnd w:id="804"/>
    </w:p>
    <w:p w14:paraId="593F068D">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56B80D1C">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A605ABE">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eastAsia" w:ascii="DejaVuSans" w:hAnsi="DejaVuSans" w:eastAsia="DejaVuSans" w:cs="DejaVuSans"/>
          <w:color w:val="auto"/>
          <w:kern w:val="0"/>
          <w:sz w:val="24"/>
          <w:szCs w:val="24"/>
          <w:highlight w:val="none"/>
          <w:u w:val="single"/>
          <w:lang w:val="en-US" w:eastAsia="zh-CN" w:bidi="ar"/>
        </w:rPr>
        <w:t xml:space="preserve">               </w:t>
      </w:r>
      <w:r>
        <w:rPr>
          <w:rFonts w:hint="default" w:ascii="DejaVuSans" w:hAnsi="DejaVuSans" w:eastAsia="DejaVuSans" w:cs="DejaVuSans"/>
          <w:color w:val="auto"/>
          <w:kern w:val="0"/>
          <w:sz w:val="24"/>
          <w:szCs w:val="24"/>
          <w:highlight w:val="non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16E91B57">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5" w:name="_Toc163492928"/>
      <w:bookmarkStart w:id="806" w:name="_Toc155185934"/>
      <w:bookmarkStart w:id="807" w:name="_Toc27408"/>
      <w:r>
        <w:rPr>
          <w:rFonts w:hint="eastAsia" w:cstheme="majorBidi"/>
          <w:b/>
          <w:bCs/>
          <w:color w:val="auto"/>
          <w:kern w:val="2"/>
          <w:sz w:val="32"/>
          <w:szCs w:val="32"/>
          <w:highlight w:val="none"/>
          <w:lang w:val="en-US" w:eastAsia="zh-CN" w:bidi="ar-SA"/>
        </w:rPr>
        <w:t>四</w:t>
      </w:r>
      <w:r>
        <w:rPr>
          <w:rFonts w:hint="eastAsia" w:eastAsia="宋体" w:asciiTheme="majorHAnsi" w:hAnsiTheme="majorHAnsi" w:cstheme="majorBidi"/>
          <w:b/>
          <w:bCs/>
          <w:color w:val="auto"/>
          <w:kern w:val="2"/>
          <w:sz w:val="32"/>
          <w:szCs w:val="32"/>
          <w:highlight w:val="none"/>
          <w:lang w:val="en-US" w:eastAsia="zh-CN" w:bidi="ar-SA"/>
        </w:rPr>
        <w:t>、</w:t>
      </w:r>
      <w:bookmarkEnd w:id="805"/>
      <w:bookmarkEnd w:id="806"/>
      <w:r>
        <w:rPr>
          <w:rFonts w:hint="eastAsia" w:eastAsia="宋体" w:asciiTheme="majorHAnsi" w:hAnsiTheme="majorHAnsi" w:cstheme="majorBidi"/>
          <w:b/>
          <w:bCs/>
          <w:color w:val="auto"/>
          <w:kern w:val="2"/>
          <w:sz w:val="32"/>
          <w:szCs w:val="32"/>
          <w:highlight w:val="none"/>
          <w:lang w:val="zh-CN" w:eastAsia="zh-CN" w:bidi="ar-SA"/>
        </w:rPr>
        <w:t>政府采购</w:t>
      </w:r>
      <w:r>
        <w:rPr>
          <w:rFonts w:hint="eastAsia" w:cstheme="majorBidi"/>
          <w:b/>
          <w:bCs/>
          <w:color w:val="auto"/>
          <w:kern w:val="2"/>
          <w:sz w:val="32"/>
          <w:szCs w:val="32"/>
          <w:highlight w:val="none"/>
          <w:lang w:val="en-US" w:eastAsia="zh-CN" w:bidi="ar-SA"/>
        </w:rPr>
        <w:t>投标人</w:t>
      </w:r>
      <w:r>
        <w:rPr>
          <w:rFonts w:hint="eastAsia" w:eastAsia="宋体" w:asciiTheme="majorHAnsi" w:hAnsiTheme="majorHAnsi" w:cstheme="majorBidi"/>
          <w:b/>
          <w:bCs/>
          <w:color w:val="auto"/>
          <w:kern w:val="2"/>
          <w:sz w:val="32"/>
          <w:szCs w:val="32"/>
          <w:highlight w:val="none"/>
          <w:lang w:val="zh-CN" w:eastAsia="zh-CN" w:bidi="ar-SA"/>
        </w:rPr>
        <w:t>廉洁自律承诺书</w:t>
      </w:r>
      <w:bookmarkEnd w:id="807"/>
    </w:p>
    <w:p w14:paraId="2AB445CF">
      <w:pPr>
        <w:pStyle w:val="13"/>
        <w:rPr>
          <w:color w:val="auto"/>
          <w:highlight w:val="none"/>
        </w:rPr>
      </w:pPr>
    </w:p>
    <w:p w14:paraId="2CE177B4">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w:t>
      </w:r>
      <w:r>
        <w:rPr>
          <w:rFonts w:hint="eastAsia"/>
          <w:color w:val="auto"/>
          <w:highlight w:val="none"/>
        </w:rPr>
        <w:t>《中华人民共和国政府采购法</w:t>
      </w:r>
      <w:r>
        <w:rPr>
          <w:rFonts w:hint="eastAsia"/>
          <w:color w:val="auto"/>
          <w:highlight w:val="none"/>
          <w:lang w:val="en-US" w:eastAsia="zh-CN"/>
        </w:rPr>
        <w:t>实施条例</w:t>
      </w:r>
      <w:r>
        <w:rPr>
          <w:rFonts w:hint="eastAsia"/>
          <w:color w:val="auto"/>
          <w:highlight w:val="none"/>
        </w:rPr>
        <w:t>》</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cs="宋体"/>
          <w:color w:val="auto"/>
          <w:kern w:val="0"/>
          <w:sz w:val="24"/>
          <w:szCs w:val="24"/>
          <w:highlight w:val="none"/>
          <w:lang w:val="en-US" w:eastAsia="zh-CN"/>
        </w:rPr>
        <w:t>兵团</w:t>
      </w:r>
      <w:r>
        <w:rPr>
          <w:rFonts w:hint="eastAsia" w:ascii="宋体" w:hAnsi="宋体" w:cs="宋体"/>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color w:val="auto"/>
          <w:kern w:val="0"/>
          <w:sz w:val="24"/>
          <w:szCs w:val="24"/>
          <w:highlight w:val="none"/>
          <w:lang w:val="zh-CN"/>
        </w:rPr>
      </w:pPr>
    </w:p>
    <w:p w14:paraId="0914ACDE">
      <w:pPr>
        <w:autoSpaceDE w:val="0"/>
        <w:autoSpaceDN w:val="0"/>
        <w:spacing w:line="360" w:lineRule="auto"/>
        <w:ind w:left="2"/>
        <w:jc w:val="left"/>
        <w:rPr>
          <w:rFonts w:ascii="宋体" w:hAnsi="宋体" w:cs="宋体"/>
          <w:color w:val="auto"/>
          <w:kern w:val="0"/>
          <w:sz w:val="24"/>
          <w:szCs w:val="24"/>
          <w:highlight w:val="none"/>
          <w:lang w:val="zh-CN"/>
        </w:rPr>
      </w:pPr>
    </w:p>
    <w:p w14:paraId="02E01AF0">
      <w:pPr>
        <w:autoSpaceDE w:val="0"/>
        <w:autoSpaceDN w:val="0"/>
        <w:spacing w:line="360" w:lineRule="auto"/>
        <w:ind w:left="2"/>
        <w:jc w:val="left"/>
        <w:rPr>
          <w:rFonts w:ascii="宋体" w:hAnsi="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cs="宋体"/>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AA40BF9">
      <w:pPr>
        <w:rPr>
          <w:rFonts w:hint="eastAsia" w:eastAsia="宋体" w:asciiTheme="majorHAnsi" w:hAnsiTheme="majorHAnsi" w:cstheme="majorBidi"/>
          <w:b/>
          <w:bCs/>
          <w:color w:val="auto"/>
          <w:kern w:val="2"/>
          <w:sz w:val="24"/>
          <w:szCs w:val="24"/>
          <w:highlight w:val="none"/>
          <w:lang w:val="en-US" w:eastAsia="zh-CN" w:bidi="ar-SA"/>
        </w:rPr>
      </w:pPr>
    </w:p>
    <w:p w14:paraId="2917743B">
      <w:pPr>
        <w:pStyle w:val="13"/>
        <w:rPr>
          <w:rFonts w:hint="eastAsia" w:eastAsia="宋体" w:asciiTheme="majorHAnsi" w:hAnsiTheme="majorHAnsi" w:cstheme="majorBidi"/>
          <w:b/>
          <w:bCs/>
          <w:color w:val="auto"/>
          <w:kern w:val="2"/>
          <w:sz w:val="24"/>
          <w:szCs w:val="24"/>
          <w:highlight w:val="none"/>
          <w:lang w:val="en-US" w:eastAsia="zh-CN" w:bidi="ar-SA"/>
        </w:rPr>
      </w:pPr>
    </w:p>
    <w:p w14:paraId="2CC927CA">
      <w:pPr>
        <w:pStyle w:val="13"/>
        <w:rPr>
          <w:rFonts w:hint="eastAsia" w:eastAsia="宋体" w:asciiTheme="majorHAnsi" w:hAnsiTheme="majorHAnsi" w:cstheme="majorBidi"/>
          <w:b/>
          <w:bCs/>
          <w:color w:val="auto"/>
          <w:kern w:val="2"/>
          <w:sz w:val="24"/>
          <w:szCs w:val="24"/>
          <w:highlight w:val="none"/>
          <w:lang w:val="en-US" w:eastAsia="zh-CN" w:bidi="ar-SA"/>
        </w:rPr>
      </w:pPr>
    </w:p>
    <w:p w14:paraId="18FDCDE0">
      <w:pPr>
        <w:pStyle w:val="13"/>
        <w:rPr>
          <w:rFonts w:hint="eastAsia" w:eastAsia="宋体" w:asciiTheme="majorHAnsi" w:hAnsiTheme="majorHAnsi" w:cstheme="majorBidi"/>
          <w:b/>
          <w:bCs/>
          <w:color w:val="auto"/>
          <w:kern w:val="2"/>
          <w:sz w:val="24"/>
          <w:szCs w:val="24"/>
          <w:highlight w:val="none"/>
          <w:lang w:val="en-US" w:eastAsia="zh-CN" w:bidi="ar-SA"/>
        </w:rPr>
      </w:pPr>
    </w:p>
    <w:p w14:paraId="74E8B7C7">
      <w:pPr>
        <w:pStyle w:val="3"/>
        <w:bidi w:val="0"/>
        <w:jc w:val="center"/>
        <w:rPr>
          <w:rFonts w:hint="default"/>
          <w:lang w:val="en-US" w:eastAsia="zh-CN"/>
        </w:rPr>
      </w:pPr>
      <w:bookmarkStart w:id="808" w:name="_Toc24923"/>
      <w:r>
        <w:rPr>
          <w:rFonts w:hint="eastAsia"/>
          <w:lang w:val="en-US" w:eastAsia="zh-CN"/>
        </w:rPr>
        <w:t>五、</w:t>
      </w:r>
      <w:r>
        <w:rPr>
          <w:rFonts w:hint="eastAsia"/>
          <w:lang w:val="zh-CN" w:eastAsia="zh-CN"/>
        </w:rPr>
        <w:t>实质性响应一览表【</w:t>
      </w:r>
      <w:r>
        <w:rPr>
          <w:rFonts w:hint="eastAsia"/>
          <w:lang w:val="en-US" w:eastAsia="zh-CN"/>
        </w:rPr>
        <w:t>本表须与第五章的一致】</w:t>
      </w:r>
      <w:bookmarkEnd w:id="808"/>
    </w:p>
    <w:p w14:paraId="3FC7E450">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须对本附表所有内容逐条响应且无负偏离，否则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3B3C031E">
      <w:pPr>
        <w:pStyle w:val="23"/>
        <w:rPr>
          <w:rFonts w:hint="eastAsia" w:ascii="宋体" w:hAnsi="宋体" w:cs="宋体"/>
          <w:color w:val="auto"/>
          <w:highlight w:val="none"/>
        </w:rPr>
      </w:pPr>
    </w:p>
    <w:tbl>
      <w:tblPr>
        <w:tblStyle w:val="29"/>
        <w:tblW w:w="5396"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978"/>
        <w:gridCol w:w="4229"/>
        <w:gridCol w:w="1860"/>
        <w:gridCol w:w="726"/>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0"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4"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文件要求的实质性响应内容</w:t>
            </w:r>
          </w:p>
        </w:tc>
        <w:tc>
          <w:tcPr>
            <w:tcW w:w="1011"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394"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0"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color w:val="auto"/>
                <w:highlight w:val="none"/>
              </w:rPr>
            </w:pPr>
          </w:p>
        </w:tc>
        <w:tc>
          <w:tcPr>
            <w:tcW w:w="1075"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cs="宋体"/>
                <w:color w:val="auto"/>
                <w:sz w:val="24"/>
                <w:highlight w:val="none"/>
                <w:lang w:val="en-US" w:eastAsia="zh-CN"/>
              </w:rPr>
              <w:t>实质性要求</w:t>
            </w:r>
          </w:p>
        </w:tc>
        <w:tc>
          <w:tcPr>
            <w:tcW w:w="2298"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cs="宋体"/>
                <w:color w:val="auto"/>
                <w:sz w:val="24"/>
                <w:highlight w:val="none"/>
                <w:lang w:val="en-US" w:eastAsia="zh-CN"/>
              </w:rPr>
              <w:t>招标文件中的规定</w:t>
            </w:r>
          </w:p>
        </w:tc>
        <w:tc>
          <w:tcPr>
            <w:tcW w:w="1011"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94"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20"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75"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298"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20"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75"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298"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20"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75" w:type="pct"/>
            <w:shd w:val="clear" w:color="auto" w:fill="auto"/>
            <w:noWrap w:val="0"/>
            <w:vAlign w:val="center"/>
          </w:tcPr>
          <w:p w14:paraId="46BFE239">
            <w:pPr>
              <w:pStyle w:val="48"/>
              <w:rPr>
                <w:rFonts w:hint="eastAsia" w:ascii="宋体" w:hAnsi="宋体" w:eastAsia="宋体" w:cstheme="minorBidi"/>
                <w:color w:val="auto"/>
                <w:kern w:val="2"/>
                <w:sz w:val="24"/>
                <w:szCs w:val="22"/>
                <w:highlight w:val="none"/>
                <w:lang w:val="en-US" w:eastAsia="zh-CN" w:bidi="ar-SA"/>
              </w:rPr>
            </w:pPr>
          </w:p>
        </w:tc>
        <w:tc>
          <w:tcPr>
            <w:tcW w:w="2298" w:type="pct"/>
            <w:shd w:val="clear" w:color="auto" w:fill="auto"/>
            <w:noWrap w:val="0"/>
            <w:vAlign w:val="center"/>
          </w:tcPr>
          <w:p w14:paraId="486ABA85">
            <w:pPr>
              <w:pStyle w:val="48"/>
              <w:rPr>
                <w:rFonts w:hint="eastAsia" w:ascii="宋体" w:hAnsi="宋体" w:eastAsia="宋体" w:cstheme="minorBidi"/>
                <w:color w:val="auto"/>
                <w:kern w:val="2"/>
                <w:sz w:val="24"/>
                <w:szCs w:val="22"/>
                <w:highlight w:val="none"/>
                <w:lang w:val="en-US" w:eastAsia="zh-CN" w:bidi="ar-SA"/>
              </w:rPr>
            </w:pPr>
          </w:p>
        </w:tc>
        <w:tc>
          <w:tcPr>
            <w:tcW w:w="1011"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75" w:type="pct"/>
            <w:shd w:val="clear" w:color="auto" w:fill="auto"/>
            <w:noWrap w:val="0"/>
            <w:vAlign w:val="center"/>
          </w:tcPr>
          <w:p w14:paraId="1D3E0310">
            <w:pPr>
              <w:pStyle w:val="48"/>
              <w:rPr>
                <w:rFonts w:hint="eastAsia" w:ascii="宋体" w:hAnsi="宋体" w:eastAsia="宋体" w:cstheme="minorBidi"/>
                <w:color w:val="auto"/>
                <w:kern w:val="2"/>
                <w:sz w:val="24"/>
                <w:szCs w:val="22"/>
                <w:highlight w:val="none"/>
                <w:lang w:val="en-US" w:eastAsia="zh-CN" w:bidi="ar-SA"/>
              </w:rPr>
            </w:pPr>
          </w:p>
        </w:tc>
        <w:tc>
          <w:tcPr>
            <w:tcW w:w="2298" w:type="pct"/>
            <w:shd w:val="clear" w:color="auto" w:fill="auto"/>
            <w:noWrap w:val="0"/>
            <w:vAlign w:val="center"/>
          </w:tcPr>
          <w:p w14:paraId="281089E1">
            <w:pPr>
              <w:pStyle w:val="48"/>
              <w:rPr>
                <w:rFonts w:hint="eastAsia" w:ascii="宋体" w:hAnsi="宋体" w:eastAsia="宋体" w:cstheme="minorBidi"/>
                <w:color w:val="auto"/>
                <w:kern w:val="2"/>
                <w:sz w:val="24"/>
                <w:szCs w:val="22"/>
                <w:highlight w:val="none"/>
                <w:lang w:val="en-US" w:eastAsia="zh-CN" w:bidi="ar-SA"/>
              </w:rPr>
            </w:pPr>
          </w:p>
        </w:tc>
        <w:tc>
          <w:tcPr>
            <w:tcW w:w="1011"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20"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75"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310F1D1A">
            <w:pPr>
              <w:pStyle w:val="76"/>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11"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75"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075"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11"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0"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075"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11"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rPr>
          <w:rFonts w:hint="eastAsia" w:eastAsia="宋体" w:asciiTheme="majorHAnsi" w:hAnsiTheme="majorHAnsi" w:cstheme="majorBidi"/>
          <w:b/>
          <w:bCs/>
          <w:color w:val="auto"/>
          <w:kern w:val="2"/>
          <w:sz w:val="28"/>
          <w:szCs w:val="28"/>
          <w:highlight w:val="none"/>
          <w:lang w:val="en-US" w:eastAsia="zh-CN" w:bidi="ar-SA"/>
        </w:rPr>
      </w:pPr>
      <w:r>
        <w:rPr>
          <w:rFonts w:hint="eastAsia" w:eastAsia="宋体" w:asciiTheme="majorHAnsi" w:hAnsiTheme="majorHAnsi" w:cstheme="majorBidi"/>
          <w:b/>
          <w:bCs/>
          <w:color w:val="auto"/>
          <w:kern w:val="2"/>
          <w:sz w:val="28"/>
          <w:szCs w:val="28"/>
          <w:highlight w:val="none"/>
          <w:lang w:val="en-US" w:eastAsia="zh-CN" w:bidi="ar-SA"/>
        </w:rPr>
        <w:br w:type="page"/>
      </w:r>
    </w:p>
    <w:p w14:paraId="626EF50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9" w:name="_Toc20481"/>
      <w:r>
        <w:rPr>
          <w:rFonts w:hint="eastAsia" w:cstheme="majorBidi"/>
          <w:b/>
          <w:bCs/>
          <w:color w:val="auto"/>
          <w:kern w:val="2"/>
          <w:sz w:val="32"/>
          <w:szCs w:val="32"/>
          <w:highlight w:val="none"/>
          <w:lang w:val="en-US" w:eastAsia="zh-CN" w:bidi="ar-SA"/>
        </w:rPr>
        <w:t>六</w:t>
      </w:r>
      <w:r>
        <w:rPr>
          <w:rFonts w:hint="eastAsia" w:eastAsia="宋体" w:asciiTheme="majorHAnsi" w:hAnsiTheme="majorHAnsi" w:cstheme="majorBidi"/>
          <w:b/>
          <w:bCs/>
          <w:color w:val="auto"/>
          <w:kern w:val="2"/>
          <w:sz w:val="32"/>
          <w:szCs w:val="32"/>
          <w:highlight w:val="none"/>
          <w:lang w:val="en-US" w:eastAsia="zh-CN" w:bidi="ar-SA"/>
        </w:rPr>
        <w:t>、商务响应偏离表</w:t>
      </w:r>
      <w:bookmarkEnd w:id="809"/>
    </w:p>
    <w:p w14:paraId="1D186498">
      <w:pPr>
        <w:rPr>
          <w:rFonts w:cs="仿宋_GB2312"/>
          <w:color w:val="auto"/>
          <w:szCs w:val="24"/>
          <w:highlight w:val="none"/>
        </w:rPr>
      </w:pPr>
      <w:r>
        <w:rPr>
          <w:rFonts w:hint="eastAsia" w:cs="仿宋_GB2312"/>
          <w:color w:val="auto"/>
          <w:szCs w:val="24"/>
          <w:highlight w:val="none"/>
        </w:rPr>
        <w:t xml:space="preserve">项目名称：                                         </w:t>
      </w:r>
    </w:p>
    <w:p w14:paraId="49D93B14">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9"/>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3312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61EA105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49200A2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2B47A59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0A22DBC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030997F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2C90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F94D57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4BC6C9AE">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5FBB365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0BE3ED7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38155B65">
            <w:pPr>
              <w:pStyle w:val="48"/>
              <w:jc w:val="center"/>
              <w:rPr>
                <w:rFonts w:hint="eastAsia" w:ascii="宋体" w:hAnsi="宋体" w:eastAsia="宋体" w:cs="宋体"/>
                <w:color w:val="auto"/>
                <w:sz w:val="21"/>
                <w:szCs w:val="21"/>
                <w:highlight w:val="none"/>
              </w:rPr>
            </w:pPr>
          </w:p>
        </w:tc>
      </w:tr>
      <w:tr w14:paraId="2C68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1A99A4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45C9EA1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78716E3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FF2D014">
            <w:pPr>
              <w:pStyle w:val="48"/>
              <w:jc w:val="center"/>
              <w:rPr>
                <w:rFonts w:hint="eastAsia" w:ascii="宋体" w:hAnsi="宋体" w:eastAsia="宋体" w:cs="宋体"/>
                <w:color w:val="auto"/>
                <w:sz w:val="21"/>
                <w:szCs w:val="21"/>
                <w:highlight w:val="none"/>
              </w:rPr>
            </w:pPr>
          </w:p>
        </w:tc>
        <w:tc>
          <w:tcPr>
            <w:tcW w:w="1090" w:type="pct"/>
            <w:vAlign w:val="center"/>
          </w:tcPr>
          <w:p w14:paraId="4FD2DF22">
            <w:pPr>
              <w:pStyle w:val="48"/>
              <w:jc w:val="center"/>
              <w:rPr>
                <w:rFonts w:hint="eastAsia" w:ascii="宋体" w:hAnsi="宋体" w:eastAsia="宋体" w:cs="宋体"/>
                <w:color w:val="auto"/>
                <w:sz w:val="21"/>
                <w:szCs w:val="21"/>
                <w:highlight w:val="none"/>
              </w:rPr>
            </w:pPr>
          </w:p>
        </w:tc>
      </w:tr>
      <w:tr w14:paraId="3CF1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1DCD2E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69CD644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A18A48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4CBAA73E">
            <w:pPr>
              <w:pStyle w:val="48"/>
              <w:jc w:val="center"/>
              <w:rPr>
                <w:rFonts w:hint="eastAsia" w:ascii="宋体" w:hAnsi="宋体" w:eastAsia="宋体" w:cs="宋体"/>
                <w:color w:val="auto"/>
                <w:sz w:val="21"/>
                <w:szCs w:val="21"/>
                <w:highlight w:val="none"/>
              </w:rPr>
            </w:pPr>
          </w:p>
        </w:tc>
        <w:tc>
          <w:tcPr>
            <w:tcW w:w="1090" w:type="pct"/>
            <w:vAlign w:val="center"/>
          </w:tcPr>
          <w:p w14:paraId="7E83BCC4">
            <w:pPr>
              <w:pStyle w:val="48"/>
              <w:jc w:val="center"/>
              <w:rPr>
                <w:rFonts w:hint="eastAsia" w:ascii="宋体" w:hAnsi="宋体" w:eastAsia="宋体" w:cs="宋体"/>
                <w:color w:val="auto"/>
                <w:sz w:val="21"/>
                <w:szCs w:val="21"/>
                <w:highlight w:val="none"/>
              </w:rPr>
            </w:pPr>
          </w:p>
        </w:tc>
      </w:tr>
      <w:tr w14:paraId="15C0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F30B680">
            <w:pPr>
              <w:pStyle w:val="48"/>
              <w:jc w:val="center"/>
              <w:rPr>
                <w:rFonts w:hint="eastAsia" w:ascii="宋体" w:hAnsi="宋体" w:eastAsia="宋体" w:cs="宋体"/>
                <w:color w:val="auto"/>
                <w:sz w:val="21"/>
                <w:szCs w:val="21"/>
                <w:highlight w:val="none"/>
              </w:rPr>
            </w:pPr>
          </w:p>
        </w:tc>
        <w:tc>
          <w:tcPr>
            <w:tcW w:w="1395" w:type="pct"/>
            <w:vAlign w:val="center"/>
          </w:tcPr>
          <w:p w14:paraId="4AADEA29">
            <w:pPr>
              <w:pStyle w:val="48"/>
              <w:jc w:val="center"/>
              <w:rPr>
                <w:rFonts w:hint="eastAsia" w:ascii="宋体" w:hAnsi="宋体" w:eastAsia="宋体" w:cs="宋体"/>
                <w:color w:val="auto"/>
                <w:sz w:val="21"/>
                <w:szCs w:val="21"/>
                <w:highlight w:val="none"/>
              </w:rPr>
            </w:pPr>
          </w:p>
        </w:tc>
        <w:tc>
          <w:tcPr>
            <w:tcW w:w="1002" w:type="pct"/>
            <w:vAlign w:val="center"/>
          </w:tcPr>
          <w:p w14:paraId="38D5F739">
            <w:pPr>
              <w:pStyle w:val="48"/>
              <w:jc w:val="center"/>
              <w:rPr>
                <w:rFonts w:hint="eastAsia" w:ascii="宋体" w:hAnsi="宋体" w:eastAsia="宋体" w:cs="宋体"/>
                <w:color w:val="auto"/>
                <w:sz w:val="21"/>
                <w:szCs w:val="21"/>
                <w:highlight w:val="none"/>
              </w:rPr>
            </w:pPr>
          </w:p>
        </w:tc>
        <w:tc>
          <w:tcPr>
            <w:tcW w:w="1090" w:type="pct"/>
            <w:vAlign w:val="center"/>
          </w:tcPr>
          <w:p w14:paraId="225853EF">
            <w:pPr>
              <w:pStyle w:val="48"/>
              <w:jc w:val="center"/>
              <w:rPr>
                <w:rFonts w:hint="eastAsia" w:ascii="宋体" w:hAnsi="宋体" w:eastAsia="宋体" w:cs="宋体"/>
                <w:color w:val="auto"/>
                <w:sz w:val="21"/>
                <w:szCs w:val="21"/>
                <w:highlight w:val="none"/>
              </w:rPr>
            </w:pPr>
          </w:p>
        </w:tc>
        <w:tc>
          <w:tcPr>
            <w:tcW w:w="1090" w:type="pct"/>
            <w:vAlign w:val="center"/>
          </w:tcPr>
          <w:p w14:paraId="701964E1">
            <w:pPr>
              <w:pStyle w:val="48"/>
              <w:jc w:val="center"/>
              <w:rPr>
                <w:rFonts w:hint="eastAsia" w:ascii="宋体" w:hAnsi="宋体" w:eastAsia="宋体" w:cs="宋体"/>
                <w:color w:val="auto"/>
                <w:sz w:val="21"/>
                <w:szCs w:val="21"/>
                <w:highlight w:val="none"/>
              </w:rPr>
            </w:pPr>
          </w:p>
        </w:tc>
      </w:tr>
      <w:tr w14:paraId="0D3D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5F3EE02">
            <w:pPr>
              <w:pStyle w:val="48"/>
              <w:jc w:val="center"/>
              <w:rPr>
                <w:rFonts w:hint="eastAsia" w:ascii="宋体" w:hAnsi="宋体" w:eastAsia="宋体" w:cs="宋体"/>
                <w:color w:val="auto"/>
                <w:sz w:val="21"/>
                <w:szCs w:val="21"/>
                <w:highlight w:val="none"/>
              </w:rPr>
            </w:pPr>
          </w:p>
        </w:tc>
        <w:tc>
          <w:tcPr>
            <w:tcW w:w="1395" w:type="pct"/>
            <w:vAlign w:val="center"/>
          </w:tcPr>
          <w:p w14:paraId="4393079D">
            <w:pPr>
              <w:pStyle w:val="48"/>
              <w:jc w:val="center"/>
              <w:rPr>
                <w:rFonts w:hint="eastAsia" w:ascii="宋体" w:hAnsi="宋体" w:eastAsia="宋体" w:cs="宋体"/>
                <w:color w:val="auto"/>
                <w:sz w:val="21"/>
                <w:szCs w:val="21"/>
                <w:highlight w:val="none"/>
              </w:rPr>
            </w:pPr>
          </w:p>
        </w:tc>
        <w:tc>
          <w:tcPr>
            <w:tcW w:w="1002" w:type="pct"/>
            <w:vAlign w:val="center"/>
          </w:tcPr>
          <w:p w14:paraId="25A3A5BC">
            <w:pPr>
              <w:pStyle w:val="48"/>
              <w:jc w:val="center"/>
              <w:rPr>
                <w:rFonts w:hint="eastAsia" w:ascii="宋体" w:hAnsi="宋体" w:eastAsia="宋体" w:cs="宋体"/>
                <w:color w:val="auto"/>
                <w:sz w:val="21"/>
                <w:szCs w:val="21"/>
                <w:highlight w:val="none"/>
              </w:rPr>
            </w:pPr>
          </w:p>
        </w:tc>
        <w:tc>
          <w:tcPr>
            <w:tcW w:w="1090" w:type="pct"/>
            <w:vAlign w:val="center"/>
          </w:tcPr>
          <w:p w14:paraId="1B49FF8B">
            <w:pPr>
              <w:pStyle w:val="48"/>
              <w:jc w:val="center"/>
              <w:rPr>
                <w:rFonts w:hint="eastAsia" w:ascii="宋体" w:hAnsi="宋体" w:eastAsia="宋体" w:cs="宋体"/>
                <w:color w:val="auto"/>
                <w:sz w:val="21"/>
                <w:szCs w:val="21"/>
                <w:highlight w:val="none"/>
              </w:rPr>
            </w:pPr>
          </w:p>
        </w:tc>
        <w:tc>
          <w:tcPr>
            <w:tcW w:w="1090" w:type="pct"/>
            <w:vAlign w:val="center"/>
          </w:tcPr>
          <w:p w14:paraId="7AD8A67B">
            <w:pPr>
              <w:pStyle w:val="48"/>
              <w:jc w:val="center"/>
              <w:rPr>
                <w:rFonts w:hint="eastAsia" w:ascii="宋体" w:hAnsi="宋体" w:eastAsia="宋体" w:cs="宋体"/>
                <w:color w:val="auto"/>
                <w:sz w:val="21"/>
                <w:szCs w:val="21"/>
                <w:highlight w:val="none"/>
              </w:rPr>
            </w:pPr>
          </w:p>
        </w:tc>
      </w:tr>
      <w:tr w14:paraId="193F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8504A9">
            <w:pPr>
              <w:pStyle w:val="48"/>
              <w:jc w:val="center"/>
              <w:rPr>
                <w:rFonts w:hint="eastAsia" w:ascii="宋体" w:hAnsi="宋体" w:eastAsia="宋体" w:cs="宋体"/>
                <w:color w:val="auto"/>
                <w:sz w:val="21"/>
                <w:szCs w:val="21"/>
                <w:highlight w:val="none"/>
              </w:rPr>
            </w:pPr>
          </w:p>
        </w:tc>
        <w:tc>
          <w:tcPr>
            <w:tcW w:w="1395" w:type="pct"/>
            <w:vAlign w:val="center"/>
          </w:tcPr>
          <w:p w14:paraId="0B05BA21">
            <w:pPr>
              <w:pStyle w:val="48"/>
              <w:jc w:val="center"/>
              <w:rPr>
                <w:rFonts w:hint="eastAsia" w:ascii="宋体" w:hAnsi="宋体" w:eastAsia="宋体" w:cs="宋体"/>
                <w:color w:val="auto"/>
                <w:sz w:val="21"/>
                <w:szCs w:val="21"/>
                <w:highlight w:val="none"/>
              </w:rPr>
            </w:pPr>
          </w:p>
        </w:tc>
        <w:tc>
          <w:tcPr>
            <w:tcW w:w="1002" w:type="pct"/>
            <w:vAlign w:val="center"/>
          </w:tcPr>
          <w:p w14:paraId="6EE2FD7A">
            <w:pPr>
              <w:pStyle w:val="48"/>
              <w:jc w:val="center"/>
              <w:rPr>
                <w:rFonts w:hint="eastAsia" w:ascii="宋体" w:hAnsi="宋体" w:eastAsia="宋体" w:cs="宋体"/>
                <w:color w:val="auto"/>
                <w:sz w:val="21"/>
                <w:szCs w:val="21"/>
                <w:highlight w:val="none"/>
              </w:rPr>
            </w:pPr>
          </w:p>
        </w:tc>
        <w:tc>
          <w:tcPr>
            <w:tcW w:w="1090" w:type="pct"/>
            <w:vAlign w:val="center"/>
          </w:tcPr>
          <w:p w14:paraId="3C3EE3D6">
            <w:pPr>
              <w:pStyle w:val="48"/>
              <w:jc w:val="center"/>
              <w:rPr>
                <w:rFonts w:hint="eastAsia" w:ascii="宋体" w:hAnsi="宋体" w:eastAsia="宋体" w:cs="宋体"/>
                <w:color w:val="auto"/>
                <w:sz w:val="21"/>
                <w:szCs w:val="21"/>
                <w:highlight w:val="none"/>
              </w:rPr>
            </w:pPr>
          </w:p>
        </w:tc>
        <w:tc>
          <w:tcPr>
            <w:tcW w:w="1090" w:type="pct"/>
            <w:vAlign w:val="center"/>
          </w:tcPr>
          <w:p w14:paraId="0D0213B3">
            <w:pPr>
              <w:pStyle w:val="48"/>
              <w:jc w:val="center"/>
              <w:rPr>
                <w:rFonts w:hint="eastAsia" w:ascii="宋体" w:hAnsi="宋体" w:eastAsia="宋体" w:cs="宋体"/>
                <w:color w:val="auto"/>
                <w:sz w:val="21"/>
                <w:szCs w:val="21"/>
                <w:highlight w:val="none"/>
              </w:rPr>
            </w:pPr>
          </w:p>
        </w:tc>
      </w:tr>
      <w:tr w14:paraId="05BC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DE1BBEB">
            <w:pPr>
              <w:pStyle w:val="48"/>
              <w:jc w:val="center"/>
              <w:rPr>
                <w:rFonts w:hint="eastAsia" w:ascii="宋体" w:hAnsi="宋体" w:eastAsia="宋体" w:cs="宋体"/>
                <w:color w:val="auto"/>
                <w:sz w:val="21"/>
                <w:szCs w:val="21"/>
                <w:highlight w:val="none"/>
              </w:rPr>
            </w:pPr>
          </w:p>
        </w:tc>
        <w:tc>
          <w:tcPr>
            <w:tcW w:w="1395" w:type="pct"/>
            <w:vAlign w:val="center"/>
          </w:tcPr>
          <w:p w14:paraId="2369E7CE">
            <w:pPr>
              <w:pStyle w:val="48"/>
              <w:jc w:val="center"/>
              <w:rPr>
                <w:rFonts w:hint="eastAsia" w:ascii="宋体" w:hAnsi="宋体" w:eastAsia="宋体" w:cs="宋体"/>
                <w:color w:val="auto"/>
                <w:sz w:val="21"/>
                <w:szCs w:val="21"/>
                <w:highlight w:val="none"/>
              </w:rPr>
            </w:pPr>
          </w:p>
        </w:tc>
        <w:tc>
          <w:tcPr>
            <w:tcW w:w="1002" w:type="pct"/>
            <w:vAlign w:val="center"/>
          </w:tcPr>
          <w:p w14:paraId="1C290511">
            <w:pPr>
              <w:pStyle w:val="48"/>
              <w:jc w:val="center"/>
              <w:rPr>
                <w:rFonts w:hint="eastAsia" w:ascii="宋体" w:hAnsi="宋体" w:eastAsia="宋体" w:cs="宋体"/>
                <w:color w:val="auto"/>
                <w:sz w:val="21"/>
                <w:szCs w:val="21"/>
                <w:highlight w:val="none"/>
              </w:rPr>
            </w:pPr>
          </w:p>
        </w:tc>
        <w:tc>
          <w:tcPr>
            <w:tcW w:w="1090" w:type="pct"/>
            <w:vAlign w:val="center"/>
          </w:tcPr>
          <w:p w14:paraId="2E4702A6">
            <w:pPr>
              <w:pStyle w:val="48"/>
              <w:jc w:val="center"/>
              <w:rPr>
                <w:rFonts w:hint="eastAsia" w:ascii="宋体" w:hAnsi="宋体" w:eastAsia="宋体" w:cs="宋体"/>
                <w:color w:val="auto"/>
                <w:sz w:val="21"/>
                <w:szCs w:val="21"/>
                <w:highlight w:val="none"/>
              </w:rPr>
            </w:pPr>
          </w:p>
        </w:tc>
        <w:tc>
          <w:tcPr>
            <w:tcW w:w="1090" w:type="pct"/>
            <w:vAlign w:val="center"/>
          </w:tcPr>
          <w:p w14:paraId="65DCC158">
            <w:pPr>
              <w:pStyle w:val="48"/>
              <w:jc w:val="center"/>
              <w:rPr>
                <w:rFonts w:hint="eastAsia" w:ascii="宋体" w:hAnsi="宋体" w:eastAsia="宋体" w:cs="宋体"/>
                <w:color w:val="auto"/>
                <w:sz w:val="21"/>
                <w:szCs w:val="21"/>
                <w:highlight w:val="none"/>
              </w:rPr>
            </w:pPr>
          </w:p>
        </w:tc>
      </w:tr>
      <w:tr w14:paraId="086E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A27D4B4">
            <w:pPr>
              <w:pStyle w:val="48"/>
              <w:jc w:val="center"/>
              <w:rPr>
                <w:rFonts w:hint="eastAsia" w:ascii="宋体" w:hAnsi="宋体" w:eastAsia="宋体" w:cs="宋体"/>
                <w:color w:val="auto"/>
                <w:sz w:val="21"/>
                <w:szCs w:val="21"/>
                <w:highlight w:val="none"/>
              </w:rPr>
            </w:pPr>
          </w:p>
        </w:tc>
        <w:tc>
          <w:tcPr>
            <w:tcW w:w="1395" w:type="pct"/>
            <w:vAlign w:val="center"/>
          </w:tcPr>
          <w:p w14:paraId="15CE8362">
            <w:pPr>
              <w:pStyle w:val="48"/>
              <w:jc w:val="center"/>
              <w:rPr>
                <w:rFonts w:hint="eastAsia" w:ascii="宋体" w:hAnsi="宋体" w:eastAsia="宋体" w:cs="宋体"/>
                <w:color w:val="auto"/>
                <w:sz w:val="21"/>
                <w:szCs w:val="21"/>
                <w:highlight w:val="none"/>
              </w:rPr>
            </w:pPr>
          </w:p>
        </w:tc>
        <w:tc>
          <w:tcPr>
            <w:tcW w:w="1002" w:type="pct"/>
            <w:vAlign w:val="center"/>
          </w:tcPr>
          <w:p w14:paraId="78520959">
            <w:pPr>
              <w:pStyle w:val="48"/>
              <w:jc w:val="center"/>
              <w:rPr>
                <w:rFonts w:hint="eastAsia" w:ascii="宋体" w:hAnsi="宋体" w:eastAsia="宋体" w:cs="宋体"/>
                <w:color w:val="auto"/>
                <w:sz w:val="21"/>
                <w:szCs w:val="21"/>
                <w:highlight w:val="none"/>
              </w:rPr>
            </w:pPr>
          </w:p>
        </w:tc>
        <w:tc>
          <w:tcPr>
            <w:tcW w:w="1090" w:type="pct"/>
            <w:vAlign w:val="center"/>
          </w:tcPr>
          <w:p w14:paraId="6B647A83">
            <w:pPr>
              <w:pStyle w:val="48"/>
              <w:jc w:val="center"/>
              <w:rPr>
                <w:rFonts w:hint="eastAsia" w:ascii="宋体" w:hAnsi="宋体" w:eastAsia="宋体" w:cs="宋体"/>
                <w:color w:val="auto"/>
                <w:sz w:val="21"/>
                <w:szCs w:val="21"/>
                <w:highlight w:val="none"/>
              </w:rPr>
            </w:pPr>
          </w:p>
        </w:tc>
        <w:tc>
          <w:tcPr>
            <w:tcW w:w="1090" w:type="pct"/>
            <w:vAlign w:val="center"/>
          </w:tcPr>
          <w:p w14:paraId="53ABE546">
            <w:pPr>
              <w:pStyle w:val="48"/>
              <w:jc w:val="center"/>
              <w:rPr>
                <w:rFonts w:hint="eastAsia" w:ascii="宋体" w:hAnsi="宋体" w:eastAsia="宋体" w:cs="宋体"/>
                <w:color w:val="auto"/>
                <w:sz w:val="21"/>
                <w:szCs w:val="21"/>
                <w:highlight w:val="none"/>
              </w:rPr>
            </w:pPr>
          </w:p>
        </w:tc>
      </w:tr>
      <w:tr w14:paraId="2CD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BECA690">
            <w:pPr>
              <w:pStyle w:val="48"/>
              <w:jc w:val="center"/>
              <w:rPr>
                <w:rFonts w:hint="eastAsia" w:ascii="宋体" w:hAnsi="宋体" w:eastAsia="宋体" w:cs="宋体"/>
                <w:color w:val="auto"/>
                <w:sz w:val="21"/>
                <w:szCs w:val="21"/>
                <w:highlight w:val="none"/>
              </w:rPr>
            </w:pPr>
          </w:p>
        </w:tc>
        <w:tc>
          <w:tcPr>
            <w:tcW w:w="1395" w:type="pct"/>
            <w:vAlign w:val="center"/>
          </w:tcPr>
          <w:p w14:paraId="1376A9AF">
            <w:pPr>
              <w:pStyle w:val="48"/>
              <w:jc w:val="center"/>
              <w:rPr>
                <w:rFonts w:hint="eastAsia" w:ascii="宋体" w:hAnsi="宋体" w:eastAsia="宋体" w:cs="宋体"/>
                <w:color w:val="auto"/>
                <w:sz w:val="21"/>
                <w:szCs w:val="21"/>
                <w:highlight w:val="none"/>
              </w:rPr>
            </w:pPr>
          </w:p>
        </w:tc>
        <w:tc>
          <w:tcPr>
            <w:tcW w:w="1002" w:type="pct"/>
            <w:vAlign w:val="center"/>
          </w:tcPr>
          <w:p w14:paraId="021889CB">
            <w:pPr>
              <w:pStyle w:val="48"/>
              <w:jc w:val="center"/>
              <w:rPr>
                <w:rFonts w:hint="eastAsia" w:ascii="宋体" w:hAnsi="宋体" w:eastAsia="宋体" w:cs="宋体"/>
                <w:color w:val="auto"/>
                <w:sz w:val="21"/>
                <w:szCs w:val="21"/>
                <w:highlight w:val="none"/>
              </w:rPr>
            </w:pPr>
          </w:p>
        </w:tc>
        <w:tc>
          <w:tcPr>
            <w:tcW w:w="1090" w:type="pct"/>
            <w:vAlign w:val="center"/>
          </w:tcPr>
          <w:p w14:paraId="1AA6C389">
            <w:pPr>
              <w:pStyle w:val="48"/>
              <w:jc w:val="center"/>
              <w:rPr>
                <w:rFonts w:hint="eastAsia" w:ascii="宋体" w:hAnsi="宋体" w:eastAsia="宋体" w:cs="宋体"/>
                <w:color w:val="auto"/>
                <w:sz w:val="21"/>
                <w:szCs w:val="21"/>
                <w:highlight w:val="none"/>
              </w:rPr>
            </w:pPr>
          </w:p>
        </w:tc>
        <w:tc>
          <w:tcPr>
            <w:tcW w:w="1090" w:type="pct"/>
            <w:vAlign w:val="center"/>
          </w:tcPr>
          <w:p w14:paraId="326386ED">
            <w:pPr>
              <w:pStyle w:val="48"/>
              <w:jc w:val="center"/>
              <w:rPr>
                <w:rFonts w:hint="eastAsia" w:ascii="宋体" w:hAnsi="宋体" w:eastAsia="宋体" w:cs="宋体"/>
                <w:color w:val="auto"/>
                <w:sz w:val="21"/>
                <w:szCs w:val="21"/>
                <w:highlight w:val="none"/>
              </w:rPr>
            </w:pPr>
          </w:p>
        </w:tc>
      </w:tr>
      <w:tr w14:paraId="6463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C03EC05">
            <w:pPr>
              <w:pStyle w:val="48"/>
              <w:jc w:val="center"/>
              <w:rPr>
                <w:rFonts w:hint="eastAsia" w:ascii="宋体" w:hAnsi="宋体" w:eastAsia="宋体" w:cs="宋体"/>
                <w:color w:val="auto"/>
                <w:sz w:val="21"/>
                <w:szCs w:val="21"/>
                <w:highlight w:val="none"/>
              </w:rPr>
            </w:pPr>
          </w:p>
        </w:tc>
        <w:tc>
          <w:tcPr>
            <w:tcW w:w="1395" w:type="pct"/>
            <w:vAlign w:val="center"/>
          </w:tcPr>
          <w:p w14:paraId="03E9879F">
            <w:pPr>
              <w:pStyle w:val="48"/>
              <w:jc w:val="center"/>
              <w:rPr>
                <w:rFonts w:hint="eastAsia" w:ascii="宋体" w:hAnsi="宋体" w:eastAsia="宋体" w:cs="宋体"/>
                <w:color w:val="auto"/>
                <w:sz w:val="21"/>
                <w:szCs w:val="21"/>
                <w:highlight w:val="none"/>
              </w:rPr>
            </w:pPr>
          </w:p>
        </w:tc>
        <w:tc>
          <w:tcPr>
            <w:tcW w:w="1002" w:type="pct"/>
            <w:vAlign w:val="center"/>
          </w:tcPr>
          <w:p w14:paraId="602D2FCF">
            <w:pPr>
              <w:pStyle w:val="48"/>
              <w:jc w:val="center"/>
              <w:rPr>
                <w:rFonts w:hint="eastAsia" w:ascii="宋体" w:hAnsi="宋体" w:eastAsia="宋体" w:cs="宋体"/>
                <w:color w:val="auto"/>
                <w:sz w:val="21"/>
                <w:szCs w:val="21"/>
                <w:highlight w:val="none"/>
              </w:rPr>
            </w:pPr>
          </w:p>
        </w:tc>
        <w:tc>
          <w:tcPr>
            <w:tcW w:w="1090" w:type="pct"/>
            <w:vAlign w:val="center"/>
          </w:tcPr>
          <w:p w14:paraId="53E5BFE6">
            <w:pPr>
              <w:pStyle w:val="48"/>
              <w:jc w:val="center"/>
              <w:rPr>
                <w:rFonts w:hint="eastAsia" w:ascii="宋体" w:hAnsi="宋体" w:eastAsia="宋体" w:cs="宋体"/>
                <w:color w:val="auto"/>
                <w:sz w:val="21"/>
                <w:szCs w:val="21"/>
                <w:highlight w:val="none"/>
              </w:rPr>
            </w:pPr>
          </w:p>
        </w:tc>
        <w:tc>
          <w:tcPr>
            <w:tcW w:w="1090" w:type="pct"/>
            <w:vAlign w:val="center"/>
          </w:tcPr>
          <w:p w14:paraId="3AA5DDE3">
            <w:pPr>
              <w:pStyle w:val="48"/>
              <w:jc w:val="center"/>
              <w:rPr>
                <w:rFonts w:hint="eastAsia" w:ascii="宋体" w:hAnsi="宋体" w:eastAsia="宋体" w:cs="宋体"/>
                <w:color w:val="auto"/>
                <w:sz w:val="21"/>
                <w:szCs w:val="21"/>
                <w:highlight w:val="none"/>
              </w:rPr>
            </w:pPr>
          </w:p>
        </w:tc>
      </w:tr>
      <w:tr w14:paraId="1B88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0B43B81">
            <w:pPr>
              <w:pStyle w:val="48"/>
              <w:jc w:val="center"/>
              <w:rPr>
                <w:rFonts w:hint="eastAsia" w:ascii="宋体" w:hAnsi="宋体" w:eastAsia="宋体" w:cs="宋体"/>
                <w:color w:val="auto"/>
                <w:sz w:val="21"/>
                <w:szCs w:val="21"/>
                <w:highlight w:val="none"/>
              </w:rPr>
            </w:pPr>
          </w:p>
        </w:tc>
        <w:tc>
          <w:tcPr>
            <w:tcW w:w="1395" w:type="pct"/>
            <w:vAlign w:val="center"/>
          </w:tcPr>
          <w:p w14:paraId="002C280D">
            <w:pPr>
              <w:pStyle w:val="48"/>
              <w:jc w:val="center"/>
              <w:rPr>
                <w:rFonts w:hint="eastAsia" w:ascii="宋体" w:hAnsi="宋体" w:eastAsia="宋体" w:cs="宋体"/>
                <w:color w:val="auto"/>
                <w:sz w:val="21"/>
                <w:szCs w:val="21"/>
                <w:highlight w:val="none"/>
              </w:rPr>
            </w:pPr>
          </w:p>
        </w:tc>
        <w:tc>
          <w:tcPr>
            <w:tcW w:w="1002" w:type="pct"/>
            <w:vAlign w:val="center"/>
          </w:tcPr>
          <w:p w14:paraId="0042BF48">
            <w:pPr>
              <w:pStyle w:val="48"/>
              <w:jc w:val="center"/>
              <w:rPr>
                <w:rFonts w:hint="eastAsia" w:ascii="宋体" w:hAnsi="宋体" w:eastAsia="宋体" w:cs="宋体"/>
                <w:color w:val="auto"/>
                <w:sz w:val="21"/>
                <w:szCs w:val="21"/>
                <w:highlight w:val="none"/>
              </w:rPr>
            </w:pPr>
          </w:p>
        </w:tc>
        <w:tc>
          <w:tcPr>
            <w:tcW w:w="1090" w:type="pct"/>
            <w:vAlign w:val="center"/>
          </w:tcPr>
          <w:p w14:paraId="101256FD">
            <w:pPr>
              <w:pStyle w:val="48"/>
              <w:jc w:val="center"/>
              <w:rPr>
                <w:rFonts w:hint="eastAsia" w:ascii="宋体" w:hAnsi="宋体" w:eastAsia="宋体" w:cs="宋体"/>
                <w:color w:val="auto"/>
                <w:sz w:val="21"/>
                <w:szCs w:val="21"/>
                <w:highlight w:val="none"/>
              </w:rPr>
            </w:pPr>
          </w:p>
        </w:tc>
        <w:tc>
          <w:tcPr>
            <w:tcW w:w="1090" w:type="pct"/>
            <w:vAlign w:val="center"/>
          </w:tcPr>
          <w:p w14:paraId="1C7FF8A5">
            <w:pPr>
              <w:pStyle w:val="48"/>
              <w:jc w:val="center"/>
              <w:rPr>
                <w:rFonts w:hint="eastAsia" w:ascii="宋体" w:hAnsi="宋体" w:eastAsia="宋体" w:cs="宋体"/>
                <w:color w:val="auto"/>
                <w:sz w:val="21"/>
                <w:szCs w:val="21"/>
                <w:highlight w:val="none"/>
              </w:rPr>
            </w:pPr>
          </w:p>
        </w:tc>
      </w:tr>
      <w:tr w14:paraId="02F1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458511A">
            <w:pPr>
              <w:pStyle w:val="48"/>
              <w:jc w:val="center"/>
              <w:rPr>
                <w:rFonts w:hint="eastAsia" w:ascii="宋体" w:hAnsi="宋体" w:eastAsia="宋体" w:cs="宋体"/>
                <w:color w:val="auto"/>
                <w:sz w:val="21"/>
                <w:szCs w:val="21"/>
                <w:highlight w:val="none"/>
              </w:rPr>
            </w:pPr>
          </w:p>
        </w:tc>
        <w:tc>
          <w:tcPr>
            <w:tcW w:w="1395" w:type="pct"/>
            <w:vAlign w:val="center"/>
          </w:tcPr>
          <w:p w14:paraId="5682E2D1">
            <w:pPr>
              <w:pStyle w:val="48"/>
              <w:jc w:val="center"/>
              <w:rPr>
                <w:rFonts w:hint="eastAsia" w:ascii="宋体" w:hAnsi="宋体" w:eastAsia="宋体" w:cs="宋体"/>
                <w:color w:val="auto"/>
                <w:sz w:val="21"/>
                <w:szCs w:val="21"/>
                <w:highlight w:val="none"/>
              </w:rPr>
            </w:pPr>
          </w:p>
        </w:tc>
        <w:tc>
          <w:tcPr>
            <w:tcW w:w="1002" w:type="pct"/>
            <w:vAlign w:val="center"/>
          </w:tcPr>
          <w:p w14:paraId="76E9879E">
            <w:pPr>
              <w:pStyle w:val="48"/>
              <w:jc w:val="center"/>
              <w:rPr>
                <w:rFonts w:hint="eastAsia" w:ascii="宋体" w:hAnsi="宋体" w:eastAsia="宋体" w:cs="宋体"/>
                <w:color w:val="auto"/>
                <w:sz w:val="21"/>
                <w:szCs w:val="21"/>
                <w:highlight w:val="none"/>
              </w:rPr>
            </w:pPr>
          </w:p>
        </w:tc>
        <w:tc>
          <w:tcPr>
            <w:tcW w:w="1090" w:type="pct"/>
            <w:vAlign w:val="center"/>
          </w:tcPr>
          <w:p w14:paraId="63343BAE">
            <w:pPr>
              <w:pStyle w:val="48"/>
              <w:jc w:val="center"/>
              <w:rPr>
                <w:rFonts w:hint="eastAsia" w:ascii="宋体" w:hAnsi="宋体" w:eastAsia="宋体" w:cs="宋体"/>
                <w:color w:val="auto"/>
                <w:sz w:val="21"/>
                <w:szCs w:val="21"/>
                <w:highlight w:val="none"/>
              </w:rPr>
            </w:pPr>
          </w:p>
        </w:tc>
        <w:tc>
          <w:tcPr>
            <w:tcW w:w="1090" w:type="pct"/>
            <w:vAlign w:val="center"/>
          </w:tcPr>
          <w:p w14:paraId="2F4D9BEC">
            <w:pPr>
              <w:pStyle w:val="48"/>
              <w:jc w:val="center"/>
              <w:rPr>
                <w:rFonts w:hint="eastAsia" w:ascii="宋体" w:hAnsi="宋体" w:eastAsia="宋体" w:cs="宋体"/>
                <w:color w:val="auto"/>
                <w:sz w:val="21"/>
                <w:szCs w:val="21"/>
                <w:highlight w:val="none"/>
              </w:rPr>
            </w:pPr>
          </w:p>
        </w:tc>
      </w:tr>
      <w:tr w14:paraId="650A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420" w:type="pct"/>
            <w:vAlign w:val="center"/>
          </w:tcPr>
          <w:p w14:paraId="5D23FA22">
            <w:pPr>
              <w:pStyle w:val="48"/>
              <w:jc w:val="center"/>
              <w:rPr>
                <w:rFonts w:hint="eastAsia" w:ascii="宋体" w:hAnsi="宋体" w:eastAsia="宋体" w:cs="宋体"/>
                <w:color w:val="auto"/>
                <w:sz w:val="21"/>
                <w:szCs w:val="21"/>
                <w:highlight w:val="none"/>
              </w:rPr>
            </w:pPr>
          </w:p>
        </w:tc>
        <w:tc>
          <w:tcPr>
            <w:tcW w:w="1395" w:type="pct"/>
            <w:vAlign w:val="center"/>
          </w:tcPr>
          <w:p w14:paraId="582C2856">
            <w:pPr>
              <w:pStyle w:val="48"/>
              <w:jc w:val="center"/>
              <w:rPr>
                <w:rFonts w:hint="eastAsia" w:ascii="宋体" w:hAnsi="宋体" w:eastAsia="宋体" w:cs="宋体"/>
                <w:color w:val="auto"/>
                <w:sz w:val="21"/>
                <w:szCs w:val="21"/>
                <w:highlight w:val="none"/>
              </w:rPr>
            </w:pPr>
          </w:p>
        </w:tc>
        <w:tc>
          <w:tcPr>
            <w:tcW w:w="1002" w:type="pct"/>
            <w:vAlign w:val="center"/>
          </w:tcPr>
          <w:p w14:paraId="324F9122">
            <w:pPr>
              <w:pStyle w:val="48"/>
              <w:jc w:val="center"/>
              <w:rPr>
                <w:rFonts w:hint="eastAsia" w:ascii="宋体" w:hAnsi="宋体" w:eastAsia="宋体" w:cs="宋体"/>
                <w:color w:val="auto"/>
                <w:sz w:val="21"/>
                <w:szCs w:val="21"/>
                <w:highlight w:val="none"/>
              </w:rPr>
            </w:pPr>
          </w:p>
        </w:tc>
        <w:tc>
          <w:tcPr>
            <w:tcW w:w="1090" w:type="pct"/>
            <w:vAlign w:val="center"/>
          </w:tcPr>
          <w:p w14:paraId="2C83C7AC">
            <w:pPr>
              <w:pStyle w:val="48"/>
              <w:jc w:val="center"/>
              <w:rPr>
                <w:rFonts w:hint="eastAsia" w:ascii="宋体" w:hAnsi="宋体" w:eastAsia="宋体" w:cs="宋体"/>
                <w:color w:val="auto"/>
                <w:sz w:val="21"/>
                <w:szCs w:val="21"/>
                <w:highlight w:val="none"/>
              </w:rPr>
            </w:pPr>
          </w:p>
        </w:tc>
        <w:tc>
          <w:tcPr>
            <w:tcW w:w="1090" w:type="pct"/>
            <w:vAlign w:val="center"/>
          </w:tcPr>
          <w:p w14:paraId="23B6861A">
            <w:pPr>
              <w:pStyle w:val="48"/>
              <w:jc w:val="center"/>
              <w:rPr>
                <w:rFonts w:hint="eastAsia" w:ascii="宋体" w:hAnsi="宋体" w:eastAsia="宋体" w:cs="宋体"/>
                <w:color w:val="auto"/>
                <w:sz w:val="21"/>
                <w:szCs w:val="21"/>
                <w:highlight w:val="none"/>
              </w:rPr>
            </w:pPr>
          </w:p>
        </w:tc>
      </w:tr>
      <w:tr w14:paraId="53B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06D2AB5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6799470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460CD4A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6A23004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68EC7DE5">
            <w:pPr>
              <w:pStyle w:val="48"/>
              <w:jc w:val="center"/>
              <w:rPr>
                <w:rFonts w:hint="eastAsia" w:ascii="宋体" w:hAnsi="宋体" w:eastAsia="宋体" w:cs="宋体"/>
                <w:color w:val="auto"/>
                <w:sz w:val="21"/>
                <w:szCs w:val="21"/>
                <w:highlight w:val="none"/>
              </w:rPr>
            </w:pPr>
          </w:p>
        </w:tc>
      </w:tr>
    </w:tbl>
    <w:p w14:paraId="5516D2ED">
      <w:pPr>
        <w:ind w:firstLine="420" w:firstLineChars="200"/>
        <w:rPr>
          <w:rFonts w:hint="eastAsia" w:cs="仿宋_GB2312"/>
          <w:color w:val="auto"/>
          <w:sz w:val="21"/>
          <w:szCs w:val="21"/>
          <w:highlight w:val="none"/>
        </w:rPr>
      </w:pPr>
    </w:p>
    <w:p w14:paraId="307BC303">
      <w:pPr>
        <w:ind w:firstLine="420" w:firstLineChars="200"/>
        <w:rPr>
          <w:rFonts w:cs="仿宋_GB2312"/>
          <w:color w:val="auto"/>
          <w:szCs w:val="24"/>
          <w:highlight w:val="none"/>
        </w:rPr>
      </w:pPr>
      <w:r>
        <w:rPr>
          <w:rFonts w:hint="eastAsia" w:cs="仿宋_GB2312"/>
          <w:color w:val="auto"/>
          <w:sz w:val="21"/>
          <w:szCs w:val="21"/>
          <w:highlight w:val="none"/>
        </w:rPr>
        <w:t>注：投标人应按照招标文件“第三章 采购需求”</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1A3EAC71">
      <w:pPr>
        <w:rPr>
          <w:rFonts w:cs="仿宋_GB2312"/>
          <w:color w:val="auto"/>
          <w:szCs w:val="24"/>
          <w:highlight w:val="none"/>
        </w:rPr>
      </w:pPr>
    </w:p>
    <w:p w14:paraId="5CB06622">
      <w:pPr>
        <w:ind w:firstLine="480" w:firstLineChars="200"/>
        <w:rPr>
          <w:rFonts w:cs="仿宋_GB2312"/>
          <w:color w:val="auto"/>
          <w:szCs w:val="24"/>
          <w:highlight w:val="none"/>
        </w:rPr>
      </w:pPr>
    </w:p>
    <w:p w14:paraId="2E8083B6">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77655944">
      <w:pPr>
        <w:ind w:firstLine="420"/>
        <w:rPr>
          <w:rFonts w:cs="仿宋_GB2312"/>
          <w:color w:val="auto"/>
          <w:szCs w:val="24"/>
          <w:highlight w:val="none"/>
        </w:rPr>
      </w:pPr>
      <w:r>
        <w:rPr>
          <w:rFonts w:hint="eastAsia" w:cs="仿宋_GB2312"/>
          <w:color w:val="auto"/>
          <w:szCs w:val="24"/>
          <w:highlight w:val="none"/>
        </w:rPr>
        <w:t>日      期：</w:t>
      </w:r>
    </w:p>
    <w:p w14:paraId="598C43A6">
      <w:pPr>
        <w:ind w:firstLine="420"/>
        <w:rPr>
          <w:rFonts w:cs="仿宋_GB2312"/>
          <w:color w:val="auto"/>
          <w:szCs w:val="24"/>
          <w:highlight w:val="none"/>
        </w:rPr>
      </w:pPr>
      <w:r>
        <w:rPr>
          <w:rFonts w:cs="仿宋_GB2312"/>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287724FC">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0" w:name="_Toc18155"/>
      <w:r>
        <w:rPr>
          <w:rFonts w:hint="eastAsia" w:cstheme="majorBidi"/>
          <w:b/>
          <w:bCs/>
          <w:color w:val="auto"/>
          <w:kern w:val="2"/>
          <w:sz w:val="32"/>
          <w:szCs w:val="32"/>
          <w:highlight w:val="none"/>
          <w:lang w:val="en-US" w:eastAsia="zh-CN" w:bidi="ar-SA"/>
        </w:rPr>
        <w:t>七</w:t>
      </w:r>
      <w:r>
        <w:rPr>
          <w:rFonts w:hint="eastAsia" w:eastAsia="宋体" w:asciiTheme="majorHAnsi" w:hAnsiTheme="majorHAnsi" w:cstheme="majorBidi"/>
          <w:b/>
          <w:bCs/>
          <w:color w:val="auto"/>
          <w:kern w:val="2"/>
          <w:sz w:val="32"/>
          <w:szCs w:val="32"/>
          <w:highlight w:val="none"/>
          <w:lang w:val="en-US" w:eastAsia="zh-CN" w:bidi="ar-SA"/>
        </w:rPr>
        <w:t>、业绩证明文件</w:t>
      </w:r>
      <w:bookmarkEnd w:id="810"/>
    </w:p>
    <w:p w14:paraId="7DB08DA5">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4A687997">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29"/>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0BB3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37278D52">
            <w:pPr>
              <w:jc w:val="center"/>
              <w:rPr>
                <w:rFonts w:hint="eastAsia" w:ascii="宋体" w:hAnsi="宋体" w:eastAsia="宋体" w:cs="宋体"/>
                <w:color w:val="auto"/>
                <w:sz w:val="21"/>
                <w:szCs w:val="21"/>
                <w:highlight w:val="none"/>
              </w:rPr>
            </w:pPr>
            <w:bookmarkStart w:id="811" w:name="_Hlk46779239"/>
            <w:r>
              <w:rPr>
                <w:rFonts w:hint="eastAsia" w:ascii="宋体" w:hAnsi="宋体" w:eastAsia="宋体" w:cs="宋体"/>
                <w:color w:val="auto"/>
                <w:sz w:val="21"/>
                <w:szCs w:val="21"/>
                <w:highlight w:val="none"/>
              </w:rPr>
              <w:t>序号</w:t>
            </w:r>
          </w:p>
        </w:tc>
        <w:tc>
          <w:tcPr>
            <w:tcW w:w="1080" w:type="dxa"/>
            <w:vAlign w:val="center"/>
          </w:tcPr>
          <w:p w14:paraId="5EA65C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15F711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7F2B95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6A877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DD0D2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607D7E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49BD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1F1D1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5A72089">
            <w:pPr>
              <w:rPr>
                <w:rFonts w:hint="eastAsia" w:ascii="宋体" w:hAnsi="宋体" w:eastAsia="宋体" w:cs="宋体"/>
                <w:color w:val="auto"/>
                <w:sz w:val="21"/>
                <w:szCs w:val="21"/>
                <w:highlight w:val="none"/>
              </w:rPr>
            </w:pPr>
          </w:p>
        </w:tc>
        <w:tc>
          <w:tcPr>
            <w:tcW w:w="1248" w:type="dxa"/>
            <w:vAlign w:val="center"/>
          </w:tcPr>
          <w:p w14:paraId="6F3805E3">
            <w:pPr>
              <w:rPr>
                <w:rFonts w:hint="eastAsia" w:ascii="宋体" w:hAnsi="宋体" w:eastAsia="宋体" w:cs="宋体"/>
                <w:color w:val="auto"/>
                <w:sz w:val="21"/>
                <w:szCs w:val="21"/>
                <w:highlight w:val="none"/>
              </w:rPr>
            </w:pPr>
          </w:p>
        </w:tc>
        <w:tc>
          <w:tcPr>
            <w:tcW w:w="1129" w:type="dxa"/>
            <w:vAlign w:val="center"/>
          </w:tcPr>
          <w:p w14:paraId="7CB7C00C">
            <w:pPr>
              <w:rPr>
                <w:rFonts w:hint="eastAsia" w:ascii="宋体" w:hAnsi="宋体" w:eastAsia="宋体" w:cs="宋体"/>
                <w:color w:val="auto"/>
                <w:sz w:val="21"/>
                <w:szCs w:val="21"/>
                <w:highlight w:val="none"/>
              </w:rPr>
            </w:pPr>
          </w:p>
        </w:tc>
        <w:tc>
          <w:tcPr>
            <w:tcW w:w="1283" w:type="dxa"/>
            <w:vAlign w:val="center"/>
          </w:tcPr>
          <w:p w14:paraId="60DAC622">
            <w:pPr>
              <w:rPr>
                <w:rFonts w:hint="eastAsia" w:ascii="宋体" w:hAnsi="宋体" w:eastAsia="宋体" w:cs="宋体"/>
                <w:color w:val="auto"/>
                <w:sz w:val="21"/>
                <w:szCs w:val="21"/>
                <w:highlight w:val="none"/>
              </w:rPr>
            </w:pPr>
          </w:p>
        </w:tc>
        <w:tc>
          <w:tcPr>
            <w:tcW w:w="1368" w:type="dxa"/>
            <w:vAlign w:val="center"/>
          </w:tcPr>
          <w:p w14:paraId="5436BEC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6799D8A5">
            <w:pPr>
              <w:rPr>
                <w:rFonts w:hint="eastAsia" w:ascii="宋体" w:hAnsi="宋体" w:eastAsia="宋体" w:cs="宋体"/>
                <w:color w:val="auto"/>
                <w:sz w:val="21"/>
                <w:szCs w:val="21"/>
                <w:highlight w:val="none"/>
              </w:rPr>
            </w:pPr>
          </w:p>
        </w:tc>
      </w:tr>
      <w:tr w14:paraId="4367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031748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3C7437EA">
            <w:pPr>
              <w:rPr>
                <w:rFonts w:hint="eastAsia" w:ascii="宋体" w:hAnsi="宋体" w:eastAsia="宋体" w:cs="宋体"/>
                <w:color w:val="auto"/>
                <w:sz w:val="21"/>
                <w:szCs w:val="21"/>
                <w:highlight w:val="none"/>
              </w:rPr>
            </w:pPr>
          </w:p>
        </w:tc>
        <w:tc>
          <w:tcPr>
            <w:tcW w:w="1248" w:type="dxa"/>
            <w:vAlign w:val="center"/>
          </w:tcPr>
          <w:p w14:paraId="753A8A2D">
            <w:pPr>
              <w:rPr>
                <w:rFonts w:hint="eastAsia" w:ascii="宋体" w:hAnsi="宋体" w:eastAsia="宋体" w:cs="宋体"/>
                <w:color w:val="auto"/>
                <w:sz w:val="21"/>
                <w:szCs w:val="21"/>
                <w:highlight w:val="none"/>
              </w:rPr>
            </w:pPr>
          </w:p>
        </w:tc>
        <w:tc>
          <w:tcPr>
            <w:tcW w:w="1129" w:type="dxa"/>
            <w:vAlign w:val="center"/>
          </w:tcPr>
          <w:p w14:paraId="02634890">
            <w:pPr>
              <w:rPr>
                <w:rFonts w:hint="eastAsia" w:ascii="宋体" w:hAnsi="宋体" w:eastAsia="宋体" w:cs="宋体"/>
                <w:color w:val="auto"/>
                <w:sz w:val="21"/>
                <w:szCs w:val="21"/>
                <w:highlight w:val="none"/>
              </w:rPr>
            </w:pPr>
          </w:p>
        </w:tc>
        <w:tc>
          <w:tcPr>
            <w:tcW w:w="1283" w:type="dxa"/>
            <w:vAlign w:val="center"/>
          </w:tcPr>
          <w:p w14:paraId="3563AED4">
            <w:pPr>
              <w:rPr>
                <w:rFonts w:hint="eastAsia" w:ascii="宋体" w:hAnsi="宋体" w:eastAsia="宋体" w:cs="宋体"/>
                <w:color w:val="auto"/>
                <w:sz w:val="21"/>
                <w:szCs w:val="21"/>
                <w:highlight w:val="none"/>
              </w:rPr>
            </w:pPr>
          </w:p>
        </w:tc>
        <w:tc>
          <w:tcPr>
            <w:tcW w:w="1368" w:type="dxa"/>
            <w:vAlign w:val="center"/>
          </w:tcPr>
          <w:p w14:paraId="4ED6DFCE">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069D1E24">
            <w:pPr>
              <w:rPr>
                <w:rFonts w:hint="eastAsia" w:ascii="宋体" w:hAnsi="宋体" w:eastAsia="宋体" w:cs="宋体"/>
                <w:color w:val="auto"/>
                <w:sz w:val="21"/>
                <w:szCs w:val="21"/>
                <w:highlight w:val="none"/>
              </w:rPr>
            </w:pPr>
          </w:p>
        </w:tc>
      </w:tr>
      <w:tr w14:paraId="026F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CB6EA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5AFF132B">
            <w:pPr>
              <w:rPr>
                <w:rFonts w:hint="eastAsia" w:ascii="宋体" w:hAnsi="宋体" w:eastAsia="宋体" w:cs="宋体"/>
                <w:color w:val="auto"/>
                <w:sz w:val="21"/>
                <w:szCs w:val="21"/>
                <w:highlight w:val="none"/>
              </w:rPr>
            </w:pPr>
          </w:p>
        </w:tc>
        <w:tc>
          <w:tcPr>
            <w:tcW w:w="1248" w:type="dxa"/>
            <w:vAlign w:val="center"/>
          </w:tcPr>
          <w:p w14:paraId="40DFA463">
            <w:pPr>
              <w:rPr>
                <w:rFonts w:hint="eastAsia" w:ascii="宋体" w:hAnsi="宋体" w:eastAsia="宋体" w:cs="宋体"/>
                <w:color w:val="auto"/>
                <w:sz w:val="21"/>
                <w:szCs w:val="21"/>
                <w:highlight w:val="none"/>
              </w:rPr>
            </w:pPr>
          </w:p>
        </w:tc>
        <w:tc>
          <w:tcPr>
            <w:tcW w:w="1129" w:type="dxa"/>
            <w:vAlign w:val="center"/>
          </w:tcPr>
          <w:p w14:paraId="192188BA">
            <w:pPr>
              <w:rPr>
                <w:rFonts w:hint="eastAsia" w:ascii="宋体" w:hAnsi="宋体" w:eastAsia="宋体" w:cs="宋体"/>
                <w:color w:val="auto"/>
                <w:sz w:val="21"/>
                <w:szCs w:val="21"/>
                <w:highlight w:val="none"/>
              </w:rPr>
            </w:pPr>
          </w:p>
        </w:tc>
        <w:tc>
          <w:tcPr>
            <w:tcW w:w="1283" w:type="dxa"/>
            <w:vAlign w:val="center"/>
          </w:tcPr>
          <w:p w14:paraId="58044B96">
            <w:pPr>
              <w:rPr>
                <w:rFonts w:hint="eastAsia" w:ascii="宋体" w:hAnsi="宋体" w:eastAsia="宋体" w:cs="宋体"/>
                <w:color w:val="auto"/>
                <w:sz w:val="21"/>
                <w:szCs w:val="21"/>
                <w:highlight w:val="none"/>
              </w:rPr>
            </w:pPr>
          </w:p>
        </w:tc>
        <w:tc>
          <w:tcPr>
            <w:tcW w:w="1368" w:type="dxa"/>
            <w:vAlign w:val="center"/>
          </w:tcPr>
          <w:p w14:paraId="10BAB04D">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048AC4DE">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6822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5EB02E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30E7C832">
            <w:pPr>
              <w:rPr>
                <w:rFonts w:hint="eastAsia" w:ascii="宋体" w:hAnsi="宋体" w:eastAsia="宋体" w:cs="宋体"/>
                <w:color w:val="auto"/>
                <w:sz w:val="21"/>
                <w:szCs w:val="21"/>
                <w:highlight w:val="none"/>
              </w:rPr>
            </w:pPr>
          </w:p>
        </w:tc>
        <w:tc>
          <w:tcPr>
            <w:tcW w:w="1248" w:type="dxa"/>
            <w:vAlign w:val="center"/>
          </w:tcPr>
          <w:p w14:paraId="147B2F98">
            <w:pPr>
              <w:rPr>
                <w:rFonts w:hint="eastAsia" w:ascii="宋体" w:hAnsi="宋体" w:eastAsia="宋体" w:cs="宋体"/>
                <w:color w:val="auto"/>
                <w:sz w:val="21"/>
                <w:szCs w:val="21"/>
                <w:highlight w:val="none"/>
              </w:rPr>
            </w:pPr>
          </w:p>
        </w:tc>
        <w:tc>
          <w:tcPr>
            <w:tcW w:w="1129" w:type="dxa"/>
            <w:vAlign w:val="center"/>
          </w:tcPr>
          <w:p w14:paraId="61B0E0D4">
            <w:pPr>
              <w:rPr>
                <w:rFonts w:hint="eastAsia" w:ascii="宋体" w:hAnsi="宋体" w:eastAsia="宋体" w:cs="宋体"/>
                <w:color w:val="auto"/>
                <w:sz w:val="21"/>
                <w:szCs w:val="21"/>
                <w:highlight w:val="none"/>
              </w:rPr>
            </w:pPr>
          </w:p>
        </w:tc>
        <w:tc>
          <w:tcPr>
            <w:tcW w:w="1283" w:type="dxa"/>
            <w:vAlign w:val="center"/>
          </w:tcPr>
          <w:p w14:paraId="6B918799">
            <w:pPr>
              <w:rPr>
                <w:rFonts w:hint="eastAsia" w:ascii="宋体" w:hAnsi="宋体" w:eastAsia="宋体" w:cs="宋体"/>
                <w:color w:val="auto"/>
                <w:sz w:val="21"/>
                <w:szCs w:val="21"/>
                <w:highlight w:val="none"/>
              </w:rPr>
            </w:pPr>
          </w:p>
        </w:tc>
        <w:tc>
          <w:tcPr>
            <w:tcW w:w="1368" w:type="dxa"/>
            <w:vAlign w:val="center"/>
          </w:tcPr>
          <w:p w14:paraId="1BCEEA1A">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459FE74C">
            <w:pPr>
              <w:rPr>
                <w:rFonts w:hint="eastAsia" w:ascii="宋体" w:hAnsi="宋体" w:eastAsia="宋体" w:cs="宋体"/>
                <w:color w:val="auto"/>
                <w:sz w:val="21"/>
                <w:szCs w:val="21"/>
                <w:highlight w:val="none"/>
              </w:rPr>
            </w:pPr>
          </w:p>
        </w:tc>
      </w:tr>
      <w:bookmarkEnd w:id="811"/>
    </w:tbl>
    <w:p w14:paraId="0D2F5038">
      <w:pPr>
        <w:rPr>
          <w:rFonts w:hint="eastAsia" w:cs="仿宋_GB2312"/>
          <w:color w:val="auto"/>
          <w:szCs w:val="24"/>
          <w:highlight w:val="none"/>
        </w:rPr>
      </w:pPr>
    </w:p>
    <w:p w14:paraId="088168D4">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相关要求</w:t>
      </w:r>
      <w:r>
        <w:rPr>
          <w:rFonts w:hint="eastAsia" w:cs="仿宋_GB2312"/>
          <w:color w:val="auto"/>
          <w:sz w:val="21"/>
          <w:szCs w:val="21"/>
          <w:highlight w:val="none"/>
        </w:rPr>
        <w:t>提供相应的</w:t>
      </w:r>
      <w:r>
        <w:rPr>
          <w:rFonts w:hint="eastAsia" w:cs="仿宋_GB2312"/>
          <w:color w:val="auto"/>
          <w:sz w:val="21"/>
          <w:szCs w:val="21"/>
          <w:highlight w:val="none"/>
          <w:lang w:val="en-US" w:eastAsia="zh-CN"/>
        </w:rPr>
        <w:t>中标（成交）通知书或采购合同等</w:t>
      </w:r>
      <w:r>
        <w:rPr>
          <w:rFonts w:hint="eastAsia" w:cs="仿宋_GB2312"/>
          <w:color w:val="auto"/>
          <w:sz w:val="21"/>
          <w:szCs w:val="21"/>
          <w:highlight w:val="none"/>
        </w:rPr>
        <w:t>业绩证明资料。</w:t>
      </w:r>
    </w:p>
    <w:p w14:paraId="57D75AD1">
      <w:pPr>
        <w:rPr>
          <w:rFonts w:cs="仿宋_GB2312"/>
          <w:color w:val="auto"/>
          <w:szCs w:val="24"/>
          <w:highlight w:val="none"/>
        </w:rPr>
      </w:pPr>
    </w:p>
    <w:p w14:paraId="5DB99613">
      <w:pPr>
        <w:widowControl/>
        <w:spacing w:before="100" w:beforeAutospacing="1" w:after="100" w:afterAutospacing="1"/>
        <w:rPr>
          <w:rFonts w:cs="Arial"/>
          <w:color w:val="auto"/>
          <w:szCs w:val="21"/>
          <w:highlight w:val="none"/>
        </w:rPr>
      </w:pPr>
    </w:p>
    <w:p w14:paraId="68FCBA1E">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360811C8">
      <w:pPr>
        <w:ind w:firstLine="420"/>
        <w:rPr>
          <w:rFonts w:cs="仿宋_GB2312"/>
          <w:color w:val="auto"/>
          <w:szCs w:val="24"/>
          <w:highlight w:val="none"/>
        </w:rPr>
      </w:pPr>
      <w:r>
        <w:rPr>
          <w:rFonts w:hint="eastAsia" w:cs="仿宋_GB2312"/>
          <w:color w:val="auto"/>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2" w:name="_Toc13134"/>
      <w:r>
        <w:rPr>
          <w:rFonts w:hint="eastAsia" w:cstheme="majorBidi"/>
          <w:b/>
          <w:bCs/>
          <w:color w:val="auto"/>
          <w:kern w:val="2"/>
          <w:sz w:val="32"/>
          <w:szCs w:val="32"/>
          <w:highlight w:val="none"/>
          <w:lang w:val="en-US" w:eastAsia="zh-CN" w:bidi="ar-SA"/>
        </w:rPr>
        <w:t>八</w:t>
      </w:r>
      <w:r>
        <w:rPr>
          <w:rFonts w:hint="eastAsia" w:eastAsia="宋体" w:asciiTheme="majorHAnsi" w:hAnsiTheme="majorHAnsi" w:cstheme="majorBidi"/>
          <w:b/>
          <w:bCs/>
          <w:color w:val="auto"/>
          <w:kern w:val="2"/>
          <w:sz w:val="32"/>
          <w:szCs w:val="32"/>
          <w:highlight w:val="none"/>
          <w:lang w:val="en-US" w:eastAsia="zh-CN" w:bidi="ar-SA"/>
        </w:rPr>
        <w:t>、拟派项目团队</w:t>
      </w:r>
      <w:bookmarkEnd w:id="812"/>
    </w:p>
    <w:tbl>
      <w:tblPr>
        <w:tblStyle w:val="29"/>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0940B260">
            <w:pPr>
              <w:pStyle w:val="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422D7D9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48"/>
              <w:jc w:val="center"/>
              <w:rPr>
                <w:rFonts w:hint="eastAsia" w:ascii="宋体" w:hAnsi="宋体" w:eastAsia="宋体" w:cs="宋体"/>
                <w:color w:val="auto"/>
                <w:sz w:val="21"/>
                <w:szCs w:val="21"/>
                <w:highlight w:val="none"/>
              </w:rPr>
            </w:pPr>
            <w:bookmarkStart w:id="813" w:name="_Toc99533292"/>
            <w:bookmarkStart w:id="814" w:name="_Toc100090784"/>
            <w:r>
              <w:rPr>
                <w:rFonts w:hint="eastAsia" w:ascii="宋体" w:hAnsi="宋体" w:eastAsia="宋体" w:cs="宋体"/>
                <w:color w:val="auto"/>
                <w:sz w:val="21"/>
                <w:szCs w:val="21"/>
                <w:highlight w:val="none"/>
              </w:rPr>
              <w:t>1</w:t>
            </w:r>
            <w:bookmarkEnd w:id="813"/>
            <w:bookmarkEnd w:id="814"/>
          </w:p>
        </w:tc>
        <w:tc>
          <w:tcPr>
            <w:tcW w:w="1267" w:type="dxa"/>
            <w:vAlign w:val="center"/>
          </w:tcPr>
          <w:p w14:paraId="04D72608">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48"/>
              <w:jc w:val="center"/>
              <w:rPr>
                <w:rFonts w:hint="eastAsia" w:ascii="宋体" w:hAnsi="宋体" w:eastAsia="宋体" w:cs="宋体"/>
                <w:color w:val="auto"/>
                <w:sz w:val="21"/>
                <w:szCs w:val="21"/>
                <w:highlight w:val="none"/>
              </w:rPr>
            </w:pPr>
          </w:p>
        </w:tc>
        <w:tc>
          <w:tcPr>
            <w:tcW w:w="1860" w:type="dxa"/>
            <w:vAlign w:val="center"/>
          </w:tcPr>
          <w:p w14:paraId="7F355EC3">
            <w:pPr>
              <w:pStyle w:val="48"/>
              <w:jc w:val="center"/>
              <w:rPr>
                <w:rFonts w:hint="eastAsia" w:ascii="宋体" w:hAnsi="宋体" w:eastAsia="宋体" w:cs="宋体"/>
                <w:color w:val="auto"/>
                <w:sz w:val="21"/>
                <w:szCs w:val="21"/>
                <w:highlight w:val="none"/>
              </w:rPr>
            </w:pPr>
          </w:p>
        </w:tc>
        <w:tc>
          <w:tcPr>
            <w:tcW w:w="1356" w:type="dxa"/>
            <w:vAlign w:val="center"/>
          </w:tcPr>
          <w:p w14:paraId="11476DCE">
            <w:pPr>
              <w:pStyle w:val="48"/>
              <w:jc w:val="center"/>
              <w:rPr>
                <w:rFonts w:hint="eastAsia" w:ascii="宋体" w:hAnsi="宋体" w:eastAsia="宋体" w:cs="宋体"/>
                <w:color w:val="auto"/>
                <w:sz w:val="21"/>
                <w:szCs w:val="21"/>
                <w:highlight w:val="none"/>
              </w:rPr>
            </w:pPr>
          </w:p>
        </w:tc>
        <w:tc>
          <w:tcPr>
            <w:tcW w:w="816" w:type="dxa"/>
            <w:vAlign w:val="center"/>
          </w:tcPr>
          <w:p w14:paraId="30F5864D">
            <w:pPr>
              <w:pStyle w:val="48"/>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48"/>
              <w:jc w:val="center"/>
              <w:rPr>
                <w:rFonts w:hint="eastAsia" w:ascii="宋体" w:hAnsi="宋体" w:eastAsia="宋体" w:cs="宋体"/>
                <w:color w:val="auto"/>
                <w:sz w:val="21"/>
                <w:szCs w:val="21"/>
                <w:highlight w:val="none"/>
              </w:rPr>
            </w:pPr>
            <w:bookmarkStart w:id="815" w:name="_Toc99533293"/>
            <w:bookmarkStart w:id="816" w:name="_Toc100090785"/>
            <w:r>
              <w:rPr>
                <w:rFonts w:hint="eastAsia" w:ascii="宋体" w:hAnsi="宋体" w:eastAsia="宋体" w:cs="宋体"/>
                <w:color w:val="auto"/>
                <w:sz w:val="21"/>
                <w:szCs w:val="21"/>
                <w:highlight w:val="none"/>
              </w:rPr>
              <w:t>2</w:t>
            </w:r>
            <w:bookmarkEnd w:id="815"/>
            <w:bookmarkEnd w:id="816"/>
          </w:p>
        </w:tc>
        <w:tc>
          <w:tcPr>
            <w:tcW w:w="1267" w:type="dxa"/>
            <w:vAlign w:val="center"/>
          </w:tcPr>
          <w:p w14:paraId="3AE14FF6">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48"/>
              <w:jc w:val="center"/>
              <w:rPr>
                <w:rFonts w:hint="eastAsia" w:ascii="宋体" w:hAnsi="宋体" w:eastAsia="宋体" w:cs="宋体"/>
                <w:color w:val="auto"/>
                <w:sz w:val="21"/>
                <w:szCs w:val="21"/>
                <w:highlight w:val="none"/>
              </w:rPr>
            </w:pPr>
          </w:p>
        </w:tc>
        <w:tc>
          <w:tcPr>
            <w:tcW w:w="1860" w:type="dxa"/>
            <w:vAlign w:val="center"/>
          </w:tcPr>
          <w:p w14:paraId="390E678F">
            <w:pPr>
              <w:pStyle w:val="48"/>
              <w:jc w:val="center"/>
              <w:rPr>
                <w:rFonts w:hint="eastAsia" w:ascii="宋体" w:hAnsi="宋体" w:eastAsia="宋体" w:cs="宋体"/>
                <w:color w:val="auto"/>
                <w:sz w:val="21"/>
                <w:szCs w:val="21"/>
                <w:highlight w:val="none"/>
              </w:rPr>
            </w:pPr>
          </w:p>
        </w:tc>
        <w:tc>
          <w:tcPr>
            <w:tcW w:w="1356" w:type="dxa"/>
            <w:vAlign w:val="center"/>
          </w:tcPr>
          <w:p w14:paraId="44B4146B">
            <w:pPr>
              <w:pStyle w:val="48"/>
              <w:jc w:val="center"/>
              <w:rPr>
                <w:rFonts w:hint="eastAsia" w:ascii="宋体" w:hAnsi="宋体" w:eastAsia="宋体" w:cs="宋体"/>
                <w:color w:val="auto"/>
                <w:sz w:val="21"/>
                <w:szCs w:val="21"/>
                <w:highlight w:val="none"/>
              </w:rPr>
            </w:pPr>
          </w:p>
        </w:tc>
        <w:tc>
          <w:tcPr>
            <w:tcW w:w="816" w:type="dxa"/>
            <w:vAlign w:val="center"/>
          </w:tcPr>
          <w:p w14:paraId="3D8C0BFB">
            <w:pPr>
              <w:pStyle w:val="48"/>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48"/>
              <w:jc w:val="center"/>
              <w:rPr>
                <w:rFonts w:hint="eastAsia" w:ascii="宋体" w:hAnsi="宋体" w:eastAsia="宋体" w:cs="宋体"/>
                <w:color w:val="auto"/>
                <w:sz w:val="21"/>
                <w:szCs w:val="21"/>
                <w:highlight w:val="none"/>
              </w:rPr>
            </w:pPr>
            <w:bookmarkStart w:id="817" w:name="_Toc100090786"/>
            <w:bookmarkStart w:id="818" w:name="_Toc99533294"/>
            <w:r>
              <w:rPr>
                <w:rFonts w:hint="eastAsia" w:ascii="宋体" w:hAnsi="宋体" w:eastAsia="宋体" w:cs="宋体"/>
                <w:color w:val="auto"/>
                <w:sz w:val="21"/>
                <w:szCs w:val="21"/>
                <w:highlight w:val="none"/>
              </w:rPr>
              <w:t>3</w:t>
            </w:r>
            <w:bookmarkEnd w:id="817"/>
            <w:bookmarkEnd w:id="818"/>
          </w:p>
        </w:tc>
        <w:tc>
          <w:tcPr>
            <w:tcW w:w="1267" w:type="dxa"/>
            <w:vAlign w:val="center"/>
          </w:tcPr>
          <w:p w14:paraId="19C12411">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48"/>
              <w:jc w:val="center"/>
              <w:rPr>
                <w:rFonts w:hint="eastAsia" w:ascii="宋体" w:hAnsi="宋体" w:eastAsia="宋体" w:cs="宋体"/>
                <w:color w:val="auto"/>
                <w:sz w:val="21"/>
                <w:szCs w:val="21"/>
                <w:highlight w:val="none"/>
              </w:rPr>
            </w:pPr>
          </w:p>
        </w:tc>
        <w:tc>
          <w:tcPr>
            <w:tcW w:w="1860" w:type="dxa"/>
            <w:vAlign w:val="center"/>
          </w:tcPr>
          <w:p w14:paraId="3F31D2CD">
            <w:pPr>
              <w:pStyle w:val="48"/>
              <w:jc w:val="center"/>
              <w:rPr>
                <w:rFonts w:hint="eastAsia" w:ascii="宋体" w:hAnsi="宋体" w:eastAsia="宋体" w:cs="宋体"/>
                <w:color w:val="auto"/>
                <w:sz w:val="21"/>
                <w:szCs w:val="21"/>
                <w:highlight w:val="none"/>
              </w:rPr>
            </w:pPr>
          </w:p>
        </w:tc>
        <w:tc>
          <w:tcPr>
            <w:tcW w:w="1356" w:type="dxa"/>
            <w:vAlign w:val="center"/>
          </w:tcPr>
          <w:p w14:paraId="3A9D9DD7">
            <w:pPr>
              <w:pStyle w:val="48"/>
              <w:jc w:val="center"/>
              <w:rPr>
                <w:rFonts w:hint="eastAsia" w:ascii="宋体" w:hAnsi="宋体" w:eastAsia="宋体" w:cs="宋体"/>
                <w:color w:val="auto"/>
                <w:sz w:val="21"/>
                <w:szCs w:val="21"/>
                <w:highlight w:val="none"/>
              </w:rPr>
            </w:pPr>
          </w:p>
        </w:tc>
        <w:tc>
          <w:tcPr>
            <w:tcW w:w="816" w:type="dxa"/>
            <w:vAlign w:val="center"/>
          </w:tcPr>
          <w:p w14:paraId="0ED9D4FB">
            <w:pPr>
              <w:pStyle w:val="48"/>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48"/>
              <w:jc w:val="center"/>
              <w:rPr>
                <w:rFonts w:hint="eastAsia" w:ascii="宋体" w:hAnsi="宋体" w:eastAsia="宋体" w:cs="宋体"/>
                <w:color w:val="auto"/>
                <w:sz w:val="21"/>
                <w:szCs w:val="21"/>
                <w:highlight w:val="none"/>
              </w:rPr>
            </w:pPr>
            <w:bookmarkStart w:id="819" w:name="_Toc100090787"/>
            <w:bookmarkStart w:id="820" w:name="_Toc99533295"/>
            <w:r>
              <w:rPr>
                <w:rFonts w:hint="eastAsia" w:ascii="宋体" w:hAnsi="宋体" w:eastAsia="宋体" w:cs="宋体"/>
                <w:color w:val="auto"/>
                <w:sz w:val="21"/>
                <w:szCs w:val="21"/>
                <w:highlight w:val="none"/>
              </w:rPr>
              <w:t>4</w:t>
            </w:r>
            <w:bookmarkEnd w:id="819"/>
            <w:bookmarkEnd w:id="820"/>
          </w:p>
        </w:tc>
        <w:tc>
          <w:tcPr>
            <w:tcW w:w="1267" w:type="dxa"/>
            <w:vAlign w:val="center"/>
          </w:tcPr>
          <w:p w14:paraId="42DE0F63">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48"/>
              <w:jc w:val="center"/>
              <w:rPr>
                <w:rFonts w:hint="eastAsia" w:ascii="宋体" w:hAnsi="宋体" w:eastAsia="宋体" w:cs="宋体"/>
                <w:color w:val="auto"/>
                <w:sz w:val="21"/>
                <w:szCs w:val="21"/>
                <w:highlight w:val="none"/>
              </w:rPr>
            </w:pPr>
          </w:p>
        </w:tc>
        <w:tc>
          <w:tcPr>
            <w:tcW w:w="1860" w:type="dxa"/>
            <w:vAlign w:val="center"/>
          </w:tcPr>
          <w:p w14:paraId="068007BF">
            <w:pPr>
              <w:pStyle w:val="48"/>
              <w:jc w:val="center"/>
              <w:rPr>
                <w:rFonts w:hint="eastAsia" w:ascii="宋体" w:hAnsi="宋体" w:eastAsia="宋体" w:cs="宋体"/>
                <w:color w:val="auto"/>
                <w:sz w:val="21"/>
                <w:szCs w:val="21"/>
                <w:highlight w:val="none"/>
              </w:rPr>
            </w:pPr>
          </w:p>
        </w:tc>
        <w:tc>
          <w:tcPr>
            <w:tcW w:w="1356" w:type="dxa"/>
            <w:vAlign w:val="center"/>
          </w:tcPr>
          <w:p w14:paraId="5A94DC72">
            <w:pPr>
              <w:pStyle w:val="48"/>
              <w:jc w:val="center"/>
              <w:rPr>
                <w:rFonts w:hint="eastAsia" w:ascii="宋体" w:hAnsi="宋体" w:eastAsia="宋体" w:cs="宋体"/>
                <w:color w:val="auto"/>
                <w:sz w:val="21"/>
                <w:szCs w:val="21"/>
                <w:highlight w:val="none"/>
              </w:rPr>
            </w:pPr>
          </w:p>
        </w:tc>
        <w:tc>
          <w:tcPr>
            <w:tcW w:w="816" w:type="dxa"/>
            <w:vAlign w:val="center"/>
          </w:tcPr>
          <w:p w14:paraId="01F1E6DB">
            <w:pPr>
              <w:pStyle w:val="48"/>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48"/>
              <w:jc w:val="center"/>
              <w:rPr>
                <w:rFonts w:hint="eastAsia" w:ascii="宋体" w:hAnsi="宋体" w:eastAsia="宋体" w:cs="宋体"/>
                <w:color w:val="auto"/>
                <w:sz w:val="21"/>
                <w:szCs w:val="21"/>
                <w:highlight w:val="none"/>
              </w:rPr>
            </w:pPr>
            <w:bookmarkStart w:id="821" w:name="_Toc100090788"/>
            <w:bookmarkStart w:id="822" w:name="_Toc99533296"/>
            <w:r>
              <w:rPr>
                <w:rFonts w:hint="eastAsia" w:ascii="宋体" w:hAnsi="宋体" w:eastAsia="宋体" w:cs="宋体"/>
                <w:color w:val="auto"/>
                <w:sz w:val="21"/>
                <w:szCs w:val="21"/>
                <w:highlight w:val="none"/>
              </w:rPr>
              <w:t>5</w:t>
            </w:r>
            <w:bookmarkEnd w:id="821"/>
            <w:bookmarkEnd w:id="822"/>
          </w:p>
        </w:tc>
        <w:tc>
          <w:tcPr>
            <w:tcW w:w="1267" w:type="dxa"/>
            <w:vAlign w:val="center"/>
          </w:tcPr>
          <w:p w14:paraId="3241008C">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48"/>
              <w:jc w:val="center"/>
              <w:rPr>
                <w:rFonts w:hint="eastAsia" w:ascii="宋体" w:hAnsi="宋体" w:eastAsia="宋体" w:cs="宋体"/>
                <w:color w:val="auto"/>
                <w:sz w:val="21"/>
                <w:szCs w:val="21"/>
                <w:highlight w:val="none"/>
              </w:rPr>
            </w:pPr>
          </w:p>
        </w:tc>
        <w:tc>
          <w:tcPr>
            <w:tcW w:w="1860" w:type="dxa"/>
            <w:vAlign w:val="center"/>
          </w:tcPr>
          <w:p w14:paraId="12AB49C0">
            <w:pPr>
              <w:pStyle w:val="48"/>
              <w:jc w:val="center"/>
              <w:rPr>
                <w:rFonts w:hint="eastAsia" w:ascii="宋体" w:hAnsi="宋体" w:eastAsia="宋体" w:cs="宋体"/>
                <w:color w:val="auto"/>
                <w:sz w:val="21"/>
                <w:szCs w:val="21"/>
                <w:highlight w:val="none"/>
              </w:rPr>
            </w:pPr>
          </w:p>
        </w:tc>
        <w:tc>
          <w:tcPr>
            <w:tcW w:w="1356" w:type="dxa"/>
            <w:vAlign w:val="center"/>
          </w:tcPr>
          <w:p w14:paraId="1659A511">
            <w:pPr>
              <w:pStyle w:val="48"/>
              <w:jc w:val="center"/>
              <w:rPr>
                <w:rFonts w:hint="eastAsia" w:ascii="宋体" w:hAnsi="宋体" w:eastAsia="宋体" w:cs="宋体"/>
                <w:color w:val="auto"/>
                <w:sz w:val="21"/>
                <w:szCs w:val="21"/>
                <w:highlight w:val="none"/>
              </w:rPr>
            </w:pPr>
          </w:p>
        </w:tc>
        <w:tc>
          <w:tcPr>
            <w:tcW w:w="816" w:type="dxa"/>
            <w:vAlign w:val="center"/>
          </w:tcPr>
          <w:p w14:paraId="5FBE7410">
            <w:pPr>
              <w:pStyle w:val="48"/>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48"/>
              <w:jc w:val="center"/>
              <w:rPr>
                <w:rFonts w:hint="eastAsia" w:ascii="宋体" w:hAnsi="宋体" w:eastAsia="宋体" w:cs="宋体"/>
                <w:color w:val="auto"/>
                <w:sz w:val="21"/>
                <w:szCs w:val="21"/>
                <w:highlight w:val="none"/>
              </w:rPr>
            </w:pPr>
            <w:bookmarkStart w:id="823" w:name="_Toc99533297"/>
            <w:bookmarkStart w:id="824" w:name="_Toc100090789"/>
            <w:r>
              <w:rPr>
                <w:rFonts w:hint="eastAsia" w:ascii="宋体" w:hAnsi="宋体" w:eastAsia="宋体" w:cs="宋体"/>
                <w:color w:val="auto"/>
                <w:sz w:val="21"/>
                <w:szCs w:val="21"/>
                <w:highlight w:val="none"/>
              </w:rPr>
              <w:t>6</w:t>
            </w:r>
            <w:bookmarkEnd w:id="823"/>
            <w:bookmarkEnd w:id="824"/>
          </w:p>
        </w:tc>
        <w:tc>
          <w:tcPr>
            <w:tcW w:w="1267" w:type="dxa"/>
            <w:vAlign w:val="center"/>
          </w:tcPr>
          <w:p w14:paraId="40527E11">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48"/>
              <w:jc w:val="center"/>
              <w:rPr>
                <w:rFonts w:hint="eastAsia" w:ascii="宋体" w:hAnsi="宋体" w:eastAsia="宋体" w:cs="宋体"/>
                <w:color w:val="auto"/>
                <w:sz w:val="21"/>
                <w:szCs w:val="21"/>
                <w:highlight w:val="none"/>
              </w:rPr>
            </w:pPr>
          </w:p>
        </w:tc>
        <w:tc>
          <w:tcPr>
            <w:tcW w:w="1860" w:type="dxa"/>
            <w:vAlign w:val="center"/>
          </w:tcPr>
          <w:p w14:paraId="51ADEB68">
            <w:pPr>
              <w:pStyle w:val="48"/>
              <w:jc w:val="center"/>
              <w:rPr>
                <w:rFonts w:hint="eastAsia" w:ascii="宋体" w:hAnsi="宋体" w:eastAsia="宋体" w:cs="宋体"/>
                <w:color w:val="auto"/>
                <w:sz w:val="21"/>
                <w:szCs w:val="21"/>
                <w:highlight w:val="none"/>
              </w:rPr>
            </w:pPr>
          </w:p>
        </w:tc>
        <w:tc>
          <w:tcPr>
            <w:tcW w:w="1356" w:type="dxa"/>
            <w:vAlign w:val="center"/>
          </w:tcPr>
          <w:p w14:paraId="1CED2476">
            <w:pPr>
              <w:pStyle w:val="48"/>
              <w:jc w:val="center"/>
              <w:rPr>
                <w:rFonts w:hint="eastAsia" w:ascii="宋体" w:hAnsi="宋体" w:eastAsia="宋体" w:cs="宋体"/>
                <w:color w:val="auto"/>
                <w:sz w:val="21"/>
                <w:szCs w:val="21"/>
                <w:highlight w:val="none"/>
              </w:rPr>
            </w:pPr>
          </w:p>
        </w:tc>
        <w:tc>
          <w:tcPr>
            <w:tcW w:w="816" w:type="dxa"/>
            <w:vAlign w:val="center"/>
          </w:tcPr>
          <w:p w14:paraId="4EF8AB8A">
            <w:pPr>
              <w:pStyle w:val="48"/>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48"/>
              <w:jc w:val="center"/>
              <w:rPr>
                <w:rFonts w:hint="eastAsia" w:ascii="宋体" w:hAnsi="宋体" w:eastAsia="宋体" w:cs="宋体"/>
                <w:color w:val="auto"/>
                <w:sz w:val="21"/>
                <w:szCs w:val="21"/>
                <w:highlight w:val="none"/>
              </w:rPr>
            </w:pPr>
            <w:bookmarkStart w:id="825" w:name="_Toc99533298"/>
            <w:bookmarkStart w:id="826" w:name="_Toc100090790"/>
            <w:r>
              <w:rPr>
                <w:rFonts w:hint="eastAsia" w:ascii="宋体" w:hAnsi="宋体" w:eastAsia="宋体" w:cs="宋体"/>
                <w:color w:val="auto"/>
                <w:sz w:val="21"/>
                <w:szCs w:val="21"/>
                <w:highlight w:val="none"/>
              </w:rPr>
              <w:t>7</w:t>
            </w:r>
            <w:bookmarkEnd w:id="825"/>
            <w:bookmarkEnd w:id="826"/>
          </w:p>
        </w:tc>
        <w:tc>
          <w:tcPr>
            <w:tcW w:w="1267" w:type="dxa"/>
            <w:vAlign w:val="center"/>
          </w:tcPr>
          <w:p w14:paraId="3F3B684D">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48"/>
              <w:jc w:val="center"/>
              <w:rPr>
                <w:rFonts w:hint="eastAsia" w:ascii="宋体" w:hAnsi="宋体" w:eastAsia="宋体" w:cs="宋体"/>
                <w:color w:val="auto"/>
                <w:sz w:val="21"/>
                <w:szCs w:val="21"/>
                <w:highlight w:val="none"/>
              </w:rPr>
            </w:pPr>
          </w:p>
        </w:tc>
        <w:tc>
          <w:tcPr>
            <w:tcW w:w="1860" w:type="dxa"/>
            <w:vAlign w:val="center"/>
          </w:tcPr>
          <w:p w14:paraId="7E9B2A2D">
            <w:pPr>
              <w:pStyle w:val="48"/>
              <w:jc w:val="center"/>
              <w:rPr>
                <w:rFonts w:hint="eastAsia" w:ascii="宋体" w:hAnsi="宋体" w:eastAsia="宋体" w:cs="宋体"/>
                <w:color w:val="auto"/>
                <w:sz w:val="21"/>
                <w:szCs w:val="21"/>
                <w:highlight w:val="none"/>
              </w:rPr>
            </w:pPr>
          </w:p>
        </w:tc>
        <w:tc>
          <w:tcPr>
            <w:tcW w:w="1356" w:type="dxa"/>
            <w:vAlign w:val="center"/>
          </w:tcPr>
          <w:p w14:paraId="4A11C356">
            <w:pPr>
              <w:pStyle w:val="48"/>
              <w:jc w:val="center"/>
              <w:rPr>
                <w:rFonts w:hint="eastAsia" w:ascii="宋体" w:hAnsi="宋体" w:eastAsia="宋体" w:cs="宋体"/>
                <w:color w:val="auto"/>
                <w:sz w:val="21"/>
                <w:szCs w:val="21"/>
                <w:highlight w:val="none"/>
              </w:rPr>
            </w:pPr>
          </w:p>
        </w:tc>
        <w:tc>
          <w:tcPr>
            <w:tcW w:w="816" w:type="dxa"/>
            <w:vAlign w:val="center"/>
          </w:tcPr>
          <w:p w14:paraId="718DD530">
            <w:pPr>
              <w:pStyle w:val="48"/>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48"/>
              <w:jc w:val="center"/>
              <w:rPr>
                <w:rFonts w:hint="eastAsia" w:ascii="宋体" w:hAnsi="宋体" w:eastAsia="宋体" w:cs="宋体"/>
                <w:color w:val="auto"/>
                <w:sz w:val="21"/>
                <w:szCs w:val="21"/>
                <w:highlight w:val="none"/>
              </w:rPr>
            </w:pPr>
            <w:bookmarkStart w:id="827" w:name="_Toc99533299"/>
            <w:bookmarkStart w:id="828" w:name="_Toc100090791"/>
            <w:r>
              <w:rPr>
                <w:rFonts w:hint="eastAsia" w:ascii="宋体" w:hAnsi="宋体" w:eastAsia="宋体" w:cs="宋体"/>
                <w:color w:val="auto"/>
                <w:sz w:val="21"/>
                <w:szCs w:val="21"/>
                <w:highlight w:val="none"/>
              </w:rPr>
              <w:t>8</w:t>
            </w:r>
            <w:bookmarkEnd w:id="827"/>
            <w:bookmarkEnd w:id="828"/>
          </w:p>
        </w:tc>
        <w:tc>
          <w:tcPr>
            <w:tcW w:w="1267" w:type="dxa"/>
            <w:vAlign w:val="center"/>
          </w:tcPr>
          <w:p w14:paraId="20BD29D0">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48"/>
              <w:jc w:val="center"/>
              <w:rPr>
                <w:rFonts w:hint="eastAsia" w:ascii="宋体" w:hAnsi="宋体" w:eastAsia="宋体" w:cs="宋体"/>
                <w:color w:val="auto"/>
                <w:sz w:val="21"/>
                <w:szCs w:val="21"/>
                <w:highlight w:val="none"/>
              </w:rPr>
            </w:pPr>
          </w:p>
        </w:tc>
        <w:tc>
          <w:tcPr>
            <w:tcW w:w="1860" w:type="dxa"/>
            <w:vAlign w:val="center"/>
          </w:tcPr>
          <w:p w14:paraId="292DF220">
            <w:pPr>
              <w:pStyle w:val="48"/>
              <w:jc w:val="center"/>
              <w:rPr>
                <w:rFonts w:hint="eastAsia" w:ascii="宋体" w:hAnsi="宋体" w:eastAsia="宋体" w:cs="宋体"/>
                <w:color w:val="auto"/>
                <w:sz w:val="21"/>
                <w:szCs w:val="21"/>
                <w:highlight w:val="none"/>
              </w:rPr>
            </w:pPr>
          </w:p>
        </w:tc>
        <w:tc>
          <w:tcPr>
            <w:tcW w:w="1356" w:type="dxa"/>
            <w:vAlign w:val="center"/>
          </w:tcPr>
          <w:p w14:paraId="70F58594">
            <w:pPr>
              <w:pStyle w:val="48"/>
              <w:jc w:val="center"/>
              <w:rPr>
                <w:rFonts w:hint="eastAsia" w:ascii="宋体" w:hAnsi="宋体" w:eastAsia="宋体" w:cs="宋体"/>
                <w:color w:val="auto"/>
                <w:sz w:val="21"/>
                <w:szCs w:val="21"/>
                <w:highlight w:val="none"/>
              </w:rPr>
            </w:pPr>
          </w:p>
        </w:tc>
        <w:tc>
          <w:tcPr>
            <w:tcW w:w="816" w:type="dxa"/>
            <w:vAlign w:val="center"/>
          </w:tcPr>
          <w:p w14:paraId="247AF589">
            <w:pPr>
              <w:pStyle w:val="48"/>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48"/>
              <w:jc w:val="center"/>
              <w:rPr>
                <w:rFonts w:hint="eastAsia" w:ascii="宋体" w:hAnsi="宋体" w:eastAsia="宋体" w:cs="宋体"/>
                <w:color w:val="auto"/>
                <w:sz w:val="21"/>
                <w:szCs w:val="21"/>
                <w:highlight w:val="none"/>
              </w:rPr>
            </w:pPr>
            <w:bookmarkStart w:id="829" w:name="_Toc99533300"/>
            <w:bookmarkStart w:id="830" w:name="_Toc100090792"/>
            <w:r>
              <w:rPr>
                <w:rFonts w:hint="eastAsia" w:ascii="宋体" w:hAnsi="宋体" w:eastAsia="宋体" w:cs="宋体"/>
                <w:color w:val="auto"/>
                <w:sz w:val="21"/>
                <w:szCs w:val="21"/>
                <w:highlight w:val="none"/>
              </w:rPr>
              <w:t>9</w:t>
            </w:r>
            <w:bookmarkEnd w:id="829"/>
            <w:bookmarkEnd w:id="830"/>
          </w:p>
        </w:tc>
        <w:tc>
          <w:tcPr>
            <w:tcW w:w="1267" w:type="dxa"/>
            <w:vAlign w:val="center"/>
          </w:tcPr>
          <w:p w14:paraId="6C5090EC">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48"/>
              <w:jc w:val="center"/>
              <w:rPr>
                <w:rFonts w:hint="eastAsia" w:ascii="宋体" w:hAnsi="宋体" w:eastAsia="宋体" w:cs="宋体"/>
                <w:color w:val="auto"/>
                <w:sz w:val="21"/>
                <w:szCs w:val="21"/>
                <w:highlight w:val="none"/>
              </w:rPr>
            </w:pPr>
          </w:p>
        </w:tc>
        <w:tc>
          <w:tcPr>
            <w:tcW w:w="1860" w:type="dxa"/>
            <w:vAlign w:val="center"/>
          </w:tcPr>
          <w:p w14:paraId="337B4053">
            <w:pPr>
              <w:pStyle w:val="48"/>
              <w:jc w:val="center"/>
              <w:rPr>
                <w:rFonts w:hint="eastAsia" w:ascii="宋体" w:hAnsi="宋体" w:eastAsia="宋体" w:cs="宋体"/>
                <w:color w:val="auto"/>
                <w:sz w:val="21"/>
                <w:szCs w:val="21"/>
                <w:highlight w:val="none"/>
              </w:rPr>
            </w:pPr>
          </w:p>
        </w:tc>
        <w:tc>
          <w:tcPr>
            <w:tcW w:w="1356" w:type="dxa"/>
            <w:vAlign w:val="center"/>
          </w:tcPr>
          <w:p w14:paraId="7D6C0C38">
            <w:pPr>
              <w:pStyle w:val="48"/>
              <w:jc w:val="center"/>
              <w:rPr>
                <w:rFonts w:hint="eastAsia" w:ascii="宋体" w:hAnsi="宋体" w:eastAsia="宋体" w:cs="宋体"/>
                <w:color w:val="auto"/>
                <w:sz w:val="21"/>
                <w:szCs w:val="21"/>
                <w:highlight w:val="none"/>
              </w:rPr>
            </w:pPr>
          </w:p>
        </w:tc>
        <w:tc>
          <w:tcPr>
            <w:tcW w:w="816" w:type="dxa"/>
            <w:vAlign w:val="center"/>
          </w:tcPr>
          <w:p w14:paraId="45D99552">
            <w:pPr>
              <w:pStyle w:val="48"/>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773" w:type="dxa"/>
            <w:vAlign w:val="center"/>
          </w:tcPr>
          <w:p w14:paraId="406250BE">
            <w:pPr>
              <w:pStyle w:val="48"/>
              <w:jc w:val="center"/>
              <w:rPr>
                <w:rFonts w:hint="eastAsia" w:ascii="宋体" w:hAnsi="宋体" w:eastAsia="宋体" w:cs="宋体"/>
                <w:color w:val="auto"/>
                <w:sz w:val="21"/>
                <w:szCs w:val="21"/>
                <w:highlight w:val="none"/>
              </w:rPr>
            </w:pPr>
            <w:bookmarkStart w:id="831" w:name="_Toc99533301"/>
            <w:bookmarkStart w:id="832" w:name="_Toc100090793"/>
            <w:r>
              <w:rPr>
                <w:rFonts w:hint="eastAsia" w:ascii="宋体" w:hAnsi="宋体" w:eastAsia="宋体" w:cs="宋体"/>
                <w:color w:val="auto"/>
                <w:sz w:val="21"/>
                <w:szCs w:val="21"/>
                <w:highlight w:val="none"/>
              </w:rPr>
              <w:t>10</w:t>
            </w:r>
            <w:bookmarkEnd w:id="831"/>
            <w:bookmarkEnd w:id="832"/>
          </w:p>
        </w:tc>
        <w:tc>
          <w:tcPr>
            <w:tcW w:w="1267" w:type="dxa"/>
            <w:vAlign w:val="center"/>
          </w:tcPr>
          <w:p w14:paraId="0D84E205">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48"/>
              <w:jc w:val="center"/>
              <w:rPr>
                <w:rFonts w:hint="eastAsia" w:ascii="宋体" w:hAnsi="宋体" w:eastAsia="宋体" w:cs="宋体"/>
                <w:color w:val="auto"/>
                <w:sz w:val="21"/>
                <w:szCs w:val="21"/>
                <w:highlight w:val="none"/>
              </w:rPr>
            </w:pPr>
          </w:p>
        </w:tc>
        <w:tc>
          <w:tcPr>
            <w:tcW w:w="1860" w:type="dxa"/>
            <w:vAlign w:val="center"/>
          </w:tcPr>
          <w:p w14:paraId="7790D037">
            <w:pPr>
              <w:pStyle w:val="48"/>
              <w:jc w:val="center"/>
              <w:rPr>
                <w:rFonts w:hint="eastAsia" w:ascii="宋体" w:hAnsi="宋体" w:eastAsia="宋体" w:cs="宋体"/>
                <w:color w:val="auto"/>
                <w:sz w:val="21"/>
                <w:szCs w:val="21"/>
                <w:highlight w:val="none"/>
              </w:rPr>
            </w:pPr>
          </w:p>
        </w:tc>
        <w:tc>
          <w:tcPr>
            <w:tcW w:w="1356" w:type="dxa"/>
            <w:vAlign w:val="center"/>
          </w:tcPr>
          <w:p w14:paraId="7B74B27D">
            <w:pPr>
              <w:pStyle w:val="48"/>
              <w:jc w:val="center"/>
              <w:rPr>
                <w:rFonts w:hint="eastAsia" w:ascii="宋体" w:hAnsi="宋体" w:eastAsia="宋体" w:cs="宋体"/>
                <w:color w:val="auto"/>
                <w:sz w:val="21"/>
                <w:szCs w:val="21"/>
                <w:highlight w:val="none"/>
              </w:rPr>
            </w:pPr>
          </w:p>
        </w:tc>
        <w:tc>
          <w:tcPr>
            <w:tcW w:w="816" w:type="dxa"/>
            <w:vAlign w:val="center"/>
          </w:tcPr>
          <w:p w14:paraId="77E1C162">
            <w:pPr>
              <w:pStyle w:val="48"/>
              <w:jc w:val="center"/>
              <w:rPr>
                <w:rFonts w:hint="eastAsia" w:ascii="宋体" w:hAnsi="宋体" w:eastAsia="宋体" w:cs="宋体"/>
                <w:color w:val="auto"/>
                <w:sz w:val="21"/>
                <w:szCs w:val="21"/>
                <w:highlight w:val="none"/>
              </w:rPr>
            </w:pPr>
          </w:p>
        </w:tc>
      </w:tr>
    </w:tbl>
    <w:p w14:paraId="51ED7B0D">
      <w:pPr>
        <w:rPr>
          <w:color w:val="auto"/>
          <w:highlight w:val="none"/>
        </w:rPr>
      </w:pPr>
      <w:r>
        <w:rPr>
          <w:color w:val="auto"/>
          <w:highlight w:val="none"/>
        </w:rPr>
        <w:br w:type="page"/>
      </w:r>
    </w:p>
    <w:p w14:paraId="1358285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3" w:name="_Toc28083"/>
      <w:r>
        <w:rPr>
          <w:rFonts w:hint="eastAsia" w:cstheme="majorBidi"/>
          <w:b/>
          <w:bCs/>
          <w:color w:val="auto"/>
          <w:kern w:val="2"/>
          <w:sz w:val="32"/>
          <w:szCs w:val="32"/>
          <w:highlight w:val="none"/>
          <w:lang w:val="en-US" w:eastAsia="zh-CN" w:bidi="ar-SA"/>
        </w:rPr>
        <w:t>九</w:t>
      </w:r>
      <w:r>
        <w:rPr>
          <w:rFonts w:hint="eastAsia" w:eastAsia="宋体" w:asciiTheme="majorHAnsi" w:hAnsiTheme="majorHAnsi" w:cstheme="majorBidi"/>
          <w:b/>
          <w:bCs/>
          <w:color w:val="auto"/>
          <w:kern w:val="2"/>
          <w:sz w:val="32"/>
          <w:szCs w:val="32"/>
          <w:highlight w:val="none"/>
          <w:lang w:val="en-US" w:eastAsia="zh-CN" w:bidi="ar-SA"/>
        </w:rPr>
        <w:t>、技术响应偏离表</w:t>
      </w:r>
      <w:bookmarkEnd w:id="833"/>
    </w:p>
    <w:p w14:paraId="7EE50E6A">
      <w:pPr>
        <w:rPr>
          <w:rFonts w:cs="仿宋_GB2312"/>
          <w:color w:val="auto"/>
          <w:szCs w:val="24"/>
          <w:highlight w:val="none"/>
        </w:rPr>
      </w:pPr>
      <w:r>
        <w:rPr>
          <w:rFonts w:hint="eastAsia" w:cs="仿宋_GB2312"/>
          <w:color w:val="auto"/>
          <w:szCs w:val="24"/>
          <w:highlight w:val="none"/>
        </w:rPr>
        <w:t xml:space="preserve">项目名称：                                         </w:t>
      </w:r>
    </w:p>
    <w:p w14:paraId="3BECE8B1">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7644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0FCCCEA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69669C7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71DD4B6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AB54F2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1F49E79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3F1EB79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3E3F1E7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7F92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390C61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23DD644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4669278">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C5A608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3F3AE223">
            <w:pPr>
              <w:pStyle w:val="48"/>
              <w:jc w:val="center"/>
              <w:rPr>
                <w:rFonts w:hint="eastAsia" w:ascii="宋体" w:hAnsi="宋体" w:eastAsia="宋体" w:cs="宋体"/>
                <w:color w:val="auto"/>
                <w:sz w:val="21"/>
                <w:szCs w:val="21"/>
                <w:highlight w:val="none"/>
              </w:rPr>
            </w:pPr>
          </w:p>
        </w:tc>
      </w:tr>
      <w:tr w14:paraId="16FF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681E1A2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1B1CC67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3CDA845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753229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1786AA8B">
            <w:pPr>
              <w:pStyle w:val="48"/>
              <w:jc w:val="center"/>
              <w:rPr>
                <w:rFonts w:hint="eastAsia" w:ascii="宋体" w:hAnsi="宋体" w:eastAsia="宋体" w:cs="宋体"/>
                <w:color w:val="auto"/>
                <w:sz w:val="21"/>
                <w:szCs w:val="21"/>
                <w:highlight w:val="none"/>
              </w:rPr>
            </w:pPr>
          </w:p>
        </w:tc>
      </w:tr>
      <w:tr w14:paraId="3346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ADFE13">
            <w:pPr>
              <w:pStyle w:val="48"/>
              <w:jc w:val="center"/>
              <w:rPr>
                <w:rFonts w:hint="eastAsia" w:ascii="宋体" w:hAnsi="宋体" w:eastAsia="宋体" w:cs="宋体"/>
                <w:color w:val="auto"/>
                <w:sz w:val="21"/>
                <w:szCs w:val="21"/>
                <w:highlight w:val="none"/>
              </w:rPr>
            </w:pPr>
          </w:p>
        </w:tc>
        <w:tc>
          <w:tcPr>
            <w:tcW w:w="1159" w:type="pct"/>
            <w:vAlign w:val="center"/>
          </w:tcPr>
          <w:p w14:paraId="7EAC22E8">
            <w:pPr>
              <w:pStyle w:val="48"/>
              <w:jc w:val="center"/>
              <w:rPr>
                <w:rFonts w:hint="eastAsia" w:ascii="宋体" w:hAnsi="宋体" w:eastAsia="宋体" w:cs="宋体"/>
                <w:color w:val="auto"/>
                <w:sz w:val="21"/>
                <w:szCs w:val="21"/>
                <w:highlight w:val="none"/>
              </w:rPr>
            </w:pPr>
          </w:p>
        </w:tc>
        <w:tc>
          <w:tcPr>
            <w:tcW w:w="1031" w:type="pct"/>
            <w:vAlign w:val="center"/>
          </w:tcPr>
          <w:p w14:paraId="1261D841">
            <w:pPr>
              <w:pStyle w:val="48"/>
              <w:jc w:val="center"/>
              <w:rPr>
                <w:rFonts w:hint="eastAsia" w:ascii="宋体" w:hAnsi="宋体" w:eastAsia="宋体" w:cs="宋体"/>
                <w:color w:val="auto"/>
                <w:sz w:val="21"/>
                <w:szCs w:val="21"/>
                <w:highlight w:val="none"/>
              </w:rPr>
            </w:pPr>
          </w:p>
        </w:tc>
        <w:tc>
          <w:tcPr>
            <w:tcW w:w="1265" w:type="pct"/>
            <w:vAlign w:val="center"/>
          </w:tcPr>
          <w:p w14:paraId="21AB0CEA">
            <w:pPr>
              <w:pStyle w:val="48"/>
              <w:jc w:val="center"/>
              <w:rPr>
                <w:rFonts w:hint="eastAsia" w:ascii="宋体" w:hAnsi="宋体" w:eastAsia="宋体" w:cs="宋体"/>
                <w:color w:val="auto"/>
                <w:sz w:val="21"/>
                <w:szCs w:val="21"/>
                <w:highlight w:val="none"/>
              </w:rPr>
            </w:pPr>
          </w:p>
        </w:tc>
        <w:tc>
          <w:tcPr>
            <w:tcW w:w="1135" w:type="pct"/>
            <w:vAlign w:val="center"/>
          </w:tcPr>
          <w:p w14:paraId="02205EF5">
            <w:pPr>
              <w:pStyle w:val="48"/>
              <w:jc w:val="center"/>
              <w:rPr>
                <w:rFonts w:hint="eastAsia" w:ascii="宋体" w:hAnsi="宋体" w:eastAsia="宋体" w:cs="宋体"/>
                <w:color w:val="auto"/>
                <w:sz w:val="21"/>
                <w:szCs w:val="21"/>
                <w:highlight w:val="none"/>
              </w:rPr>
            </w:pPr>
          </w:p>
        </w:tc>
      </w:tr>
      <w:tr w14:paraId="547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2615990F">
            <w:pPr>
              <w:pStyle w:val="48"/>
              <w:jc w:val="center"/>
              <w:rPr>
                <w:rFonts w:hint="eastAsia" w:ascii="宋体" w:hAnsi="宋体" w:eastAsia="宋体" w:cs="宋体"/>
                <w:color w:val="auto"/>
                <w:sz w:val="21"/>
                <w:szCs w:val="21"/>
                <w:highlight w:val="none"/>
              </w:rPr>
            </w:pPr>
          </w:p>
        </w:tc>
        <w:tc>
          <w:tcPr>
            <w:tcW w:w="1159" w:type="pct"/>
            <w:vAlign w:val="center"/>
          </w:tcPr>
          <w:p w14:paraId="4EFDD3F7">
            <w:pPr>
              <w:pStyle w:val="48"/>
              <w:jc w:val="center"/>
              <w:rPr>
                <w:rFonts w:hint="eastAsia" w:ascii="宋体" w:hAnsi="宋体" w:eastAsia="宋体" w:cs="宋体"/>
                <w:color w:val="auto"/>
                <w:sz w:val="21"/>
                <w:szCs w:val="21"/>
                <w:highlight w:val="none"/>
              </w:rPr>
            </w:pPr>
          </w:p>
        </w:tc>
        <w:tc>
          <w:tcPr>
            <w:tcW w:w="1031" w:type="pct"/>
            <w:vAlign w:val="center"/>
          </w:tcPr>
          <w:p w14:paraId="6F3FE338">
            <w:pPr>
              <w:pStyle w:val="48"/>
              <w:jc w:val="center"/>
              <w:rPr>
                <w:rFonts w:hint="eastAsia" w:ascii="宋体" w:hAnsi="宋体" w:eastAsia="宋体" w:cs="宋体"/>
                <w:color w:val="auto"/>
                <w:sz w:val="21"/>
                <w:szCs w:val="21"/>
                <w:highlight w:val="none"/>
              </w:rPr>
            </w:pPr>
          </w:p>
        </w:tc>
        <w:tc>
          <w:tcPr>
            <w:tcW w:w="1265" w:type="pct"/>
            <w:vAlign w:val="center"/>
          </w:tcPr>
          <w:p w14:paraId="1DE7F15C">
            <w:pPr>
              <w:pStyle w:val="48"/>
              <w:jc w:val="center"/>
              <w:rPr>
                <w:rFonts w:hint="eastAsia" w:ascii="宋体" w:hAnsi="宋体" w:eastAsia="宋体" w:cs="宋体"/>
                <w:color w:val="auto"/>
                <w:sz w:val="21"/>
                <w:szCs w:val="21"/>
                <w:highlight w:val="none"/>
              </w:rPr>
            </w:pPr>
          </w:p>
        </w:tc>
        <w:tc>
          <w:tcPr>
            <w:tcW w:w="1135" w:type="pct"/>
            <w:vAlign w:val="center"/>
          </w:tcPr>
          <w:p w14:paraId="7E461BBA">
            <w:pPr>
              <w:pStyle w:val="48"/>
              <w:jc w:val="center"/>
              <w:rPr>
                <w:rFonts w:hint="eastAsia" w:ascii="宋体" w:hAnsi="宋体" w:eastAsia="宋体" w:cs="宋体"/>
                <w:color w:val="auto"/>
                <w:sz w:val="21"/>
                <w:szCs w:val="21"/>
                <w:highlight w:val="none"/>
              </w:rPr>
            </w:pPr>
          </w:p>
        </w:tc>
      </w:tr>
      <w:tr w14:paraId="054E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21914A14">
            <w:pPr>
              <w:pStyle w:val="48"/>
              <w:jc w:val="center"/>
              <w:rPr>
                <w:rFonts w:hint="eastAsia" w:ascii="宋体" w:hAnsi="宋体" w:eastAsia="宋体" w:cs="宋体"/>
                <w:color w:val="auto"/>
                <w:sz w:val="21"/>
                <w:szCs w:val="21"/>
                <w:highlight w:val="none"/>
              </w:rPr>
            </w:pPr>
          </w:p>
        </w:tc>
        <w:tc>
          <w:tcPr>
            <w:tcW w:w="1159" w:type="pct"/>
            <w:vAlign w:val="center"/>
          </w:tcPr>
          <w:p w14:paraId="01FAF6FF">
            <w:pPr>
              <w:pStyle w:val="48"/>
              <w:jc w:val="center"/>
              <w:rPr>
                <w:rFonts w:hint="eastAsia" w:ascii="宋体" w:hAnsi="宋体" w:eastAsia="宋体" w:cs="宋体"/>
                <w:color w:val="auto"/>
                <w:sz w:val="21"/>
                <w:szCs w:val="21"/>
                <w:highlight w:val="none"/>
              </w:rPr>
            </w:pPr>
          </w:p>
        </w:tc>
        <w:tc>
          <w:tcPr>
            <w:tcW w:w="1031" w:type="pct"/>
            <w:vAlign w:val="center"/>
          </w:tcPr>
          <w:p w14:paraId="7C7F56A7">
            <w:pPr>
              <w:pStyle w:val="48"/>
              <w:jc w:val="center"/>
              <w:rPr>
                <w:rFonts w:hint="eastAsia" w:ascii="宋体" w:hAnsi="宋体" w:eastAsia="宋体" w:cs="宋体"/>
                <w:color w:val="auto"/>
                <w:sz w:val="21"/>
                <w:szCs w:val="21"/>
                <w:highlight w:val="none"/>
              </w:rPr>
            </w:pPr>
          </w:p>
        </w:tc>
        <w:tc>
          <w:tcPr>
            <w:tcW w:w="1265" w:type="pct"/>
            <w:vAlign w:val="center"/>
          </w:tcPr>
          <w:p w14:paraId="611127F1">
            <w:pPr>
              <w:pStyle w:val="48"/>
              <w:jc w:val="center"/>
              <w:rPr>
                <w:rFonts w:hint="eastAsia" w:ascii="宋体" w:hAnsi="宋体" w:eastAsia="宋体" w:cs="宋体"/>
                <w:color w:val="auto"/>
                <w:sz w:val="21"/>
                <w:szCs w:val="21"/>
                <w:highlight w:val="none"/>
              </w:rPr>
            </w:pPr>
          </w:p>
        </w:tc>
        <w:tc>
          <w:tcPr>
            <w:tcW w:w="1135" w:type="pct"/>
            <w:vAlign w:val="center"/>
          </w:tcPr>
          <w:p w14:paraId="0E4A26B6">
            <w:pPr>
              <w:pStyle w:val="48"/>
              <w:jc w:val="center"/>
              <w:rPr>
                <w:rFonts w:hint="eastAsia" w:ascii="宋体" w:hAnsi="宋体" w:eastAsia="宋体" w:cs="宋体"/>
                <w:color w:val="auto"/>
                <w:sz w:val="21"/>
                <w:szCs w:val="21"/>
                <w:highlight w:val="none"/>
              </w:rPr>
            </w:pPr>
          </w:p>
        </w:tc>
      </w:tr>
      <w:tr w14:paraId="6E8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0C5ED4E">
            <w:pPr>
              <w:pStyle w:val="48"/>
              <w:jc w:val="center"/>
              <w:rPr>
                <w:rFonts w:hint="eastAsia" w:ascii="宋体" w:hAnsi="宋体" w:eastAsia="宋体" w:cs="宋体"/>
                <w:color w:val="auto"/>
                <w:sz w:val="21"/>
                <w:szCs w:val="21"/>
                <w:highlight w:val="none"/>
              </w:rPr>
            </w:pPr>
          </w:p>
        </w:tc>
        <w:tc>
          <w:tcPr>
            <w:tcW w:w="1159" w:type="pct"/>
            <w:vAlign w:val="center"/>
          </w:tcPr>
          <w:p w14:paraId="5C4DD07B">
            <w:pPr>
              <w:pStyle w:val="48"/>
              <w:jc w:val="center"/>
              <w:rPr>
                <w:rFonts w:hint="eastAsia" w:ascii="宋体" w:hAnsi="宋体" w:eastAsia="宋体" w:cs="宋体"/>
                <w:color w:val="auto"/>
                <w:sz w:val="21"/>
                <w:szCs w:val="21"/>
                <w:highlight w:val="none"/>
              </w:rPr>
            </w:pPr>
          </w:p>
        </w:tc>
        <w:tc>
          <w:tcPr>
            <w:tcW w:w="1031" w:type="pct"/>
            <w:vAlign w:val="center"/>
          </w:tcPr>
          <w:p w14:paraId="26683DD4">
            <w:pPr>
              <w:pStyle w:val="48"/>
              <w:jc w:val="center"/>
              <w:rPr>
                <w:rFonts w:hint="eastAsia" w:ascii="宋体" w:hAnsi="宋体" w:eastAsia="宋体" w:cs="宋体"/>
                <w:color w:val="auto"/>
                <w:sz w:val="21"/>
                <w:szCs w:val="21"/>
                <w:highlight w:val="none"/>
              </w:rPr>
            </w:pPr>
          </w:p>
        </w:tc>
        <w:tc>
          <w:tcPr>
            <w:tcW w:w="1265" w:type="pct"/>
            <w:vAlign w:val="center"/>
          </w:tcPr>
          <w:p w14:paraId="4D8C3BA1">
            <w:pPr>
              <w:pStyle w:val="48"/>
              <w:jc w:val="center"/>
              <w:rPr>
                <w:rFonts w:hint="eastAsia" w:ascii="宋体" w:hAnsi="宋体" w:eastAsia="宋体" w:cs="宋体"/>
                <w:color w:val="auto"/>
                <w:sz w:val="21"/>
                <w:szCs w:val="21"/>
                <w:highlight w:val="none"/>
              </w:rPr>
            </w:pPr>
          </w:p>
        </w:tc>
        <w:tc>
          <w:tcPr>
            <w:tcW w:w="1135" w:type="pct"/>
            <w:vAlign w:val="center"/>
          </w:tcPr>
          <w:p w14:paraId="2E8B5F67">
            <w:pPr>
              <w:pStyle w:val="48"/>
              <w:jc w:val="center"/>
              <w:rPr>
                <w:rFonts w:hint="eastAsia" w:ascii="宋体" w:hAnsi="宋体" w:eastAsia="宋体" w:cs="宋体"/>
                <w:color w:val="auto"/>
                <w:sz w:val="21"/>
                <w:szCs w:val="21"/>
                <w:highlight w:val="none"/>
              </w:rPr>
            </w:pPr>
          </w:p>
        </w:tc>
      </w:tr>
      <w:tr w14:paraId="2B10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EE038ED">
            <w:pPr>
              <w:pStyle w:val="48"/>
              <w:jc w:val="center"/>
              <w:rPr>
                <w:rFonts w:hint="eastAsia" w:ascii="宋体" w:hAnsi="宋体" w:eastAsia="宋体" w:cs="宋体"/>
                <w:color w:val="auto"/>
                <w:sz w:val="21"/>
                <w:szCs w:val="21"/>
                <w:highlight w:val="none"/>
              </w:rPr>
            </w:pPr>
          </w:p>
        </w:tc>
        <w:tc>
          <w:tcPr>
            <w:tcW w:w="1159" w:type="pct"/>
            <w:vAlign w:val="center"/>
          </w:tcPr>
          <w:p w14:paraId="1568BE63">
            <w:pPr>
              <w:pStyle w:val="48"/>
              <w:jc w:val="center"/>
              <w:rPr>
                <w:rFonts w:hint="eastAsia" w:ascii="宋体" w:hAnsi="宋体" w:eastAsia="宋体" w:cs="宋体"/>
                <w:color w:val="auto"/>
                <w:sz w:val="21"/>
                <w:szCs w:val="21"/>
                <w:highlight w:val="none"/>
              </w:rPr>
            </w:pPr>
          </w:p>
        </w:tc>
        <w:tc>
          <w:tcPr>
            <w:tcW w:w="1031" w:type="pct"/>
            <w:vAlign w:val="center"/>
          </w:tcPr>
          <w:p w14:paraId="73EB38B3">
            <w:pPr>
              <w:pStyle w:val="48"/>
              <w:jc w:val="center"/>
              <w:rPr>
                <w:rFonts w:hint="eastAsia" w:ascii="宋体" w:hAnsi="宋体" w:eastAsia="宋体" w:cs="宋体"/>
                <w:color w:val="auto"/>
                <w:sz w:val="21"/>
                <w:szCs w:val="21"/>
                <w:highlight w:val="none"/>
              </w:rPr>
            </w:pPr>
          </w:p>
        </w:tc>
        <w:tc>
          <w:tcPr>
            <w:tcW w:w="1265" w:type="pct"/>
            <w:vAlign w:val="center"/>
          </w:tcPr>
          <w:p w14:paraId="75F9A705">
            <w:pPr>
              <w:pStyle w:val="48"/>
              <w:jc w:val="center"/>
              <w:rPr>
                <w:rFonts w:hint="eastAsia" w:ascii="宋体" w:hAnsi="宋体" w:eastAsia="宋体" w:cs="宋体"/>
                <w:color w:val="auto"/>
                <w:sz w:val="21"/>
                <w:szCs w:val="21"/>
                <w:highlight w:val="none"/>
              </w:rPr>
            </w:pPr>
          </w:p>
        </w:tc>
        <w:tc>
          <w:tcPr>
            <w:tcW w:w="1135" w:type="pct"/>
            <w:vAlign w:val="center"/>
          </w:tcPr>
          <w:p w14:paraId="7B4E9707">
            <w:pPr>
              <w:pStyle w:val="48"/>
              <w:jc w:val="center"/>
              <w:rPr>
                <w:rFonts w:hint="eastAsia" w:ascii="宋体" w:hAnsi="宋体" w:eastAsia="宋体" w:cs="宋体"/>
                <w:color w:val="auto"/>
                <w:sz w:val="21"/>
                <w:szCs w:val="21"/>
                <w:highlight w:val="none"/>
              </w:rPr>
            </w:pPr>
          </w:p>
        </w:tc>
      </w:tr>
      <w:tr w14:paraId="5B46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7A9FD9CF">
            <w:pPr>
              <w:pStyle w:val="48"/>
              <w:jc w:val="center"/>
              <w:rPr>
                <w:rFonts w:hint="eastAsia" w:ascii="宋体" w:hAnsi="宋体" w:eastAsia="宋体" w:cs="宋体"/>
                <w:color w:val="auto"/>
                <w:sz w:val="21"/>
                <w:szCs w:val="21"/>
                <w:highlight w:val="none"/>
              </w:rPr>
            </w:pPr>
          </w:p>
        </w:tc>
        <w:tc>
          <w:tcPr>
            <w:tcW w:w="1159" w:type="pct"/>
            <w:vAlign w:val="center"/>
          </w:tcPr>
          <w:p w14:paraId="3873E5B8">
            <w:pPr>
              <w:pStyle w:val="48"/>
              <w:jc w:val="center"/>
              <w:rPr>
                <w:rFonts w:hint="eastAsia" w:ascii="宋体" w:hAnsi="宋体" w:eastAsia="宋体" w:cs="宋体"/>
                <w:color w:val="auto"/>
                <w:sz w:val="21"/>
                <w:szCs w:val="21"/>
                <w:highlight w:val="none"/>
              </w:rPr>
            </w:pPr>
          </w:p>
        </w:tc>
        <w:tc>
          <w:tcPr>
            <w:tcW w:w="1031" w:type="pct"/>
            <w:vAlign w:val="center"/>
          </w:tcPr>
          <w:p w14:paraId="4BFC552A">
            <w:pPr>
              <w:pStyle w:val="48"/>
              <w:jc w:val="center"/>
              <w:rPr>
                <w:rFonts w:hint="eastAsia" w:ascii="宋体" w:hAnsi="宋体" w:eastAsia="宋体" w:cs="宋体"/>
                <w:color w:val="auto"/>
                <w:sz w:val="21"/>
                <w:szCs w:val="21"/>
                <w:highlight w:val="none"/>
              </w:rPr>
            </w:pPr>
          </w:p>
        </w:tc>
        <w:tc>
          <w:tcPr>
            <w:tcW w:w="1265" w:type="pct"/>
            <w:vAlign w:val="center"/>
          </w:tcPr>
          <w:p w14:paraId="6752E62F">
            <w:pPr>
              <w:pStyle w:val="48"/>
              <w:jc w:val="center"/>
              <w:rPr>
                <w:rFonts w:hint="eastAsia" w:ascii="宋体" w:hAnsi="宋体" w:eastAsia="宋体" w:cs="宋体"/>
                <w:color w:val="auto"/>
                <w:sz w:val="21"/>
                <w:szCs w:val="21"/>
                <w:highlight w:val="none"/>
              </w:rPr>
            </w:pPr>
          </w:p>
        </w:tc>
        <w:tc>
          <w:tcPr>
            <w:tcW w:w="1135" w:type="pct"/>
            <w:vAlign w:val="center"/>
          </w:tcPr>
          <w:p w14:paraId="0D508B80">
            <w:pPr>
              <w:pStyle w:val="48"/>
              <w:jc w:val="center"/>
              <w:rPr>
                <w:rFonts w:hint="eastAsia" w:ascii="宋体" w:hAnsi="宋体" w:eastAsia="宋体" w:cs="宋体"/>
                <w:color w:val="auto"/>
                <w:sz w:val="21"/>
                <w:szCs w:val="21"/>
                <w:highlight w:val="none"/>
              </w:rPr>
            </w:pPr>
          </w:p>
        </w:tc>
      </w:tr>
      <w:tr w14:paraId="1A2A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5F4BFC8">
            <w:pPr>
              <w:pStyle w:val="48"/>
              <w:jc w:val="center"/>
              <w:rPr>
                <w:rFonts w:hint="eastAsia" w:ascii="宋体" w:hAnsi="宋体" w:eastAsia="宋体" w:cs="宋体"/>
                <w:color w:val="auto"/>
                <w:sz w:val="21"/>
                <w:szCs w:val="21"/>
                <w:highlight w:val="none"/>
              </w:rPr>
            </w:pPr>
          </w:p>
        </w:tc>
        <w:tc>
          <w:tcPr>
            <w:tcW w:w="1159" w:type="pct"/>
            <w:vAlign w:val="center"/>
          </w:tcPr>
          <w:p w14:paraId="63890973">
            <w:pPr>
              <w:pStyle w:val="48"/>
              <w:jc w:val="center"/>
              <w:rPr>
                <w:rFonts w:hint="eastAsia" w:ascii="宋体" w:hAnsi="宋体" w:eastAsia="宋体" w:cs="宋体"/>
                <w:color w:val="auto"/>
                <w:sz w:val="21"/>
                <w:szCs w:val="21"/>
                <w:highlight w:val="none"/>
              </w:rPr>
            </w:pPr>
          </w:p>
        </w:tc>
        <w:tc>
          <w:tcPr>
            <w:tcW w:w="1031" w:type="pct"/>
            <w:vAlign w:val="center"/>
          </w:tcPr>
          <w:p w14:paraId="09F5DB10">
            <w:pPr>
              <w:pStyle w:val="48"/>
              <w:jc w:val="center"/>
              <w:rPr>
                <w:rFonts w:hint="eastAsia" w:ascii="宋体" w:hAnsi="宋体" w:eastAsia="宋体" w:cs="宋体"/>
                <w:color w:val="auto"/>
                <w:sz w:val="21"/>
                <w:szCs w:val="21"/>
                <w:highlight w:val="none"/>
              </w:rPr>
            </w:pPr>
          </w:p>
        </w:tc>
        <w:tc>
          <w:tcPr>
            <w:tcW w:w="1265" w:type="pct"/>
            <w:vAlign w:val="center"/>
          </w:tcPr>
          <w:p w14:paraId="59B50D42">
            <w:pPr>
              <w:pStyle w:val="48"/>
              <w:jc w:val="center"/>
              <w:rPr>
                <w:rFonts w:hint="eastAsia" w:ascii="宋体" w:hAnsi="宋体" w:eastAsia="宋体" w:cs="宋体"/>
                <w:color w:val="auto"/>
                <w:sz w:val="21"/>
                <w:szCs w:val="21"/>
                <w:highlight w:val="none"/>
              </w:rPr>
            </w:pPr>
          </w:p>
        </w:tc>
        <w:tc>
          <w:tcPr>
            <w:tcW w:w="1135" w:type="pct"/>
            <w:vAlign w:val="center"/>
          </w:tcPr>
          <w:p w14:paraId="15BCCC48">
            <w:pPr>
              <w:pStyle w:val="48"/>
              <w:jc w:val="center"/>
              <w:rPr>
                <w:rFonts w:hint="eastAsia" w:ascii="宋体" w:hAnsi="宋体" w:eastAsia="宋体" w:cs="宋体"/>
                <w:color w:val="auto"/>
                <w:sz w:val="21"/>
                <w:szCs w:val="21"/>
                <w:highlight w:val="none"/>
              </w:rPr>
            </w:pPr>
          </w:p>
        </w:tc>
      </w:tr>
      <w:tr w14:paraId="361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1F51D1EA">
            <w:pPr>
              <w:pStyle w:val="48"/>
              <w:jc w:val="center"/>
              <w:rPr>
                <w:rFonts w:hint="eastAsia" w:ascii="宋体" w:hAnsi="宋体" w:eastAsia="宋体" w:cs="宋体"/>
                <w:color w:val="auto"/>
                <w:sz w:val="21"/>
                <w:szCs w:val="21"/>
                <w:highlight w:val="none"/>
              </w:rPr>
            </w:pPr>
          </w:p>
        </w:tc>
        <w:tc>
          <w:tcPr>
            <w:tcW w:w="1159" w:type="pct"/>
            <w:vAlign w:val="center"/>
          </w:tcPr>
          <w:p w14:paraId="1204324D">
            <w:pPr>
              <w:pStyle w:val="48"/>
              <w:jc w:val="center"/>
              <w:rPr>
                <w:rFonts w:hint="eastAsia" w:ascii="宋体" w:hAnsi="宋体" w:eastAsia="宋体" w:cs="宋体"/>
                <w:color w:val="auto"/>
                <w:sz w:val="21"/>
                <w:szCs w:val="21"/>
                <w:highlight w:val="none"/>
              </w:rPr>
            </w:pPr>
          </w:p>
        </w:tc>
        <w:tc>
          <w:tcPr>
            <w:tcW w:w="1031" w:type="pct"/>
            <w:vAlign w:val="center"/>
          </w:tcPr>
          <w:p w14:paraId="36FD0F55">
            <w:pPr>
              <w:pStyle w:val="48"/>
              <w:jc w:val="center"/>
              <w:rPr>
                <w:rFonts w:hint="eastAsia" w:ascii="宋体" w:hAnsi="宋体" w:eastAsia="宋体" w:cs="宋体"/>
                <w:color w:val="auto"/>
                <w:sz w:val="21"/>
                <w:szCs w:val="21"/>
                <w:highlight w:val="none"/>
              </w:rPr>
            </w:pPr>
          </w:p>
        </w:tc>
        <w:tc>
          <w:tcPr>
            <w:tcW w:w="1265" w:type="pct"/>
            <w:vAlign w:val="center"/>
          </w:tcPr>
          <w:p w14:paraId="6D3AA7E1">
            <w:pPr>
              <w:pStyle w:val="48"/>
              <w:jc w:val="center"/>
              <w:rPr>
                <w:rFonts w:hint="eastAsia" w:ascii="宋体" w:hAnsi="宋体" w:eastAsia="宋体" w:cs="宋体"/>
                <w:color w:val="auto"/>
                <w:sz w:val="21"/>
                <w:szCs w:val="21"/>
                <w:highlight w:val="none"/>
              </w:rPr>
            </w:pPr>
          </w:p>
        </w:tc>
        <w:tc>
          <w:tcPr>
            <w:tcW w:w="1135" w:type="pct"/>
            <w:vAlign w:val="center"/>
          </w:tcPr>
          <w:p w14:paraId="449BE1FC">
            <w:pPr>
              <w:pStyle w:val="48"/>
              <w:jc w:val="center"/>
              <w:rPr>
                <w:rFonts w:hint="eastAsia" w:ascii="宋体" w:hAnsi="宋体" w:eastAsia="宋体" w:cs="宋体"/>
                <w:color w:val="auto"/>
                <w:sz w:val="21"/>
                <w:szCs w:val="21"/>
                <w:highlight w:val="none"/>
              </w:rPr>
            </w:pPr>
          </w:p>
        </w:tc>
      </w:tr>
      <w:tr w14:paraId="7E84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6ECE9C6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69EDFD2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D19C04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6652C7B">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7E732B44">
            <w:pPr>
              <w:pStyle w:val="48"/>
              <w:jc w:val="center"/>
              <w:rPr>
                <w:rFonts w:hint="eastAsia" w:ascii="宋体" w:hAnsi="宋体" w:eastAsia="宋体" w:cs="宋体"/>
                <w:color w:val="auto"/>
                <w:sz w:val="21"/>
                <w:szCs w:val="21"/>
                <w:highlight w:val="none"/>
              </w:rPr>
            </w:pPr>
          </w:p>
        </w:tc>
      </w:tr>
    </w:tbl>
    <w:p w14:paraId="7A96DC4C">
      <w:pPr>
        <w:ind w:firstLine="420" w:firstLineChars="200"/>
        <w:rPr>
          <w:rFonts w:hint="eastAsia" w:cs="仿宋_GB2312"/>
          <w:color w:val="auto"/>
          <w:sz w:val="21"/>
          <w:szCs w:val="21"/>
          <w:highlight w:val="none"/>
        </w:rPr>
      </w:pPr>
    </w:p>
    <w:p w14:paraId="2F5D40B2">
      <w:pPr>
        <w:ind w:firstLine="420" w:firstLineChars="200"/>
        <w:rPr>
          <w:rFonts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7D87EEFE">
      <w:pPr>
        <w:ind w:firstLine="480" w:firstLineChars="200"/>
        <w:rPr>
          <w:rFonts w:cs="仿宋_GB2312"/>
          <w:color w:val="auto"/>
          <w:szCs w:val="24"/>
          <w:highlight w:val="none"/>
        </w:rPr>
      </w:pPr>
    </w:p>
    <w:p w14:paraId="53059121">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27EF6D84">
      <w:pPr>
        <w:ind w:firstLine="420"/>
        <w:rPr>
          <w:rFonts w:cs="仿宋_GB2312"/>
          <w:color w:val="auto"/>
          <w:szCs w:val="24"/>
          <w:highlight w:val="none"/>
        </w:rPr>
      </w:pPr>
      <w:r>
        <w:rPr>
          <w:rFonts w:hint="eastAsia" w:cs="仿宋_GB2312"/>
          <w:color w:val="auto"/>
          <w:szCs w:val="24"/>
          <w:highlight w:val="none"/>
        </w:rPr>
        <w:t>日      期：</w:t>
      </w:r>
    </w:p>
    <w:p w14:paraId="1685FB85">
      <w:pPr>
        <w:ind w:firstLine="420"/>
        <w:rPr>
          <w:rFonts w:cs="仿宋_GB2312"/>
          <w:color w:val="auto"/>
          <w:szCs w:val="24"/>
          <w:highlight w:val="none"/>
        </w:rPr>
      </w:pPr>
    </w:p>
    <w:p w14:paraId="3095974B">
      <w:pPr>
        <w:ind w:firstLine="420"/>
        <w:rPr>
          <w:rFonts w:cs="仿宋_GB2312"/>
          <w:color w:val="auto"/>
          <w:szCs w:val="24"/>
          <w:highlight w:val="none"/>
        </w:rPr>
      </w:pPr>
    </w:p>
    <w:p w14:paraId="5228E054">
      <w:pPr>
        <w:ind w:firstLine="420"/>
        <w:rPr>
          <w:rFonts w:hint="eastAsia" w:cs="仿宋_GB2312"/>
          <w:color w:val="auto"/>
          <w:szCs w:val="24"/>
          <w:highlight w:val="none"/>
          <w:lang w:val="en-US" w:eastAsia="zh-CN"/>
        </w:rPr>
      </w:pPr>
      <w:r>
        <w:rPr>
          <w:rFonts w:hint="eastAsia" w:cs="仿宋_GB2312"/>
          <w:color w:val="auto"/>
          <w:sz w:val="21"/>
          <w:szCs w:val="21"/>
          <w:highlight w:val="none"/>
          <w:lang w:val="en-US" w:eastAsia="zh-CN"/>
        </w:rPr>
        <w:t>备注：投标人在本表中须标注技术响应的实际数值或内容，照搬照抄采购文件内容、不注明实际响应内容者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p>
    <w:p w14:paraId="49A1A5E5">
      <w:pPr>
        <w:ind w:firstLine="420"/>
        <w:rPr>
          <w:rFonts w:cs="仿宋_GB2312"/>
          <w:color w:val="auto"/>
          <w:szCs w:val="24"/>
          <w:highlight w:val="none"/>
        </w:rPr>
      </w:pPr>
      <w:r>
        <w:rPr>
          <w:rFonts w:cs="仿宋_GB2312"/>
          <w:color w:val="auto"/>
          <w:szCs w:val="24"/>
          <w:highlight w:val="none"/>
        </w:rPr>
        <w:br w:type="page"/>
      </w:r>
    </w:p>
    <w:p w14:paraId="600EA7EE">
      <w:pPr>
        <w:pStyle w:val="17"/>
        <w:spacing w:line="360" w:lineRule="auto"/>
        <w:jc w:val="center"/>
        <w:rPr>
          <w:rFonts w:hint="eastAsia" w:ascii="方正小标宋_GBK" w:hAnsi="方正小标宋_GBK" w:eastAsia="方正小标宋_GBK" w:cs="方正小标宋_GBK"/>
          <w:bCs/>
          <w:color w:val="auto"/>
          <w:sz w:val="36"/>
          <w:szCs w:val="36"/>
          <w:highlight w:val="none"/>
          <w:lang w:val="en-US" w:eastAsia="zh-CN"/>
        </w:rPr>
      </w:pPr>
    </w:p>
    <w:p w14:paraId="06C98EB9">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4" w:name="_Toc9988"/>
      <w:r>
        <w:rPr>
          <w:rFonts w:hint="eastAsia" w:cstheme="majorBidi"/>
          <w:b/>
          <w:bCs/>
          <w:color w:val="auto"/>
          <w:kern w:val="2"/>
          <w:sz w:val="32"/>
          <w:szCs w:val="32"/>
          <w:highlight w:val="none"/>
          <w:lang w:val="en-US" w:eastAsia="zh-CN" w:bidi="ar-SA"/>
        </w:rPr>
        <w:t>十</w:t>
      </w:r>
      <w:r>
        <w:rPr>
          <w:rFonts w:hint="eastAsia" w:eastAsia="宋体" w:asciiTheme="majorHAnsi" w:hAnsiTheme="majorHAnsi" w:cstheme="majorBidi"/>
          <w:b/>
          <w:bCs/>
          <w:color w:val="auto"/>
          <w:kern w:val="2"/>
          <w:sz w:val="32"/>
          <w:szCs w:val="32"/>
          <w:highlight w:val="none"/>
          <w:lang w:val="en-US" w:eastAsia="zh-CN" w:bidi="ar-SA"/>
        </w:rPr>
        <w:t>、技术方案</w:t>
      </w:r>
      <w:bookmarkEnd w:id="834"/>
    </w:p>
    <w:p w14:paraId="7078B366">
      <w:pPr>
        <w:pStyle w:val="36"/>
        <w:rPr>
          <w:rFonts w:hint="eastAsia"/>
          <w:color w:val="auto"/>
          <w:highlight w:val="none"/>
        </w:rPr>
      </w:pPr>
      <w:r>
        <w:rPr>
          <w:rFonts w:hint="eastAsia"/>
          <w:color w:val="auto"/>
          <w:highlight w:val="none"/>
        </w:rPr>
        <w:t>投标人应按照招标文件的要求，提供详细的服务方案，包括文字描述或图表显示。格式自拟。</w:t>
      </w:r>
    </w:p>
    <w:p w14:paraId="7EE77353">
      <w:pPr>
        <w:pStyle w:val="36"/>
        <w:rPr>
          <w:color w:val="auto"/>
          <w:highlight w:val="none"/>
        </w:rPr>
      </w:pPr>
      <w:r>
        <w:rPr>
          <w:color w:val="auto"/>
          <w:highlight w:val="none"/>
        </w:rPr>
        <w:br w:type="page"/>
      </w:r>
    </w:p>
    <w:p w14:paraId="01EB5657">
      <w:pPr>
        <w:ind w:firstLine="420"/>
        <w:rPr>
          <w:rFonts w:hint="eastAsia" w:cs="仿宋_GB2312"/>
          <w:color w:val="auto"/>
          <w:sz w:val="21"/>
          <w:szCs w:val="21"/>
          <w:highlight w:val="none"/>
          <w:lang w:val="en-US" w:eastAsia="zh-CN"/>
        </w:rPr>
      </w:pPr>
    </w:p>
    <w:p w14:paraId="3D755871">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5" w:name="_Toc19458"/>
      <w:r>
        <w:rPr>
          <w:rFonts w:hint="eastAsia" w:eastAsia="宋体" w:asciiTheme="majorHAnsi" w:hAnsiTheme="majorHAnsi" w:cstheme="majorBidi"/>
          <w:b/>
          <w:bCs/>
          <w:color w:val="auto"/>
          <w:kern w:val="2"/>
          <w:sz w:val="32"/>
          <w:szCs w:val="32"/>
          <w:highlight w:val="none"/>
          <w:lang w:val="en-US" w:eastAsia="zh-CN" w:bidi="ar-SA"/>
        </w:rPr>
        <w:t>十</w:t>
      </w:r>
      <w:r>
        <w:rPr>
          <w:rFonts w:hint="eastAsia" w:cstheme="majorBidi"/>
          <w:b/>
          <w:bCs/>
          <w:color w:val="auto"/>
          <w:kern w:val="2"/>
          <w:sz w:val="32"/>
          <w:szCs w:val="32"/>
          <w:highlight w:val="none"/>
          <w:lang w:val="en-US" w:eastAsia="zh-CN" w:bidi="ar-SA"/>
        </w:rPr>
        <w:t>一</w:t>
      </w:r>
      <w:r>
        <w:rPr>
          <w:rFonts w:hint="eastAsia" w:eastAsia="宋体" w:asciiTheme="majorHAnsi" w:hAnsiTheme="majorHAnsi" w:cstheme="majorBidi"/>
          <w:b/>
          <w:bCs/>
          <w:color w:val="auto"/>
          <w:kern w:val="2"/>
          <w:sz w:val="32"/>
          <w:szCs w:val="32"/>
          <w:highlight w:val="none"/>
          <w:lang w:val="en-US" w:eastAsia="zh-CN" w:bidi="ar-SA"/>
        </w:rPr>
        <w:t>、其他文件</w:t>
      </w:r>
      <w:bookmarkEnd w:id="835"/>
    </w:p>
    <w:p w14:paraId="6EF40482">
      <w:pPr>
        <w:pStyle w:val="36"/>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09B7BCDB">
      <w:pPr>
        <w:pStyle w:val="36"/>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0"/>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239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DAB5D76">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7E8BFF2C">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27FEC6CB">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6C82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0EF63A6">
            <w:pPr>
              <w:pStyle w:val="36"/>
              <w:rPr>
                <w:rFonts w:hint="eastAsia" w:ascii="宋体" w:hAnsi="宋体" w:eastAsia="宋体" w:cs="宋体"/>
                <w:color w:val="auto"/>
                <w:sz w:val="24"/>
                <w:szCs w:val="24"/>
                <w:highlight w:val="none"/>
                <w:vertAlign w:val="baseline"/>
                <w:lang w:val="en-US" w:eastAsia="zh-CN"/>
              </w:rPr>
            </w:pPr>
          </w:p>
        </w:tc>
        <w:tc>
          <w:tcPr>
            <w:tcW w:w="2841" w:type="dxa"/>
          </w:tcPr>
          <w:p w14:paraId="2C8A474B">
            <w:pPr>
              <w:pStyle w:val="36"/>
              <w:rPr>
                <w:rFonts w:hint="eastAsia" w:ascii="宋体" w:hAnsi="宋体" w:eastAsia="宋体" w:cs="宋体"/>
                <w:color w:val="auto"/>
                <w:sz w:val="24"/>
                <w:szCs w:val="24"/>
                <w:highlight w:val="none"/>
                <w:vertAlign w:val="baseline"/>
                <w:lang w:val="en-US" w:eastAsia="zh-CN"/>
              </w:rPr>
            </w:pPr>
          </w:p>
        </w:tc>
        <w:tc>
          <w:tcPr>
            <w:tcW w:w="2743" w:type="dxa"/>
          </w:tcPr>
          <w:p w14:paraId="2F4800D6">
            <w:pPr>
              <w:pStyle w:val="36"/>
              <w:rPr>
                <w:rFonts w:hint="eastAsia" w:ascii="宋体" w:hAnsi="宋体" w:eastAsia="宋体" w:cs="宋体"/>
                <w:color w:val="auto"/>
                <w:sz w:val="24"/>
                <w:szCs w:val="24"/>
                <w:highlight w:val="none"/>
                <w:vertAlign w:val="baseline"/>
                <w:lang w:val="en-US" w:eastAsia="zh-CN"/>
              </w:rPr>
            </w:pPr>
          </w:p>
        </w:tc>
      </w:tr>
      <w:tr w14:paraId="2A15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8538042">
            <w:pPr>
              <w:pStyle w:val="36"/>
              <w:rPr>
                <w:rFonts w:hint="eastAsia" w:ascii="宋体" w:hAnsi="宋体" w:eastAsia="宋体" w:cs="宋体"/>
                <w:color w:val="auto"/>
                <w:sz w:val="24"/>
                <w:szCs w:val="24"/>
                <w:highlight w:val="none"/>
                <w:vertAlign w:val="baseline"/>
                <w:lang w:val="en-US" w:eastAsia="zh-CN"/>
              </w:rPr>
            </w:pPr>
          </w:p>
        </w:tc>
        <w:tc>
          <w:tcPr>
            <w:tcW w:w="2841" w:type="dxa"/>
          </w:tcPr>
          <w:p w14:paraId="15D28C08">
            <w:pPr>
              <w:pStyle w:val="36"/>
              <w:rPr>
                <w:rFonts w:hint="eastAsia" w:ascii="宋体" w:hAnsi="宋体" w:eastAsia="宋体" w:cs="宋体"/>
                <w:color w:val="auto"/>
                <w:sz w:val="24"/>
                <w:szCs w:val="24"/>
                <w:highlight w:val="none"/>
                <w:vertAlign w:val="baseline"/>
                <w:lang w:val="en-US" w:eastAsia="zh-CN"/>
              </w:rPr>
            </w:pPr>
          </w:p>
        </w:tc>
        <w:tc>
          <w:tcPr>
            <w:tcW w:w="2743" w:type="dxa"/>
          </w:tcPr>
          <w:p w14:paraId="31FE53FE">
            <w:pPr>
              <w:pStyle w:val="36"/>
              <w:rPr>
                <w:rFonts w:hint="eastAsia" w:ascii="宋体" w:hAnsi="宋体" w:eastAsia="宋体" w:cs="宋体"/>
                <w:color w:val="auto"/>
                <w:sz w:val="24"/>
                <w:szCs w:val="24"/>
                <w:highlight w:val="none"/>
                <w:vertAlign w:val="baseline"/>
                <w:lang w:val="en-US" w:eastAsia="zh-CN"/>
              </w:rPr>
            </w:pPr>
          </w:p>
        </w:tc>
      </w:tr>
      <w:tr w14:paraId="74D5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EF0ABBA">
            <w:pPr>
              <w:pStyle w:val="36"/>
              <w:rPr>
                <w:rFonts w:hint="eastAsia" w:ascii="宋体" w:hAnsi="宋体" w:eastAsia="宋体" w:cs="宋体"/>
                <w:color w:val="auto"/>
                <w:sz w:val="24"/>
                <w:szCs w:val="24"/>
                <w:highlight w:val="none"/>
                <w:vertAlign w:val="baseline"/>
                <w:lang w:val="en-US" w:eastAsia="zh-CN"/>
              </w:rPr>
            </w:pPr>
          </w:p>
        </w:tc>
        <w:tc>
          <w:tcPr>
            <w:tcW w:w="2841" w:type="dxa"/>
          </w:tcPr>
          <w:p w14:paraId="15A0EA10">
            <w:pPr>
              <w:pStyle w:val="36"/>
              <w:rPr>
                <w:rFonts w:hint="eastAsia" w:ascii="宋体" w:hAnsi="宋体" w:eastAsia="宋体" w:cs="宋体"/>
                <w:color w:val="auto"/>
                <w:sz w:val="24"/>
                <w:szCs w:val="24"/>
                <w:highlight w:val="none"/>
                <w:vertAlign w:val="baseline"/>
                <w:lang w:val="en-US" w:eastAsia="zh-CN"/>
              </w:rPr>
            </w:pPr>
          </w:p>
        </w:tc>
        <w:tc>
          <w:tcPr>
            <w:tcW w:w="2743" w:type="dxa"/>
          </w:tcPr>
          <w:p w14:paraId="4DD25543">
            <w:pPr>
              <w:pStyle w:val="36"/>
              <w:rPr>
                <w:rFonts w:hint="eastAsia" w:ascii="宋体" w:hAnsi="宋体" w:eastAsia="宋体" w:cs="宋体"/>
                <w:color w:val="auto"/>
                <w:sz w:val="24"/>
                <w:szCs w:val="24"/>
                <w:highlight w:val="none"/>
                <w:vertAlign w:val="baseline"/>
                <w:lang w:val="en-US" w:eastAsia="zh-CN"/>
              </w:rPr>
            </w:pPr>
          </w:p>
        </w:tc>
      </w:tr>
      <w:tr w14:paraId="000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B6D0E2F">
            <w:pPr>
              <w:pStyle w:val="36"/>
              <w:rPr>
                <w:rFonts w:hint="eastAsia" w:ascii="宋体" w:hAnsi="宋体" w:eastAsia="宋体" w:cs="宋体"/>
                <w:color w:val="auto"/>
                <w:sz w:val="24"/>
                <w:szCs w:val="24"/>
                <w:highlight w:val="none"/>
                <w:vertAlign w:val="baseline"/>
                <w:lang w:val="en-US" w:eastAsia="zh-CN"/>
              </w:rPr>
            </w:pPr>
          </w:p>
        </w:tc>
        <w:tc>
          <w:tcPr>
            <w:tcW w:w="2841" w:type="dxa"/>
          </w:tcPr>
          <w:p w14:paraId="7437EC56">
            <w:pPr>
              <w:pStyle w:val="36"/>
              <w:rPr>
                <w:rFonts w:hint="eastAsia" w:ascii="宋体" w:hAnsi="宋体" w:eastAsia="宋体" w:cs="宋体"/>
                <w:color w:val="auto"/>
                <w:sz w:val="24"/>
                <w:szCs w:val="24"/>
                <w:highlight w:val="none"/>
                <w:vertAlign w:val="baseline"/>
                <w:lang w:val="en-US" w:eastAsia="zh-CN"/>
              </w:rPr>
            </w:pPr>
          </w:p>
        </w:tc>
        <w:tc>
          <w:tcPr>
            <w:tcW w:w="2743" w:type="dxa"/>
          </w:tcPr>
          <w:p w14:paraId="769E8F28">
            <w:pPr>
              <w:pStyle w:val="36"/>
              <w:rPr>
                <w:rFonts w:hint="eastAsia" w:ascii="宋体" w:hAnsi="宋体" w:eastAsia="宋体" w:cs="宋体"/>
                <w:color w:val="auto"/>
                <w:sz w:val="24"/>
                <w:szCs w:val="24"/>
                <w:highlight w:val="none"/>
                <w:vertAlign w:val="baseline"/>
                <w:lang w:val="en-US" w:eastAsia="zh-CN"/>
              </w:rPr>
            </w:pPr>
          </w:p>
        </w:tc>
      </w:tr>
    </w:tbl>
    <w:p w14:paraId="3318F9F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53D1AE7E">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6C85D95C">
      <w:pPr>
        <w:pStyle w:val="36"/>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74B37C36">
      <w:pPr>
        <w:pStyle w:val="36"/>
        <w:rPr>
          <w:rFonts w:hint="eastAsia"/>
          <w:color w:val="auto"/>
          <w:sz w:val="28"/>
          <w:szCs w:val="28"/>
          <w:highlight w:val="none"/>
          <w:lang w:val="en-US" w:eastAsia="zh-CN"/>
        </w:rPr>
      </w:pPr>
    </w:p>
    <w:p w14:paraId="3CD7B018">
      <w:pPr>
        <w:pStyle w:val="36"/>
        <w:rPr>
          <w:rFonts w:hint="eastAsia"/>
          <w:color w:val="auto"/>
          <w:sz w:val="24"/>
          <w:szCs w:val="24"/>
          <w:highlight w:val="none"/>
          <w:lang w:val="en-US" w:eastAsia="zh-CN"/>
        </w:rPr>
      </w:pPr>
      <w:r>
        <w:rPr>
          <w:rFonts w:hint="eastAsia"/>
          <w:color w:val="auto"/>
          <w:sz w:val="24"/>
          <w:szCs w:val="24"/>
          <w:highlight w:val="none"/>
          <w:lang w:val="en-US" w:eastAsia="zh-CN"/>
        </w:rPr>
        <w:t>1.2其它商务、技术资料和证明材料</w:t>
      </w:r>
    </w:p>
    <w:p w14:paraId="45C8EB48">
      <w:pPr>
        <w:pStyle w:val="36"/>
        <w:ind w:left="0" w:leftChars="0" w:firstLine="0" w:firstLineChars="0"/>
        <w:rPr>
          <w:rFonts w:hint="eastAsia"/>
          <w:b/>
          <w:bCs/>
          <w:color w:val="auto"/>
          <w:sz w:val="24"/>
          <w:szCs w:val="24"/>
          <w:highlight w:val="none"/>
          <w:lang w:eastAsia="zh-CN"/>
        </w:rPr>
      </w:pPr>
    </w:p>
    <w:p w14:paraId="7DF13FE9">
      <w:pPr>
        <w:pStyle w:val="36"/>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6DA29BFF">
      <w:pPr>
        <w:pStyle w:val="36"/>
        <w:rPr>
          <w:rFonts w:hint="eastAsia"/>
          <w:color w:val="auto"/>
          <w:highlight w:val="none"/>
        </w:rPr>
      </w:pP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82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A3D5">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298"/>
                            <w:showingPlcHdr/>
                          </w:sdtPr>
                          <w:sdtContent>
                            <w:p w14:paraId="7E255E9E">
                              <w:pPr>
                                <w:pStyle w:val="19"/>
                                <w:jc w:val="center"/>
                              </w:pPr>
                              <w:r>
                                <w:rPr>
                                  <w:rFonts w:hint="eastAsia"/>
                                  <w:lang w:eastAsia="zh-CN"/>
                                </w:rPr>
                                <w:t xml:space="preserve">     </w:t>
                              </w:r>
                            </w:p>
                          </w:sdtContent>
                        </w:sdt>
                        <w:p w14:paraId="0AFEACD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53298"/>
                      <w:showingPlcHdr/>
                    </w:sdtPr>
                    <w:sdtContent>
                      <w:p w14:paraId="7E255E9E">
                        <w:pPr>
                          <w:pStyle w:val="19"/>
                          <w:jc w:val="center"/>
                        </w:pPr>
                        <w:r>
                          <w:rPr>
                            <w:rFonts w:hint="eastAsia"/>
                            <w:lang w:eastAsia="zh-CN"/>
                          </w:rPr>
                          <w:t xml:space="preserve">     </w:t>
                        </w:r>
                      </w:p>
                    </w:sdtContent>
                  </w:sdt>
                  <w:p w14:paraId="0AFEACD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EEBB">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2C40C">
                          <w:pPr>
                            <w:pStyle w:val="19"/>
                            <w:keepNext w:val="0"/>
                            <w:keepLines w:val="0"/>
                            <w:pageBreakBefore w:val="0"/>
                            <w:widowControl w:val="0"/>
                            <w:kinsoku/>
                            <w:wordWrap/>
                            <w:overflowPunct/>
                            <w:topLinePunct w:val="0"/>
                            <w:bidi w:val="0"/>
                            <w:adjustRightInd/>
                            <w:snapToGrid w:val="0"/>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92C40C">
                    <w:pPr>
                      <w:pStyle w:val="19"/>
                      <w:keepNext w:val="0"/>
                      <w:keepLines w:val="0"/>
                      <w:pageBreakBefore w:val="0"/>
                      <w:widowControl w:val="0"/>
                      <w:kinsoku/>
                      <w:wordWrap/>
                      <w:overflowPunct/>
                      <w:topLinePunct w:val="0"/>
                      <w:bidi w:val="0"/>
                      <w:adjustRightInd/>
                      <w:snapToGrid w:val="0"/>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416"/>
                            <w:showingPlcHdr/>
                          </w:sdtPr>
                          <w:sdtContent>
                            <w:p w14:paraId="5178AC84">
                              <w:pPr>
                                <w:pStyle w:val="19"/>
                                <w:jc w:val="center"/>
                              </w:pPr>
                              <w:r>
                                <w:rPr>
                                  <w:rFonts w:hint="eastAsia"/>
                                  <w:lang w:eastAsia="zh-CN"/>
                                </w:rPr>
                                <w:t xml:space="preserve">     </w:t>
                              </w:r>
                            </w:p>
                          </w:sdtContent>
                        </w:sdt>
                        <w:p w14:paraId="1172ED4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80416"/>
                      <w:showingPlcHdr/>
                    </w:sdtPr>
                    <w:sdtContent>
                      <w:p w14:paraId="5178AC84">
                        <w:pPr>
                          <w:pStyle w:val="19"/>
                          <w:jc w:val="center"/>
                        </w:pPr>
                        <w:r>
                          <w:rPr>
                            <w:rFonts w:hint="eastAsia"/>
                            <w:lang w:eastAsia="zh-CN"/>
                          </w:rPr>
                          <w:t xml:space="preserve">     </w:t>
                        </w:r>
                      </w:p>
                    </w:sdtContent>
                  </w:sdt>
                  <w:p w14:paraId="1172ED4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9"/>
      <w:keepNext w:val="0"/>
      <w:keepLines w:val="0"/>
      <w:pageBreakBefore w:val="0"/>
      <w:widowControl w:val="0"/>
      <w:kinsoku/>
      <w:wordWrap/>
      <w:overflowPunct/>
      <w:topLinePunct w:val="0"/>
      <w:bidi w:val="0"/>
      <w:adjustRightInd/>
      <w:snapToGrid w:val="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3757FD">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v:textbox>
            </v:shape>
          </w:pict>
        </mc:Fallback>
      </mc:AlternateContent>
    </w:r>
  </w:p>
  <w:p w14:paraId="4005E61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E85C">
    <w:pPr>
      <w:pStyle w:val="20"/>
      <w:keepNext w:val="0"/>
      <w:keepLines w:val="0"/>
      <w:pageBreakBefore w:val="0"/>
      <w:widowControl w:val="0"/>
      <w:kinsoku/>
      <w:wordWrap/>
      <w:overflowPunct/>
      <w:topLinePunct w:val="0"/>
      <w:bidi w:val="0"/>
      <w:adjustRightInd/>
      <w:snapToGrid w:val="0"/>
      <w:jc w:val="right"/>
      <w:textAlignment w:val="auto"/>
    </w:pPr>
    <w:r>
      <w:rPr>
        <w:rFonts w:hint="eastAsia"/>
        <w:sz w:val="18"/>
        <w:szCs w:val="18"/>
        <w:lang w:val="en-US" w:eastAsia="zh-CN"/>
      </w:rPr>
      <w:t>兵团政府采购项目</w:t>
    </w:r>
    <w:r>
      <w:rPr>
        <w:rFonts w:hint="eastAsia"/>
        <w:sz w:val="18"/>
        <w:szCs w:val="18"/>
      </w:rPr>
      <w:t>公开招标文件</w:t>
    </w:r>
    <w:r>
      <w:rPr>
        <w:rFonts w:hint="eastAsia"/>
        <w:sz w:val="18"/>
        <w:szCs w:val="18"/>
        <w:lang w:val="en-US" w:eastAsia="zh-CN"/>
      </w:rPr>
      <w:t>示范文本（服务）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0"/>
    </w:pPr>
    <w:r>
      <w:rPr>
        <w:rFonts w:hint="eastAsia"/>
        <w:sz w:val="24"/>
        <w:szCs w:val="24"/>
        <w:lang w:val="en-US" w:eastAsia="zh-CN"/>
      </w:rPr>
      <w:t xml:space="preserve">                                    </w:t>
    </w:r>
    <w:r>
      <w:rPr>
        <w:rFonts w:hint="eastAsia"/>
        <w:sz w:val="18"/>
        <w:szCs w:val="18"/>
        <w:lang w:val="en-US" w:eastAsia="zh-CN"/>
      </w:rPr>
      <w:t>兵团政府采购项目</w:t>
    </w:r>
    <w:r>
      <w:rPr>
        <w:rFonts w:hint="eastAsia"/>
        <w:sz w:val="18"/>
        <w:szCs w:val="18"/>
      </w:rPr>
      <w:t>公开招标文件</w:t>
    </w:r>
    <w:r>
      <w:rPr>
        <w:rFonts w:hint="eastAsia"/>
        <w:sz w:val="18"/>
        <w:szCs w:val="18"/>
        <w:lang w:val="en-US" w:eastAsia="zh-CN"/>
      </w:rPr>
      <w:t>示范文本（服务）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1">
    <w:nsid w:val="B2C422F6"/>
    <w:multiLevelType w:val="singleLevel"/>
    <w:tmpl w:val="B2C422F6"/>
    <w:lvl w:ilvl="0" w:tentative="0">
      <w:start w:val="2"/>
      <w:numFmt w:val="decimal"/>
      <w:suff w:val="space"/>
      <w:lvlText w:val="%1."/>
      <w:lvlJc w:val="left"/>
    </w:lvl>
  </w:abstractNum>
  <w:abstractNum w:abstractNumId="2">
    <w:nsid w:val="E546575E"/>
    <w:multiLevelType w:val="singleLevel"/>
    <w:tmpl w:val="E546575E"/>
    <w:lvl w:ilvl="0" w:tentative="0">
      <w:start w:val="2"/>
      <w:numFmt w:val="decimal"/>
      <w:suff w:val="space"/>
      <w:lvlText w:val="%1."/>
      <w:lvlJc w:val="left"/>
    </w:lvl>
  </w:abstractNum>
  <w:abstractNum w:abstractNumId="3">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7B6378"/>
    <w:multiLevelType w:val="multilevel"/>
    <w:tmpl w:val="447B6378"/>
    <w:lvl w:ilvl="0" w:tentative="0">
      <w:start w:val="1"/>
      <w:numFmt w:val="decimal"/>
      <w:pStyle w:val="38"/>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2062E6"/>
    <w:rsid w:val="00207131"/>
    <w:rsid w:val="0022214D"/>
    <w:rsid w:val="00223585"/>
    <w:rsid w:val="002235CA"/>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29A"/>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1E05"/>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172"/>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67FFD"/>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0024"/>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EF3D7E"/>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E61E2"/>
    <w:rsid w:val="014F4893"/>
    <w:rsid w:val="01541EA9"/>
    <w:rsid w:val="01580C56"/>
    <w:rsid w:val="01781929"/>
    <w:rsid w:val="01877B89"/>
    <w:rsid w:val="019E3125"/>
    <w:rsid w:val="01D0068D"/>
    <w:rsid w:val="01D775B9"/>
    <w:rsid w:val="02026E30"/>
    <w:rsid w:val="020B6A0C"/>
    <w:rsid w:val="02132174"/>
    <w:rsid w:val="02186A33"/>
    <w:rsid w:val="0224187C"/>
    <w:rsid w:val="023130F5"/>
    <w:rsid w:val="024737BC"/>
    <w:rsid w:val="024C2B81"/>
    <w:rsid w:val="028604AE"/>
    <w:rsid w:val="029D33DC"/>
    <w:rsid w:val="02AD3196"/>
    <w:rsid w:val="02AE1145"/>
    <w:rsid w:val="02C44E0D"/>
    <w:rsid w:val="02DA63DE"/>
    <w:rsid w:val="02ED7EC0"/>
    <w:rsid w:val="03200295"/>
    <w:rsid w:val="035E2B6B"/>
    <w:rsid w:val="0361440A"/>
    <w:rsid w:val="036D7252"/>
    <w:rsid w:val="03773C2D"/>
    <w:rsid w:val="03863F06"/>
    <w:rsid w:val="03922815"/>
    <w:rsid w:val="03C350C4"/>
    <w:rsid w:val="03E2554B"/>
    <w:rsid w:val="03EA08A3"/>
    <w:rsid w:val="03F51722"/>
    <w:rsid w:val="03F62DA4"/>
    <w:rsid w:val="04066E90"/>
    <w:rsid w:val="044C330C"/>
    <w:rsid w:val="045126D0"/>
    <w:rsid w:val="045D72C7"/>
    <w:rsid w:val="047A5783"/>
    <w:rsid w:val="04820ADC"/>
    <w:rsid w:val="0487418D"/>
    <w:rsid w:val="04893C18"/>
    <w:rsid w:val="04B14F1D"/>
    <w:rsid w:val="04C17856"/>
    <w:rsid w:val="04C6056D"/>
    <w:rsid w:val="04F01EE9"/>
    <w:rsid w:val="04F574FF"/>
    <w:rsid w:val="04F72882"/>
    <w:rsid w:val="04FF212C"/>
    <w:rsid w:val="05235E1B"/>
    <w:rsid w:val="052D0A47"/>
    <w:rsid w:val="052E656D"/>
    <w:rsid w:val="05341DD6"/>
    <w:rsid w:val="053E0EA6"/>
    <w:rsid w:val="053F247C"/>
    <w:rsid w:val="05595CE0"/>
    <w:rsid w:val="057C377D"/>
    <w:rsid w:val="058014BF"/>
    <w:rsid w:val="05812B41"/>
    <w:rsid w:val="05AA653C"/>
    <w:rsid w:val="05C72C4A"/>
    <w:rsid w:val="05CB2336"/>
    <w:rsid w:val="05D15877"/>
    <w:rsid w:val="05D215EF"/>
    <w:rsid w:val="05D2339D"/>
    <w:rsid w:val="05D37841"/>
    <w:rsid w:val="05DB04A3"/>
    <w:rsid w:val="05E530D0"/>
    <w:rsid w:val="06127C3D"/>
    <w:rsid w:val="061A4B24"/>
    <w:rsid w:val="06231E4A"/>
    <w:rsid w:val="06253E14"/>
    <w:rsid w:val="0633208D"/>
    <w:rsid w:val="065564A8"/>
    <w:rsid w:val="06587D46"/>
    <w:rsid w:val="067032E2"/>
    <w:rsid w:val="067E3A29"/>
    <w:rsid w:val="06856661"/>
    <w:rsid w:val="069114AA"/>
    <w:rsid w:val="06AE7966"/>
    <w:rsid w:val="06B07B82"/>
    <w:rsid w:val="06DD649D"/>
    <w:rsid w:val="06EC66E0"/>
    <w:rsid w:val="06F04422"/>
    <w:rsid w:val="07020C1A"/>
    <w:rsid w:val="0709089A"/>
    <w:rsid w:val="071C5217"/>
    <w:rsid w:val="071D4AEC"/>
    <w:rsid w:val="07210A39"/>
    <w:rsid w:val="072242D3"/>
    <w:rsid w:val="072440CC"/>
    <w:rsid w:val="0737795B"/>
    <w:rsid w:val="073F4A62"/>
    <w:rsid w:val="07442078"/>
    <w:rsid w:val="076C53FA"/>
    <w:rsid w:val="076D22AC"/>
    <w:rsid w:val="0784404A"/>
    <w:rsid w:val="078608E3"/>
    <w:rsid w:val="07941252"/>
    <w:rsid w:val="079721EC"/>
    <w:rsid w:val="07A25DD3"/>
    <w:rsid w:val="07A64AE1"/>
    <w:rsid w:val="07B55348"/>
    <w:rsid w:val="07EA70C4"/>
    <w:rsid w:val="07F0083A"/>
    <w:rsid w:val="08687FE8"/>
    <w:rsid w:val="08935065"/>
    <w:rsid w:val="08997D8A"/>
    <w:rsid w:val="08A76D63"/>
    <w:rsid w:val="08AD2074"/>
    <w:rsid w:val="08BB45BC"/>
    <w:rsid w:val="08C6368D"/>
    <w:rsid w:val="08D306C7"/>
    <w:rsid w:val="08D538D0"/>
    <w:rsid w:val="08D77648"/>
    <w:rsid w:val="08E04023"/>
    <w:rsid w:val="08EE4992"/>
    <w:rsid w:val="09077801"/>
    <w:rsid w:val="091C32AD"/>
    <w:rsid w:val="09212671"/>
    <w:rsid w:val="0926010A"/>
    <w:rsid w:val="093C56FD"/>
    <w:rsid w:val="09664528"/>
    <w:rsid w:val="09970B85"/>
    <w:rsid w:val="09975029"/>
    <w:rsid w:val="09AC1C5B"/>
    <w:rsid w:val="09AD03A9"/>
    <w:rsid w:val="09CE174C"/>
    <w:rsid w:val="09E613EC"/>
    <w:rsid w:val="09EA6F07"/>
    <w:rsid w:val="09F23B8C"/>
    <w:rsid w:val="09FE29B2"/>
    <w:rsid w:val="0A1C108A"/>
    <w:rsid w:val="0A2148F3"/>
    <w:rsid w:val="0A391C3C"/>
    <w:rsid w:val="0A3D172D"/>
    <w:rsid w:val="0A3E680D"/>
    <w:rsid w:val="0A831432"/>
    <w:rsid w:val="0A9B6453"/>
    <w:rsid w:val="0AAB338B"/>
    <w:rsid w:val="0AAF1EFF"/>
    <w:rsid w:val="0ABF0394"/>
    <w:rsid w:val="0AD84599"/>
    <w:rsid w:val="0B05734A"/>
    <w:rsid w:val="0B0E131B"/>
    <w:rsid w:val="0B115FB9"/>
    <w:rsid w:val="0B1A381C"/>
    <w:rsid w:val="0B352404"/>
    <w:rsid w:val="0B386398"/>
    <w:rsid w:val="0B536D2E"/>
    <w:rsid w:val="0B5C2086"/>
    <w:rsid w:val="0B6727D9"/>
    <w:rsid w:val="0B674587"/>
    <w:rsid w:val="0B6B4077"/>
    <w:rsid w:val="0B6E5916"/>
    <w:rsid w:val="0B745622"/>
    <w:rsid w:val="0B76679F"/>
    <w:rsid w:val="0B7F5D75"/>
    <w:rsid w:val="0BB24C22"/>
    <w:rsid w:val="0BE45BD8"/>
    <w:rsid w:val="0BF202F5"/>
    <w:rsid w:val="0BFE313E"/>
    <w:rsid w:val="0C02649C"/>
    <w:rsid w:val="0C0A3890"/>
    <w:rsid w:val="0C1E6205"/>
    <w:rsid w:val="0C28640C"/>
    <w:rsid w:val="0C3C5A14"/>
    <w:rsid w:val="0C41302A"/>
    <w:rsid w:val="0C5A4DAC"/>
    <w:rsid w:val="0C5A7A82"/>
    <w:rsid w:val="0C874EE1"/>
    <w:rsid w:val="0C88488C"/>
    <w:rsid w:val="0C8A677F"/>
    <w:rsid w:val="0CC04897"/>
    <w:rsid w:val="0CD520F0"/>
    <w:rsid w:val="0CD67C16"/>
    <w:rsid w:val="0CD81BE1"/>
    <w:rsid w:val="0CE8699A"/>
    <w:rsid w:val="0D0C53E6"/>
    <w:rsid w:val="0D1C7D1F"/>
    <w:rsid w:val="0D2210AE"/>
    <w:rsid w:val="0D2766C4"/>
    <w:rsid w:val="0D6B6E82"/>
    <w:rsid w:val="0D9D0734"/>
    <w:rsid w:val="0D9E6986"/>
    <w:rsid w:val="0DA90E87"/>
    <w:rsid w:val="0DAF0B93"/>
    <w:rsid w:val="0DB241E0"/>
    <w:rsid w:val="0DB74AC1"/>
    <w:rsid w:val="0DC14423"/>
    <w:rsid w:val="0DC83A03"/>
    <w:rsid w:val="0DCD1019"/>
    <w:rsid w:val="0DE10B00"/>
    <w:rsid w:val="0DEF71E2"/>
    <w:rsid w:val="0E0D58BA"/>
    <w:rsid w:val="0E0F1632"/>
    <w:rsid w:val="0E342E47"/>
    <w:rsid w:val="0E460DCC"/>
    <w:rsid w:val="0E464928"/>
    <w:rsid w:val="0E651252"/>
    <w:rsid w:val="0E653000"/>
    <w:rsid w:val="0E6D45AA"/>
    <w:rsid w:val="0E72396F"/>
    <w:rsid w:val="0E796AAB"/>
    <w:rsid w:val="0E7C0027"/>
    <w:rsid w:val="0E7F6315"/>
    <w:rsid w:val="0E9543D1"/>
    <w:rsid w:val="0EA33B28"/>
    <w:rsid w:val="0EB208AB"/>
    <w:rsid w:val="0EB36461"/>
    <w:rsid w:val="0EB45D35"/>
    <w:rsid w:val="0EBD75FE"/>
    <w:rsid w:val="0EC817E1"/>
    <w:rsid w:val="0ECA5559"/>
    <w:rsid w:val="0ED53B2A"/>
    <w:rsid w:val="0EE564CD"/>
    <w:rsid w:val="0EF600FC"/>
    <w:rsid w:val="0F096081"/>
    <w:rsid w:val="0F1B5913"/>
    <w:rsid w:val="0F2442A2"/>
    <w:rsid w:val="0F3D21CF"/>
    <w:rsid w:val="0F4C0664"/>
    <w:rsid w:val="0F5A5835"/>
    <w:rsid w:val="0F9D4A1B"/>
    <w:rsid w:val="0FA638D0"/>
    <w:rsid w:val="0FAB538A"/>
    <w:rsid w:val="0FC063AA"/>
    <w:rsid w:val="0FD33C3D"/>
    <w:rsid w:val="0FE8213B"/>
    <w:rsid w:val="0FF52AA9"/>
    <w:rsid w:val="10047D52"/>
    <w:rsid w:val="10150A56"/>
    <w:rsid w:val="10240C99"/>
    <w:rsid w:val="102723E9"/>
    <w:rsid w:val="102B64CB"/>
    <w:rsid w:val="107439CE"/>
    <w:rsid w:val="1090632E"/>
    <w:rsid w:val="109220A6"/>
    <w:rsid w:val="109B71AD"/>
    <w:rsid w:val="10A92DD3"/>
    <w:rsid w:val="10AF4A06"/>
    <w:rsid w:val="10BD54A5"/>
    <w:rsid w:val="10C55FD8"/>
    <w:rsid w:val="10C85AC8"/>
    <w:rsid w:val="11036B00"/>
    <w:rsid w:val="11082369"/>
    <w:rsid w:val="11357D2A"/>
    <w:rsid w:val="113849FC"/>
    <w:rsid w:val="113A4C18"/>
    <w:rsid w:val="11457119"/>
    <w:rsid w:val="1147614B"/>
    <w:rsid w:val="116E48C1"/>
    <w:rsid w:val="11785740"/>
    <w:rsid w:val="11845E93"/>
    <w:rsid w:val="11867E5D"/>
    <w:rsid w:val="11A2456B"/>
    <w:rsid w:val="11AE5258"/>
    <w:rsid w:val="11B30526"/>
    <w:rsid w:val="11DA1F57"/>
    <w:rsid w:val="11DF30C9"/>
    <w:rsid w:val="11FA6155"/>
    <w:rsid w:val="120F4299"/>
    <w:rsid w:val="12130FC5"/>
    <w:rsid w:val="12371157"/>
    <w:rsid w:val="12483364"/>
    <w:rsid w:val="127001C5"/>
    <w:rsid w:val="12771554"/>
    <w:rsid w:val="127759F8"/>
    <w:rsid w:val="127A0C92"/>
    <w:rsid w:val="127F48AC"/>
    <w:rsid w:val="128D0D77"/>
    <w:rsid w:val="129E4D32"/>
    <w:rsid w:val="12AD766B"/>
    <w:rsid w:val="12B91B6C"/>
    <w:rsid w:val="12BA7692"/>
    <w:rsid w:val="12BC165D"/>
    <w:rsid w:val="12CC5D44"/>
    <w:rsid w:val="12DE7825"/>
    <w:rsid w:val="12E3308D"/>
    <w:rsid w:val="12EF558E"/>
    <w:rsid w:val="13021765"/>
    <w:rsid w:val="13037AFF"/>
    <w:rsid w:val="13453400"/>
    <w:rsid w:val="13456351"/>
    <w:rsid w:val="134C0C32"/>
    <w:rsid w:val="137B79E1"/>
    <w:rsid w:val="137D0DEC"/>
    <w:rsid w:val="13833F28"/>
    <w:rsid w:val="139A5853"/>
    <w:rsid w:val="13A03104"/>
    <w:rsid w:val="13E62E35"/>
    <w:rsid w:val="14065285"/>
    <w:rsid w:val="142B0848"/>
    <w:rsid w:val="143F42F3"/>
    <w:rsid w:val="144731A8"/>
    <w:rsid w:val="1457788F"/>
    <w:rsid w:val="14717C9A"/>
    <w:rsid w:val="147F2942"/>
    <w:rsid w:val="14AF7789"/>
    <w:rsid w:val="14BF5434"/>
    <w:rsid w:val="14D50D33"/>
    <w:rsid w:val="14EF1875"/>
    <w:rsid w:val="14F50E56"/>
    <w:rsid w:val="151E65FF"/>
    <w:rsid w:val="152030DE"/>
    <w:rsid w:val="1537321C"/>
    <w:rsid w:val="154020D1"/>
    <w:rsid w:val="15A840F3"/>
    <w:rsid w:val="15C9656A"/>
    <w:rsid w:val="15FB249C"/>
    <w:rsid w:val="15FF3D3A"/>
    <w:rsid w:val="1602382A"/>
    <w:rsid w:val="16565924"/>
    <w:rsid w:val="16640041"/>
    <w:rsid w:val="16646293"/>
    <w:rsid w:val="16685D83"/>
    <w:rsid w:val="167C182F"/>
    <w:rsid w:val="167D1103"/>
    <w:rsid w:val="167D2FDD"/>
    <w:rsid w:val="168B406D"/>
    <w:rsid w:val="169052DA"/>
    <w:rsid w:val="16AE5760"/>
    <w:rsid w:val="16AE750E"/>
    <w:rsid w:val="16B40FC8"/>
    <w:rsid w:val="16BE3BF5"/>
    <w:rsid w:val="16C46D32"/>
    <w:rsid w:val="16D84122"/>
    <w:rsid w:val="16E1737A"/>
    <w:rsid w:val="16E3540A"/>
    <w:rsid w:val="16E442B3"/>
    <w:rsid w:val="1711641B"/>
    <w:rsid w:val="1719707D"/>
    <w:rsid w:val="17215F32"/>
    <w:rsid w:val="172872C1"/>
    <w:rsid w:val="17367C2F"/>
    <w:rsid w:val="17457E73"/>
    <w:rsid w:val="174C1201"/>
    <w:rsid w:val="174F6F43"/>
    <w:rsid w:val="176821F4"/>
    <w:rsid w:val="17710C68"/>
    <w:rsid w:val="177C760C"/>
    <w:rsid w:val="177E1C86"/>
    <w:rsid w:val="179B7A92"/>
    <w:rsid w:val="17AD77C6"/>
    <w:rsid w:val="17CB7119"/>
    <w:rsid w:val="17D2722C"/>
    <w:rsid w:val="17FB49D5"/>
    <w:rsid w:val="18041ADC"/>
    <w:rsid w:val="182E6B59"/>
    <w:rsid w:val="187C5B16"/>
    <w:rsid w:val="189246B5"/>
    <w:rsid w:val="18A706B9"/>
    <w:rsid w:val="18C272A1"/>
    <w:rsid w:val="18CB43A7"/>
    <w:rsid w:val="18DA283C"/>
    <w:rsid w:val="18F733EE"/>
    <w:rsid w:val="18F74F54"/>
    <w:rsid w:val="18F90F15"/>
    <w:rsid w:val="19197809"/>
    <w:rsid w:val="192D6E10"/>
    <w:rsid w:val="1934019F"/>
    <w:rsid w:val="19373862"/>
    <w:rsid w:val="19520625"/>
    <w:rsid w:val="19526877"/>
    <w:rsid w:val="1954641C"/>
    <w:rsid w:val="195E2798"/>
    <w:rsid w:val="19D2300F"/>
    <w:rsid w:val="1A0214BE"/>
    <w:rsid w:val="1A0E5C74"/>
    <w:rsid w:val="1A197394"/>
    <w:rsid w:val="1A352420"/>
    <w:rsid w:val="1A512FD2"/>
    <w:rsid w:val="1A5D54D3"/>
    <w:rsid w:val="1A5F124B"/>
    <w:rsid w:val="1A6124EF"/>
    <w:rsid w:val="1A710493"/>
    <w:rsid w:val="1AB33908"/>
    <w:rsid w:val="1ADA2FC8"/>
    <w:rsid w:val="1AE259D8"/>
    <w:rsid w:val="1AE35507"/>
    <w:rsid w:val="1AEB2ADF"/>
    <w:rsid w:val="1B1E0973"/>
    <w:rsid w:val="1B3E3557"/>
    <w:rsid w:val="1B636B19"/>
    <w:rsid w:val="1B6805D3"/>
    <w:rsid w:val="1B7E1468"/>
    <w:rsid w:val="1B825739"/>
    <w:rsid w:val="1B83540D"/>
    <w:rsid w:val="1BC17CE4"/>
    <w:rsid w:val="1BCC0B62"/>
    <w:rsid w:val="1BDD4B1E"/>
    <w:rsid w:val="1BE718C7"/>
    <w:rsid w:val="1BF26805"/>
    <w:rsid w:val="1C146065"/>
    <w:rsid w:val="1C4032FE"/>
    <w:rsid w:val="1C406E5A"/>
    <w:rsid w:val="1C495921"/>
    <w:rsid w:val="1C744D56"/>
    <w:rsid w:val="1C7A6810"/>
    <w:rsid w:val="1C7B7E93"/>
    <w:rsid w:val="1C9C6787"/>
    <w:rsid w:val="1CA05B4B"/>
    <w:rsid w:val="1CA90EA4"/>
    <w:rsid w:val="1CAA6093"/>
    <w:rsid w:val="1CD770EC"/>
    <w:rsid w:val="1CE41EDC"/>
    <w:rsid w:val="1CE43C8A"/>
    <w:rsid w:val="1D183933"/>
    <w:rsid w:val="1D1B3B0E"/>
    <w:rsid w:val="1D210A3A"/>
    <w:rsid w:val="1D214EDE"/>
    <w:rsid w:val="1D4A4435"/>
    <w:rsid w:val="1D524C10"/>
    <w:rsid w:val="1D61177E"/>
    <w:rsid w:val="1D7E7C3A"/>
    <w:rsid w:val="1D8D4321"/>
    <w:rsid w:val="1D9C27B6"/>
    <w:rsid w:val="1DAA4ED3"/>
    <w:rsid w:val="1DC53ABB"/>
    <w:rsid w:val="1DC835AB"/>
    <w:rsid w:val="1DE2466D"/>
    <w:rsid w:val="1E206F43"/>
    <w:rsid w:val="1E2F7187"/>
    <w:rsid w:val="1E340C41"/>
    <w:rsid w:val="1E401394"/>
    <w:rsid w:val="1E4E3AB1"/>
    <w:rsid w:val="1E51534F"/>
    <w:rsid w:val="1E5310C7"/>
    <w:rsid w:val="1E6908EA"/>
    <w:rsid w:val="1E766B63"/>
    <w:rsid w:val="1E9B2A6E"/>
    <w:rsid w:val="1EAC07D7"/>
    <w:rsid w:val="1EBA1146"/>
    <w:rsid w:val="1EC45B21"/>
    <w:rsid w:val="1EC73863"/>
    <w:rsid w:val="1ED63AA6"/>
    <w:rsid w:val="1EDF295B"/>
    <w:rsid w:val="1EEE0DF0"/>
    <w:rsid w:val="1F046865"/>
    <w:rsid w:val="1F0A70F1"/>
    <w:rsid w:val="1F1D16D5"/>
    <w:rsid w:val="1F4536E0"/>
    <w:rsid w:val="1F525822"/>
    <w:rsid w:val="1F58270D"/>
    <w:rsid w:val="1F5D7D23"/>
    <w:rsid w:val="1F5F1CED"/>
    <w:rsid w:val="1F7237CF"/>
    <w:rsid w:val="1F770DE5"/>
    <w:rsid w:val="1F8D0609"/>
    <w:rsid w:val="1FA96FA3"/>
    <w:rsid w:val="1FB82BC8"/>
    <w:rsid w:val="1FE31481"/>
    <w:rsid w:val="1FF468DA"/>
    <w:rsid w:val="200B6E05"/>
    <w:rsid w:val="200F101E"/>
    <w:rsid w:val="200F54C2"/>
    <w:rsid w:val="201B5C14"/>
    <w:rsid w:val="202D1DEC"/>
    <w:rsid w:val="2039253E"/>
    <w:rsid w:val="204607B7"/>
    <w:rsid w:val="204A02A8"/>
    <w:rsid w:val="204D7D98"/>
    <w:rsid w:val="20690166"/>
    <w:rsid w:val="207B2DC6"/>
    <w:rsid w:val="20803CC9"/>
    <w:rsid w:val="209239FD"/>
    <w:rsid w:val="20B47E17"/>
    <w:rsid w:val="20CE0ED9"/>
    <w:rsid w:val="20DA3F99"/>
    <w:rsid w:val="20E71F9A"/>
    <w:rsid w:val="20E97AC1"/>
    <w:rsid w:val="20EA2A65"/>
    <w:rsid w:val="20EF2BFD"/>
    <w:rsid w:val="210112AE"/>
    <w:rsid w:val="21292E75"/>
    <w:rsid w:val="212F12B7"/>
    <w:rsid w:val="214E2A84"/>
    <w:rsid w:val="21817CF9"/>
    <w:rsid w:val="21884BA0"/>
    <w:rsid w:val="219519F6"/>
    <w:rsid w:val="2197576F"/>
    <w:rsid w:val="21A659B2"/>
    <w:rsid w:val="21B55BF5"/>
    <w:rsid w:val="21DE15EF"/>
    <w:rsid w:val="22105521"/>
    <w:rsid w:val="2217240B"/>
    <w:rsid w:val="222039B6"/>
    <w:rsid w:val="2228094B"/>
    <w:rsid w:val="222B5EB7"/>
    <w:rsid w:val="224A27E1"/>
    <w:rsid w:val="227635D6"/>
    <w:rsid w:val="22794E74"/>
    <w:rsid w:val="22AF6B26"/>
    <w:rsid w:val="22BB723B"/>
    <w:rsid w:val="22C87E24"/>
    <w:rsid w:val="22C95DFC"/>
    <w:rsid w:val="22EE06E2"/>
    <w:rsid w:val="22F84FC6"/>
    <w:rsid w:val="22FD3CF7"/>
    <w:rsid w:val="23250B58"/>
    <w:rsid w:val="23411E36"/>
    <w:rsid w:val="234D0B5D"/>
    <w:rsid w:val="23523067"/>
    <w:rsid w:val="235C6C70"/>
    <w:rsid w:val="23614286"/>
    <w:rsid w:val="238B30B1"/>
    <w:rsid w:val="23CC5B62"/>
    <w:rsid w:val="23CD510E"/>
    <w:rsid w:val="23DF48E5"/>
    <w:rsid w:val="24170DE9"/>
    <w:rsid w:val="243472A5"/>
    <w:rsid w:val="2440076D"/>
    <w:rsid w:val="245B3E51"/>
    <w:rsid w:val="24A563F4"/>
    <w:rsid w:val="24B228BF"/>
    <w:rsid w:val="24C15199"/>
    <w:rsid w:val="24CE288D"/>
    <w:rsid w:val="24EF7670"/>
    <w:rsid w:val="24F46A34"/>
    <w:rsid w:val="25034EC9"/>
    <w:rsid w:val="251946ED"/>
    <w:rsid w:val="253A4D8F"/>
    <w:rsid w:val="25777D91"/>
    <w:rsid w:val="25781413"/>
    <w:rsid w:val="257858B7"/>
    <w:rsid w:val="258506D6"/>
    <w:rsid w:val="258B383C"/>
    <w:rsid w:val="259455FA"/>
    <w:rsid w:val="259719F3"/>
    <w:rsid w:val="25AB17E9"/>
    <w:rsid w:val="25AD5EB4"/>
    <w:rsid w:val="25BF5294"/>
    <w:rsid w:val="25C2759F"/>
    <w:rsid w:val="25C63DCF"/>
    <w:rsid w:val="25C74149"/>
    <w:rsid w:val="25DC7BF4"/>
    <w:rsid w:val="25DE267C"/>
    <w:rsid w:val="25E46AA9"/>
    <w:rsid w:val="25E66CC5"/>
    <w:rsid w:val="25FA62CC"/>
    <w:rsid w:val="26143832"/>
    <w:rsid w:val="262275D1"/>
    <w:rsid w:val="263712CE"/>
    <w:rsid w:val="264B4D7A"/>
    <w:rsid w:val="264D6D44"/>
    <w:rsid w:val="26644EA7"/>
    <w:rsid w:val="266A3452"/>
    <w:rsid w:val="26977FBF"/>
    <w:rsid w:val="26AF355A"/>
    <w:rsid w:val="26B50445"/>
    <w:rsid w:val="26DA55FB"/>
    <w:rsid w:val="26DC11F6"/>
    <w:rsid w:val="26EC191F"/>
    <w:rsid w:val="26F251F5"/>
    <w:rsid w:val="270C62B7"/>
    <w:rsid w:val="271E5FEA"/>
    <w:rsid w:val="272F7095"/>
    <w:rsid w:val="275D1F08"/>
    <w:rsid w:val="276B56D3"/>
    <w:rsid w:val="276E687B"/>
    <w:rsid w:val="27802801"/>
    <w:rsid w:val="278A123C"/>
    <w:rsid w:val="279F537D"/>
    <w:rsid w:val="27CB7F20"/>
    <w:rsid w:val="27D52B4D"/>
    <w:rsid w:val="27D843EB"/>
    <w:rsid w:val="27EE00B2"/>
    <w:rsid w:val="27FC457D"/>
    <w:rsid w:val="2802590C"/>
    <w:rsid w:val="280451E0"/>
    <w:rsid w:val="280E7BD2"/>
    <w:rsid w:val="28153891"/>
    <w:rsid w:val="28177609"/>
    <w:rsid w:val="281C077C"/>
    <w:rsid w:val="28245427"/>
    <w:rsid w:val="28247630"/>
    <w:rsid w:val="282615FA"/>
    <w:rsid w:val="283E4B96"/>
    <w:rsid w:val="28414686"/>
    <w:rsid w:val="2849353B"/>
    <w:rsid w:val="284D6B87"/>
    <w:rsid w:val="28550131"/>
    <w:rsid w:val="28612632"/>
    <w:rsid w:val="28757E8C"/>
    <w:rsid w:val="287E4F92"/>
    <w:rsid w:val="28887BBF"/>
    <w:rsid w:val="28AB1AFF"/>
    <w:rsid w:val="28BB0757"/>
    <w:rsid w:val="28C36618"/>
    <w:rsid w:val="28CB21A2"/>
    <w:rsid w:val="28D95DD3"/>
    <w:rsid w:val="28E62B38"/>
    <w:rsid w:val="28F96D0F"/>
    <w:rsid w:val="290B7A2E"/>
    <w:rsid w:val="292A6EC8"/>
    <w:rsid w:val="293B10D5"/>
    <w:rsid w:val="2944442E"/>
    <w:rsid w:val="294550C5"/>
    <w:rsid w:val="29493E9D"/>
    <w:rsid w:val="294F2293"/>
    <w:rsid w:val="29606D8E"/>
    <w:rsid w:val="2964062C"/>
    <w:rsid w:val="29787C34"/>
    <w:rsid w:val="298769B4"/>
    <w:rsid w:val="29927747"/>
    <w:rsid w:val="29A749BD"/>
    <w:rsid w:val="29C9048F"/>
    <w:rsid w:val="29CB06AB"/>
    <w:rsid w:val="29E24DC0"/>
    <w:rsid w:val="2A0108B7"/>
    <w:rsid w:val="2A04596B"/>
    <w:rsid w:val="2A0E67EA"/>
    <w:rsid w:val="2A133E00"/>
    <w:rsid w:val="2A1536D4"/>
    <w:rsid w:val="2A1A0CEB"/>
    <w:rsid w:val="2A202079"/>
    <w:rsid w:val="2A30050E"/>
    <w:rsid w:val="2A3B6D1B"/>
    <w:rsid w:val="2A411154"/>
    <w:rsid w:val="2A506E02"/>
    <w:rsid w:val="2A526D38"/>
    <w:rsid w:val="2A88659C"/>
    <w:rsid w:val="2A954815"/>
    <w:rsid w:val="2AD0584D"/>
    <w:rsid w:val="2AEE4B12"/>
    <w:rsid w:val="2AFE685E"/>
    <w:rsid w:val="2B027774"/>
    <w:rsid w:val="2B0D0850"/>
    <w:rsid w:val="2B116592"/>
    <w:rsid w:val="2B122D8D"/>
    <w:rsid w:val="2B193698"/>
    <w:rsid w:val="2B1C4F36"/>
    <w:rsid w:val="2B2160A9"/>
    <w:rsid w:val="2B3202B6"/>
    <w:rsid w:val="2B361B54"/>
    <w:rsid w:val="2B367DA6"/>
    <w:rsid w:val="2B400C25"/>
    <w:rsid w:val="2B4714A0"/>
    <w:rsid w:val="2B606BD1"/>
    <w:rsid w:val="2B6C5576"/>
    <w:rsid w:val="2B717030"/>
    <w:rsid w:val="2B74267D"/>
    <w:rsid w:val="2B93739B"/>
    <w:rsid w:val="2B994370"/>
    <w:rsid w:val="2BA50A88"/>
    <w:rsid w:val="2BB60EE7"/>
    <w:rsid w:val="2BC034DB"/>
    <w:rsid w:val="2BEF4305"/>
    <w:rsid w:val="2C077995"/>
    <w:rsid w:val="2C235EB7"/>
    <w:rsid w:val="2C2440A3"/>
    <w:rsid w:val="2C2B5431"/>
    <w:rsid w:val="2C3C763E"/>
    <w:rsid w:val="2C610E53"/>
    <w:rsid w:val="2C646B95"/>
    <w:rsid w:val="2C6646BB"/>
    <w:rsid w:val="2C83526D"/>
    <w:rsid w:val="2C9A0B92"/>
    <w:rsid w:val="2C9F3729"/>
    <w:rsid w:val="2CB73169"/>
    <w:rsid w:val="2CE47D2A"/>
    <w:rsid w:val="2CED0939"/>
    <w:rsid w:val="2CED6B8B"/>
    <w:rsid w:val="2CF27CFD"/>
    <w:rsid w:val="2CFA3055"/>
    <w:rsid w:val="2D012636"/>
    <w:rsid w:val="2D016C6B"/>
    <w:rsid w:val="2D0B5263"/>
    <w:rsid w:val="2D0D2D89"/>
    <w:rsid w:val="2D2B1461"/>
    <w:rsid w:val="2D2D1B91"/>
    <w:rsid w:val="2D404F0C"/>
    <w:rsid w:val="2D417598"/>
    <w:rsid w:val="2D5B3AF4"/>
    <w:rsid w:val="2D8D7A26"/>
    <w:rsid w:val="2DA2135E"/>
    <w:rsid w:val="2DB9081B"/>
    <w:rsid w:val="2DCB70CE"/>
    <w:rsid w:val="2DCE2518"/>
    <w:rsid w:val="2DD218DC"/>
    <w:rsid w:val="2DDB69E3"/>
    <w:rsid w:val="2DEF7457"/>
    <w:rsid w:val="2E045F3A"/>
    <w:rsid w:val="2E093AD9"/>
    <w:rsid w:val="2E2A34C6"/>
    <w:rsid w:val="2E426A62"/>
    <w:rsid w:val="2E6C48D9"/>
    <w:rsid w:val="2E786928"/>
    <w:rsid w:val="2E8E1CA7"/>
    <w:rsid w:val="2E8F4F19"/>
    <w:rsid w:val="2EA63495"/>
    <w:rsid w:val="2EB57234"/>
    <w:rsid w:val="2EC41B6D"/>
    <w:rsid w:val="2ED7364E"/>
    <w:rsid w:val="2EF35FAE"/>
    <w:rsid w:val="2EFA6A37"/>
    <w:rsid w:val="2F167CA6"/>
    <w:rsid w:val="2F1A353B"/>
    <w:rsid w:val="2F452CAE"/>
    <w:rsid w:val="2F4735AB"/>
    <w:rsid w:val="2F5D70AC"/>
    <w:rsid w:val="2F8B61E7"/>
    <w:rsid w:val="2FA36C75"/>
    <w:rsid w:val="2FBE036A"/>
    <w:rsid w:val="302428C3"/>
    <w:rsid w:val="30297EDA"/>
    <w:rsid w:val="302C5C1C"/>
    <w:rsid w:val="303074BA"/>
    <w:rsid w:val="30405223"/>
    <w:rsid w:val="306929CC"/>
    <w:rsid w:val="306B405E"/>
    <w:rsid w:val="30832D34"/>
    <w:rsid w:val="30872E52"/>
    <w:rsid w:val="308C4B30"/>
    <w:rsid w:val="30A75681"/>
    <w:rsid w:val="30C714A1"/>
    <w:rsid w:val="30F41419"/>
    <w:rsid w:val="30FC114A"/>
    <w:rsid w:val="310D77FB"/>
    <w:rsid w:val="310E0E7D"/>
    <w:rsid w:val="311346E6"/>
    <w:rsid w:val="31307355"/>
    <w:rsid w:val="314A68DF"/>
    <w:rsid w:val="315620B8"/>
    <w:rsid w:val="317F1D7B"/>
    <w:rsid w:val="31841AC8"/>
    <w:rsid w:val="31A737AC"/>
    <w:rsid w:val="31A87524"/>
    <w:rsid w:val="31B00187"/>
    <w:rsid w:val="31CB6D6E"/>
    <w:rsid w:val="31D200FD"/>
    <w:rsid w:val="31E64732"/>
    <w:rsid w:val="31EA5447"/>
    <w:rsid w:val="32140715"/>
    <w:rsid w:val="32230959"/>
    <w:rsid w:val="324059AE"/>
    <w:rsid w:val="326351F9"/>
    <w:rsid w:val="327D078A"/>
    <w:rsid w:val="3284589B"/>
    <w:rsid w:val="32933D30"/>
    <w:rsid w:val="32B31CDC"/>
    <w:rsid w:val="32C75788"/>
    <w:rsid w:val="32CC7242"/>
    <w:rsid w:val="32E165BD"/>
    <w:rsid w:val="32FA3DAF"/>
    <w:rsid w:val="334F40FB"/>
    <w:rsid w:val="33641229"/>
    <w:rsid w:val="337B243F"/>
    <w:rsid w:val="338673F1"/>
    <w:rsid w:val="339D48A3"/>
    <w:rsid w:val="33BF2903"/>
    <w:rsid w:val="33CF6FEA"/>
    <w:rsid w:val="33EA3E24"/>
    <w:rsid w:val="33F64577"/>
    <w:rsid w:val="33FB1B8D"/>
    <w:rsid w:val="34056568"/>
    <w:rsid w:val="34395261"/>
    <w:rsid w:val="34525525"/>
    <w:rsid w:val="346040E6"/>
    <w:rsid w:val="34945B3E"/>
    <w:rsid w:val="34A0589E"/>
    <w:rsid w:val="34A67F96"/>
    <w:rsid w:val="34B0508B"/>
    <w:rsid w:val="34B1049E"/>
    <w:rsid w:val="34DF440A"/>
    <w:rsid w:val="34E502E4"/>
    <w:rsid w:val="34F605A6"/>
    <w:rsid w:val="350031D3"/>
    <w:rsid w:val="350702D2"/>
    <w:rsid w:val="350A581B"/>
    <w:rsid w:val="352275ED"/>
    <w:rsid w:val="352E7D40"/>
    <w:rsid w:val="35426A60"/>
    <w:rsid w:val="35571045"/>
    <w:rsid w:val="35586B6B"/>
    <w:rsid w:val="355A1520"/>
    <w:rsid w:val="355E7319"/>
    <w:rsid w:val="35690D78"/>
    <w:rsid w:val="35CE6E2D"/>
    <w:rsid w:val="35DB7EC8"/>
    <w:rsid w:val="35EE2046"/>
    <w:rsid w:val="35F41640"/>
    <w:rsid w:val="362A0508"/>
    <w:rsid w:val="362D7FF8"/>
    <w:rsid w:val="364652E8"/>
    <w:rsid w:val="36603F29"/>
    <w:rsid w:val="36653C36"/>
    <w:rsid w:val="366A4DA8"/>
    <w:rsid w:val="36897924"/>
    <w:rsid w:val="369116D0"/>
    <w:rsid w:val="36941E25"/>
    <w:rsid w:val="3699568D"/>
    <w:rsid w:val="369F7E9A"/>
    <w:rsid w:val="36B67FED"/>
    <w:rsid w:val="36C46BAE"/>
    <w:rsid w:val="36CC15BF"/>
    <w:rsid w:val="370E607B"/>
    <w:rsid w:val="37112969"/>
    <w:rsid w:val="37180CA8"/>
    <w:rsid w:val="372907BF"/>
    <w:rsid w:val="37294C63"/>
    <w:rsid w:val="373830F8"/>
    <w:rsid w:val="374D6BA3"/>
    <w:rsid w:val="375647D6"/>
    <w:rsid w:val="377A726D"/>
    <w:rsid w:val="377E4FAF"/>
    <w:rsid w:val="37893954"/>
    <w:rsid w:val="37971BCD"/>
    <w:rsid w:val="37A75B88"/>
    <w:rsid w:val="37D921E5"/>
    <w:rsid w:val="37F92887"/>
    <w:rsid w:val="37FC2378"/>
    <w:rsid w:val="380C2A2C"/>
    <w:rsid w:val="384B3FA8"/>
    <w:rsid w:val="3854528C"/>
    <w:rsid w:val="38565141"/>
    <w:rsid w:val="38602906"/>
    <w:rsid w:val="388B702F"/>
    <w:rsid w:val="389F176C"/>
    <w:rsid w:val="38A00F55"/>
    <w:rsid w:val="38B95B73"/>
    <w:rsid w:val="38C509BB"/>
    <w:rsid w:val="38CF183A"/>
    <w:rsid w:val="38E30E42"/>
    <w:rsid w:val="38EF5A38"/>
    <w:rsid w:val="38F262B8"/>
    <w:rsid w:val="39036257"/>
    <w:rsid w:val="390F1199"/>
    <w:rsid w:val="39367F12"/>
    <w:rsid w:val="394538AA"/>
    <w:rsid w:val="39495149"/>
    <w:rsid w:val="394D5E49"/>
    <w:rsid w:val="39553AED"/>
    <w:rsid w:val="3986014B"/>
    <w:rsid w:val="39993E51"/>
    <w:rsid w:val="39AD02F7"/>
    <w:rsid w:val="39B5458C"/>
    <w:rsid w:val="39B60304"/>
    <w:rsid w:val="39DA2245"/>
    <w:rsid w:val="39DA3FF3"/>
    <w:rsid w:val="39DF3CFF"/>
    <w:rsid w:val="39E81075"/>
    <w:rsid w:val="39F71049"/>
    <w:rsid w:val="3A013C75"/>
    <w:rsid w:val="3A12378C"/>
    <w:rsid w:val="3A2B6F44"/>
    <w:rsid w:val="3A322081"/>
    <w:rsid w:val="3A331955"/>
    <w:rsid w:val="3A361B71"/>
    <w:rsid w:val="3A456E52"/>
    <w:rsid w:val="3A463AB7"/>
    <w:rsid w:val="3A4B6C9E"/>
    <w:rsid w:val="3A631110"/>
    <w:rsid w:val="3A7C32FC"/>
    <w:rsid w:val="3AC70A1B"/>
    <w:rsid w:val="3AD44EE6"/>
    <w:rsid w:val="3AD66EB0"/>
    <w:rsid w:val="3AEA64B7"/>
    <w:rsid w:val="3AF92B9E"/>
    <w:rsid w:val="3AFA0DF0"/>
    <w:rsid w:val="3B236ECD"/>
    <w:rsid w:val="3B337E5E"/>
    <w:rsid w:val="3B343BD6"/>
    <w:rsid w:val="3B3C653D"/>
    <w:rsid w:val="3B497682"/>
    <w:rsid w:val="3B49769C"/>
    <w:rsid w:val="3B53405D"/>
    <w:rsid w:val="3B691AD2"/>
    <w:rsid w:val="3B6E533A"/>
    <w:rsid w:val="3B7F30A4"/>
    <w:rsid w:val="3B8561E0"/>
    <w:rsid w:val="3B8B1A48"/>
    <w:rsid w:val="3B9A415A"/>
    <w:rsid w:val="3BA2244B"/>
    <w:rsid w:val="3BB07701"/>
    <w:rsid w:val="3BB2349B"/>
    <w:rsid w:val="3BB865B6"/>
    <w:rsid w:val="3BBF7944"/>
    <w:rsid w:val="3BC82C9D"/>
    <w:rsid w:val="3BEE1F9C"/>
    <w:rsid w:val="3C0D4B53"/>
    <w:rsid w:val="3C2105FF"/>
    <w:rsid w:val="3C372D23"/>
    <w:rsid w:val="3C447E49"/>
    <w:rsid w:val="3C4B380F"/>
    <w:rsid w:val="3C4F6F1A"/>
    <w:rsid w:val="3C511E12"/>
    <w:rsid w:val="3C5F2ED5"/>
    <w:rsid w:val="3C97441D"/>
    <w:rsid w:val="3CA408E8"/>
    <w:rsid w:val="3CA64660"/>
    <w:rsid w:val="3CBD0327"/>
    <w:rsid w:val="3CC14C1F"/>
    <w:rsid w:val="3CD0758C"/>
    <w:rsid w:val="3CDE6FFD"/>
    <w:rsid w:val="3CE55188"/>
    <w:rsid w:val="3CF56BC9"/>
    <w:rsid w:val="3D0A4BEF"/>
    <w:rsid w:val="3D1F37E4"/>
    <w:rsid w:val="3D211F38"/>
    <w:rsid w:val="3D235CB1"/>
    <w:rsid w:val="3D31113A"/>
    <w:rsid w:val="3D37175C"/>
    <w:rsid w:val="3D695DB9"/>
    <w:rsid w:val="3D7309E6"/>
    <w:rsid w:val="3D762284"/>
    <w:rsid w:val="3D864BBD"/>
    <w:rsid w:val="3DDD67A7"/>
    <w:rsid w:val="3DE23DBE"/>
    <w:rsid w:val="3E1A70B4"/>
    <w:rsid w:val="3E330175"/>
    <w:rsid w:val="3E655E3A"/>
    <w:rsid w:val="3E667746"/>
    <w:rsid w:val="3E697406"/>
    <w:rsid w:val="3E885B96"/>
    <w:rsid w:val="3E8E35FE"/>
    <w:rsid w:val="3EB43064"/>
    <w:rsid w:val="3EB92D70"/>
    <w:rsid w:val="3ECD4126"/>
    <w:rsid w:val="3EF1250A"/>
    <w:rsid w:val="3F0C66A8"/>
    <w:rsid w:val="3F163D1F"/>
    <w:rsid w:val="3F281CA4"/>
    <w:rsid w:val="3F2B709E"/>
    <w:rsid w:val="3F316DAB"/>
    <w:rsid w:val="3F4500E9"/>
    <w:rsid w:val="3F450160"/>
    <w:rsid w:val="3F4C14EF"/>
    <w:rsid w:val="3F692622"/>
    <w:rsid w:val="3F7153F9"/>
    <w:rsid w:val="3F720A50"/>
    <w:rsid w:val="3F917849"/>
    <w:rsid w:val="3F9425D0"/>
    <w:rsid w:val="3F9B0612"/>
    <w:rsid w:val="3F9D1D4A"/>
    <w:rsid w:val="3FA241A2"/>
    <w:rsid w:val="3FAA4467"/>
    <w:rsid w:val="3FAC01DF"/>
    <w:rsid w:val="3FB4343D"/>
    <w:rsid w:val="3FD85478"/>
    <w:rsid w:val="40155D85"/>
    <w:rsid w:val="403A57EB"/>
    <w:rsid w:val="4047615A"/>
    <w:rsid w:val="404B3E9C"/>
    <w:rsid w:val="4061546E"/>
    <w:rsid w:val="4079067E"/>
    <w:rsid w:val="4093139F"/>
    <w:rsid w:val="409343AF"/>
    <w:rsid w:val="409A0980"/>
    <w:rsid w:val="40AC655D"/>
    <w:rsid w:val="40D75730"/>
    <w:rsid w:val="40E63BC5"/>
    <w:rsid w:val="40FA4F7A"/>
    <w:rsid w:val="41362456"/>
    <w:rsid w:val="413C37E5"/>
    <w:rsid w:val="41487F61"/>
    <w:rsid w:val="414A5F02"/>
    <w:rsid w:val="415648A7"/>
    <w:rsid w:val="415A71E1"/>
    <w:rsid w:val="41630D72"/>
    <w:rsid w:val="419B675D"/>
    <w:rsid w:val="419F484B"/>
    <w:rsid w:val="41AA69A0"/>
    <w:rsid w:val="41B15F81"/>
    <w:rsid w:val="41C31810"/>
    <w:rsid w:val="41E225DE"/>
    <w:rsid w:val="41F8595E"/>
    <w:rsid w:val="420C600C"/>
    <w:rsid w:val="42100EF9"/>
    <w:rsid w:val="4214206C"/>
    <w:rsid w:val="421B164C"/>
    <w:rsid w:val="422246E7"/>
    <w:rsid w:val="422B5D33"/>
    <w:rsid w:val="42312D26"/>
    <w:rsid w:val="42454372"/>
    <w:rsid w:val="42573796"/>
    <w:rsid w:val="426E5C20"/>
    <w:rsid w:val="42786A9F"/>
    <w:rsid w:val="4283692C"/>
    <w:rsid w:val="42890CAC"/>
    <w:rsid w:val="428B67D2"/>
    <w:rsid w:val="428E0070"/>
    <w:rsid w:val="42943344"/>
    <w:rsid w:val="42975177"/>
    <w:rsid w:val="42C615B8"/>
    <w:rsid w:val="42D77C69"/>
    <w:rsid w:val="42EB2B81"/>
    <w:rsid w:val="42FC322C"/>
    <w:rsid w:val="43046BE3"/>
    <w:rsid w:val="43171E14"/>
    <w:rsid w:val="4329542D"/>
    <w:rsid w:val="43484F88"/>
    <w:rsid w:val="435C1F1C"/>
    <w:rsid w:val="437216C9"/>
    <w:rsid w:val="4385588B"/>
    <w:rsid w:val="4387343D"/>
    <w:rsid w:val="43882D11"/>
    <w:rsid w:val="43884ABF"/>
    <w:rsid w:val="43911BC6"/>
    <w:rsid w:val="43972F54"/>
    <w:rsid w:val="439E42E3"/>
    <w:rsid w:val="43A124B3"/>
    <w:rsid w:val="43A538C3"/>
    <w:rsid w:val="43BB4E95"/>
    <w:rsid w:val="43C55D14"/>
    <w:rsid w:val="43D85A47"/>
    <w:rsid w:val="43DE0B83"/>
    <w:rsid w:val="43E97C54"/>
    <w:rsid w:val="43F839F3"/>
    <w:rsid w:val="44022AC4"/>
    <w:rsid w:val="44044A8E"/>
    <w:rsid w:val="44236B1E"/>
    <w:rsid w:val="44244662"/>
    <w:rsid w:val="444158E6"/>
    <w:rsid w:val="44564BBE"/>
    <w:rsid w:val="44641089"/>
    <w:rsid w:val="446948F1"/>
    <w:rsid w:val="44C11AA6"/>
    <w:rsid w:val="44D04970"/>
    <w:rsid w:val="44D426B2"/>
    <w:rsid w:val="44E346A3"/>
    <w:rsid w:val="44E67CEF"/>
    <w:rsid w:val="44F3240C"/>
    <w:rsid w:val="45110AAC"/>
    <w:rsid w:val="45123CB8"/>
    <w:rsid w:val="451A208F"/>
    <w:rsid w:val="45310D82"/>
    <w:rsid w:val="45350C77"/>
    <w:rsid w:val="45415D40"/>
    <w:rsid w:val="45435142"/>
    <w:rsid w:val="45451DF1"/>
    <w:rsid w:val="45490111"/>
    <w:rsid w:val="45570447"/>
    <w:rsid w:val="4565330A"/>
    <w:rsid w:val="45682DFA"/>
    <w:rsid w:val="45723C79"/>
    <w:rsid w:val="457378F7"/>
    <w:rsid w:val="45DB537A"/>
    <w:rsid w:val="45DE130F"/>
    <w:rsid w:val="45E00BE3"/>
    <w:rsid w:val="45EF3280"/>
    <w:rsid w:val="45F43872"/>
    <w:rsid w:val="460D5750"/>
    <w:rsid w:val="46113492"/>
    <w:rsid w:val="461B3AA5"/>
    <w:rsid w:val="462C5BD6"/>
    <w:rsid w:val="462E5DF2"/>
    <w:rsid w:val="46362EF9"/>
    <w:rsid w:val="464C0026"/>
    <w:rsid w:val="46514884"/>
    <w:rsid w:val="46590D6C"/>
    <w:rsid w:val="465E4A23"/>
    <w:rsid w:val="4672304E"/>
    <w:rsid w:val="46843C64"/>
    <w:rsid w:val="469F45FA"/>
    <w:rsid w:val="46A460B4"/>
    <w:rsid w:val="46AF05B5"/>
    <w:rsid w:val="46D30747"/>
    <w:rsid w:val="46E14C12"/>
    <w:rsid w:val="470D3C59"/>
    <w:rsid w:val="471934B5"/>
    <w:rsid w:val="472B1462"/>
    <w:rsid w:val="473B0E1B"/>
    <w:rsid w:val="473F27FF"/>
    <w:rsid w:val="476017C6"/>
    <w:rsid w:val="476B0980"/>
    <w:rsid w:val="47745A86"/>
    <w:rsid w:val="477A0BC3"/>
    <w:rsid w:val="47811F51"/>
    <w:rsid w:val="47833F1C"/>
    <w:rsid w:val="478E2D76"/>
    <w:rsid w:val="47A65E5C"/>
    <w:rsid w:val="47AB6FCE"/>
    <w:rsid w:val="47B71E17"/>
    <w:rsid w:val="47E67FE2"/>
    <w:rsid w:val="47F0014A"/>
    <w:rsid w:val="481903DC"/>
    <w:rsid w:val="486C0E54"/>
    <w:rsid w:val="48740AF8"/>
    <w:rsid w:val="487B247F"/>
    <w:rsid w:val="48907EB9"/>
    <w:rsid w:val="48B56357"/>
    <w:rsid w:val="48B955C2"/>
    <w:rsid w:val="48B9571B"/>
    <w:rsid w:val="48BA396D"/>
    <w:rsid w:val="48F30C2D"/>
    <w:rsid w:val="48F86243"/>
    <w:rsid w:val="490177EE"/>
    <w:rsid w:val="49025314"/>
    <w:rsid w:val="490270C2"/>
    <w:rsid w:val="490D6193"/>
    <w:rsid w:val="490E1F0B"/>
    <w:rsid w:val="492B090F"/>
    <w:rsid w:val="4932003B"/>
    <w:rsid w:val="49382AE4"/>
    <w:rsid w:val="49417BEA"/>
    <w:rsid w:val="4968786D"/>
    <w:rsid w:val="496F0BFB"/>
    <w:rsid w:val="49734B65"/>
    <w:rsid w:val="49843F7B"/>
    <w:rsid w:val="498E0956"/>
    <w:rsid w:val="49911DC2"/>
    <w:rsid w:val="499A718B"/>
    <w:rsid w:val="49B52386"/>
    <w:rsid w:val="49DF11B1"/>
    <w:rsid w:val="49EC3FFA"/>
    <w:rsid w:val="49F72751"/>
    <w:rsid w:val="4A1B668D"/>
    <w:rsid w:val="4A1E3C56"/>
    <w:rsid w:val="4A1E617D"/>
    <w:rsid w:val="4A280647"/>
    <w:rsid w:val="4A3B69AF"/>
    <w:rsid w:val="4A421E6C"/>
    <w:rsid w:val="4A730023"/>
    <w:rsid w:val="4A8833F8"/>
    <w:rsid w:val="4A8A619F"/>
    <w:rsid w:val="4AA2290B"/>
    <w:rsid w:val="4AD46AF0"/>
    <w:rsid w:val="4ADF76BB"/>
    <w:rsid w:val="4AE1272C"/>
    <w:rsid w:val="4B125FF6"/>
    <w:rsid w:val="4B2652EA"/>
    <w:rsid w:val="4B2B2900"/>
    <w:rsid w:val="4B3F45FD"/>
    <w:rsid w:val="4B4614E8"/>
    <w:rsid w:val="4B6C4CC7"/>
    <w:rsid w:val="4B7D0C82"/>
    <w:rsid w:val="4B8057E5"/>
    <w:rsid w:val="4B8B339F"/>
    <w:rsid w:val="4B92472D"/>
    <w:rsid w:val="4BA97CC9"/>
    <w:rsid w:val="4BD016F9"/>
    <w:rsid w:val="4BF47196"/>
    <w:rsid w:val="4C0575F5"/>
    <w:rsid w:val="4C0D46FC"/>
    <w:rsid w:val="4C2B503E"/>
    <w:rsid w:val="4C312198"/>
    <w:rsid w:val="4C3253A4"/>
    <w:rsid w:val="4C481290"/>
    <w:rsid w:val="4C5C4D3B"/>
    <w:rsid w:val="4C63273B"/>
    <w:rsid w:val="4C787DC7"/>
    <w:rsid w:val="4C8449BE"/>
    <w:rsid w:val="4C987D10"/>
    <w:rsid w:val="4CA94424"/>
    <w:rsid w:val="4CAA3CF8"/>
    <w:rsid w:val="4CBE77A4"/>
    <w:rsid w:val="4CD62D3F"/>
    <w:rsid w:val="4CE0771A"/>
    <w:rsid w:val="4CF051AC"/>
    <w:rsid w:val="4D0C050F"/>
    <w:rsid w:val="4D275349"/>
    <w:rsid w:val="4D331F40"/>
    <w:rsid w:val="4D3637DE"/>
    <w:rsid w:val="4D3B0DF4"/>
    <w:rsid w:val="4D722A68"/>
    <w:rsid w:val="4D7F6F33"/>
    <w:rsid w:val="4D8409ED"/>
    <w:rsid w:val="4D9549A9"/>
    <w:rsid w:val="4D9D16E6"/>
    <w:rsid w:val="4DB017E2"/>
    <w:rsid w:val="4DB82445"/>
    <w:rsid w:val="4DC25072"/>
    <w:rsid w:val="4DC96400"/>
    <w:rsid w:val="4DE106CB"/>
    <w:rsid w:val="4DEB281B"/>
    <w:rsid w:val="4E10402F"/>
    <w:rsid w:val="4E121B55"/>
    <w:rsid w:val="4E2B2C17"/>
    <w:rsid w:val="4E505C68"/>
    <w:rsid w:val="4E573A0C"/>
    <w:rsid w:val="4E5C1022"/>
    <w:rsid w:val="4E760336"/>
    <w:rsid w:val="4E7C16C5"/>
    <w:rsid w:val="4EAC6FD6"/>
    <w:rsid w:val="4EB250E6"/>
    <w:rsid w:val="4EB3158A"/>
    <w:rsid w:val="4EBE1CDD"/>
    <w:rsid w:val="4EC05A55"/>
    <w:rsid w:val="4ECA0682"/>
    <w:rsid w:val="4ECD0674"/>
    <w:rsid w:val="4EE47996"/>
    <w:rsid w:val="4EE74D90"/>
    <w:rsid w:val="4EEF633A"/>
    <w:rsid w:val="4EFB083B"/>
    <w:rsid w:val="4F1D6A04"/>
    <w:rsid w:val="4F2935FA"/>
    <w:rsid w:val="4F495A4B"/>
    <w:rsid w:val="4F587A3C"/>
    <w:rsid w:val="4F6C6BDA"/>
    <w:rsid w:val="4F7E394E"/>
    <w:rsid w:val="4F7F2029"/>
    <w:rsid w:val="4F870321"/>
    <w:rsid w:val="4F9071D6"/>
    <w:rsid w:val="4F9547EC"/>
    <w:rsid w:val="4FE6773D"/>
    <w:rsid w:val="4FF43AC5"/>
    <w:rsid w:val="4FF77255"/>
    <w:rsid w:val="4FFE4A87"/>
    <w:rsid w:val="50106568"/>
    <w:rsid w:val="501222E0"/>
    <w:rsid w:val="501F0559"/>
    <w:rsid w:val="5023629C"/>
    <w:rsid w:val="503A5393"/>
    <w:rsid w:val="503F29AA"/>
    <w:rsid w:val="5043249A"/>
    <w:rsid w:val="505521CD"/>
    <w:rsid w:val="50827466"/>
    <w:rsid w:val="50A078EC"/>
    <w:rsid w:val="50B679A2"/>
    <w:rsid w:val="50D21A70"/>
    <w:rsid w:val="50D457E8"/>
    <w:rsid w:val="50D75B0C"/>
    <w:rsid w:val="50FB4B23"/>
    <w:rsid w:val="51163F32"/>
    <w:rsid w:val="51183927"/>
    <w:rsid w:val="51226553"/>
    <w:rsid w:val="514E7348"/>
    <w:rsid w:val="51516E38"/>
    <w:rsid w:val="519A433C"/>
    <w:rsid w:val="51AE366B"/>
    <w:rsid w:val="51D823BF"/>
    <w:rsid w:val="51DF0427"/>
    <w:rsid w:val="51E67581"/>
    <w:rsid w:val="51F83758"/>
    <w:rsid w:val="520B3E30"/>
    <w:rsid w:val="521A547C"/>
    <w:rsid w:val="521F6F37"/>
    <w:rsid w:val="5246001F"/>
    <w:rsid w:val="52972F71"/>
    <w:rsid w:val="52B0193D"/>
    <w:rsid w:val="52BC29D7"/>
    <w:rsid w:val="52C8312A"/>
    <w:rsid w:val="52DB5A27"/>
    <w:rsid w:val="52DD4E28"/>
    <w:rsid w:val="52DE4AD3"/>
    <w:rsid w:val="52E70521"/>
    <w:rsid w:val="52FB52AE"/>
    <w:rsid w:val="52FE08FA"/>
    <w:rsid w:val="531F04EC"/>
    <w:rsid w:val="532145E9"/>
    <w:rsid w:val="53220A8C"/>
    <w:rsid w:val="532E2213"/>
    <w:rsid w:val="533026AA"/>
    <w:rsid w:val="53487DC7"/>
    <w:rsid w:val="534C78B7"/>
    <w:rsid w:val="534D3630"/>
    <w:rsid w:val="53807561"/>
    <w:rsid w:val="5382152B"/>
    <w:rsid w:val="538708F0"/>
    <w:rsid w:val="538E7D0E"/>
    <w:rsid w:val="53A56FC8"/>
    <w:rsid w:val="53B4545D"/>
    <w:rsid w:val="53B8319F"/>
    <w:rsid w:val="53DF24DA"/>
    <w:rsid w:val="53F65A75"/>
    <w:rsid w:val="53FB308C"/>
    <w:rsid w:val="5416466D"/>
    <w:rsid w:val="54195C1F"/>
    <w:rsid w:val="541A1764"/>
    <w:rsid w:val="542F214A"/>
    <w:rsid w:val="54302D35"/>
    <w:rsid w:val="54316AAD"/>
    <w:rsid w:val="543640C4"/>
    <w:rsid w:val="543A3BB4"/>
    <w:rsid w:val="54640C31"/>
    <w:rsid w:val="54661645"/>
    <w:rsid w:val="547F3CBD"/>
    <w:rsid w:val="54AA0D3A"/>
    <w:rsid w:val="54AB6860"/>
    <w:rsid w:val="54B43966"/>
    <w:rsid w:val="54BB2F47"/>
    <w:rsid w:val="54BE216E"/>
    <w:rsid w:val="54BF40B9"/>
    <w:rsid w:val="54D73AF9"/>
    <w:rsid w:val="54D933CD"/>
    <w:rsid w:val="54DF37FA"/>
    <w:rsid w:val="550D2661"/>
    <w:rsid w:val="550F3292"/>
    <w:rsid w:val="55214D74"/>
    <w:rsid w:val="552A3C28"/>
    <w:rsid w:val="55563AD1"/>
    <w:rsid w:val="555D2250"/>
    <w:rsid w:val="558722C8"/>
    <w:rsid w:val="55AC6D33"/>
    <w:rsid w:val="55AD03B6"/>
    <w:rsid w:val="55BD221A"/>
    <w:rsid w:val="55C027DF"/>
    <w:rsid w:val="55CE2806"/>
    <w:rsid w:val="55D63DB0"/>
    <w:rsid w:val="55DB3175"/>
    <w:rsid w:val="55DD5D8B"/>
    <w:rsid w:val="55EE4C56"/>
    <w:rsid w:val="55F61D5C"/>
    <w:rsid w:val="56051FA0"/>
    <w:rsid w:val="56222B52"/>
    <w:rsid w:val="562A1B91"/>
    <w:rsid w:val="562B40FC"/>
    <w:rsid w:val="562B5B9A"/>
    <w:rsid w:val="56331D5B"/>
    <w:rsid w:val="5637484F"/>
    <w:rsid w:val="5640122A"/>
    <w:rsid w:val="56570A4D"/>
    <w:rsid w:val="565E627F"/>
    <w:rsid w:val="568A7075"/>
    <w:rsid w:val="56AB7BA5"/>
    <w:rsid w:val="56AF3861"/>
    <w:rsid w:val="56B85264"/>
    <w:rsid w:val="56CA56C3"/>
    <w:rsid w:val="56CF0F2B"/>
    <w:rsid w:val="56DC53F6"/>
    <w:rsid w:val="571406EC"/>
    <w:rsid w:val="5714693E"/>
    <w:rsid w:val="573F67D1"/>
    <w:rsid w:val="575C2093"/>
    <w:rsid w:val="576D604E"/>
    <w:rsid w:val="57706229"/>
    <w:rsid w:val="578C2978"/>
    <w:rsid w:val="57BE4AFC"/>
    <w:rsid w:val="57C2639A"/>
    <w:rsid w:val="57CE11E3"/>
    <w:rsid w:val="57CF2865"/>
    <w:rsid w:val="57E07028"/>
    <w:rsid w:val="57E207EA"/>
    <w:rsid w:val="57EC78BB"/>
    <w:rsid w:val="57F549C2"/>
    <w:rsid w:val="580764A3"/>
    <w:rsid w:val="58260F8E"/>
    <w:rsid w:val="582C5F09"/>
    <w:rsid w:val="586C6306"/>
    <w:rsid w:val="58737694"/>
    <w:rsid w:val="587F072F"/>
    <w:rsid w:val="58BA1767"/>
    <w:rsid w:val="59215342"/>
    <w:rsid w:val="5928001D"/>
    <w:rsid w:val="592941F7"/>
    <w:rsid w:val="592A3C50"/>
    <w:rsid w:val="594026BD"/>
    <w:rsid w:val="59460076"/>
    <w:rsid w:val="59515D8A"/>
    <w:rsid w:val="595C637A"/>
    <w:rsid w:val="5960477C"/>
    <w:rsid w:val="596B66F6"/>
    <w:rsid w:val="596C2A61"/>
    <w:rsid w:val="596F6178"/>
    <w:rsid w:val="597E2795"/>
    <w:rsid w:val="59A5674B"/>
    <w:rsid w:val="59AD4E28"/>
    <w:rsid w:val="59BD150F"/>
    <w:rsid w:val="59BE0DE3"/>
    <w:rsid w:val="59C53F20"/>
    <w:rsid w:val="59D535F0"/>
    <w:rsid w:val="5A0228E9"/>
    <w:rsid w:val="5A146C55"/>
    <w:rsid w:val="5A151F73"/>
    <w:rsid w:val="5A582FE6"/>
    <w:rsid w:val="5AA77AC9"/>
    <w:rsid w:val="5AA91A93"/>
    <w:rsid w:val="5ABE4B07"/>
    <w:rsid w:val="5AC266B1"/>
    <w:rsid w:val="5AEE74A6"/>
    <w:rsid w:val="5AFA409D"/>
    <w:rsid w:val="5AFA5E4B"/>
    <w:rsid w:val="5B307ABF"/>
    <w:rsid w:val="5B321A89"/>
    <w:rsid w:val="5B32273E"/>
    <w:rsid w:val="5B353327"/>
    <w:rsid w:val="5B386973"/>
    <w:rsid w:val="5B4602DF"/>
    <w:rsid w:val="5B4A6DD2"/>
    <w:rsid w:val="5B57329D"/>
    <w:rsid w:val="5B6F6839"/>
    <w:rsid w:val="5B751975"/>
    <w:rsid w:val="5B765E19"/>
    <w:rsid w:val="5B8147BE"/>
    <w:rsid w:val="5B920779"/>
    <w:rsid w:val="5B977B3E"/>
    <w:rsid w:val="5BB74B2C"/>
    <w:rsid w:val="5BBB382C"/>
    <w:rsid w:val="5BCC1E57"/>
    <w:rsid w:val="5BD41E6E"/>
    <w:rsid w:val="5BEA2363"/>
    <w:rsid w:val="5BEA5EBF"/>
    <w:rsid w:val="5BF64864"/>
    <w:rsid w:val="5C2C64D8"/>
    <w:rsid w:val="5C3A6E47"/>
    <w:rsid w:val="5C3B1922"/>
    <w:rsid w:val="5C537F09"/>
    <w:rsid w:val="5C5477DD"/>
    <w:rsid w:val="5C5E2B95"/>
    <w:rsid w:val="5C9A5B38"/>
    <w:rsid w:val="5C9C18B0"/>
    <w:rsid w:val="5CA17B70"/>
    <w:rsid w:val="5CA40764"/>
    <w:rsid w:val="5CAB5170"/>
    <w:rsid w:val="5CBD5382"/>
    <w:rsid w:val="5CD32DF8"/>
    <w:rsid w:val="5CE62B2B"/>
    <w:rsid w:val="5D0C07A2"/>
    <w:rsid w:val="5D290C69"/>
    <w:rsid w:val="5DA0717E"/>
    <w:rsid w:val="5DB42C29"/>
    <w:rsid w:val="5DBD1FCA"/>
    <w:rsid w:val="5DD15589"/>
    <w:rsid w:val="5DEF65CC"/>
    <w:rsid w:val="5E192A8C"/>
    <w:rsid w:val="5E1C432A"/>
    <w:rsid w:val="5E257683"/>
    <w:rsid w:val="5E282CCF"/>
    <w:rsid w:val="5E4D0988"/>
    <w:rsid w:val="5E510478"/>
    <w:rsid w:val="5E714676"/>
    <w:rsid w:val="5E8425FB"/>
    <w:rsid w:val="5E8C6F99"/>
    <w:rsid w:val="5E8E347A"/>
    <w:rsid w:val="5ECF75EF"/>
    <w:rsid w:val="5ED54C05"/>
    <w:rsid w:val="5EF2352E"/>
    <w:rsid w:val="5EF57055"/>
    <w:rsid w:val="5EF763C6"/>
    <w:rsid w:val="5F08322C"/>
    <w:rsid w:val="5F4E6765"/>
    <w:rsid w:val="5F5D7160"/>
    <w:rsid w:val="5F7206A6"/>
    <w:rsid w:val="5F7408C2"/>
    <w:rsid w:val="5F887EC9"/>
    <w:rsid w:val="5F893C41"/>
    <w:rsid w:val="5F8B79B9"/>
    <w:rsid w:val="5FB23198"/>
    <w:rsid w:val="5FD70E51"/>
    <w:rsid w:val="5FEF7F48"/>
    <w:rsid w:val="5FF217E7"/>
    <w:rsid w:val="5FF27A39"/>
    <w:rsid w:val="5FF76DFD"/>
    <w:rsid w:val="5FFE1F39"/>
    <w:rsid w:val="60060FEE"/>
    <w:rsid w:val="602A0F80"/>
    <w:rsid w:val="60462E90"/>
    <w:rsid w:val="60536729"/>
    <w:rsid w:val="608368E3"/>
    <w:rsid w:val="608F7035"/>
    <w:rsid w:val="60A30D33"/>
    <w:rsid w:val="60A96349"/>
    <w:rsid w:val="60C2740B"/>
    <w:rsid w:val="60D94755"/>
    <w:rsid w:val="60F021CA"/>
    <w:rsid w:val="611834CF"/>
    <w:rsid w:val="611D3F5F"/>
    <w:rsid w:val="61530A39"/>
    <w:rsid w:val="6183303E"/>
    <w:rsid w:val="61923281"/>
    <w:rsid w:val="61AC3CD1"/>
    <w:rsid w:val="61B054B5"/>
    <w:rsid w:val="61FA4982"/>
    <w:rsid w:val="61FE695C"/>
    <w:rsid w:val="621912AD"/>
    <w:rsid w:val="621C6FEF"/>
    <w:rsid w:val="623076A4"/>
    <w:rsid w:val="62326812"/>
    <w:rsid w:val="62392C11"/>
    <w:rsid w:val="62571DD5"/>
    <w:rsid w:val="625B7377"/>
    <w:rsid w:val="6278019C"/>
    <w:rsid w:val="6285420B"/>
    <w:rsid w:val="628C1A7E"/>
    <w:rsid w:val="629B7F14"/>
    <w:rsid w:val="62A96AD4"/>
    <w:rsid w:val="62B2525D"/>
    <w:rsid w:val="62B66AFB"/>
    <w:rsid w:val="62C0797A"/>
    <w:rsid w:val="62FB09B2"/>
    <w:rsid w:val="62FE04A2"/>
    <w:rsid w:val="631D29EB"/>
    <w:rsid w:val="633C6169"/>
    <w:rsid w:val="63500CFE"/>
    <w:rsid w:val="637A3FCD"/>
    <w:rsid w:val="63822EAD"/>
    <w:rsid w:val="63B70D7D"/>
    <w:rsid w:val="63D23E09"/>
    <w:rsid w:val="63E234B7"/>
    <w:rsid w:val="63F773CC"/>
    <w:rsid w:val="64047D3A"/>
    <w:rsid w:val="64300F47"/>
    <w:rsid w:val="64483336"/>
    <w:rsid w:val="644F0FB6"/>
    <w:rsid w:val="645E38EF"/>
    <w:rsid w:val="646C600B"/>
    <w:rsid w:val="64942E6C"/>
    <w:rsid w:val="64AC6408"/>
    <w:rsid w:val="64AE53F9"/>
    <w:rsid w:val="64D63485"/>
    <w:rsid w:val="6500647B"/>
    <w:rsid w:val="65085608"/>
    <w:rsid w:val="65091AAC"/>
    <w:rsid w:val="65110961"/>
    <w:rsid w:val="6518767F"/>
    <w:rsid w:val="65237AC1"/>
    <w:rsid w:val="653603C7"/>
    <w:rsid w:val="65362175"/>
    <w:rsid w:val="656767D3"/>
    <w:rsid w:val="65711400"/>
    <w:rsid w:val="65801643"/>
    <w:rsid w:val="6598698C"/>
    <w:rsid w:val="65A13CC9"/>
    <w:rsid w:val="65B35574"/>
    <w:rsid w:val="65E120E1"/>
    <w:rsid w:val="660D737A"/>
    <w:rsid w:val="661A38C3"/>
    <w:rsid w:val="661E2CB4"/>
    <w:rsid w:val="6632293D"/>
    <w:rsid w:val="664E603D"/>
    <w:rsid w:val="666F1DE3"/>
    <w:rsid w:val="66A870A3"/>
    <w:rsid w:val="66AD46B9"/>
    <w:rsid w:val="66C1550E"/>
    <w:rsid w:val="66C739CD"/>
    <w:rsid w:val="66CD4D5B"/>
    <w:rsid w:val="66DD6797"/>
    <w:rsid w:val="66F66060"/>
    <w:rsid w:val="66F67E0E"/>
    <w:rsid w:val="670818F0"/>
    <w:rsid w:val="671D183F"/>
    <w:rsid w:val="67293782"/>
    <w:rsid w:val="673646AF"/>
    <w:rsid w:val="675114E9"/>
    <w:rsid w:val="675863D3"/>
    <w:rsid w:val="679703E1"/>
    <w:rsid w:val="67A17496"/>
    <w:rsid w:val="67A965FC"/>
    <w:rsid w:val="67D839B8"/>
    <w:rsid w:val="68182006"/>
    <w:rsid w:val="681C1AF7"/>
    <w:rsid w:val="683926A8"/>
    <w:rsid w:val="685272C6"/>
    <w:rsid w:val="68537CAF"/>
    <w:rsid w:val="685F3791"/>
    <w:rsid w:val="68725BBA"/>
    <w:rsid w:val="68757459"/>
    <w:rsid w:val="687A4A6F"/>
    <w:rsid w:val="688C5099"/>
    <w:rsid w:val="68953657"/>
    <w:rsid w:val="68B735CD"/>
    <w:rsid w:val="68C1444C"/>
    <w:rsid w:val="68E51EE8"/>
    <w:rsid w:val="68EA5751"/>
    <w:rsid w:val="68F570FB"/>
    <w:rsid w:val="69227DA0"/>
    <w:rsid w:val="69456E2B"/>
    <w:rsid w:val="69531548"/>
    <w:rsid w:val="696F3EA8"/>
    <w:rsid w:val="69731BEA"/>
    <w:rsid w:val="69765236"/>
    <w:rsid w:val="69790883"/>
    <w:rsid w:val="697A2F79"/>
    <w:rsid w:val="69935DE8"/>
    <w:rsid w:val="69A47FF6"/>
    <w:rsid w:val="69A87C65"/>
    <w:rsid w:val="69EE301F"/>
    <w:rsid w:val="69FB1963"/>
    <w:rsid w:val="6A3F35DF"/>
    <w:rsid w:val="6A5D1F52"/>
    <w:rsid w:val="6A7C062B"/>
    <w:rsid w:val="6AA25BA0"/>
    <w:rsid w:val="6AA3205B"/>
    <w:rsid w:val="6AAB0F10"/>
    <w:rsid w:val="6AAD2EDA"/>
    <w:rsid w:val="6AB8548E"/>
    <w:rsid w:val="6ABC577D"/>
    <w:rsid w:val="6ACD70D8"/>
    <w:rsid w:val="6AE12B83"/>
    <w:rsid w:val="6AE42367"/>
    <w:rsid w:val="6AFE7291"/>
    <w:rsid w:val="6B054AC4"/>
    <w:rsid w:val="6B106FC5"/>
    <w:rsid w:val="6B225676"/>
    <w:rsid w:val="6B3A462E"/>
    <w:rsid w:val="6B422808"/>
    <w:rsid w:val="6B476E8A"/>
    <w:rsid w:val="6B4B5217"/>
    <w:rsid w:val="6B680BAF"/>
    <w:rsid w:val="6B8A1717"/>
    <w:rsid w:val="6B8C6F93"/>
    <w:rsid w:val="6BB34520"/>
    <w:rsid w:val="6BC56001"/>
    <w:rsid w:val="6BCC7390"/>
    <w:rsid w:val="6BD36970"/>
    <w:rsid w:val="6BD526E8"/>
    <w:rsid w:val="6C092392"/>
    <w:rsid w:val="6C17069E"/>
    <w:rsid w:val="6C2225DD"/>
    <w:rsid w:val="6C2830FF"/>
    <w:rsid w:val="6C5850C7"/>
    <w:rsid w:val="6C6B0957"/>
    <w:rsid w:val="6C832144"/>
    <w:rsid w:val="6C89702F"/>
    <w:rsid w:val="6C9C18EB"/>
    <w:rsid w:val="6CCD7863"/>
    <w:rsid w:val="6CCF5389"/>
    <w:rsid w:val="6CD504C6"/>
    <w:rsid w:val="6CD52274"/>
    <w:rsid w:val="6CDA3D2E"/>
    <w:rsid w:val="6CDD364E"/>
    <w:rsid w:val="6CF46B9E"/>
    <w:rsid w:val="6CF92406"/>
    <w:rsid w:val="6CFC3CA5"/>
    <w:rsid w:val="6CFF5543"/>
    <w:rsid w:val="6D147240"/>
    <w:rsid w:val="6D196605"/>
    <w:rsid w:val="6D21370B"/>
    <w:rsid w:val="6D3B18E0"/>
    <w:rsid w:val="6D3B18E9"/>
    <w:rsid w:val="6D57537F"/>
    <w:rsid w:val="6D6C42DF"/>
    <w:rsid w:val="6D77332B"/>
    <w:rsid w:val="6D800432"/>
    <w:rsid w:val="6D940381"/>
    <w:rsid w:val="6D9C3AFC"/>
    <w:rsid w:val="6DAC1227"/>
    <w:rsid w:val="6DBB76BC"/>
    <w:rsid w:val="6DD469CF"/>
    <w:rsid w:val="6E1B45FE"/>
    <w:rsid w:val="6E22773B"/>
    <w:rsid w:val="6E2A4841"/>
    <w:rsid w:val="6E443B55"/>
    <w:rsid w:val="6E4E0530"/>
    <w:rsid w:val="6E5B2C4D"/>
    <w:rsid w:val="6E5F44EB"/>
    <w:rsid w:val="6E6164B5"/>
    <w:rsid w:val="6E6236E7"/>
    <w:rsid w:val="6E6935BC"/>
    <w:rsid w:val="6E91041D"/>
    <w:rsid w:val="6E9F4B86"/>
    <w:rsid w:val="6EB02F99"/>
    <w:rsid w:val="6EB8556A"/>
    <w:rsid w:val="6EBC36EB"/>
    <w:rsid w:val="6EDC5B3C"/>
    <w:rsid w:val="6EDE1649"/>
    <w:rsid w:val="6EEE586F"/>
    <w:rsid w:val="6F064E06"/>
    <w:rsid w:val="6F094457"/>
    <w:rsid w:val="6F155FCF"/>
    <w:rsid w:val="6F176B74"/>
    <w:rsid w:val="6F360C58"/>
    <w:rsid w:val="6F636421"/>
    <w:rsid w:val="6F6B5112"/>
    <w:rsid w:val="6F6E6EC3"/>
    <w:rsid w:val="6F7264A0"/>
    <w:rsid w:val="6F765F90"/>
    <w:rsid w:val="6F9401C4"/>
    <w:rsid w:val="6FB915A7"/>
    <w:rsid w:val="6FC14D32"/>
    <w:rsid w:val="6FCD1928"/>
    <w:rsid w:val="6FD902CD"/>
    <w:rsid w:val="6FDE58E3"/>
    <w:rsid w:val="6FE61F3E"/>
    <w:rsid w:val="6FEE35AB"/>
    <w:rsid w:val="6FF9428D"/>
    <w:rsid w:val="70161521"/>
    <w:rsid w:val="702F613F"/>
    <w:rsid w:val="703244E4"/>
    <w:rsid w:val="705636CC"/>
    <w:rsid w:val="70D31B19"/>
    <w:rsid w:val="70FD0CB3"/>
    <w:rsid w:val="711E0B5E"/>
    <w:rsid w:val="712A5284"/>
    <w:rsid w:val="7130216F"/>
    <w:rsid w:val="713C4FB8"/>
    <w:rsid w:val="71687AE4"/>
    <w:rsid w:val="71782FF9"/>
    <w:rsid w:val="718F158B"/>
    <w:rsid w:val="71A004FF"/>
    <w:rsid w:val="71C50B09"/>
    <w:rsid w:val="71C8684B"/>
    <w:rsid w:val="71DC40A5"/>
    <w:rsid w:val="71E03B95"/>
    <w:rsid w:val="71E116BB"/>
    <w:rsid w:val="71F615DC"/>
    <w:rsid w:val="71FD64F5"/>
    <w:rsid w:val="71FE04BF"/>
    <w:rsid w:val="720F7FD6"/>
    <w:rsid w:val="72121874"/>
    <w:rsid w:val="7229553C"/>
    <w:rsid w:val="72323CC5"/>
    <w:rsid w:val="724B2077"/>
    <w:rsid w:val="72691DDC"/>
    <w:rsid w:val="726F4F19"/>
    <w:rsid w:val="726F7FB0"/>
    <w:rsid w:val="727367B7"/>
    <w:rsid w:val="72A46970"/>
    <w:rsid w:val="72B50B7E"/>
    <w:rsid w:val="72C139C6"/>
    <w:rsid w:val="72C62D8B"/>
    <w:rsid w:val="72C67049"/>
    <w:rsid w:val="72D57833"/>
    <w:rsid w:val="72DC25AE"/>
    <w:rsid w:val="72FC49FE"/>
    <w:rsid w:val="732E0930"/>
    <w:rsid w:val="73335F46"/>
    <w:rsid w:val="73373C88"/>
    <w:rsid w:val="733E4E7F"/>
    <w:rsid w:val="7358775B"/>
    <w:rsid w:val="735C7C30"/>
    <w:rsid w:val="73634FBB"/>
    <w:rsid w:val="73661E78"/>
    <w:rsid w:val="73697BBA"/>
    <w:rsid w:val="73775E2C"/>
    <w:rsid w:val="738A025C"/>
    <w:rsid w:val="73B61051"/>
    <w:rsid w:val="73BB6668"/>
    <w:rsid w:val="73C365CB"/>
    <w:rsid w:val="73E95EE8"/>
    <w:rsid w:val="73EA4857"/>
    <w:rsid w:val="73F6144E"/>
    <w:rsid w:val="73F97190"/>
    <w:rsid w:val="74085625"/>
    <w:rsid w:val="74185868"/>
    <w:rsid w:val="742023C5"/>
    <w:rsid w:val="744C3764"/>
    <w:rsid w:val="74534AF2"/>
    <w:rsid w:val="74766D79"/>
    <w:rsid w:val="747E57F8"/>
    <w:rsid w:val="748D1686"/>
    <w:rsid w:val="74F040EF"/>
    <w:rsid w:val="751122B7"/>
    <w:rsid w:val="75157FF9"/>
    <w:rsid w:val="75360DBC"/>
    <w:rsid w:val="75387844"/>
    <w:rsid w:val="756920F3"/>
    <w:rsid w:val="756B5E6B"/>
    <w:rsid w:val="756D0E75"/>
    <w:rsid w:val="756D573F"/>
    <w:rsid w:val="75866801"/>
    <w:rsid w:val="758807CB"/>
    <w:rsid w:val="759F78C3"/>
    <w:rsid w:val="75BA64AB"/>
    <w:rsid w:val="75C860BB"/>
    <w:rsid w:val="75E35A02"/>
    <w:rsid w:val="75EA3234"/>
    <w:rsid w:val="762027B2"/>
    <w:rsid w:val="7630676D"/>
    <w:rsid w:val="76312C11"/>
    <w:rsid w:val="763224E5"/>
    <w:rsid w:val="76361FD5"/>
    <w:rsid w:val="76505878"/>
    <w:rsid w:val="767945B8"/>
    <w:rsid w:val="76794AF8"/>
    <w:rsid w:val="76850C08"/>
    <w:rsid w:val="76BB24DB"/>
    <w:rsid w:val="76C84BF7"/>
    <w:rsid w:val="76D11CFE"/>
    <w:rsid w:val="76D67314"/>
    <w:rsid w:val="76FC6DDC"/>
    <w:rsid w:val="772E2227"/>
    <w:rsid w:val="77302EC9"/>
    <w:rsid w:val="7731279D"/>
    <w:rsid w:val="77533CC6"/>
    <w:rsid w:val="775748F9"/>
    <w:rsid w:val="7760252B"/>
    <w:rsid w:val="776058DA"/>
    <w:rsid w:val="77626DFA"/>
    <w:rsid w:val="777032C5"/>
    <w:rsid w:val="777803CC"/>
    <w:rsid w:val="777D1E86"/>
    <w:rsid w:val="779276DF"/>
    <w:rsid w:val="77B70517"/>
    <w:rsid w:val="77E043E3"/>
    <w:rsid w:val="77F40160"/>
    <w:rsid w:val="78342545"/>
    <w:rsid w:val="78412EB3"/>
    <w:rsid w:val="785030F6"/>
    <w:rsid w:val="78550E5C"/>
    <w:rsid w:val="78632E2A"/>
    <w:rsid w:val="78654DF4"/>
    <w:rsid w:val="787B0173"/>
    <w:rsid w:val="787D0429"/>
    <w:rsid w:val="78B24F5D"/>
    <w:rsid w:val="78EF46BD"/>
    <w:rsid w:val="790740FD"/>
    <w:rsid w:val="791660EE"/>
    <w:rsid w:val="791D122B"/>
    <w:rsid w:val="791F31F5"/>
    <w:rsid w:val="79265756"/>
    <w:rsid w:val="793F5645"/>
    <w:rsid w:val="794511BD"/>
    <w:rsid w:val="794A5D98"/>
    <w:rsid w:val="794C38BE"/>
    <w:rsid w:val="794E7636"/>
    <w:rsid w:val="79892D64"/>
    <w:rsid w:val="798E037A"/>
    <w:rsid w:val="79960FDD"/>
    <w:rsid w:val="79997202"/>
    <w:rsid w:val="799E680F"/>
    <w:rsid w:val="79A202FC"/>
    <w:rsid w:val="7A1B3962"/>
    <w:rsid w:val="7A2111EE"/>
    <w:rsid w:val="7A2F56B9"/>
    <w:rsid w:val="7A6D48C0"/>
    <w:rsid w:val="7A7268AA"/>
    <w:rsid w:val="7A765096"/>
    <w:rsid w:val="7A974046"/>
    <w:rsid w:val="7AAD65DE"/>
    <w:rsid w:val="7AC53928"/>
    <w:rsid w:val="7AC878BC"/>
    <w:rsid w:val="7ACA7190"/>
    <w:rsid w:val="7AEF309B"/>
    <w:rsid w:val="7AFD2AA0"/>
    <w:rsid w:val="7AFD57B8"/>
    <w:rsid w:val="7AFF1FD8"/>
    <w:rsid w:val="7B007056"/>
    <w:rsid w:val="7B02692A"/>
    <w:rsid w:val="7B2368A0"/>
    <w:rsid w:val="7B627C76"/>
    <w:rsid w:val="7B705F89"/>
    <w:rsid w:val="7B735A7A"/>
    <w:rsid w:val="7B887EC5"/>
    <w:rsid w:val="7B914152"/>
    <w:rsid w:val="7BAE0860"/>
    <w:rsid w:val="7BB17EFC"/>
    <w:rsid w:val="7BC60184"/>
    <w:rsid w:val="7BD5403F"/>
    <w:rsid w:val="7BE349AD"/>
    <w:rsid w:val="7BE73A8B"/>
    <w:rsid w:val="7BEC3136"/>
    <w:rsid w:val="7BF471EA"/>
    <w:rsid w:val="7C011556"/>
    <w:rsid w:val="7C18217D"/>
    <w:rsid w:val="7C3C40BE"/>
    <w:rsid w:val="7C507B69"/>
    <w:rsid w:val="7C596A1E"/>
    <w:rsid w:val="7C5E2286"/>
    <w:rsid w:val="7C701FB9"/>
    <w:rsid w:val="7C817D22"/>
    <w:rsid w:val="7CD24A22"/>
    <w:rsid w:val="7CEA1D6C"/>
    <w:rsid w:val="7CF95D03"/>
    <w:rsid w:val="7D0C3A90"/>
    <w:rsid w:val="7D0E5A5A"/>
    <w:rsid w:val="7D360B0D"/>
    <w:rsid w:val="7D406A1E"/>
    <w:rsid w:val="7D494CE4"/>
    <w:rsid w:val="7D4C594E"/>
    <w:rsid w:val="7D637428"/>
    <w:rsid w:val="7D717D97"/>
    <w:rsid w:val="7D7653AD"/>
    <w:rsid w:val="7D823D52"/>
    <w:rsid w:val="7D851A94"/>
    <w:rsid w:val="7D8E1E41"/>
    <w:rsid w:val="7D9121E7"/>
    <w:rsid w:val="7D965A4F"/>
    <w:rsid w:val="7DC73E5B"/>
    <w:rsid w:val="7DCB56F9"/>
    <w:rsid w:val="7DF34C50"/>
    <w:rsid w:val="7E0D00F2"/>
    <w:rsid w:val="7E105802"/>
    <w:rsid w:val="7E1A21DD"/>
    <w:rsid w:val="7E462FD2"/>
    <w:rsid w:val="7E486D4A"/>
    <w:rsid w:val="7E5F22E5"/>
    <w:rsid w:val="7E7C7B82"/>
    <w:rsid w:val="7E960CC1"/>
    <w:rsid w:val="7EA36676"/>
    <w:rsid w:val="7EAD12A3"/>
    <w:rsid w:val="7EB702F4"/>
    <w:rsid w:val="7ED625A7"/>
    <w:rsid w:val="7EDA196C"/>
    <w:rsid w:val="7EE56707"/>
    <w:rsid w:val="7EED715E"/>
    <w:rsid w:val="7EF42A2E"/>
    <w:rsid w:val="7EF46ED2"/>
    <w:rsid w:val="7EFD7F37"/>
    <w:rsid w:val="7F2271E4"/>
    <w:rsid w:val="7F2D7CEE"/>
    <w:rsid w:val="7F313C82"/>
    <w:rsid w:val="7F4A61E1"/>
    <w:rsid w:val="7F596D35"/>
    <w:rsid w:val="7F967F89"/>
    <w:rsid w:val="7F9935D5"/>
    <w:rsid w:val="7FA51F7A"/>
    <w:rsid w:val="7FB073FA"/>
    <w:rsid w:val="7FB328E9"/>
    <w:rsid w:val="7FD30895"/>
    <w:rsid w:val="7FDD1714"/>
    <w:rsid w:val="7FE231C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7"/>
    <w:autoRedefine/>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4"/>
    <w:autoRedefine/>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5"/>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List Number 2"/>
    <w:basedOn w:val="1"/>
    <w:autoRedefine/>
    <w:semiHidden/>
    <w:unhideWhenUsed/>
    <w:qFormat/>
    <w:uiPriority w:val="99"/>
    <w:pPr>
      <w:numPr>
        <w:ilvl w:val="0"/>
        <w:numId w:val="1"/>
      </w:numPr>
    </w:pPr>
  </w:style>
  <w:style w:type="paragraph" w:styleId="8">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next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2"/>
    <w:autoRedefine/>
    <w:qFormat/>
    <w:uiPriority w:val="0"/>
    <w:pPr>
      <w:spacing w:line="240" w:lineRule="auto"/>
    </w:pPr>
    <w:rPr>
      <w:rFonts w:eastAsiaTheme="minorEastAsia"/>
      <w:sz w:val="21"/>
      <w:szCs w:val="24"/>
    </w:rPr>
  </w:style>
  <w:style w:type="paragraph" w:styleId="13">
    <w:name w:val="Body Text"/>
    <w:basedOn w:val="1"/>
    <w:next w:val="1"/>
    <w:link w:val="46"/>
    <w:autoRedefine/>
    <w:qFormat/>
    <w:uiPriority w:val="99"/>
    <w:pPr>
      <w:spacing w:after="120" w:line="240" w:lineRule="auto"/>
      <w:jc w:val="both"/>
    </w:pPr>
    <w:rPr>
      <w:rFonts w:eastAsiaTheme="minorEastAsia"/>
      <w:sz w:val="21"/>
      <w:szCs w:val="24"/>
    </w:rPr>
  </w:style>
  <w:style w:type="paragraph" w:styleId="14">
    <w:name w:val="Body Text Indent"/>
    <w:basedOn w:val="1"/>
    <w:autoRedefine/>
    <w:unhideWhenUsed/>
    <w:qFormat/>
    <w:uiPriority w:val="0"/>
    <w:pPr>
      <w:ind w:firstLine="630"/>
    </w:pPr>
    <w:rPr>
      <w:rFonts w:eastAsia="仿宋_GB2312"/>
      <w:kern w:val="0"/>
      <w:sz w:val="32"/>
      <w:szCs w:val="20"/>
    </w:rPr>
  </w:style>
  <w:style w:type="paragraph" w:styleId="15">
    <w:name w:val="toc 5"/>
    <w:basedOn w:val="1"/>
    <w:next w:val="1"/>
    <w:autoRedefine/>
    <w:unhideWhenUsed/>
    <w:qFormat/>
    <w:uiPriority w:val="39"/>
    <w:pPr>
      <w:ind w:left="960"/>
    </w:pPr>
    <w:rPr>
      <w:rFonts w:asciiTheme="minorHAnsi" w:eastAsiaTheme="minorHAnsi"/>
      <w:sz w:val="18"/>
      <w:szCs w:val="18"/>
    </w:rPr>
  </w:style>
  <w:style w:type="paragraph" w:styleId="16">
    <w:name w:val="toc 3"/>
    <w:basedOn w:val="1"/>
    <w:next w:val="1"/>
    <w:autoRedefine/>
    <w:unhideWhenUsed/>
    <w:qFormat/>
    <w:uiPriority w:val="39"/>
    <w:pPr>
      <w:ind w:left="480"/>
    </w:pPr>
    <w:rPr>
      <w:rFonts w:asciiTheme="minorHAnsi" w:eastAsiaTheme="minorHAnsi"/>
      <w:i/>
      <w:iCs/>
      <w:sz w:val="20"/>
      <w:szCs w:val="20"/>
    </w:rPr>
  </w:style>
  <w:style w:type="paragraph" w:styleId="17">
    <w:name w:val="Plain Text"/>
    <w:basedOn w:val="1"/>
    <w:autoRedefine/>
    <w:unhideWhenUsed/>
    <w:qFormat/>
    <w:uiPriority w:val="0"/>
    <w:rPr>
      <w:rFonts w:ascii="宋体" w:hAnsi="Courier New"/>
      <w:kern w:val="0"/>
      <w:sz w:val="20"/>
      <w:szCs w:val="20"/>
    </w:rPr>
  </w:style>
  <w:style w:type="paragraph" w:styleId="18">
    <w:name w:val="toc 8"/>
    <w:basedOn w:val="1"/>
    <w:next w:val="1"/>
    <w:autoRedefine/>
    <w:unhideWhenUsed/>
    <w:qFormat/>
    <w:uiPriority w:val="39"/>
    <w:pPr>
      <w:ind w:left="1680"/>
    </w:pPr>
    <w:rPr>
      <w:rFonts w:asciiTheme="minorHAnsi" w:eastAsiaTheme="minorHAnsi"/>
      <w:sz w:val="18"/>
      <w:szCs w:val="18"/>
    </w:rPr>
  </w:style>
  <w:style w:type="paragraph" w:styleId="19">
    <w:name w:val="footer"/>
    <w:basedOn w:val="1"/>
    <w:link w:val="40"/>
    <w:autoRedefine/>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2">
    <w:name w:val="toc 4"/>
    <w:basedOn w:val="1"/>
    <w:next w:val="1"/>
    <w:autoRedefine/>
    <w:unhideWhenUsed/>
    <w:qFormat/>
    <w:uiPriority w:val="39"/>
    <w:pPr>
      <w:ind w:left="720"/>
    </w:pPr>
    <w:rPr>
      <w:rFonts w:asciiTheme="minorHAnsi" w:eastAsiaTheme="minorHAnsi"/>
      <w:sz w:val="18"/>
      <w:szCs w:val="18"/>
    </w:rPr>
  </w:style>
  <w:style w:type="paragraph" w:styleId="23">
    <w:name w:val="footnote text"/>
    <w:basedOn w:val="1"/>
    <w:qFormat/>
    <w:uiPriority w:val="0"/>
    <w:pPr>
      <w:widowControl/>
      <w:jc w:val="left"/>
    </w:pPr>
    <w:rPr>
      <w:kern w:val="0"/>
      <w:sz w:val="20"/>
      <w:szCs w:val="20"/>
      <w:lang w:val="de-DE"/>
    </w:rPr>
  </w:style>
  <w:style w:type="paragraph" w:styleId="24">
    <w:name w:val="toc 6"/>
    <w:basedOn w:val="1"/>
    <w:next w:val="1"/>
    <w:autoRedefine/>
    <w:unhideWhenUsed/>
    <w:qFormat/>
    <w:uiPriority w:val="39"/>
    <w:pPr>
      <w:ind w:left="1200"/>
    </w:pPr>
    <w:rPr>
      <w:rFonts w:asciiTheme="minorHAnsi" w:eastAsiaTheme="minorHAnsi"/>
      <w:sz w:val="18"/>
      <w:szCs w:val="18"/>
    </w:rPr>
  </w:style>
  <w:style w:type="paragraph" w:styleId="25">
    <w:name w:val="toc 2"/>
    <w:basedOn w:val="1"/>
    <w:next w:val="1"/>
    <w:autoRedefine/>
    <w:unhideWhenUsed/>
    <w:qFormat/>
    <w:uiPriority w:val="39"/>
    <w:pPr>
      <w:ind w:left="240"/>
    </w:pPr>
    <w:rPr>
      <w:rFonts w:asciiTheme="minorHAnsi" w:eastAsiaTheme="minorHAnsi"/>
      <w:smallCaps/>
      <w:sz w:val="20"/>
      <w:szCs w:val="20"/>
    </w:rPr>
  </w:style>
  <w:style w:type="paragraph" w:styleId="26">
    <w:name w:val="toc 9"/>
    <w:basedOn w:val="1"/>
    <w:next w:val="1"/>
    <w:autoRedefine/>
    <w:unhideWhenUsed/>
    <w:qFormat/>
    <w:uiPriority w:val="39"/>
    <w:pPr>
      <w:ind w:left="1920"/>
    </w:pPr>
    <w:rPr>
      <w:rFonts w:asciiTheme="minorHAnsi" w:eastAsiaTheme="minorHAnsi"/>
      <w:sz w:val="18"/>
      <w:szCs w:val="18"/>
    </w:rPr>
  </w:style>
  <w:style w:type="paragraph" w:styleId="27">
    <w:name w:val="annotation subject"/>
    <w:basedOn w:val="12"/>
    <w:next w:val="12"/>
    <w:link w:val="50"/>
    <w:autoRedefine/>
    <w:semiHidden/>
    <w:unhideWhenUsed/>
    <w:qFormat/>
    <w:uiPriority w:val="99"/>
    <w:pPr>
      <w:spacing w:line="360" w:lineRule="auto"/>
    </w:pPr>
    <w:rPr>
      <w:rFonts w:eastAsia="宋体"/>
      <w:b/>
      <w:bCs/>
      <w:sz w:val="24"/>
      <w:szCs w:val="22"/>
    </w:rPr>
  </w:style>
  <w:style w:type="paragraph" w:styleId="28">
    <w:name w:val="Body Text First Indent 2"/>
    <w:basedOn w:val="14"/>
    <w:next w:val="1"/>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Hyperlink"/>
    <w:basedOn w:val="31"/>
    <w:autoRedefine/>
    <w:unhideWhenUsed/>
    <w:qFormat/>
    <w:uiPriority w:val="99"/>
    <w:rPr>
      <w:color w:val="0563C1" w:themeColor="hyperlink"/>
      <w:u w:val="single"/>
      <w14:textFill>
        <w14:solidFill>
          <w14:schemeClr w14:val="hlink"/>
        </w14:solidFill>
      </w14:textFill>
    </w:rPr>
  </w:style>
  <w:style w:type="character" w:styleId="34">
    <w:name w:val="annotation reference"/>
    <w:basedOn w:val="31"/>
    <w:autoRedefine/>
    <w:qFormat/>
    <w:uiPriority w:val="0"/>
    <w:rPr>
      <w:sz w:val="21"/>
      <w:szCs w:val="21"/>
    </w:rPr>
  </w:style>
  <w:style w:type="paragraph" w:customStyle="1" w:styleId="3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缩进2"/>
    <w:basedOn w:val="1"/>
    <w:autoRedefine/>
    <w:qFormat/>
    <w:uiPriority w:val="0"/>
    <w:pPr>
      <w:wordWrap w:val="0"/>
      <w:ind w:firstLine="480"/>
    </w:pPr>
    <w:rPr>
      <w:iCs/>
      <w:shd w:val="clear" w:color="auto" w:fill="FFFFFF" w:themeFill="background1"/>
      <w:lang w:val="zh-CN"/>
    </w:rPr>
  </w:style>
  <w:style w:type="character" w:customStyle="1" w:styleId="37">
    <w:name w:val="标题 1 字符"/>
    <w:basedOn w:val="31"/>
    <w:link w:val="2"/>
    <w:autoRedefine/>
    <w:qFormat/>
    <w:uiPriority w:val="9"/>
    <w:rPr>
      <w:rFonts w:eastAsia="黑体"/>
      <w:b/>
      <w:bCs/>
      <w:kern w:val="44"/>
      <w:sz w:val="44"/>
      <w:szCs w:val="44"/>
    </w:rPr>
  </w:style>
  <w:style w:type="paragraph" w:styleId="38">
    <w:name w:val="List Paragraph"/>
    <w:basedOn w:val="1"/>
    <w:autoRedefine/>
    <w:qFormat/>
    <w:uiPriority w:val="34"/>
    <w:pPr>
      <w:numPr>
        <w:ilvl w:val="0"/>
        <w:numId w:val="2"/>
      </w:numPr>
    </w:pPr>
  </w:style>
  <w:style w:type="character" w:customStyle="1" w:styleId="39">
    <w:name w:val="页眉 字符"/>
    <w:basedOn w:val="31"/>
    <w:link w:val="20"/>
    <w:autoRedefine/>
    <w:qFormat/>
    <w:uiPriority w:val="99"/>
    <w:rPr>
      <w:rFonts w:eastAsia="宋体"/>
      <w:sz w:val="18"/>
      <w:szCs w:val="18"/>
    </w:rPr>
  </w:style>
  <w:style w:type="character" w:customStyle="1" w:styleId="40">
    <w:name w:val="页脚 字符"/>
    <w:basedOn w:val="31"/>
    <w:link w:val="19"/>
    <w:autoRedefine/>
    <w:qFormat/>
    <w:uiPriority w:val="99"/>
    <w:rPr>
      <w:rFonts w:eastAsia="宋体"/>
      <w:sz w:val="18"/>
      <w:szCs w:val="18"/>
    </w:rPr>
  </w:style>
  <w:style w:type="character" w:customStyle="1" w:styleId="41">
    <w:name w:val="标题 2 字符"/>
    <w:basedOn w:val="31"/>
    <w:link w:val="3"/>
    <w:autoRedefine/>
    <w:qFormat/>
    <w:uiPriority w:val="0"/>
    <w:rPr>
      <w:rFonts w:eastAsia="宋体" w:asciiTheme="majorHAnsi" w:hAnsiTheme="majorHAnsi" w:cstheme="majorBidi"/>
      <w:b/>
      <w:bCs/>
      <w:sz w:val="32"/>
      <w:szCs w:val="32"/>
    </w:rPr>
  </w:style>
  <w:style w:type="character" w:customStyle="1" w:styleId="42">
    <w:name w:val="批注文字 字符"/>
    <w:basedOn w:val="31"/>
    <w:link w:val="12"/>
    <w:autoRedefine/>
    <w:qFormat/>
    <w:uiPriority w:val="0"/>
    <w:rPr>
      <w:szCs w:val="24"/>
    </w:rPr>
  </w:style>
  <w:style w:type="paragraph" w:customStyle="1" w:styleId="43">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4">
    <w:name w:val="标题 3 字符"/>
    <w:basedOn w:val="31"/>
    <w:link w:val="4"/>
    <w:autoRedefine/>
    <w:qFormat/>
    <w:uiPriority w:val="9"/>
    <w:rPr>
      <w:rFonts w:eastAsia="宋体"/>
      <w:b/>
      <w:bCs/>
      <w:sz w:val="30"/>
      <w:szCs w:val="32"/>
    </w:rPr>
  </w:style>
  <w:style w:type="character" w:customStyle="1" w:styleId="45">
    <w:name w:val="标题 4 字符"/>
    <w:basedOn w:val="31"/>
    <w:link w:val="5"/>
    <w:autoRedefine/>
    <w:qFormat/>
    <w:uiPriority w:val="9"/>
    <w:rPr>
      <w:rFonts w:eastAsia="宋体" w:asciiTheme="majorHAnsi" w:hAnsiTheme="majorHAnsi" w:cstheme="majorBidi"/>
      <w:b/>
      <w:bCs/>
      <w:sz w:val="28"/>
      <w:szCs w:val="28"/>
    </w:rPr>
  </w:style>
  <w:style w:type="character" w:customStyle="1" w:styleId="46">
    <w:name w:val="正文文本 字符"/>
    <w:basedOn w:val="31"/>
    <w:link w:val="13"/>
    <w:autoRedefine/>
    <w:qFormat/>
    <w:uiPriority w:val="99"/>
    <w:rPr>
      <w:szCs w:val="24"/>
    </w:rPr>
  </w:style>
  <w:style w:type="paragraph" w:customStyle="1" w:styleId="47">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48">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49">
    <w:name w:val="未处理的提及1"/>
    <w:basedOn w:val="31"/>
    <w:autoRedefine/>
    <w:semiHidden/>
    <w:unhideWhenUsed/>
    <w:qFormat/>
    <w:uiPriority w:val="99"/>
    <w:rPr>
      <w:color w:val="605E5C"/>
      <w:shd w:val="clear" w:color="auto" w:fill="E1DFDD"/>
    </w:rPr>
  </w:style>
  <w:style w:type="character" w:customStyle="1" w:styleId="50">
    <w:name w:val="批注主题 字符"/>
    <w:basedOn w:val="42"/>
    <w:link w:val="27"/>
    <w:autoRedefine/>
    <w:semiHidden/>
    <w:qFormat/>
    <w:uiPriority w:val="99"/>
    <w:rPr>
      <w:rFonts w:ascii="宋体" w:hAnsi="宋体" w:cstheme="minorBidi"/>
      <w:b/>
      <w:bCs/>
      <w:kern w:val="2"/>
      <w:sz w:val="24"/>
      <w:szCs w:val="22"/>
    </w:rPr>
  </w:style>
  <w:style w:type="character" w:customStyle="1" w:styleId="51">
    <w:name w:val="未处理的提及2"/>
    <w:basedOn w:val="31"/>
    <w:autoRedefine/>
    <w:semiHidden/>
    <w:unhideWhenUsed/>
    <w:qFormat/>
    <w:uiPriority w:val="99"/>
    <w:rPr>
      <w:color w:val="605E5C"/>
      <w:shd w:val="clear" w:color="auto" w:fill="E1DFDD"/>
    </w:rPr>
  </w:style>
  <w:style w:type="paragraph" w:customStyle="1" w:styleId="52">
    <w:name w:val="正文_2"/>
    <w:next w:val="53"/>
    <w:autoRedefine/>
    <w:qFormat/>
    <w:uiPriority w:val="0"/>
    <w:pPr>
      <w:widowControl w:val="0"/>
      <w:jc w:val="both"/>
    </w:pPr>
    <w:rPr>
      <w:rFonts w:ascii="Calibri" w:hAnsi="Calibri" w:eastAsia="宋体" w:cs="Times New Roman"/>
      <w:lang w:val="en-US" w:eastAsia="zh-CN" w:bidi="ar-SA"/>
    </w:rPr>
  </w:style>
  <w:style w:type="paragraph" w:customStyle="1" w:styleId="53">
    <w:name w:val="首行缩进"/>
    <w:basedOn w:val="54"/>
    <w:qFormat/>
    <w:uiPriority w:val="0"/>
    <w:pPr>
      <w:ind w:firstLine="480" w:firstLineChars="200"/>
    </w:pPr>
    <w:rPr>
      <w:rFonts w:ascii="Calibri" w:hAnsi="Calibri"/>
      <w:lang w:val="zh-CN"/>
    </w:rPr>
  </w:style>
  <w:style w:type="paragraph" w:customStyle="1" w:styleId="54">
    <w:name w:val="正文_4"/>
    <w:next w:val="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
    <w:basedOn w:val="56"/>
    <w:next w:val="58"/>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6">
    <w:name w:val="正文_0"/>
    <w:basedOn w:val="57"/>
    <w:next w:val="13"/>
    <w:qFormat/>
    <w:uiPriority w:val="0"/>
    <w:pPr>
      <w:widowControl w:val="0"/>
      <w:jc w:val="both"/>
    </w:pPr>
    <w:rPr>
      <w:kern w:val="2"/>
      <w:sz w:val="21"/>
      <w:szCs w:val="24"/>
      <w:lang w:val="en-US" w:eastAsia="zh-CN" w:bidi="ar-SA"/>
    </w:rPr>
  </w:style>
  <w:style w:type="paragraph" w:customStyle="1" w:styleId="57">
    <w:name w:val="正文_1"/>
    <w:basedOn w:val="52"/>
    <w:next w:val="5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Body Text"/>
    <w:basedOn w:val="55"/>
    <w:qFormat/>
    <w:uiPriority w:val="0"/>
    <w:pPr>
      <w:spacing w:after="120"/>
    </w:pPr>
  </w:style>
  <w:style w:type="paragraph" w:customStyle="1" w:styleId="59">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60">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1">
    <w:name w:val="Normal Indent1"/>
    <w:basedOn w:val="1"/>
    <w:autoRedefine/>
    <w:qFormat/>
    <w:uiPriority w:val="0"/>
    <w:pPr>
      <w:ind w:firstLine="420" w:firstLineChars="200"/>
    </w:pPr>
  </w:style>
  <w:style w:type="paragraph" w:customStyle="1" w:styleId="62">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3">
    <w:name w:val="Normal_22"/>
    <w:autoRedefine/>
    <w:qFormat/>
    <w:uiPriority w:val="0"/>
    <w:rPr>
      <w:rFonts w:ascii="Times New Roman" w:hAnsi="Times New Roman" w:eastAsia="Times New Roman" w:cs="Times New Roman"/>
      <w:sz w:val="24"/>
      <w:szCs w:val="24"/>
      <w:lang w:bidi="ar-SA"/>
    </w:rPr>
  </w:style>
  <w:style w:type="paragraph" w:customStyle="1" w:styleId="64">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正文_0_0_0 Char"/>
    <w:link w:val="66"/>
    <w:autoRedefine/>
    <w:qFormat/>
    <w:locked/>
    <w:uiPriority w:val="0"/>
    <w:rPr>
      <w:rFonts w:ascii="Calibri" w:hAnsi="Calibri" w:cs="Calibri"/>
      <w:kern w:val="2"/>
      <w:sz w:val="28"/>
      <w:szCs w:val="22"/>
      <w:lang w:val="en-US" w:eastAsia="zh-CN" w:bidi="ar-SA"/>
    </w:rPr>
  </w:style>
  <w:style w:type="paragraph" w:customStyle="1" w:styleId="66">
    <w:name w:val="正文_0_0_0_0_0"/>
    <w:link w:val="65"/>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7">
    <w:name w:val="正文文本_0_1"/>
    <w:basedOn w:val="68"/>
    <w:autoRedefine/>
    <w:qFormat/>
    <w:uiPriority w:val="99"/>
    <w:pPr>
      <w:spacing w:after="120"/>
    </w:pPr>
    <w:rPr>
      <w:rFonts w:ascii="Calibri" w:hAnsi="Calibri" w:eastAsia="宋体"/>
      <w:kern w:val="0"/>
      <w:sz w:val="24"/>
      <w:szCs w:val="20"/>
    </w:rPr>
  </w:style>
  <w:style w:type="paragraph" w:customStyle="1" w:styleId="68">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Table Paragraph_1"/>
    <w:basedOn w:val="68"/>
    <w:autoRedefine/>
    <w:qFormat/>
    <w:uiPriority w:val="0"/>
    <w:pPr>
      <w:jc w:val="left"/>
    </w:pPr>
    <w:rPr>
      <w:rFonts w:ascii="Calibri" w:hAnsi="Calibri" w:eastAsia="宋体"/>
      <w:kern w:val="0"/>
      <w:sz w:val="22"/>
      <w:lang w:eastAsia="en-US"/>
    </w:rPr>
  </w:style>
  <w:style w:type="paragraph" w:customStyle="1" w:styleId="7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1"/>
    <w:autoRedefine/>
    <w:qFormat/>
    <w:uiPriority w:val="0"/>
    <w:pPr>
      <w:widowControl w:val="0"/>
      <w:jc w:val="both"/>
    </w:pPr>
    <w:rPr>
      <w:rFonts w:ascii="Calibri" w:hAnsi="Calibri" w:eastAsia="宋体" w:cs="Times New Roman"/>
      <w:lang w:val="en-US" w:eastAsia="zh-CN" w:bidi="ar-SA"/>
    </w:rPr>
  </w:style>
  <w:style w:type="paragraph" w:customStyle="1" w:styleId="72">
    <w:name w:val="列出段落1"/>
    <w:basedOn w:val="1"/>
    <w:autoRedefine/>
    <w:qFormat/>
    <w:uiPriority w:val="0"/>
    <w:pPr>
      <w:ind w:firstLine="420" w:firstLineChars="200"/>
    </w:pPr>
    <w:rPr>
      <w:szCs w:val="21"/>
    </w:rPr>
  </w:style>
  <w:style w:type="paragraph" w:customStyle="1" w:styleId="7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4">
    <w:name w:val="正文2"/>
    <w:basedOn w:val="1"/>
    <w:qFormat/>
    <w:uiPriority w:val="0"/>
    <w:pPr>
      <w:spacing w:before="156" w:line="360" w:lineRule="auto"/>
      <w:ind w:firstLine="510" w:firstLineChars="200"/>
    </w:pPr>
    <w:rPr>
      <w:sz w:val="24"/>
      <w:szCs w:val="20"/>
    </w:rPr>
  </w:style>
  <w:style w:type="paragraph" w:customStyle="1" w:styleId="75">
    <w:name w:val="Char Char Char Char Char Char Char1 Char"/>
    <w:basedOn w:val="1"/>
    <w:autoRedefine/>
    <w:qFormat/>
    <w:uiPriority w:val="0"/>
    <w:rPr>
      <w:rFonts w:ascii="Arial" w:hAnsi="Arial" w:eastAsia="宋体" w:cs="Arial"/>
      <w:sz w:val="24"/>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77">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22545</Words>
  <Characters>24367</Characters>
  <Lines>328</Lines>
  <Paragraphs>92</Paragraphs>
  <TotalTime>59</TotalTime>
  <ScaleCrop>false</ScaleCrop>
  <LinksUpToDate>false</LinksUpToDate>
  <CharactersWithSpaces>25263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Administrator</cp:lastModifiedBy>
  <cp:lastPrinted>2024-12-28T09:34:00Z</cp:lastPrinted>
  <dcterms:modified xsi:type="dcterms:W3CDTF">2025-06-30T12:17:49Z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886D48ED806C4672A4CC36D9803E4B12_13</vt:lpwstr>
  </property>
  <property fmtid="{D5CDD505-2E9C-101B-9397-08002B2CF9AE}" pid="4" name="KSOTemplateDocerSaveRecord">
    <vt:lpwstr>eyJoZGlkIjoiNzBkNmRlZDIyZWNjMTM2YmVkMDdjOTc1ZjRjNTg4NGUiLCJ1c2VySWQiOiI1MjUyNjY3NDcifQ==</vt:lpwstr>
  </property>
</Properties>
</file>