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BFB6">
      <w:pPr>
        <w:jc w:val="center"/>
        <w:rPr>
          <w:rFonts w:hint="eastAsia" w:ascii="黑体" w:hAnsi="黑体" w:eastAsia="黑体"/>
          <w:i w:val="0"/>
          <w:iCs w:val="0"/>
          <w:color w:val="auto"/>
          <w:kern w:val="0"/>
          <w:sz w:val="52"/>
          <w:szCs w:val="52"/>
          <w:highlight w:val="none"/>
          <w:lang w:val="en-US" w:eastAsia="zh-CN"/>
        </w:rPr>
      </w:pPr>
      <w:r>
        <w:rPr>
          <w:rFonts w:hint="eastAsia" w:ascii="宋体" w:hAnsi="宋体" w:eastAsia="宋体" w:cs="宋体"/>
          <w:b/>
          <w:bCs/>
          <w:i w:val="0"/>
          <w:iCs w:val="0"/>
          <w:color w:val="auto"/>
          <w:kern w:val="0"/>
          <w:sz w:val="60"/>
          <w:szCs w:val="60"/>
          <w:highlight w:val="none"/>
          <w:lang w:val="en-US" w:eastAsia="zh-CN"/>
        </w:rPr>
        <w:t>兵团政府采购项目</w:t>
      </w:r>
    </w:p>
    <w:p w14:paraId="1B00BC94">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竞争性磋商文件示范文本</w:t>
      </w:r>
    </w:p>
    <w:p w14:paraId="4E1FA33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（工程）</w:t>
      </w:r>
    </w:p>
    <w:p w14:paraId="08B3A613">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（2025年版）</w:t>
      </w:r>
    </w:p>
    <w:p w14:paraId="6C8C8A47">
      <w:pPr>
        <w:jc w:val="center"/>
        <w:rPr>
          <w:rFonts w:ascii="黑体" w:hAnsi="黑体" w:eastAsia="黑体"/>
          <w:i w:val="0"/>
          <w:iCs w:val="0"/>
          <w:color w:val="auto"/>
          <w:sz w:val="72"/>
          <w:szCs w:val="72"/>
          <w:highlight w:val="none"/>
        </w:rPr>
      </w:pPr>
      <w:r>
        <w:rPr>
          <w:rFonts w:ascii="宋体" w:hAnsi="宋体" w:cs="宋体"/>
          <w:color w:val="auto"/>
          <w:sz w:val="24"/>
          <w:szCs w:val="24"/>
          <w:highlight w:val="none"/>
        </w:rPr>
        <w:drawing>
          <wp:anchor distT="0" distB="0" distL="114300" distR="114300" simplePos="0" relativeHeight="251660288" behindDoc="1" locked="0" layoutInCell="1" allowOverlap="1">
            <wp:simplePos x="0" y="0"/>
            <wp:positionH relativeFrom="column">
              <wp:posOffset>1498600</wp:posOffset>
            </wp:positionH>
            <wp:positionV relativeFrom="paragraph">
              <wp:posOffset>118745</wp:posOffset>
            </wp:positionV>
            <wp:extent cx="2314575" cy="2600325"/>
            <wp:effectExtent l="0" t="0" r="0" b="0"/>
            <wp:wrapTight wrapText="bothSides">
              <wp:wrapPolygon>
                <wp:start x="14578" y="1266"/>
                <wp:lineTo x="11378" y="3798"/>
                <wp:lineTo x="9067" y="4273"/>
                <wp:lineTo x="4800" y="6013"/>
                <wp:lineTo x="4267" y="7121"/>
                <wp:lineTo x="3022" y="8862"/>
                <wp:lineTo x="3022" y="9811"/>
                <wp:lineTo x="3200" y="11393"/>
                <wp:lineTo x="3378" y="11868"/>
                <wp:lineTo x="9422" y="13925"/>
                <wp:lineTo x="10844" y="13925"/>
                <wp:lineTo x="4800" y="14558"/>
                <wp:lineTo x="4267" y="16457"/>
                <wp:lineTo x="5156" y="16457"/>
                <wp:lineTo x="5333" y="19780"/>
                <wp:lineTo x="13511" y="19780"/>
                <wp:lineTo x="13689" y="18989"/>
                <wp:lineTo x="14756" y="16457"/>
                <wp:lineTo x="15111" y="15191"/>
                <wp:lineTo x="14400" y="14716"/>
                <wp:lineTo x="11022" y="13925"/>
                <wp:lineTo x="14578" y="11393"/>
                <wp:lineTo x="16711" y="8862"/>
                <wp:lineTo x="17778" y="6330"/>
                <wp:lineTo x="17956" y="3798"/>
                <wp:lineTo x="16533" y="2215"/>
                <wp:lineTo x="15467" y="1266"/>
                <wp:lineTo x="14578" y="1266"/>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2314575" cy="2600325"/>
                    </a:xfrm>
                    <a:prstGeom prst="rect">
                      <a:avLst/>
                    </a:prstGeom>
                    <a:noFill/>
                    <a:ln>
                      <a:noFill/>
                    </a:ln>
                  </pic:spPr>
                </pic:pic>
              </a:graphicData>
            </a:graphic>
          </wp:anchor>
        </w:drawing>
      </w:r>
    </w:p>
    <w:p w14:paraId="281ECC9C">
      <w:pPr>
        <w:jc w:val="center"/>
        <w:rPr>
          <w:rFonts w:ascii="黑体" w:hAnsi="黑体" w:eastAsia="黑体"/>
          <w:i w:val="0"/>
          <w:iCs w:val="0"/>
          <w:color w:val="auto"/>
          <w:sz w:val="72"/>
          <w:szCs w:val="72"/>
          <w:highlight w:val="none"/>
        </w:rPr>
      </w:pPr>
    </w:p>
    <w:p w14:paraId="6A7A718C">
      <w:pPr>
        <w:jc w:val="center"/>
        <w:rPr>
          <w:rFonts w:ascii="黑体" w:hAnsi="黑体" w:eastAsia="黑体"/>
          <w:i w:val="0"/>
          <w:iCs w:val="0"/>
          <w:color w:val="auto"/>
          <w:sz w:val="24"/>
          <w:szCs w:val="24"/>
          <w:highlight w:val="none"/>
        </w:rPr>
      </w:pPr>
    </w:p>
    <w:p w14:paraId="0BF26046">
      <w:pPr>
        <w:jc w:val="center"/>
        <w:rPr>
          <w:rFonts w:ascii="黑体" w:hAnsi="黑体" w:eastAsia="黑体"/>
          <w:i w:val="0"/>
          <w:iCs w:val="0"/>
          <w:color w:val="auto"/>
          <w:sz w:val="24"/>
          <w:szCs w:val="24"/>
          <w:highlight w:val="none"/>
        </w:rPr>
      </w:pPr>
    </w:p>
    <w:p w14:paraId="5A9E7F96">
      <w:pPr>
        <w:jc w:val="center"/>
        <w:rPr>
          <w:rFonts w:ascii="黑体" w:hAnsi="黑体" w:eastAsia="黑体"/>
          <w:i w:val="0"/>
          <w:iCs w:val="0"/>
          <w:color w:val="auto"/>
          <w:sz w:val="24"/>
          <w:szCs w:val="24"/>
          <w:highlight w:val="none"/>
        </w:rPr>
      </w:pPr>
    </w:p>
    <w:p w14:paraId="413A6A61">
      <w:pPr>
        <w:jc w:val="center"/>
        <w:rPr>
          <w:rFonts w:ascii="黑体" w:hAnsi="黑体" w:eastAsia="黑体"/>
          <w:i w:val="0"/>
          <w:iCs w:val="0"/>
          <w:color w:val="auto"/>
          <w:sz w:val="24"/>
          <w:szCs w:val="24"/>
          <w:highlight w:val="none"/>
        </w:rPr>
      </w:pPr>
    </w:p>
    <w:p w14:paraId="1893450C">
      <w:pPr>
        <w:jc w:val="center"/>
        <w:rPr>
          <w:rFonts w:ascii="黑体" w:hAnsi="黑体" w:eastAsia="黑体"/>
          <w:i w:val="0"/>
          <w:iCs w:val="0"/>
          <w:color w:val="auto"/>
          <w:sz w:val="24"/>
          <w:szCs w:val="24"/>
          <w:highlight w:val="none"/>
        </w:rPr>
      </w:pPr>
    </w:p>
    <w:p w14:paraId="481B7B7F">
      <w:pPr>
        <w:jc w:val="center"/>
        <w:rPr>
          <w:rFonts w:ascii="黑体" w:hAnsi="黑体" w:eastAsia="黑体"/>
          <w:i w:val="0"/>
          <w:iCs w:val="0"/>
          <w:color w:val="auto"/>
          <w:sz w:val="24"/>
          <w:szCs w:val="24"/>
          <w:highlight w:val="none"/>
        </w:rPr>
      </w:pPr>
    </w:p>
    <w:p w14:paraId="15E61F39">
      <w:pPr>
        <w:jc w:val="center"/>
        <w:rPr>
          <w:rFonts w:ascii="黑体" w:hAnsi="黑体" w:eastAsia="黑体"/>
          <w:i w:val="0"/>
          <w:iCs w:val="0"/>
          <w:color w:val="auto"/>
          <w:sz w:val="24"/>
          <w:szCs w:val="24"/>
          <w:highlight w:val="none"/>
        </w:rPr>
      </w:pPr>
    </w:p>
    <w:p w14:paraId="76B4A30F">
      <w:pPr>
        <w:jc w:val="center"/>
        <w:rPr>
          <w:rFonts w:ascii="黑体" w:hAnsi="黑体" w:eastAsia="黑体"/>
          <w:i w:val="0"/>
          <w:iCs w:val="0"/>
          <w:color w:val="auto"/>
          <w:sz w:val="24"/>
          <w:szCs w:val="24"/>
          <w:highlight w:val="none"/>
        </w:rPr>
      </w:pPr>
    </w:p>
    <w:p w14:paraId="0242E525">
      <w:pPr>
        <w:spacing w:line="600" w:lineRule="auto"/>
        <w:ind w:left="419" w:leftChars="0" w:hanging="419" w:hangingChars="116"/>
        <w:rPr>
          <w:rFonts w:hint="default" w:ascii="宋体" w:hAnsi="宋体" w:eastAsia="宋体" w:cs="宋体"/>
          <w:b/>
          <w:bCs/>
          <w:i w:val="0"/>
          <w:iCs w:val="0"/>
          <w:color w:val="auto"/>
          <w:sz w:val="36"/>
          <w:szCs w:val="36"/>
          <w:highlight w:val="none"/>
          <w:u w:val="single"/>
          <w:lang w:val="en-US"/>
        </w:rPr>
      </w:pPr>
      <w:r>
        <w:rPr>
          <w:rFonts w:hint="eastAsia" w:ascii="宋体" w:hAnsi="宋体" w:eastAsia="宋体" w:cs="宋体"/>
          <w:b/>
          <w:bCs/>
          <w:i w:val="0"/>
          <w:iCs w:val="0"/>
          <w:color w:val="auto"/>
          <w:sz w:val="36"/>
          <w:szCs w:val="36"/>
          <w:highlight w:val="none"/>
        </w:rPr>
        <w:t>项目编号：</w:t>
      </w:r>
      <w:r>
        <w:rPr>
          <w:rFonts w:hint="eastAsia" w:ascii="宋体" w:hAnsi="宋体" w:eastAsia="宋体" w:cs="宋体"/>
          <w:b/>
          <w:bCs/>
          <w:i w:val="0"/>
          <w:iCs w:val="0"/>
          <w:color w:val="auto"/>
          <w:sz w:val="36"/>
          <w:szCs w:val="36"/>
          <w:highlight w:val="none"/>
          <w:u w:val="single"/>
          <w:lang w:val="en-US" w:eastAsia="zh-CN"/>
        </w:rPr>
        <w:t>XJBTBJ[2025]1830号</w:t>
      </w:r>
      <w:r>
        <w:rPr>
          <w:rFonts w:hint="eastAsia" w:cs="宋体"/>
          <w:b/>
          <w:bCs/>
          <w:i w:val="0"/>
          <w:iCs w:val="0"/>
          <w:color w:val="auto"/>
          <w:sz w:val="36"/>
          <w:szCs w:val="36"/>
          <w:highlight w:val="none"/>
          <w:u w:val="single"/>
          <w:lang w:val="en-US" w:eastAsia="zh-CN"/>
        </w:rPr>
        <w:t xml:space="preserve">                  </w:t>
      </w:r>
    </w:p>
    <w:p w14:paraId="0E6E48F8">
      <w:pPr>
        <w:spacing w:line="600" w:lineRule="auto"/>
        <w:ind w:left="419" w:leftChars="0" w:hanging="419" w:hangingChars="116"/>
        <w:rPr>
          <w:rFonts w:hint="default" w:ascii="宋体" w:hAnsi="宋体" w:eastAsia="宋体" w:cs="宋体"/>
          <w:b/>
          <w:bCs/>
          <w:i w:val="0"/>
          <w:iCs w:val="0"/>
          <w:color w:val="auto"/>
          <w:sz w:val="36"/>
          <w:szCs w:val="36"/>
          <w:highlight w:val="none"/>
          <w:lang w:val="en-US" w:eastAsia="zh-CN"/>
        </w:rPr>
      </w:pPr>
      <w:r>
        <w:rPr>
          <w:rFonts w:hint="eastAsia" w:ascii="宋体" w:hAnsi="宋体" w:eastAsia="宋体" w:cs="宋体"/>
          <w:b/>
          <w:bCs/>
          <w:i w:val="0"/>
          <w:iCs w:val="0"/>
          <w:color w:val="auto"/>
          <w:sz w:val="36"/>
          <w:szCs w:val="36"/>
          <w:highlight w:val="none"/>
        </w:rPr>
        <w:t>项目名称：</w:t>
      </w:r>
      <w:r>
        <w:rPr>
          <w:rFonts w:hint="eastAsia" w:cs="宋体"/>
          <w:b/>
          <w:bCs/>
          <w:i w:val="0"/>
          <w:iCs w:val="0"/>
          <w:color w:val="auto"/>
          <w:sz w:val="36"/>
          <w:szCs w:val="36"/>
          <w:highlight w:val="none"/>
          <w:u w:val="single"/>
          <w:lang w:val="en-US" w:eastAsia="zh-CN"/>
        </w:rPr>
        <w:t>某单位安防设施设备更新及线路改造项目</w:t>
      </w:r>
    </w:p>
    <w:p w14:paraId="0F84FA94">
      <w:pPr>
        <w:spacing w:line="600" w:lineRule="auto"/>
        <w:ind w:left="419" w:leftChars="0" w:hanging="419" w:hangingChars="116"/>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采购</w:t>
      </w:r>
      <w:r>
        <w:rPr>
          <w:rFonts w:hint="eastAsia" w:cs="宋体"/>
          <w:b/>
          <w:bCs/>
          <w:i w:val="0"/>
          <w:iCs w:val="0"/>
          <w:color w:val="auto"/>
          <w:sz w:val="36"/>
          <w:szCs w:val="36"/>
          <w:highlight w:val="none"/>
          <w:lang w:val="en-US" w:eastAsia="zh-CN"/>
        </w:rPr>
        <w:t>单位</w:t>
      </w:r>
      <w:r>
        <w:rPr>
          <w:rFonts w:hint="eastAsia" w:ascii="宋体" w:hAnsi="宋体" w:eastAsia="宋体" w:cs="宋体"/>
          <w:b/>
          <w:bCs/>
          <w:i w:val="0"/>
          <w:iCs w:val="0"/>
          <w:color w:val="auto"/>
          <w:sz w:val="36"/>
          <w:szCs w:val="36"/>
          <w:highlight w:val="none"/>
        </w:rPr>
        <w:t>：</w:t>
      </w:r>
      <w:r>
        <w:rPr>
          <w:rFonts w:hint="eastAsia" w:cs="宋体"/>
          <w:b/>
          <w:bCs/>
          <w:i w:val="0"/>
          <w:iCs w:val="0"/>
          <w:color w:val="auto"/>
          <w:sz w:val="36"/>
          <w:szCs w:val="36"/>
          <w:highlight w:val="none"/>
          <w:u w:val="single"/>
          <w:lang w:val="en-US" w:eastAsia="zh-CN"/>
        </w:rPr>
        <w:t>某单位</w:t>
      </w:r>
      <w:r>
        <w:rPr>
          <w:rFonts w:hint="eastAsia" w:ascii="宋体" w:hAnsi="宋体" w:eastAsia="宋体" w:cs="宋体"/>
          <w:b/>
          <w:bCs/>
          <w:i w:val="0"/>
          <w:iCs w:val="0"/>
          <w:color w:val="auto"/>
          <w:sz w:val="36"/>
          <w:szCs w:val="36"/>
          <w:highlight w:val="none"/>
          <w:u w:val="single"/>
        </w:rPr>
        <w:t xml:space="preserve"> </w:t>
      </w:r>
      <w:r>
        <w:rPr>
          <w:rFonts w:hint="eastAsia" w:cs="宋体"/>
          <w:b/>
          <w:bCs/>
          <w:i w:val="0"/>
          <w:iCs w:val="0"/>
          <w:color w:val="auto"/>
          <w:sz w:val="36"/>
          <w:szCs w:val="36"/>
          <w:highlight w:val="none"/>
          <w:u w:val="single"/>
          <w:lang w:val="en-US" w:eastAsia="zh-CN"/>
        </w:rPr>
        <w:t xml:space="preserve">                           </w:t>
      </w:r>
      <w:r>
        <w:rPr>
          <w:rFonts w:hint="eastAsia" w:ascii="宋体" w:hAnsi="宋体" w:eastAsia="宋体" w:cs="宋体"/>
          <w:b/>
          <w:bCs/>
          <w:i w:val="0"/>
          <w:iCs w:val="0"/>
          <w:color w:val="auto"/>
          <w:sz w:val="36"/>
          <w:szCs w:val="36"/>
          <w:highlight w:val="none"/>
          <w:u w:val="single"/>
        </w:rPr>
        <w:t xml:space="preserve">  </w:t>
      </w:r>
    </w:p>
    <w:p w14:paraId="4B180FDF">
      <w:pPr>
        <w:spacing w:line="600" w:lineRule="auto"/>
        <w:ind w:left="419" w:leftChars="0" w:hanging="419" w:hangingChars="116"/>
        <w:rPr>
          <w:rFonts w:hint="eastAsia" w:ascii="宋体" w:hAnsi="宋体" w:eastAsia="宋体" w:cs="宋体"/>
          <w:b/>
          <w:bCs/>
          <w:i w:val="0"/>
          <w:iCs w:val="0"/>
          <w:color w:val="auto"/>
          <w:sz w:val="36"/>
          <w:szCs w:val="36"/>
          <w:highlight w:val="none"/>
          <w:u w:val="single"/>
        </w:rPr>
      </w:pPr>
      <w:r>
        <w:rPr>
          <w:rFonts w:hint="eastAsia" w:ascii="宋体" w:hAnsi="宋体" w:eastAsia="宋体" w:cs="宋体"/>
          <w:b/>
          <w:bCs/>
          <w:i w:val="0"/>
          <w:iCs w:val="0"/>
          <w:color w:val="auto"/>
          <w:sz w:val="36"/>
          <w:szCs w:val="36"/>
          <w:highlight w:val="none"/>
        </w:rPr>
        <w:t>采购代理机构：</w:t>
      </w:r>
      <w:r>
        <w:rPr>
          <w:rFonts w:hint="eastAsia" w:ascii="宋体" w:hAnsi="宋体" w:eastAsia="宋体" w:cs="宋体"/>
          <w:b/>
          <w:bCs/>
          <w:i w:val="0"/>
          <w:iCs w:val="0"/>
          <w:color w:val="auto"/>
          <w:sz w:val="36"/>
          <w:szCs w:val="36"/>
          <w:highlight w:val="none"/>
          <w:u w:val="single"/>
          <w:lang w:eastAsia="zh-CN"/>
        </w:rPr>
        <w:t>新疆天瑞工程造价咨询有限公司</w:t>
      </w:r>
      <w:r>
        <w:rPr>
          <w:rFonts w:hint="eastAsia" w:ascii="宋体" w:hAnsi="宋体" w:eastAsia="宋体" w:cs="宋体"/>
          <w:b/>
          <w:bCs/>
          <w:i w:val="0"/>
          <w:iCs w:val="0"/>
          <w:color w:val="auto"/>
          <w:sz w:val="36"/>
          <w:szCs w:val="36"/>
          <w:highlight w:val="none"/>
          <w:u w:val="single"/>
          <w:lang w:val="en-US" w:eastAsia="zh-CN"/>
        </w:rPr>
        <w:t xml:space="preserve">   </w:t>
      </w:r>
      <w:r>
        <w:rPr>
          <w:rFonts w:hint="eastAsia" w:ascii="宋体" w:hAnsi="宋体" w:eastAsia="宋体" w:cs="宋体"/>
          <w:b/>
          <w:bCs/>
          <w:i w:val="0"/>
          <w:iCs w:val="0"/>
          <w:color w:val="auto"/>
          <w:sz w:val="36"/>
          <w:szCs w:val="36"/>
          <w:highlight w:val="none"/>
          <w:u w:val="single"/>
        </w:rPr>
        <w:t xml:space="preserve"> </w:t>
      </w:r>
    </w:p>
    <w:p w14:paraId="528D5C5E">
      <w:pPr>
        <w:ind w:left="420" w:leftChars="175"/>
        <w:rPr>
          <w:rFonts w:hint="eastAsia" w:ascii="宋体" w:hAnsi="宋体" w:eastAsia="宋体" w:cs="宋体"/>
          <w:b/>
          <w:bCs/>
          <w:i w:val="0"/>
          <w:iCs w:val="0"/>
          <w:color w:val="auto"/>
          <w:sz w:val="36"/>
          <w:szCs w:val="36"/>
          <w:highlight w:val="none"/>
          <w:u w:val="single"/>
        </w:rPr>
      </w:pPr>
    </w:p>
    <w:p w14:paraId="6B4F4768">
      <w:pPr>
        <w:ind w:left="420" w:leftChars="175"/>
        <w:jc w:val="center"/>
        <w:rPr>
          <w:rFonts w:hint="default" w:ascii="宋体" w:hAnsi="宋体" w:eastAsia="宋体" w:cs="宋体"/>
          <w:b/>
          <w:bCs/>
          <w:i w:val="0"/>
          <w:iCs w:val="0"/>
          <w:color w:val="auto"/>
          <w:sz w:val="36"/>
          <w:szCs w:val="36"/>
          <w:highlight w:val="none"/>
          <w:u w:val="none"/>
          <w:lang w:val="en-US" w:eastAsia="zh-CN"/>
        </w:rPr>
      </w:pPr>
      <w:r>
        <w:rPr>
          <w:rFonts w:hint="eastAsia" w:cs="宋体"/>
          <w:b/>
          <w:bCs/>
          <w:i w:val="0"/>
          <w:iCs w:val="0"/>
          <w:color w:val="auto"/>
          <w:sz w:val="36"/>
          <w:szCs w:val="36"/>
          <w:highlight w:val="none"/>
          <w:u w:val="none"/>
          <w:lang w:eastAsia="zh-CN"/>
        </w:rPr>
        <w:t>日期：</w:t>
      </w:r>
      <w:r>
        <w:rPr>
          <w:rFonts w:hint="eastAsia" w:cs="宋体"/>
          <w:b/>
          <w:bCs/>
          <w:i w:val="0"/>
          <w:iCs w:val="0"/>
          <w:color w:val="auto"/>
          <w:sz w:val="36"/>
          <w:szCs w:val="36"/>
          <w:highlight w:val="none"/>
          <w:u w:val="none"/>
          <w:lang w:val="en-US" w:eastAsia="zh-CN"/>
        </w:rPr>
        <w:t>2025年6月18日</w:t>
      </w:r>
    </w:p>
    <w:p w14:paraId="7981359D">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使用说明</w:t>
      </w:r>
    </w:p>
    <w:p w14:paraId="344ECDD7">
      <w:pPr>
        <w:pStyle w:val="55"/>
        <w:rPr>
          <w:rFonts w:hint="eastAsia" w:ascii="黑体" w:hAnsi="黑体" w:eastAsia="黑体"/>
          <w:i w:val="0"/>
          <w:iCs w:val="0"/>
          <w:color w:val="auto"/>
          <w:sz w:val="72"/>
          <w:szCs w:val="72"/>
          <w:highlight w:val="none"/>
        </w:rPr>
      </w:pPr>
    </w:p>
    <w:p w14:paraId="1560DCC4">
      <w:pPr>
        <w:pStyle w:val="11"/>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olor w:val="auto"/>
          <w:kern w:val="2"/>
          <w:sz w:val="32"/>
          <w:szCs w:val="32"/>
          <w:highlight w:val="none"/>
          <w:shd w:val="clear" w:color="auto" w:fill="FFFFFF" w:themeFill="background1"/>
          <w:lang w:val="zh-CN" w:eastAsia="zh-CN" w:bidi="ar-SA"/>
        </w:rPr>
      </w:pP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为促进政府采购活动的公开、公平和公正进行，进一步优化新疆生产建设兵团政府采购营商环境，提高竞争性磋商文件编制质量和采购工作效率，根据政府采购有关法律法规及政策要求，会同有关单位研究制定了《兵团政府采购项目竞争性磋商文件示范文本（试行）（2025年版）》（以下简称《示范文本》），并在兵团政府采购项目中推广使用，</w:t>
      </w:r>
      <w:r>
        <w:rPr>
          <w:rFonts w:hint="eastAsia" w:ascii="宋体" w:hAnsi="宋体" w:eastAsia="宋体" w:cs="宋体"/>
          <w:i w:val="0"/>
          <w:iCs w:val="0"/>
          <w:color w:val="auto"/>
          <w:kern w:val="2"/>
          <w:sz w:val="32"/>
          <w:szCs w:val="32"/>
          <w:highlight w:val="none"/>
          <w:shd w:val="clear" w:color="auto" w:fill="FFFFFF" w:themeFill="background1"/>
          <w:lang w:val="zh-CN" w:eastAsia="zh-CN" w:bidi="ar-SA"/>
        </w:rPr>
        <w:t>特此说明如下：</w:t>
      </w:r>
    </w:p>
    <w:p w14:paraId="53AF045D">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一、适用范围</w:t>
      </w:r>
    </w:p>
    <w:p w14:paraId="44036695">
      <w:pPr>
        <w:pStyle w:val="11"/>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olor w:val="auto"/>
          <w:kern w:val="2"/>
          <w:sz w:val="32"/>
          <w:szCs w:val="32"/>
          <w:highlight w:val="none"/>
          <w:shd w:val="clear" w:color="auto" w:fill="FFFFFF" w:themeFill="background1"/>
          <w:lang w:val="zh-CN" w:eastAsia="zh-CN" w:bidi="ar-SA"/>
        </w:rPr>
      </w:pPr>
      <w:r>
        <w:rPr>
          <w:rFonts w:hint="eastAsia" w:ascii="宋体" w:hAnsi="宋体" w:eastAsia="宋体" w:cs="宋体"/>
          <w:i w:val="0"/>
          <w:iCs w:val="0"/>
          <w:color w:val="auto"/>
          <w:kern w:val="2"/>
          <w:sz w:val="32"/>
          <w:szCs w:val="32"/>
          <w:highlight w:val="none"/>
          <w:shd w:val="clear" w:color="auto" w:fill="FFFFFF" w:themeFill="background1"/>
          <w:lang w:val="zh-CN" w:eastAsia="zh-CN" w:bidi="ar-SA"/>
        </w:rPr>
        <w:t>《示范文本》适用于</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兵团</w:t>
      </w:r>
      <w:r>
        <w:rPr>
          <w:rFonts w:hint="eastAsia" w:ascii="宋体" w:hAnsi="宋体" w:eastAsia="宋体" w:cs="宋体"/>
          <w:i w:val="0"/>
          <w:iCs w:val="0"/>
          <w:color w:val="auto"/>
          <w:kern w:val="2"/>
          <w:sz w:val="32"/>
          <w:szCs w:val="32"/>
          <w:highlight w:val="none"/>
          <w:shd w:val="clear" w:color="auto" w:fill="FFFFFF" w:themeFill="background1"/>
          <w:lang w:val="zh-CN" w:eastAsia="zh-CN" w:bidi="ar-SA"/>
        </w:rPr>
        <w:t>政府采购项目。</w:t>
      </w:r>
    </w:p>
    <w:p w14:paraId="54BE8F51">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二、使用规则</w:t>
      </w:r>
    </w:p>
    <w:p w14:paraId="39524686">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olor w:val="auto"/>
          <w:kern w:val="2"/>
          <w:sz w:val="32"/>
          <w:szCs w:val="32"/>
          <w:highlight w:val="none"/>
          <w:shd w:val="clear" w:color="auto" w:fill="FFFFFF" w:themeFill="background1"/>
          <w:lang w:val="en-US" w:eastAsia="zh-CN" w:bidi="ar-SA"/>
        </w:rPr>
      </w:pP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1.条款中以空格和下划横线“</w:t>
      </w:r>
      <w:r>
        <w:rPr>
          <w:rFonts w:hint="eastAsia" w:ascii="宋体" w:hAnsi="宋体" w:eastAsia="宋体" w:cs="宋体"/>
          <w:i w:val="0"/>
          <w:iCs w:val="0"/>
          <w:color w:val="auto"/>
          <w:kern w:val="2"/>
          <w:sz w:val="32"/>
          <w:szCs w:val="32"/>
          <w:highlight w:val="none"/>
          <w:u w:val="single"/>
          <w:shd w:val="clear" w:color="auto" w:fill="FFFFFF" w:themeFill="background1"/>
          <w:lang w:val="en-US" w:eastAsia="zh-CN" w:bidi="ar-SA"/>
        </w:rPr>
        <w:t xml:space="preserve">   </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”形式标记的部分，为采购人或采购代理机构需要填写的内容。采购人或采购代理机构应根据</w:t>
      </w:r>
      <w:r>
        <w:rPr>
          <w:rFonts w:hint="eastAsia" w:ascii="宋体" w:hAnsi="宋体" w:eastAsia="宋体" w:cs="宋体"/>
          <w:i w:val="0"/>
          <w:iCs w:val="0"/>
          <w:color w:val="auto"/>
          <w:kern w:val="2"/>
          <w:sz w:val="32"/>
          <w:szCs w:val="32"/>
          <w:highlight w:val="none"/>
          <w:shd w:val="clear" w:color="auto" w:fill="FFFFFF" w:themeFill="background1"/>
          <w:lang w:val="zh-CN" w:eastAsia="zh-CN" w:bidi="ar-SA"/>
        </w:rPr>
        <w:t>国家和</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兵团</w:t>
      </w:r>
      <w:r>
        <w:rPr>
          <w:rFonts w:hint="eastAsia" w:ascii="宋体" w:hAnsi="宋体" w:eastAsia="宋体" w:cs="宋体"/>
          <w:i w:val="0"/>
          <w:iCs w:val="0"/>
          <w:color w:val="auto"/>
          <w:kern w:val="2"/>
          <w:sz w:val="32"/>
          <w:szCs w:val="32"/>
          <w:highlight w:val="none"/>
          <w:shd w:val="clear" w:color="auto" w:fill="FFFFFF" w:themeFill="background1"/>
          <w:lang w:val="zh-CN" w:eastAsia="zh-CN" w:bidi="ar-SA"/>
        </w:rPr>
        <w:t>有关法律法规的规定、</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采购项目具体特点和实际需要进行具体化填写，确实没有需要填写的，在空格或下划横线“</w:t>
      </w:r>
      <w:r>
        <w:rPr>
          <w:rFonts w:hint="eastAsia" w:ascii="宋体" w:hAnsi="宋体" w:eastAsia="宋体" w:cs="宋体"/>
          <w:i w:val="0"/>
          <w:iCs w:val="0"/>
          <w:color w:val="auto"/>
          <w:kern w:val="2"/>
          <w:sz w:val="32"/>
          <w:szCs w:val="32"/>
          <w:highlight w:val="none"/>
          <w:u w:val="single"/>
          <w:shd w:val="clear" w:color="auto" w:fill="FFFFFF" w:themeFill="background1"/>
          <w:lang w:val="en-US" w:eastAsia="zh-CN" w:bidi="ar-SA"/>
        </w:rPr>
        <w:t xml:space="preserve">   </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”中用“/”标记。</w:t>
      </w:r>
    </w:p>
    <w:p w14:paraId="43BCB055">
      <w:pPr>
        <w:pStyle w:val="11"/>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olor w:val="auto"/>
          <w:kern w:val="2"/>
          <w:sz w:val="32"/>
          <w:szCs w:val="32"/>
          <w:highlight w:val="none"/>
          <w:shd w:val="clear" w:color="auto" w:fill="FFFFFF" w:themeFill="background1"/>
          <w:lang w:val="zh-CN" w:eastAsia="zh-CN" w:bidi="ar-SA"/>
        </w:rPr>
      </w:pP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2.条款中以“□”形式标记的内容，为采购人或采购代理机构需要确定的选项。编制磋商文件时，适用于本项目的选项标记为“</w:t>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sym w:font="Wingdings 2" w:char="0052"/>
      </w:r>
      <w:r>
        <w:rPr>
          <w:rFonts w:hint="eastAsia" w:ascii="宋体" w:hAnsi="宋体" w:eastAsia="宋体" w:cs="宋体"/>
          <w:i w:val="0"/>
          <w:iCs w:val="0"/>
          <w:color w:val="auto"/>
          <w:kern w:val="2"/>
          <w:sz w:val="32"/>
          <w:szCs w:val="32"/>
          <w:highlight w:val="none"/>
          <w:shd w:val="clear" w:color="auto" w:fill="FFFFFF" w:themeFill="background1"/>
          <w:lang w:val="en-US" w:eastAsia="zh-CN" w:bidi="ar-SA"/>
        </w:rPr>
        <w:t>”，不适用于本项目的选项标记为“□”。</w:t>
      </w:r>
    </w:p>
    <w:p w14:paraId="0BBCE8D9">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三、提示说明</w:t>
      </w:r>
    </w:p>
    <w:p w14:paraId="03F9F4F2">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lang w:val="en-US" w:eastAsia="zh-CN"/>
        </w:rPr>
        <w:t>1.</w:t>
      </w:r>
      <w:r>
        <w:rPr>
          <w:rFonts w:hint="eastAsia" w:ascii="宋体" w:hAnsi="宋体" w:eastAsia="宋体" w:cs="宋体"/>
          <w:i w:val="0"/>
          <w:iCs w:val="0"/>
          <w:color w:val="auto"/>
          <w:sz w:val="32"/>
          <w:szCs w:val="32"/>
          <w:highlight w:val="none"/>
        </w:rPr>
        <w:t>《示范文本》中“【】”形式标记的内容，属于提示编制采购文件的注意事项，在交易系统中制作采购文件模板时，有关“【】”</w:t>
      </w:r>
      <w:r>
        <w:rPr>
          <w:rFonts w:hint="eastAsia" w:ascii="宋体" w:hAnsi="宋体" w:eastAsia="宋体" w:cs="宋体"/>
          <w:i w:val="0"/>
          <w:iCs w:val="0"/>
          <w:color w:val="auto"/>
          <w:sz w:val="32"/>
          <w:szCs w:val="32"/>
          <w:highlight w:val="none"/>
          <w:lang w:val="en-US" w:eastAsia="zh-CN"/>
        </w:rPr>
        <w:t>内的</w:t>
      </w:r>
      <w:r>
        <w:rPr>
          <w:rFonts w:hint="eastAsia" w:ascii="宋体" w:hAnsi="宋体" w:eastAsia="宋体" w:cs="宋体"/>
          <w:i w:val="0"/>
          <w:iCs w:val="0"/>
          <w:color w:val="auto"/>
          <w:sz w:val="32"/>
          <w:szCs w:val="32"/>
          <w:highlight w:val="none"/>
        </w:rPr>
        <w:t>提示内容应予以删除。</w:t>
      </w:r>
    </w:p>
    <w:p w14:paraId="5CB607A9">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lang w:val="en-US" w:eastAsia="zh-CN"/>
        </w:rPr>
      </w:pPr>
      <w:r>
        <w:rPr>
          <w:rFonts w:hint="eastAsia" w:ascii="宋体" w:hAnsi="宋体" w:eastAsia="宋体" w:cs="宋体"/>
          <w:i w:val="0"/>
          <w:iCs w:val="0"/>
          <w:color w:val="auto"/>
          <w:sz w:val="32"/>
          <w:szCs w:val="32"/>
          <w:highlight w:val="none"/>
          <w:lang w:val="en-US" w:eastAsia="zh-CN"/>
        </w:rPr>
        <w:t>2.不适用的内容及相关章节应</w:t>
      </w:r>
      <w:r>
        <w:rPr>
          <w:rFonts w:hint="eastAsia" w:ascii="宋体" w:hAnsi="宋体" w:eastAsia="宋体" w:cs="宋体"/>
          <w:i w:val="0"/>
          <w:iCs w:val="0"/>
          <w:color w:val="auto"/>
          <w:sz w:val="32"/>
          <w:szCs w:val="32"/>
          <w:highlight w:val="none"/>
        </w:rPr>
        <w:t>予以删除。</w:t>
      </w:r>
    </w:p>
    <w:p w14:paraId="54F02FE7">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四、</w:t>
      </w:r>
      <w:r>
        <w:rPr>
          <w:rFonts w:hint="eastAsia" w:ascii="黑体" w:hAnsi="黑体" w:eastAsia="黑体" w:cs="黑体"/>
          <w:b/>
          <w:bCs/>
          <w:i w:val="0"/>
          <w:iCs w:val="0"/>
          <w:color w:val="auto"/>
          <w:sz w:val="32"/>
          <w:szCs w:val="24"/>
          <w:highlight w:val="none"/>
          <w:lang w:val="en-US" w:eastAsia="zh-CN"/>
        </w:rPr>
        <w:t>供应商</w:t>
      </w:r>
      <w:r>
        <w:rPr>
          <w:rFonts w:hint="eastAsia" w:ascii="黑体" w:hAnsi="黑体" w:eastAsia="黑体" w:cs="黑体"/>
          <w:b/>
          <w:bCs/>
          <w:i w:val="0"/>
          <w:iCs w:val="0"/>
          <w:color w:val="auto"/>
          <w:sz w:val="32"/>
          <w:szCs w:val="24"/>
          <w:highlight w:val="none"/>
        </w:rPr>
        <w:t>须知前附表说明</w:t>
      </w:r>
    </w:p>
    <w:p w14:paraId="07C06EF6">
      <w:pPr>
        <w:pStyle w:val="37"/>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lang w:val="en-US" w:eastAsia="zh-CN"/>
        </w:rPr>
        <w:t>1.</w:t>
      </w:r>
      <w:r>
        <w:rPr>
          <w:rFonts w:hint="eastAsia" w:ascii="宋体" w:hAnsi="宋体" w:eastAsia="宋体" w:cs="宋体"/>
          <w:i w:val="0"/>
          <w:iCs w:val="0"/>
          <w:color w:val="auto"/>
          <w:sz w:val="32"/>
          <w:szCs w:val="32"/>
          <w:highlight w:val="none"/>
        </w:rPr>
        <w:t>为了便于</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高效阅览、避免遗漏重点内容，《示范文本》对第二章“</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须知”设置了表格形式。“</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须知前附表”用于进一步明确“</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须知”正文中的未尽事宜，采购人或采购代理机构在编制采购文件时，应根据采购项目实际需要，对于需要修改和补充的内容在</w:t>
      </w:r>
      <w:r>
        <w:rPr>
          <w:rFonts w:hint="eastAsia" w:ascii="宋体" w:hAnsi="宋体" w:eastAsia="宋体" w:cs="宋体"/>
          <w:i w:val="0"/>
          <w:iCs w:val="0"/>
          <w:color w:val="auto"/>
          <w:sz w:val="32"/>
          <w:szCs w:val="32"/>
          <w:highlight w:val="none"/>
          <w:lang w:val="en-US" w:eastAsia="zh-CN"/>
        </w:rPr>
        <w:t>前附</w:t>
      </w:r>
      <w:r>
        <w:rPr>
          <w:rFonts w:hint="eastAsia" w:ascii="宋体" w:hAnsi="宋体" w:eastAsia="宋体" w:cs="宋体"/>
          <w:i w:val="0"/>
          <w:iCs w:val="0"/>
          <w:color w:val="auto"/>
          <w:sz w:val="32"/>
          <w:szCs w:val="32"/>
          <w:highlight w:val="none"/>
        </w:rPr>
        <w:t>表中选择和补充列明。“</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须知前附表”与“</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须知”正文内容不一致的，以“</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须知前附表”为准。</w:t>
      </w:r>
    </w:p>
    <w:p w14:paraId="1DBB5BFC">
      <w:pPr>
        <w:pStyle w:val="37"/>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lang w:val="en-US" w:eastAsia="zh-CN"/>
        </w:rPr>
        <w:t>2.</w:t>
      </w:r>
      <w:r>
        <w:rPr>
          <w:rFonts w:hint="eastAsia" w:ascii="宋体" w:hAnsi="宋体" w:eastAsia="宋体" w:cs="宋体"/>
          <w:i w:val="0"/>
          <w:iCs w:val="0"/>
          <w:color w:val="auto"/>
          <w:sz w:val="32"/>
          <w:szCs w:val="32"/>
          <w:highlight w:val="none"/>
        </w:rPr>
        <w:t>为避免采购文件编制过程中出现的相同内容在文件中前后不一致等错误，采购文件尽量做到相同内容只出现一次，其他章节涉及有关内容的，以标明条款号引用的方式体现。</w:t>
      </w:r>
    </w:p>
    <w:p w14:paraId="6B5BC743">
      <w:pPr>
        <w:pStyle w:val="37"/>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lang w:val="en-US" w:eastAsia="zh-CN"/>
        </w:rPr>
        <w:t>3.《示范文本》第二章中“供应商须知前附表”所列条款号与“供应商须知正文”的序号一一对应。</w:t>
      </w:r>
      <w:r>
        <w:rPr>
          <w:rFonts w:hint="eastAsia" w:ascii="宋体" w:hAnsi="宋体" w:eastAsia="宋体" w:cs="宋体"/>
          <w:i w:val="0"/>
          <w:iCs w:val="0"/>
          <w:color w:val="auto"/>
          <w:sz w:val="32"/>
          <w:szCs w:val="32"/>
          <w:highlight w:val="none"/>
        </w:rPr>
        <w:t xml:space="preserve">  </w:t>
      </w:r>
    </w:p>
    <w:p w14:paraId="28C4DD3D">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五、采购需求</w:t>
      </w:r>
    </w:p>
    <w:p w14:paraId="2819F400">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《示范文本》在第三章“</w:t>
      </w:r>
      <w:r>
        <w:rPr>
          <w:rFonts w:hint="eastAsia" w:ascii="宋体" w:hAnsi="宋体" w:eastAsia="宋体" w:cs="宋体"/>
          <w:i w:val="0"/>
          <w:iCs w:val="0"/>
          <w:color w:val="auto"/>
          <w:sz w:val="32"/>
          <w:szCs w:val="32"/>
          <w:highlight w:val="none"/>
          <w:lang w:val="en-US" w:eastAsia="zh-CN"/>
        </w:rPr>
        <w:t>项目</w:t>
      </w:r>
      <w:r>
        <w:rPr>
          <w:rFonts w:hint="eastAsia" w:ascii="宋体" w:hAnsi="宋体" w:eastAsia="宋体" w:cs="宋体"/>
          <w:i w:val="0"/>
          <w:iCs w:val="0"/>
          <w:color w:val="auto"/>
          <w:sz w:val="32"/>
          <w:szCs w:val="32"/>
          <w:highlight w:val="none"/>
        </w:rPr>
        <w:t>采购需求”部分列出了需求大纲供采购人或采购代理机构参考。采购清单部分格式应按照采购文件的要求进行编制，以保证结构化数据的统一。同一个采购包中的采购清单，应采用统一的价款形式。</w:t>
      </w:r>
    </w:p>
    <w:p w14:paraId="3AC90DE2">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六、合同文本</w:t>
      </w:r>
    </w:p>
    <w:p w14:paraId="71C8EEBA">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示范文本》中的合同仅用于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6DBAE05F">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rPr>
        <w:t>七、</w:t>
      </w:r>
      <w:r>
        <w:rPr>
          <w:rFonts w:hint="eastAsia" w:ascii="黑体" w:hAnsi="黑体" w:eastAsia="黑体" w:cs="黑体"/>
          <w:b/>
          <w:bCs/>
          <w:i w:val="0"/>
          <w:iCs w:val="0"/>
          <w:color w:val="auto"/>
          <w:sz w:val="32"/>
          <w:szCs w:val="24"/>
          <w:highlight w:val="none"/>
          <w:lang w:val="en-US" w:eastAsia="zh-CN"/>
        </w:rPr>
        <w:t>响应</w:t>
      </w:r>
      <w:r>
        <w:rPr>
          <w:rFonts w:hint="eastAsia" w:ascii="黑体" w:hAnsi="黑体" w:eastAsia="黑体" w:cs="黑体"/>
          <w:b/>
          <w:bCs/>
          <w:i w:val="0"/>
          <w:iCs w:val="0"/>
          <w:color w:val="auto"/>
          <w:sz w:val="32"/>
          <w:szCs w:val="24"/>
          <w:highlight w:val="none"/>
        </w:rPr>
        <w:t>文件格式使用</w:t>
      </w:r>
    </w:p>
    <w:p w14:paraId="05C3478F">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为便于</w:t>
      </w:r>
      <w:r>
        <w:rPr>
          <w:rFonts w:hint="eastAsia" w:ascii="宋体" w:hAnsi="宋体" w:eastAsia="宋体" w:cs="宋体"/>
          <w:i w:val="0"/>
          <w:iCs w:val="0"/>
          <w:color w:val="auto"/>
          <w:sz w:val="32"/>
          <w:szCs w:val="32"/>
          <w:highlight w:val="none"/>
          <w:lang w:val="en-US" w:eastAsia="zh-CN"/>
        </w:rPr>
        <w:t>供应商</w:t>
      </w:r>
      <w:r>
        <w:rPr>
          <w:rFonts w:hint="eastAsia" w:ascii="宋体" w:hAnsi="宋体" w:eastAsia="宋体" w:cs="宋体"/>
          <w:i w:val="0"/>
          <w:iCs w:val="0"/>
          <w:color w:val="auto"/>
          <w:sz w:val="32"/>
          <w:szCs w:val="32"/>
          <w:highlight w:val="none"/>
        </w:rPr>
        <w:t>制作</w:t>
      </w:r>
      <w:r>
        <w:rPr>
          <w:rFonts w:hint="eastAsia" w:ascii="宋体" w:hAnsi="宋体" w:eastAsia="宋体" w:cs="宋体"/>
          <w:i w:val="0"/>
          <w:iCs w:val="0"/>
          <w:color w:val="auto"/>
          <w:sz w:val="32"/>
          <w:szCs w:val="32"/>
          <w:highlight w:val="none"/>
          <w:lang w:val="en-US" w:eastAsia="zh-CN"/>
        </w:rPr>
        <w:t>响应</w:t>
      </w:r>
      <w:r>
        <w:rPr>
          <w:rFonts w:hint="eastAsia" w:ascii="宋体" w:hAnsi="宋体" w:eastAsia="宋体" w:cs="宋体"/>
          <w:i w:val="0"/>
          <w:iCs w:val="0"/>
          <w:color w:val="auto"/>
          <w:sz w:val="32"/>
          <w:szCs w:val="32"/>
          <w:highlight w:val="none"/>
        </w:rPr>
        <w:t>文件，便于</w:t>
      </w:r>
      <w:r>
        <w:rPr>
          <w:rFonts w:hint="eastAsia" w:ascii="宋体" w:hAnsi="宋体" w:eastAsia="宋体" w:cs="宋体"/>
          <w:i w:val="0"/>
          <w:iCs w:val="0"/>
          <w:color w:val="auto"/>
          <w:sz w:val="32"/>
          <w:szCs w:val="32"/>
          <w:highlight w:val="none"/>
          <w:lang w:val="en-US" w:eastAsia="zh-CN"/>
        </w:rPr>
        <w:t>竞争性磋商小组</w:t>
      </w:r>
      <w:r>
        <w:rPr>
          <w:rFonts w:hint="eastAsia" w:ascii="宋体" w:hAnsi="宋体" w:eastAsia="宋体" w:cs="宋体"/>
          <w:i w:val="0"/>
          <w:iCs w:val="0"/>
          <w:color w:val="auto"/>
          <w:sz w:val="32"/>
          <w:szCs w:val="32"/>
          <w:highlight w:val="none"/>
        </w:rPr>
        <w:t>评审时统一标准，《示范文本》对适宜的内容提供了统一的</w:t>
      </w:r>
      <w:r>
        <w:rPr>
          <w:rFonts w:hint="eastAsia" w:ascii="宋体" w:hAnsi="宋体" w:eastAsia="宋体" w:cs="宋体"/>
          <w:i w:val="0"/>
          <w:iCs w:val="0"/>
          <w:color w:val="auto"/>
          <w:sz w:val="32"/>
          <w:szCs w:val="32"/>
          <w:highlight w:val="none"/>
          <w:lang w:val="en-US" w:eastAsia="zh-CN"/>
        </w:rPr>
        <w:t>响应</w:t>
      </w:r>
      <w:r>
        <w:rPr>
          <w:rFonts w:hint="eastAsia" w:ascii="宋体" w:hAnsi="宋体" w:eastAsia="宋体" w:cs="宋体"/>
          <w:i w:val="0"/>
          <w:iCs w:val="0"/>
          <w:color w:val="auto"/>
          <w:sz w:val="32"/>
          <w:szCs w:val="32"/>
          <w:highlight w:val="none"/>
        </w:rPr>
        <w:t>文件参考格式。</w:t>
      </w:r>
    </w:p>
    <w:p w14:paraId="76723794">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i w:val="0"/>
          <w:iCs w:val="0"/>
          <w:color w:val="auto"/>
          <w:sz w:val="32"/>
          <w:szCs w:val="24"/>
          <w:highlight w:val="none"/>
        </w:rPr>
      </w:pPr>
      <w:r>
        <w:rPr>
          <w:rFonts w:hint="eastAsia" w:ascii="黑体" w:hAnsi="黑体" w:eastAsia="黑体" w:cs="黑体"/>
          <w:b/>
          <w:bCs/>
          <w:i w:val="0"/>
          <w:iCs w:val="0"/>
          <w:color w:val="auto"/>
          <w:sz w:val="32"/>
          <w:szCs w:val="24"/>
          <w:highlight w:val="none"/>
          <w:lang w:val="en-US" w:eastAsia="zh-CN"/>
        </w:rPr>
        <w:t>八</w:t>
      </w:r>
      <w:r>
        <w:rPr>
          <w:rFonts w:hint="eastAsia" w:ascii="黑体" w:hAnsi="黑体" w:eastAsia="黑体" w:cs="黑体"/>
          <w:b/>
          <w:bCs/>
          <w:i w:val="0"/>
          <w:iCs w:val="0"/>
          <w:color w:val="auto"/>
          <w:sz w:val="32"/>
          <w:szCs w:val="24"/>
          <w:highlight w:val="none"/>
        </w:rPr>
        <w:t>、实施及修改</w:t>
      </w:r>
    </w:p>
    <w:p w14:paraId="33D6F61C">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各级预算单位、采购代理机构认真组织好《示范文本》的推广使用。</w:t>
      </w:r>
      <w:r>
        <w:rPr>
          <w:rFonts w:hint="eastAsia" w:ascii="宋体" w:hAnsi="宋体" w:eastAsia="宋体" w:cs="宋体"/>
          <w:i w:val="0"/>
          <w:iCs w:val="0"/>
          <w:color w:val="auto"/>
          <w:sz w:val="32"/>
          <w:szCs w:val="32"/>
          <w:highlight w:val="none"/>
          <w:lang w:val="en-US" w:eastAsia="zh-CN"/>
        </w:rPr>
        <w:t>兵团</w:t>
      </w:r>
      <w:r>
        <w:rPr>
          <w:rFonts w:hint="eastAsia" w:ascii="宋体" w:hAnsi="宋体" w:eastAsia="宋体" w:cs="宋体"/>
          <w:i w:val="0"/>
          <w:iCs w:val="0"/>
          <w:color w:val="auto"/>
          <w:sz w:val="32"/>
          <w:szCs w:val="32"/>
          <w:highlight w:val="none"/>
        </w:rPr>
        <w:t>财政</w:t>
      </w:r>
      <w:r>
        <w:rPr>
          <w:rFonts w:hint="eastAsia" w:ascii="宋体" w:hAnsi="宋体" w:eastAsia="宋体" w:cs="宋体"/>
          <w:i w:val="0"/>
          <w:iCs w:val="0"/>
          <w:color w:val="auto"/>
          <w:sz w:val="32"/>
          <w:szCs w:val="32"/>
          <w:highlight w:val="none"/>
          <w:lang w:val="en-US" w:eastAsia="zh-CN"/>
        </w:rPr>
        <w:t>局</w:t>
      </w:r>
      <w:r>
        <w:rPr>
          <w:rFonts w:hint="eastAsia" w:ascii="宋体" w:hAnsi="宋体" w:eastAsia="宋体" w:cs="宋体"/>
          <w:i w:val="0"/>
          <w:iCs w:val="0"/>
          <w:color w:val="auto"/>
          <w:sz w:val="32"/>
          <w:szCs w:val="32"/>
          <w:highlight w:val="none"/>
        </w:rPr>
        <w:t>根据</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rPr>
        <w:t>政府采购法</w:t>
      </w:r>
      <w:r>
        <w:rPr>
          <w:rFonts w:hint="eastAsia" w:ascii="宋体" w:hAnsi="宋体" w:eastAsia="宋体" w:cs="宋体"/>
          <w:i w:val="0"/>
          <w:iCs w:val="0"/>
          <w:color w:val="auto"/>
          <w:sz w:val="32"/>
          <w:szCs w:val="32"/>
          <w:highlight w:val="none"/>
          <w:lang w:eastAsia="zh-CN"/>
        </w:rPr>
        <w:t>》修法及相关法</w:t>
      </w:r>
      <w:r>
        <w:rPr>
          <w:rFonts w:hint="eastAsia" w:ascii="宋体" w:hAnsi="宋体" w:eastAsia="宋体" w:cs="宋体"/>
          <w:i w:val="0"/>
          <w:iCs w:val="0"/>
          <w:color w:val="auto"/>
          <w:sz w:val="32"/>
          <w:szCs w:val="32"/>
          <w:highlight w:val="none"/>
        </w:rPr>
        <w:t>律法规</w:t>
      </w:r>
      <w:r>
        <w:rPr>
          <w:rFonts w:hint="eastAsia" w:ascii="宋体" w:hAnsi="宋体" w:eastAsia="宋体" w:cs="宋体"/>
          <w:i w:val="0"/>
          <w:iCs w:val="0"/>
          <w:color w:val="auto"/>
          <w:sz w:val="32"/>
          <w:szCs w:val="32"/>
          <w:highlight w:val="none"/>
          <w:lang w:eastAsia="zh-CN"/>
        </w:rPr>
        <w:t>修订</w:t>
      </w:r>
      <w:r>
        <w:rPr>
          <w:rFonts w:hint="eastAsia" w:ascii="宋体" w:hAnsi="宋体" w:eastAsia="宋体" w:cs="宋体"/>
          <w:i w:val="0"/>
          <w:iCs w:val="0"/>
          <w:color w:val="auto"/>
          <w:sz w:val="32"/>
          <w:szCs w:val="32"/>
          <w:highlight w:val="none"/>
        </w:rPr>
        <w:t>情况</w:t>
      </w:r>
      <w:r>
        <w:rPr>
          <w:rFonts w:hint="eastAsia" w:ascii="宋体" w:hAnsi="宋体" w:eastAsia="宋体" w:cs="宋体"/>
          <w:i w:val="0"/>
          <w:iCs w:val="0"/>
          <w:color w:val="auto"/>
          <w:sz w:val="32"/>
          <w:szCs w:val="32"/>
          <w:highlight w:val="none"/>
          <w:lang w:eastAsia="zh-CN"/>
        </w:rPr>
        <w:t>及时</w:t>
      </w:r>
      <w:r>
        <w:rPr>
          <w:rFonts w:hint="eastAsia" w:ascii="宋体" w:hAnsi="宋体" w:eastAsia="宋体" w:cs="宋体"/>
          <w:i w:val="0"/>
          <w:iCs w:val="0"/>
          <w:color w:val="auto"/>
          <w:sz w:val="32"/>
          <w:szCs w:val="32"/>
          <w:highlight w:val="none"/>
        </w:rPr>
        <w:t>对《示范文本》进行</w:t>
      </w:r>
      <w:r>
        <w:rPr>
          <w:rFonts w:hint="eastAsia" w:ascii="宋体" w:hAnsi="宋体" w:eastAsia="宋体" w:cs="宋体"/>
          <w:i w:val="0"/>
          <w:iCs w:val="0"/>
          <w:color w:val="auto"/>
          <w:sz w:val="32"/>
          <w:szCs w:val="32"/>
          <w:highlight w:val="none"/>
          <w:lang w:eastAsia="zh-CN"/>
        </w:rPr>
        <w:t>调整、</w:t>
      </w:r>
      <w:r>
        <w:rPr>
          <w:rFonts w:hint="eastAsia" w:ascii="宋体" w:hAnsi="宋体" w:eastAsia="宋体" w:cs="宋体"/>
          <w:i w:val="0"/>
          <w:iCs w:val="0"/>
          <w:color w:val="auto"/>
          <w:sz w:val="32"/>
          <w:szCs w:val="32"/>
          <w:highlight w:val="none"/>
        </w:rPr>
        <w:t>完善。</w:t>
      </w:r>
    </w:p>
    <w:p w14:paraId="34DEE96E">
      <w:pPr>
        <w:pStyle w:val="37"/>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采购人或代理机构可结合具体项目特点，依法对采购文件进行适当</w:t>
      </w:r>
      <w:r>
        <w:rPr>
          <w:rFonts w:hint="eastAsia" w:ascii="宋体" w:hAnsi="宋体" w:eastAsia="宋体" w:cs="宋体"/>
          <w:i w:val="0"/>
          <w:iCs w:val="0"/>
          <w:color w:val="auto"/>
          <w:sz w:val="32"/>
          <w:szCs w:val="32"/>
          <w:highlight w:val="none"/>
          <w:lang w:eastAsia="zh-CN"/>
        </w:rPr>
        <w:t>合理</w:t>
      </w:r>
      <w:r>
        <w:rPr>
          <w:rFonts w:hint="eastAsia" w:ascii="宋体" w:hAnsi="宋体" w:eastAsia="宋体" w:cs="宋体"/>
          <w:i w:val="0"/>
          <w:iCs w:val="0"/>
          <w:color w:val="auto"/>
          <w:sz w:val="32"/>
          <w:szCs w:val="32"/>
          <w:highlight w:val="none"/>
        </w:rPr>
        <w:t>调整。</w:t>
      </w:r>
    </w:p>
    <w:p w14:paraId="3B7B1BF2">
      <w:pPr>
        <w:pStyle w:val="37"/>
        <w:ind w:firstLine="640"/>
        <w:rPr>
          <w:rFonts w:hint="eastAsia" w:ascii="宋体" w:hAnsi="宋体" w:eastAsia="宋体" w:cs="宋体"/>
          <w:i w:val="0"/>
          <w:iCs w:val="0"/>
          <w:color w:val="auto"/>
          <w:sz w:val="32"/>
          <w:szCs w:val="32"/>
          <w:highlight w:val="none"/>
        </w:rPr>
      </w:pPr>
    </w:p>
    <w:p w14:paraId="4B2FB4FD">
      <w:pPr>
        <w:rPr>
          <w:rFonts w:hint="eastAsia" w:ascii="宋体" w:hAnsi="宋体" w:eastAsia="宋体" w:cs="宋体"/>
          <w:i w:val="0"/>
          <w:iCs w:val="0"/>
          <w:color w:val="auto"/>
          <w:sz w:val="32"/>
          <w:szCs w:val="32"/>
          <w:highlight w:val="none"/>
        </w:rPr>
        <w:sectPr>
          <w:footerReference r:id="rId6" w:type="first"/>
          <w:footerReference r:id="rId5" w:type="default"/>
          <w:pgSz w:w="11906" w:h="16838"/>
          <w:pgMar w:top="1440" w:right="1800" w:bottom="1440" w:left="1800" w:header="851" w:footer="992" w:gutter="0"/>
          <w:pgNumType w:fmt="decimal"/>
          <w:cols w:space="425" w:num="1"/>
          <w:docGrid w:type="lines" w:linePitch="312" w:charSpace="0"/>
        </w:sectPr>
      </w:pPr>
    </w:p>
    <w:p w14:paraId="355D0F0F">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 xml:space="preserve">目 </w:t>
      </w:r>
      <w:r>
        <w:rPr>
          <w:rFonts w:hint="eastAsia" w:ascii="宋体" w:hAnsi="宋体" w:eastAsia="宋体" w:cs="宋体"/>
          <w:b/>
          <w:bCs/>
          <w:i w:val="0"/>
          <w:iCs w:val="0"/>
          <w:color w:val="auto"/>
          <w:sz w:val="36"/>
          <w:szCs w:val="36"/>
          <w:highlight w:val="none"/>
          <w:lang w:val="en-US" w:eastAsia="zh-CN"/>
        </w:rPr>
        <w:t xml:space="preserve"> </w:t>
      </w:r>
      <w:r>
        <w:rPr>
          <w:rFonts w:hint="eastAsia" w:ascii="宋体" w:hAnsi="宋体" w:eastAsia="宋体" w:cs="宋体"/>
          <w:b/>
          <w:bCs/>
          <w:i w:val="0"/>
          <w:iCs w:val="0"/>
          <w:color w:val="auto"/>
          <w:sz w:val="36"/>
          <w:szCs w:val="36"/>
          <w:highlight w:val="none"/>
        </w:rPr>
        <w:t>录</w:t>
      </w:r>
    </w:p>
    <w:p w14:paraId="2F4E0621">
      <w:pPr>
        <w:jc w:val="center"/>
        <w:rPr>
          <w:rFonts w:hint="eastAsia" w:ascii="宋体" w:hAnsi="宋体" w:eastAsia="宋体" w:cs="宋体"/>
          <w:b/>
          <w:bCs/>
          <w:i w:val="0"/>
          <w:iCs w:val="0"/>
          <w:color w:val="auto"/>
          <w:sz w:val="36"/>
          <w:szCs w:val="36"/>
          <w:highlight w:val="none"/>
        </w:rPr>
      </w:pPr>
    </w:p>
    <w:p w14:paraId="3BAA490C">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_Toc16828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9A5B80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_Toc13157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_Toc13157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5205FDC">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二、申请人的</w:t>
      </w:r>
      <w:r>
        <w:rPr>
          <w:rFonts w:hint="eastAsia" w:ascii="宋体" w:hAnsi="宋体" w:eastAsia="宋体" w:cs="宋体"/>
          <w:bCs/>
          <w:i w:val="0"/>
          <w:iCs w:val="0"/>
          <w:color w:val="auto"/>
          <w:kern w:val="2"/>
          <w:sz w:val="24"/>
          <w:szCs w:val="24"/>
          <w:highlight w:val="none"/>
          <w:lang w:val="hr-HR" w:eastAsia="zh-CN" w:bidi="ar-SA"/>
        </w:rPr>
        <w:t>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A1848C2">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_Toc27103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三、</w:t>
      </w:r>
      <w:r>
        <w:rPr>
          <w:rFonts w:hint="eastAsia" w:ascii="宋体" w:hAnsi="宋体" w:eastAsia="宋体" w:cs="宋体"/>
          <w:bCs/>
          <w:i w:val="0"/>
          <w:iCs w:val="0"/>
          <w:color w:val="auto"/>
          <w:kern w:val="2"/>
          <w:sz w:val="24"/>
          <w:szCs w:val="24"/>
          <w:highlight w:val="none"/>
          <w:lang w:val="hr-HR" w:eastAsia="zh-CN" w:bidi="ar-SA"/>
        </w:rPr>
        <w:t>获取</w:t>
      </w:r>
      <w:r>
        <w:rPr>
          <w:rFonts w:hint="eastAsia" w:ascii="宋体" w:hAnsi="宋体" w:eastAsia="宋体" w:cs="宋体"/>
          <w:bCs/>
          <w:i w:val="0"/>
          <w:iCs w:val="0"/>
          <w:color w:val="auto"/>
          <w:kern w:val="2"/>
          <w:sz w:val="24"/>
          <w:szCs w:val="24"/>
          <w:highlight w:val="none"/>
          <w:lang w:val="en-US" w:eastAsia="zh-CN" w:bidi="ar-SA"/>
        </w:rPr>
        <w:t>采购</w:t>
      </w:r>
      <w:r>
        <w:rPr>
          <w:rFonts w:hint="eastAsia" w:ascii="宋体" w:hAnsi="宋体" w:eastAsia="宋体" w:cs="宋体"/>
          <w:bCs/>
          <w:i w:val="0"/>
          <w:iCs w:val="0"/>
          <w:color w:val="auto"/>
          <w:kern w:val="2"/>
          <w:sz w:val="24"/>
          <w:szCs w:val="24"/>
          <w:highlight w:val="none"/>
          <w:lang w:val="hr-HR" w:eastAsia="zh-CN" w:bidi="ar-SA"/>
        </w:rPr>
        <w:t>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5E01CF9">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_Toc15226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spacing w:val="-6"/>
          <w:kern w:val="2"/>
          <w:sz w:val="24"/>
          <w:szCs w:val="24"/>
          <w:highlight w:val="none"/>
          <w:lang w:val="hr-HR" w:eastAsia="zh-CN" w:bidi="ar-SA"/>
        </w:rPr>
        <w:t>响应文件提交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EBBFBE5">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_Toc24119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五、开启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_Toc24119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D047F78">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_Toc9733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六、</w:t>
      </w:r>
      <w:r>
        <w:rPr>
          <w:rFonts w:hint="eastAsia" w:ascii="宋体" w:hAnsi="宋体" w:eastAsia="宋体" w:cs="宋体"/>
          <w:bCs/>
          <w:i w:val="0"/>
          <w:iCs w:val="0"/>
          <w:color w:val="auto"/>
          <w:kern w:val="2"/>
          <w:sz w:val="24"/>
          <w:szCs w:val="24"/>
          <w:highlight w:val="none"/>
          <w:lang w:val="hr-HR" w:eastAsia="zh-CN" w:bidi="ar-SA"/>
        </w:rPr>
        <w:t>公告期限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_Toc9733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E88F9B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_Toc6777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hr-HR" w:eastAsia="zh-CN"/>
        </w:rPr>
        <w:t>七、其他补充事宜</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97EC753">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_Toc1462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八、</w:t>
      </w:r>
      <w:r>
        <w:rPr>
          <w:rFonts w:hint="eastAsia" w:ascii="宋体" w:hAnsi="宋体" w:eastAsia="宋体" w:cs="宋体"/>
          <w:bCs/>
          <w:i w:val="0"/>
          <w:iCs w:val="0"/>
          <w:color w:val="auto"/>
          <w:kern w:val="2"/>
          <w:sz w:val="24"/>
          <w:szCs w:val="24"/>
          <w:highlight w:val="none"/>
          <w:lang w:val="hr-HR" w:eastAsia="zh-CN" w:bidi="ar-SA"/>
        </w:rPr>
        <w:t>凡对本次采购提出询问，请按以下方式联系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5861D4C">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_Toc9638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94DC29D">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_Toc11918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一、供应商须知前附表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3A4FB61">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_Toc28828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二、供应商须知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1AA7969">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第三章 项目采购需求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15F70EC">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_Toc27698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一、工程概况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CC82329">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_Toc21672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二、工程内容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A7497A6">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_Toc27746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三、商务要求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21EA146">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_Toc32724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四、其他要求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_Toc32724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4BE9FAD">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EBF77FB">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_Toc21090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第四章 评审方法及标准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3A1FF05">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_Toc18136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554A1B3">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评审程序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AF51111">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_Toc20411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eastAsia="zh-CN"/>
        </w:rPr>
        <w:t>评审</w:t>
      </w:r>
      <w:r>
        <w:rPr>
          <w:rFonts w:hint="eastAsia" w:ascii="宋体" w:hAnsi="宋体" w:eastAsia="宋体" w:cs="宋体"/>
          <w:color w:val="auto"/>
          <w:sz w:val="24"/>
          <w:szCs w:val="24"/>
          <w:highlight w:val="none"/>
          <w:lang w:val="en-US" w:eastAsia="zh-CN"/>
        </w:rPr>
        <w:t>其他要求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D749A4A">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_Toc27919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eastAsia="zh-CN"/>
        </w:rPr>
        <w:t>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_Toc27919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7178108">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_Toc17336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第五章 </w:t>
      </w:r>
      <w:r>
        <w:rPr>
          <w:rFonts w:hint="eastAsia" w:ascii="宋体" w:hAnsi="宋体" w:eastAsia="宋体" w:cs="宋体"/>
          <w:bCs/>
          <w:color w:val="auto"/>
          <w:kern w:val="44"/>
          <w:sz w:val="24"/>
          <w:szCs w:val="24"/>
          <w:highlight w:val="none"/>
          <w:lang w:val="zh-CN" w:eastAsia="zh-CN" w:bidi="ar-SA"/>
        </w:rPr>
        <w:t>合同草案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_Toc17336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1DC2FCC">
      <w:pPr>
        <w:pStyle w:val="2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_Toc32390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第六章 </w:t>
      </w:r>
      <w:r>
        <w:rPr>
          <w:rFonts w:hint="eastAsia" w:ascii="宋体" w:hAnsi="宋体" w:eastAsia="宋体" w:cs="宋体"/>
          <w:color w:val="auto"/>
          <w:sz w:val="24"/>
          <w:szCs w:val="24"/>
          <w:highlight w:val="none"/>
        </w:rPr>
        <w:t>响应文件的格式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4D90AC3">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_Toc10901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_Toc13537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rPr>
        <w:t>资格证明文件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_Toc13537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173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end"/>
      </w:r>
    </w:p>
    <w:p w14:paraId="693833D7">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_Toc29826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一、满足《中华人民共和国政府采购法》第二十二条规定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40A91F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238"/>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_Toc10865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二、</w:t>
      </w:r>
      <w:r>
        <w:rPr>
          <w:rFonts w:hint="eastAsia" w:ascii="宋体" w:hAnsi="宋体" w:eastAsia="宋体" w:cs="宋体"/>
          <w:bCs/>
          <w:color w:val="auto"/>
          <w:kern w:val="2"/>
          <w:sz w:val="24"/>
          <w:szCs w:val="24"/>
          <w:highlight w:val="none"/>
          <w:lang w:val="zh-CN" w:eastAsia="zh-CN" w:bidi="ar-SA"/>
        </w:rPr>
        <w:t>联合体协议书</w:t>
      </w:r>
      <w:r>
        <w:rPr>
          <w:rFonts w:hint="eastAsia" w:ascii="宋体" w:hAnsi="宋体" w:eastAsia="宋体" w:cs="宋体"/>
          <w:bCs w:val="0"/>
          <w:color w:val="auto"/>
          <w:kern w:val="2"/>
          <w:sz w:val="24"/>
          <w:szCs w:val="24"/>
          <w:highlight w:val="none"/>
          <w:lang w:val="zh-CN" w:eastAsia="zh-CN" w:bidi="ar-SA"/>
        </w:rPr>
        <w:t>【如适用】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_Toc10865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BB496F1">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_Toc29707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三、</w:t>
      </w:r>
      <w:r>
        <w:rPr>
          <w:rFonts w:hint="eastAsia" w:ascii="宋体" w:hAnsi="宋体" w:eastAsia="宋体" w:cs="宋体"/>
          <w:bCs/>
          <w:color w:val="auto"/>
          <w:kern w:val="2"/>
          <w:sz w:val="24"/>
          <w:szCs w:val="24"/>
          <w:highlight w:val="none"/>
          <w:lang w:val="zh-CN" w:eastAsia="zh-CN" w:bidi="ar-SA"/>
        </w:rPr>
        <w:t>分包意向协议书</w:t>
      </w:r>
      <w:r>
        <w:rPr>
          <w:rFonts w:hint="eastAsia" w:ascii="宋体" w:hAnsi="宋体" w:eastAsia="宋体" w:cs="宋体"/>
          <w:bCs w:val="0"/>
          <w:color w:val="auto"/>
          <w:kern w:val="2"/>
          <w:sz w:val="24"/>
          <w:szCs w:val="24"/>
          <w:highlight w:val="none"/>
          <w:lang w:val="zh-CN" w:eastAsia="zh-CN" w:bidi="ar-SA"/>
        </w:rPr>
        <w:t>【如适用】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E43FEF3">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_Toc2629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四、落实政府采购政策相关证明文件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AAA4CC7">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_Toc24243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五、不参与围标串标承诺书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23C94C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_Toc24243 </w:instrText>
      </w:r>
      <w:r>
        <w:rPr>
          <w:rFonts w:hint="eastAsia" w:ascii="宋体" w:hAnsi="宋体" w:eastAsia="宋体" w:cs="宋体"/>
          <w:i w:val="0"/>
          <w:iCs w:val="0"/>
          <w:color w:val="auto"/>
          <w:sz w:val="24"/>
          <w:szCs w:val="24"/>
          <w:highlight w:val="none"/>
        </w:rPr>
        <w:fldChar w:fldCharType="separate"/>
      </w:r>
      <w:r>
        <w:rPr>
          <w:rFonts w:hint="eastAsia" w:ascii="宋体" w:eastAsia="宋体" w:cs="宋体"/>
          <w:i w:val="0"/>
          <w:iCs w:val="0"/>
          <w:color w:val="auto"/>
          <w:sz w:val="24"/>
          <w:szCs w:val="24"/>
          <w:highlight w:val="none"/>
          <w:lang w:val="en-US" w:eastAsia="zh-CN"/>
        </w:rPr>
        <w:t>六</w:t>
      </w:r>
      <w:r>
        <w:rPr>
          <w:rFonts w:hint="eastAsia" w:ascii="宋体" w:hAnsi="宋体" w:eastAsia="宋体" w:cs="宋体"/>
          <w:bCs/>
          <w:color w:val="auto"/>
          <w:kern w:val="2"/>
          <w:sz w:val="24"/>
          <w:szCs w:val="24"/>
          <w:highlight w:val="none"/>
          <w:lang w:val="en-US" w:eastAsia="zh-CN" w:bidi="ar-SA"/>
        </w:rPr>
        <w:t>、保密承诺书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C54E5AD">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_Toc25539 </w:instrText>
      </w:r>
      <w:r>
        <w:rPr>
          <w:rFonts w:hint="eastAsia" w:ascii="宋体" w:hAnsi="宋体" w:eastAsia="宋体" w:cs="宋体"/>
          <w:i w:val="0"/>
          <w:iCs w:val="0"/>
          <w:color w:val="auto"/>
          <w:sz w:val="24"/>
          <w:szCs w:val="24"/>
          <w:highlight w:val="none"/>
        </w:rPr>
        <w:fldChar w:fldCharType="separate"/>
      </w:r>
      <w:r>
        <w:rPr>
          <w:rFonts w:hint="eastAsia" w:ascii="宋体" w:eastAsia="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zh-CN" w:eastAsia="zh-CN" w:bidi="ar-SA"/>
        </w:rPr>
        <w:t>其他资格证明文件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_Toc25539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42698B4">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_Toc24322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报价文件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_Toc24322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197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end"/>
      </w:r>
    </w:p>
    <w:p w14:paraId="3BF1E551">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_Toc15140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一、报价一览表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45B9C89">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二、已标价工程量清单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_Toc15952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289832D">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_Toc13188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color w:val="auto"/>
          <w:sz w:val="24"/>
          <w:szCs w:val="24"/>
          <w:highlight w:val="none"/>
        </w:rPr>
        <w:instrText xml:space="preserve"> HYPERLINK \l _Toc18288 </w:instrText>
      </w:r>
      <w:r>
        <w:rPr>
          <w:rFonts w:hint="eastAsia" w:ascii="宋体" w:hAnsi="宋体" w:eastAsia="宋体" w:cs="宋体"/>
          <w:b/>
          <w:bCs/>
          <w:i w:val="0"/>
          <w:iCs w:val="0"/>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商务技术文件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_Toc18288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200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end"/>
      </w:r>
    </w:p>
    <w:p w14:paraId="796947D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_Toc8710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一、响应函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AFBEF3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_Toc15463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二、法定代表人（单位负责人）身份证明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768B639">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_Toc26442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三、授权委托书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2DAABA8">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_Toc20288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kern w:val="2"/>
          <w:sz w:val="24"/>
          <w:szCs w:val="24"/>
          <w:highlight w:val="none"/>
          <w:lang w:val="zh-CN" w:eastAsia="zh-CN" w:bidi="ar-SA"/>
        </w:rPr>
        <w:t>政府采购供应商廉洁自律承诺书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64C0D30">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五、实质性响应一览表</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本表须与第四章的一致】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D3A09A4">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_Toc16585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六、商务响应偏离表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00568AC">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_Toc21605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七、业绩证明文件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A263153">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_Toc27235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八、拟派项目团队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_Toc27235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BE8CDA9">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_Toc11494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九、技术响应偏离表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C0488CF">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十、技术方案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10280DB">
      <w:pPr>
        <w:pStyle w:val="2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_Toc26060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十一、其他文件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_Toc26060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r>
        <w:rPr>
          <w:i w:val="0"/>
          <w:iCs w:val="0"/>
          <w:color w:val="auto"/>
          <w:highlight w:val="none"/>
        </w:rPr>
        <w:fldChar w:fldCharType="end"/>
      </w:r>
    </w:p>
    <w:p w14:paraId="543C5EE0">
      <w:pPr>
        <w:outlineLvl w:val="1"/>
        <w:rPr>
          <w:rFonts w:ascii="黑体" w:hAnsi="黑体" w:eastAsia="黑体"/>
          <w:i w:val="0"/>
          <w:iCs w:val="0"/>
          <w:color w:val="auto"/>
          <w:sz w:val="32"/>
          <w:szCs w:val="32"/>
          <w:highlight w:val="none"/>
        </w:rPr>
      </w:pPr>
    </w:p>
    <w:p w14:paraId="281C2E4C">
      <w:pPr>
        <w:jc w:val="center"/>
        <w:outlineLvl w:val="1"/>
        <w:rPr>
          <w:rFonts w:ascii="黑体" w:hAnsi="黑体" w:eastAsia="黑体"/>
          <w:i w:val="0"/>
          <w:iCs w:val="0"/>
          <w:color w:val="auto"/>
          <w:sz w:val="32"/>
          <w:szCs w:val="32"/>
          <w:highlight w:val="none"/>
        </w:rPr>
        <w:sectPr>
          <w:headerReference r:id="rId7" w:type="default"/>
          <w:pgSz w:w="11906" w:h="16838"/>
          <w:pgMar w:top="1440" w:right="1800" w:bottom="1440" w:left="1800" w:header="851" w:footer="992" w:gutter="0"/>
          <w:pgNumType w:fmt="decimal"/>
          <w:cols w:space="425" w:num="1"/>
          <w:docGrid w:type="lines" w:linePitch="312" w:charSpace="0"/>
        </w:sectPr>
      </w:pPr>
    </w:p>
    <w:p w14:paraId="0DDCC6E5">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0" w:name="_Toc16828"/>
      <w:r>
        <w:rPr>
          <w:rFonts w:hint="eastAsia" w:ascii="宋体" w:hAnsi="宋体" w:eastAsia="宋体" w:cs="宋体"/>
          <w:b/>
          <w:bCs/>
          <w:i w:val="0"/>
          <w:iCs w:val="0"/>
          <w:color w:val="auto"/>
          <w:kern w:val="44"/>
          <w:sz w:val="36"/>
          <w:szCs w:val="36"/>
          <w:highlight w:val="none"/>
          <w:lang w:val="en-US" w:eastAsia="zh-CN" w:bidi="ar-SA"/>
        </w:rPr>
        <w:t>第一章 竞争性磋商公告</w:t>
      </w:r>
      <w:bookmarkEnd w:id="0"/>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770E7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i w:val="0"/>
                <w:iCs w:val="0"/>
                <w:color w:val="auto"/>
                <w:sz w:val="24"/>
                <w:szCs w:val="24"/>
                <w:highlight w:val="none"/>
                <w:lang w:val="en-US" w:eastAsia="zh-CN"/>
              </w:rPr>
            </w:pPr>
            <w:bookmarkStart w:id="1" w:name="_Toc7623"/>
            <w:bookmarkStart w:id="2" w:name="_Toc109900248"/>
            <w:bookmarkStart w:id="3" w:name="_Toc28359012"/>
            <w:bookmarkStart w:id="4" w:name="_Toc109899410"/>
            <w:bookmarkStart w:id="5" w:name="_Toc163492812"/>
            <w:bookmarkStart w:id="6" w:name="_Toc35393798"/>
            <w:bookmarkStart w:id="7" w:name="_Toc109899829"/>
            <w:bookmarkStart w:id="8" w:name="_Toc44583628"/>
            <w:bookmarkStart w:id="9" w:name="_Toc155185860"/>
            <w:bookmarkStart w:id="10" w:name="_Toc140132745"/>
            <w:bookmarkStart w:id="11" w:name="_Toc28359089"/>
            <w:bookmarkStart w:id="12" w:name="_Toc35393629"/>
            <w:r>
              <w:rPr>
                <w:rFonts w:hint="eastAsia"/>
                <w:i w:val="0"/>
                <w:iCs w:val="0"/>
                <w:color w:val="auto"/>
                <w:sz w:val="24"/>
                <w:szCs w:val="24"/>
                <w:highlight w:val="none"/>
                <w:lang w:val="en-US" w:eastAsia="zh-CN"/>
              </w:rPr>
              <w:t>项目概况：</w:t>
            </w:r>
            <w:bookmarkEnd w:id="1"/>
          </w:p>
          <w:p w14:paraId="012A79A2">
            <w:pPr>
              <w:ind w:firstLine="480" w:firstLineChars="200"/>
              <w:rPr>
                <w:rFonts w:hint="default"/>
                <w:i w:val="0"/>
                <w:iCs w:val="0"/>
                <w:color w:val="auto"/>
                <w:highlight w:val="none"/>
                <w:lang w:val="en-US" w:eastAsia="zh-CN"/>
              </w:rPr>
            </w:pPr>
            <w:r>
              <w:rPr>
                <w:rFonts w:hint="eastAsia" w:cstheme="minorBidi"/>
                <w:i w:val="0"/>
                <w:iCs w:val="0"/>
                <w:color w:val="auto"/>
                <w:kern w:val="2"/>
                <w:sz w:val="24"/>
                <w:szCs w:val="24"/>
                <w:highlight w:val="none"/>
                <w:u w:val="single"/>
                <w:shd w:val="clear" w:color="auto" w:fill="FFFFFF" w:themeFill="background1"/>
                <w:lang w:val="hr-HR" w:eastAsia="zh-CN" w:bidi="ar-SA"/>
              </w:rPr>
              <w:t>某单位安防设施设备更新及线路改造项目</w:t>
            </w: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default" w:ascii="宋体" w:hAnsi="宋体" w:eastAsia="宋体" w:cstheme="minorBidi"/>
                <w:i w:val="0"/>
                <w:iCs w:val="0"/>
                <w:color w:val="auto"/>
                <w:kern w:val="2"/>
                <w:sz w:val="24"/>
                <w:szCs w:val="22"/>
                <w:highlight w:val="none"/>
                <w:u w:val="none"/>
                <w:lang w:val="en-US" w:eastAsia="zh-CN" w:bidi="ar-SA"/>
              </w:rPr>
              <w:t>采购项目的潜在供应商应在</w:t>
            </w:r>
            <w:r>
              <w:rPr>
                <w:rFonts w:hint="default" w:ascii="宋体" w:hAnsi="宋体" w:eastAsia="宋体" w:cstheme="minorBidi"/>
                <w:i w:val="0"/>
                <w:iCs w:val="0"/>
                <w:color w:val="auto"/>
                <w:kern w:val="2"/>
                <w:sz w:val="24"/>
                <w:szCs w:val="22"/>
                <w:highlight w:val="none"/>
                <w:u w:val="single"/>
                <w:lang w:val="en-US" w:eastAsia="zh-CN" w:bidi="ar-SA"/>
              </w:rPr>
              <w:t>政采云平台</w:t>
            </w:r>
            <w:r>
              <w:rPr>
                <w:rFonts w:hint="default" w:ascii="宋体" w:hAnsi="宋体" w:eastAsia="宋体" w:cstheme="minorBidi"/>
                <w:i w:val="0"/>
                <w:iCs w:val="0"/>
                <w:color w:val="auto"/>
                <w:kern w:val="2"/>
                <w:sz w:val="24"/>
                <w:szCs w:val="22"/>
                <w:highlight w:val="none"/>
                <w:u w:val="none"/>
                <w:lang w:val="en-US" w:eastAsia="zh-CN" w:bidi="ar-SA"/>
              </w:rPr>
              <w:t>获取采购文件，并于</w:t>
            </w:r>
            <w:r>
              <w:rPr>
                <w:rFonts w:hint="eastAsia" w:cstheme="minorBidi"/>
                <w:i w:val="0"/>
                <w:iCs w:val="0"/>
                <w:color w:val="auto"/>
                <w:kern w:val="2"/>
                <w:sz w:val="24"/>
                <w:szCs w:val="22"/>
                <w:highlight w:val="none"/>
                <w:u w:val="single"/>
                <w:lang w:val="en-US" w:eastAsia="zh-CN" w:bidi="ar-SA"/>
              </w:rPr>
              <w:t>2025</w:t>
            </w:r>
            <w:r>
              <w:rPr>
                <w:rFonts w:hint="default" w:ascii="宋体" w:hAnsi="宋体" w:eastAsia="宋体" w:cstheme="minorBidi"/>
                <w:i w:val="0"/>
                <w:iCs w:val="0"/>
                <w:color w:val="auto"/>
                <w:kern w:val="2"/>
                <w:sz w:val="24"/>
                <w:szCs w:val="22"/>
                <w:highlight w:val="none"/>
                <w:u w:val="single"/>
                <w:lang w:val="en-US" w:eastAsia="zh-CN" w:bidi="ar-SA"/>
              </w:rPr>
              <w:t>年</w:t>
            </w:r>
            <w:r>
              <w:rPr>
                <w:rFonts w:hint="eastAsia" w:cstheme="minorBidi"/>
                <w:i w:val="0"/>
                <w:iCs w:val="0"/>
                <w:color w:val="auto"/>
                <w:kern w:val="2"/>
                <w:sz w:val="24"/>
                <w:szCs w:val="22"/>
                <w:highlight w:val="none"/>
                <w:u w:val="single"/>
                <w:lang w:val="en-US" w:eastAsia="zh-CN" w:bidi="ar-SA"/>
              </w:rPr>
              <w:t>6</w:t>
            </w:r>
            <w:r>
              <w:rPr>
                <w:rFonts w:hint="default" w:ascii="宋体" w:hAnsi="宋体" w:eastAsia="宋体" w:cstheme="minorBidi"/>
                <w:i w:val="0"/>
                <w:iCs w:val="0"/>
                <w:color w:val="auto"/>
                <w:kern w:val="2"/>
                <w:sz w:val="24"/>
                <w:szCs w:val="22"/>
                <w:highlight w:val="none"/>
                <w:u w:val="single"/>
                <w:lang w:val="en-US" w:eastAsia="zh-CN" w:bidi="ar-SA"/>
              </w:rPr>
              <w:t>月</w:t>
            </w:r>
            <w:r>
              <w:rPr>
                <w:rFonts w:hint="eastAsia" w:cstheme="minorBidi"/>
                <w:i w:val="0"/>
                <w:iCs w:val="0"/>
                <w:color w:val="auto"/>
                <w:kern w:val="2"/>
                <w:sz w:val="24"/>
                <w:szCs w:val="22"/>
                <w:highlight w:val="none"/>
                <w:u w:val="single"/>
                <w:lang w:val="en-US" w:eastAsia="zh-CN" w:bidi="ar-SA"/>
              </w:rPr>
              <w:t>30</w:t>
            </w:r>
            <w:r>
              <w:rPr>
                <w:rFonts w:hint="default" w:ascii="宋体" w:hAnsi="宋体" w:eastAsia="宋体" w:cstheme="minorBidi"/>
                <w:i w:val="0"/>
                <w:iCs w:val="0"/>
                <w:color w:val="auto"/>
                <w:kern w:val="2"/>
                <w:sz w:val="24"/>
                <w:szCs w:val="22"/>
                <w:highlight w:val="none"/>
                <w:u w:val="single"/>
                <w:lang w:val="en-US" w:eastAsia="zh-CN" w:bidi="ar-SA"/>
              </w:rPr>
              <w:t>日</w:t>
            </w:r>
            <w:r>
              <w:rPr>
                <w:rFonts w:hint="eastAsia" w:cstheme="minorBidi"/>
                <w:i w:val="0"/>
                <w:iCs w:val="0"/>
                <w:color w:val="auto"/>
                <w:kern w:val="2"/>
                <w:sz w:val="24"/>
                <w:szCs w:val="22"/>
                <w:highlight w:val="none"/>
                <w:u w:val="single"/>
                <w:lang w:val="en-US" w:eastAsia="zh-CN" w:bidi="ar-SA"/>
              </w:rPr>
              <w:t>10时30</w:t>
            </w:r>
            <w:r>
              <w:rPr>
                <w:rFonts w:hint="default" w:ascii="宋体" w:hAnsi="宋体" w:eastAsia="宋体" w:cstheme="minorBidi"/>
                <w:i w:val="0"/>
                <w:iCs w:val="0"/>
                <w:color w:val="auto"/>
                <w:kern w:val="2"/>
                <w:sz w:val="24"/>
                <w:szCs w:val="22"/>
                <w:highlight w:val="none"/>
                <w:u w:val="single"/>
                <w:lang w:val="en-US" w:eastAsia="zh-CN" w:bidi="ar-SA"/>
              </w:rPr>
              <w:t>分</w:t>
            </w:r>
            <w:r>
              <w:rPr>
                <w:rFonts w:hint="default" w:ascii="宋体" w:hAnsi="宋体" w:eastAsia="宋体" w:cstheme="minorBidi"/>
                <w:i w:val="0"/>
                <w:iCs w:val="0"/>
                <w:color w:val="auto"/>
                <w:kern w:val="2"/>
                <w:sz w:val="24"/>
                <w:szCs w:val="22"/>
                <w:highlight w:val="none"/>
                <w:u w:val="none"/>
                <w:lang w:val="en-US" w:eastAsia="zh-CN" w:bidi="ar-SA"/>
              </w:rPr>
              <w:t>（北京时间）前提交响应文件。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13157"/>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590E39A6">
      <w:pPr>
        <w:pStyle w:val="37"/>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hr-HR"/>
        </w:rPr>
        <w:t>1.项目编号：</w:t>
      </w:r>
      <w:r>
        <w:rPr>
          <w:rFonts w:hint="eastAsia" w:ascii="宋体" w:hAnsi="宋体" w:eastAsia="宋体" w:cs="宋体"/>
          <w:i w:val="0"/>
          <w:iCs w:val="0"/>
          <w:color w:val="auto"/>
          <w:sz w:val="24"/>
          <w:szCs w:val="24"/>
          <w:highlight w:val="none"/>
          <w:u w:val="single"/>
          <w:lang w:val="hr-HR"/>
        </w:rPr>
        <w:t>XJBTBJ[2025]1830号</w:t>
      </w:r>
    </w:p>
    <w:p w14:paraId="5879B436">
      <w:pPr>
        <w:pStyle w:val="37"/>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.项目名称：</w:t>
      </w:r>
      <w:r>
        <w:rPr>
          <w:rFonts w:hint="eastAsia" w:cs="宋体"/>
          <w:i w:val="0"/>
          <w:iCs w:val="0"/>
          <w:color w:val="auto"/>
          <w:sz w:val="24"/>
          <w:szCs w:val="24"/>
          <w:highlight w:val="none"/>
          <w:u w:val="single"/>
          <w:lang w:val="en-US" w:eastAsia="zh-CN"/>
        </w:rPr>
        <w:t>某单位安防设施设备更新及线路改造项目</w:t>
      </w:r>
    </w:p>
    <w:p w14:paraId="3CE35A7E">
      <w:pPr>
        <w:pStyle w:val="37"/>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u w:val="single"/>
          <w:lang w:val="en-US" w:eastAsia="zh-CN"/>
        </w:rPr>
        <w:t>竞争性磋商</w:t>
      </w:r>
    </w:p>
    <w:p w14:paraId="65D1972D">
      <w:pPr>
        <w:pStyle w:val="37"/>
        <w:rPr>
          <w:rFonts w:hint="default" w:ascii="宋体" w:hAnsi="宋体" w:eastAsia="宋体" w:cs="宋体"/>
          <w:i w:val="0"/>
          <w:iCs w:val="0"/>
          <w:color w:val="auto"/>
          <w:sz w:val="24"/>
          <w:szCs w:val="24"/>
          <w:highlight w:val="none"/>
          <w:u w:val="single"/>
          <w:lang w:val="en-US"/>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hr-HR"/>
        </w:rPr>
        <w:t>.预算金额：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3550000.00</w:t>
      </w:r>
      <w:r>
        <w:rPr>
          <w:rFonts w:hint="eastAsia" w:cs="宋体"/>
          <w:i w:val="0"/>
          <w:iCs w:val="0"/>
          <w:color w:val="auto"/>
          <w:sz w:val="24"/>
          <w:szCs w:val="24"/>
          <w:highlight w:val="none"/>
          <w:u w:val="single"/>
          <w:lang w:val="en-US" w:eastAsia="zh-CN"/>
        </w:rPr>
        <w:t xml:space="preserve">元 </w:t>
      </w:r>
    </w:p>
    <w:p w14:paraId="7851BE2C">
      <w:pPr>
        <w:pStyle w:val="37"/>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3469599.76</w:t>
      </w:r>
      <w:r>
        <w:rPr>
          <w:rFonts w:hint="eastAsia" w:cs="宋体"/>
          <w:i w:val="0"/>
          <w:iCs w:val="0"/>
          <w:color w:val="auto"/>
          <w:sz w:val="24"/>
          <w:szCs w:val="24"/>
          <w:highlight w:val="none"/>
          <w:u w:val="single"/>
          <w:lang w:val="en-US" w:eastAsia="zh-CN"/>
        </w:rPr>
        <w:t>元</w:t>
      </w:r>
      <w:r>
        <w:rPr>
          <w:rFonts w:hint="eastAsia" w:ascii="宋体" w:hAnsi="宋体" w:eastAsia="宋体" w:cs="宋体"/>
          <w:i w:val="0"/>
          <w:iCs w:val="0"/>
          <w:color w:val="auto"/>
          <w:sz w:val="24"/>
          <w:szCs w:val="24"/>
          <w:highlight w:val="none"/>
          <w:u w:val="single"/>
          <w:lang w:val="hr-HR"/>
        </w:rPr>
        <w:t xml:space="preserve"> </w:t>
      </w:r>
      <w:bookmarkStart w:id="1206" w:name="_GoBack"/>
      <w:bookmarkEnd w:id="1206"/>
    </w:p>
    <w:p w14:paraId="242750DC">
      <w:pPr>
        <w:pStyle w:val="37"/>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hr-HR"/>
        </w:rPr>
        <w:t>.采购需求：</w:t>
      </w:r>
      <w:r>
        <w:rPr>
          <w:rFonts w:hint="eastAsia" w:cs="宋体"/>
          <w:i w:val="0"/>
          <w:iCs w:val="0"/>
          <w:color w:val="auto"/>
          <w:sz w:val="24"/>
          <w:szCs w:val="24"/>
          <w:highlight w:val="none"/>
          <w:u w:val="single"/>
          <w:lang w:val="hr-HR" w:eastAsia="zh-CN"/>
        </w:rPr>
        <w:t>某单位安防设施设备更新及线路改造项目，</w:t>
      </w:r>
      <w:r>
        <w:rPr>
          <w:rFonts w:hint="eastAsia" w:ascii="宋体" w:hAnsi="宋体" w:eastAsia="宋体" w:cs="宋体"/>
          <w:i w:val="0"/>
          <w:iCs w:val="0"/>
          <w:color w:val="auto"/>
          <w:sz w:val="24"/>
          <w:szCs w:val="24"/>
          <w:highlight w:val="none"/>
          <w:u w:val="single"/>
          <w:lang w:val="hr-HR" w:eastAsia="zh-CN"/>
        </w:rPr>
        <w:t>具体要求详见</w:t>
      </w:r>
      <w:r>
        <w:rPr>
          <w:rFonts w:hint="eastAsia" w:cs="宋体"/>
          <w:i w:val="0"/>
          <w:iCs w:val="0"/>
          <w:color w:val="auto"/>
          <w:sz w:val="24"/>
          <w:szCs w:val="24"/>
          <w:highlight w:val="none"/>
          <w:u w:val="single"/>
          <w:lang w:val="hr-HR" w:eastAsia="zh-CN"/>
        </w:rPr>
        <w:t>招标文件及工程量清单</w:t>
      </w:r>
      <w:r>
        <w:rPr>
          <w:rFonts w:hint="eastAsia" w:ascii="宋体" w:hAnsi="宋体" w:eastAsia="宋体" w:cs="宋体"/>
          <w:i w:val="0"/>
          <w:iCs w:val="0"/>
          <w:color w:val="auto"/>
          <w:sz w:val="24"/>
          <w:szCs w:val="24"/>
          <w:highlight w:val="none"/>
          <w:u w:val="single"/>
          <w:lang w:val="hr-HR" w:eastAsia="zh-CN"/>
        </w:rPr>
        <w:t>的全部内容</w:t>
      </w:r>
      <w:r>
        <w:rPr>
          <w:rFonts w:hint="eastAsia" w:cs="宋体"/>
          <w:i w:val="0"/>
          <w:iCs w:val="0"/>
          <w:color w:val="auto"/>
          <w:sz w:val="24"/>
          <w:szCs w:val="24"/>
          <w:highlight w:val="none"/>
          <w:u w:val="single"/>
          <w:lang w:val="hr-HR" w:eastAsia="zh-CN"/>
        </w:rPr>
        <w:t>。</w:t>
      </w:r>
    </w:p>
    <w:p w14:paraId="56FBF6DA">
      <w:pPr>
        <w:pStyle w:val="37"/>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.合同履行期限：</w:t>
      </w:r>
      <w:r>
        <w:rPr>
          <w:rFonts w:hint="eastAsia" w:ascii="宋体" w:hAnsi="宋体" w:eastAsia="宋体" w:cs="宋体"/>
          <w:i w:val="0"/>
          <w:iCs w:val="0"/>
          <w:color w:val="auto"/>
          <w:sz w:val="24"/>
          <w:szCs w:val="24"/>
          <w:highlight w:val="none"/>
          <w:u w:val="single"/>
          <w:lang w:val="en-US" w:eastAsia="zh-CN"/>
        </w:rPr>
        <w:t>合同签订生效后</w:t>
      </w:r>
      <w:r>
        <w:rPr>
          <w:rFonts w:hint="eastAsia" w:cs="宋体"/>
          <w:i w:val="0"/>
          <w:iCs w:val="0"/>
          <w:color w:val="auto"/>
          <w:sz w:val="24"/>
          <w:szCs w:val="24"/>
          <w:highlight w:val="none"/>
          <w:u w:val="single"/>
          <w:lang w:val="en-US" w:eastAsia="zh-CN"/>
        </w:rPr>
        <w:t>90</w:t>
      </w:r>
      <w:r>
        <w:rPr>
          <w:rFonts w:hint="eastAsia" w:ascii="宋体" w:hAnsi="宋体" w:eastAsia="宋体" w:cs="宋体"/>
          <w:i w:val="0"/>
          <w:iCs w:val="0"/>
          <w:color w:val="auto"/>
          <w:sz w:val="24"/>
          <w:szCs w:val="24"/>
          <w:highlight w:val="none"/>
          <w:u w:val="single"/>
          <w:lang w:val="en-US" w:eastAsia="zh-CN"/>
        </w:rPr>
        <w:t>日内货到采购人指定地点，完成安装调试</w:t>
      </w:r>
      <w:r>
        <w:rPr>
          <w:rFonts w:hint="eastAsia" w:cs="宋体"/>
          <w:i w:val="0"/>
          <w:iCs w:val="0"/>
          <w:color w:val="auto"/>
          <w:sz w:val="24"/>
          <w:szCs w:val="24"/>
          <w:highlight w:val="none"/>
          <w:u w:val="single"/>
          <w:lang w:val="en-US" w:eastAsia="zh-CN"/>
        </w:rPr>
        <w:t>并验收合格。</w:t>
      </w:r>
    </w:p>
    <w:p w14:paraId="4B098642">
      <w:pPr>
        <w:pStyle w:val="37"/>
        <w:rPr>
          <w:rFonts w:hint="eastAsia" w:ascii="宋体" w:hAnsi="宋体" w:eastAsia="宋体" w:cs="宋体"/>
          <w:i w:val="0"/>
          <w:iCs w:val="0"/>
          <w:color w:val="auto"/>
          <w:sz w:val="24"/>
          <w:szCs w:val="24"/>
          <w:highlight w:val="none"/>
          <w:lang w:val="en-US" w:eastAsia="zh-CN"/>
        </w:rPr>
      </w:pPr>
      <w:bookmarkStart w:id="14" w:name="_Toc28359090"/>
      <w:bookmarkStart w:id="15" w:name="_Toc28359013"/>
      <w:bookmarkStart w:id="16" w:name="_Toc35393630"/>
      <w:bookmarkStart w:id="17" w:name="_Toc44583629"/>
      <w:bookmarkStart w:id="18" w:name="_Toc35393799"/>
      <w:r>
        <w:rPr>
          <w:rFonts w:hint="eastAsia" w:ascii="宋体" w:hAnsi="宋体" w:eastAsia="宋体" w:cs="宋体"/>
          <w:i w:val="0"/>
          <w:iCs w:val="0"/>
          <w:color w:val="auto"/>
          <w:sz w:val="24"/>
          <w:szCs w:val="24"/>
          <w:highlight w:val="none"/>
          <w:lang w:val="en-US" w:eastAsia="zh-CN"/>
        </w:rPr>
        <w:t>8.</w:t>
      </w:r>
      <w:bookmarkStart w:id="19" w:name="_Hlk162011358"/>
      <w:r>
        <w:rPr>
          <w:rFonts w:hint="eastAsia" w:ascii="宋体" w:hAnsi="宋体" w:eastAsia="宋体" w:cs="宋体"/>
          <w:i w:val="0"/>
          <w:iCs w:val="0"/>
          <w:color w:val="auto"/>
          <w:sz w:val="24"/>
          <w:szCs w:val="24"/>
          <w:highlight w:val="none"/>
          <w:lang w:val="en-US" w:eastAsia="zh-CN"/>
        </w:rPr>
        <w:t>本项目是否接受联合体响应：□是</w:t>
      </w:r>
      <w:bookmarkEnd w:id="19"/>
      <w:r>
        <w:rPr>
          <w:rFonts w:hint="eastAsia" w:ascii="宋体" w:hAnsi="宋体" w:eastAsia="宋体" w:cs="宋体"/>
          <w:i w:val="0"/>
          <w:iCs w:val="0"/>
          <w:color w:val="auto"/>
          <w:sz w:val="24"/>
          <w:szCs w:val="24"/>
          <w:highlight w:val="none"/>
          <w:lang w:val="en-US" w:eastAsia="zh-CN"/>
        </w:rPr>
        <w:t xml:space="preserve">   </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否</w:t>
      </w:r>
    </w:p>
    <w:bookmarkEnd w:id="14"/>
    <w:bookmarkEnd w:id="15"/>
    <w:bookmarkEnd w:id="16"/>
    <w:bookmarkEnd w:id="17"/>
    <w:bookmarkEnd w:id="18"/>
    <w:p w14:paraId="25D3966E">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20" w:name="_Toc155185861"/>
      <w:bookmarkStart w:id="21" w:name="_Toc163492813"/>
      <w:bookmarkStart w:id="22" w:name="_Toc109900249"/>
      <w:bookmarkStart w:id="23" w:name="_Toc109899830"/>
      <w:bookmarkStart w:id="24" w:name="_Toc140132746"/>
      <w:bookmarkStart w:id="25" w:name="_Toc1273"/>
      <w:bookmarkStart w:id="26" w:name="_Toc109899411"/>
      <w:r>
        <w:rPr>
          <w:rFonts w:hint="eastAsia" w:ascii="宋体" w:hAnsi="宋体" w:eastAsia="宋体" w:cs="宋体"/>
          <w:b/>
          <w:bCs/>
          <w:i w:val="0"/>
          <w:iCs w:val="0"/>
          <w:color w:val="auto"/>
          <w:kern w:val="2"/>
          <w:sz w:val="24"/>
          <w:szCs w:val="24"/>
          <w:highlight w:val="none"/>
          <w:lang w:val="en-US" w:eastAsia="zh-CN" w:bidi="ar-SA"/>
        </w:rPr>
        <w:t>二、申请人的</w:t>
      </w:r>
      <w:r>
        <w:rPr>
          <w:rFonts w:hint="eastAsia" w:ascii="宋体" w:hAnsi="宋体" w:eastAsia="宋体" w:cs="宋体"/>
          <w:b/>
          <w:bCs/>
          <w:i w:val="0"/>
          <w:iCs w:val="0"/>
          <w:color w:val="auto"/>
          <w:kern w:val="2"/>
          <w:sz w:val="24"/>
          <w:szCs w:val="24"/>
          <w:highlight w:val="none"/>
          <w:lang w:val="hr-HR" w:eastAsia="zh-CN" w:bidi="ar-SA"/>
        </w:rPr>
        <w:t>资格要求</w:t>
      </w:r>
      <w:bookmarkEnd w:id="20"/>
      <w:bookmarkEnd w:id="21"/>
      <w:bookmarkEnd w:id="22"/>
      <w:bookmarkEnd w:id="23"/>
      <w:bookmarkEnd w:id="24"/>
      <w:bookmarkEnd w:id="25"/>
      <w:bookmarkEnd w:id="26"/>
    </w:p>
    <w:p w14:paraId="75455511">
      <w:pPr>
        <w:ind w:firstLine="480" w:firstLineChars="200"/>
        <w:rPr>
          <w:rFonts w:hint="eastAsia" w:ascii="宋体" w:hAnsi="宋体" w:eastAsia="宋体" w:cs="宋体"/>
          <w:i w:val="0"/>
          <w:iCs w:val="0"/>
          <w:strike/>
          <w:dstrike w:val="0"/>
          <w:color w:val="auto"/>
          <w:sz w:val="24"/>
          <w:szCs w:val="24"/>
          <w:highlight w:val="none"/>
          <w:lang w:val="en-US" w:eastAsia="zh-CN"/>
        </w:rPr>
      </w:pPr>
      <w:bookmarkStart w:id="27" w:name="_Toc28359091"/>
      <w:bookmarkStart w:id="28" w:name="_Toc44583630"/>
      <w:bookmarkStart w:id="29" w:name="_Toc35393800"/>
      <w:bookmarkStart w:id="30" w:name="_Toc28359014"/>
      <w:bookmarkStart w:id="31" w:name="_Toc35393631"/>
      <w:r>
        <w:rPr>
          <w:rFonts w:hint="eastAsia" w:ascii="宋体" w:hAnsi="宋体" w:eastAsia="宋体" w:cs="宋体"/>
          <w:i w:val="0"/>
          <w:iCs w:val="0"/>
          <w:color w:val="auto"/>
          <w:sz w:val="24"/>
          <w:szCs w:val="24"/>
          <w:highlight w:val="none"/>
          <w:lang w:val="en-US" w:eastAsia="zh-CN"/>
        </w:rPr>
        <w:t>1. 满足《中华人民共和国政府采购法》第二十二条规定</w:t>
      </w:r>
      <w:r>
        <w:rPr>
          <w:rFonts w:hint="eastAsia" w:cs="宋体"/>
          <w:i w:val="0"/>
          <w:iCs w:val="0"/>
          <w:color w:val="auto"/>
          <w:sz w:val="24"/>
          <w:szCs w:val="24"/>
          <w:highlight w:val="none"/>
          <w:lang w:val="en-US" w:eastAsia="zh-CN"/>
        </w:rPr>
        <w:t>，《关于进一步优化政府采购营商环境的通知》（兵财库[2023]29号）第八条规定，提供完整准确的兵团政府采购供应商信用承诺函</w:t>
      </w:r>
      <w:r>
        <w:rPr>
          <w:rFonts w:hint="eastAsia" w:ascii="宋体" w:hAnsi="宋体" w:eastAsia="宋体" w:cs="宋体"/>
          <w:i w:val="0"/>
          <w:iCs w:val="0"/>
          <w:color w:val="auto"/>
          <w:sz w:val="24"/>
          <w:szCs w:val="24"/>
          <w:highlight w:val="none"/>
          <w:lang w:val="en-US" w:eastAsia="zh-CN"/>
        </w:rPr>
        <w:t>；</w:t>
      </w:r>
    </w:p>
    <w:p w14:paraId="199B5101">
      <w:pPr>
        <w:pageBreakBefore w:val="0"/>
        <w:kinsoku/>
        <w:overflowPunct/>
        <w:topLinePunct w:val="0"/>
        <w:autoSpaceDE/>
        <w:autoSpaceDN/>
        <w:bidi w:val="0"/>
        <w:adjustRightInd/>
        <w:spacing w:line="540" w:lineRule="exact"/>
        <w:ind w:firstLine="480" w:firstLineChars="200"/>
        <w:textAlignment w:val="auto"/>
        <w:rPr>
          <w:rFonts w:hint="eastAsia" w:cs="宋体"/>
          <w:b/>
          <w:bCs/>
          <w:color w:val="auto"/>
          <w:sz w:val="24"/>
          <w:szCs w:val="24"/>
          <w:highlight w:val="none"/>
          <w:lang w:val="en-US" w:eastAsia="zh-CN"/>
        </w:rPr>
      </w:pPr>
      <w:bookmarkStart w:id="32" w:name="_Hlk89807755"/>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.落实政府采购政策需满足的资格要求</w:t>
      </w:r>
      <w:r>
        <w:rPr>
          <w:rFonts w:hint="eastAsia" w:cs="宋体"/>
          <w:i w:val="0"/>
          <w:iCs w:val="0"/>
          <w:color w:val="auto"/>
          <w:sz w:val="24"/>
          <w:szCs w:val="24"/>
          <w:highlight w:val="none"/>
          <w:lang w:eastAsia="zh-CN"/>
        </w:rPr>
        <w:t>：</w:t>
      </w:r>
      <w:r>
        <w:rPr>
          <w:rFonts w:hint="eastAsia" w:cs="宋体"/>
          <w:b/>
          <w:bCs/>
          <w:color w:val="auto"/>
          <w:sz w:val="24"/>
          <w:szCs w:val="24"/>
          <w:highlight w:val="none"/>
          <w:lang w:val="en-US" w:eastAsia="zh-CN"/>
        </w:rPr>
        <w:t>本项目为专门面向中小微企业预留资金项目，不再执行价格评审优惠的扶持政策，符合条件的中小微企业参加本次采购项目须按照要求提供中小微企业声明函。</w:t>
      </w:r>
    </w:p>
    <w:p w14:paraId="20F9AE77">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（1）财政部、国家发展改革委、生态环境部、市场监管总局《关于调整优化节能产品、环境标志产品政府采购执行机制的通知》（财库[2019]9 号文）； </w:t>
      </w:r>
    </w:p>
    <w:p w14:paraId="0D006B9E">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（2）财政部、生态环境部《关于印发环境标志产品政府采购品目清单的通知》（财库[2019]18号文）； </w:t>
      </w:r>
    </w:p>
    <w:p w14:paraId="37A51D18">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（3）财政部、发展改革委《关于印发节能产品政府采购品目清单的通知》（财库[2019]19号文）；</w:t>
      </w:r>
    </w:p>
    <w:p w14:paraId="49540A1B">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（4）市场监管总局《市场监管总局关于发布参与实施政府采购节能产品、环境标志产品认证机构名录的公告》（2019 年第 16 号）；</w:t>
      </w:r>
    </w:p>
    <w:p w14:paraId="04CC5CA5">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（5）财政部 民政部 中国残疾人联合会《关于促进残疾人就业政府采购政策的通知》财库〔2017〕141 号；</w:t>
      </w:r>
    </w:p>
    <w:p w14:paraId="2D7B165D">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（6）财政部、司法部《关于政府采购支持监狱企业发展有关问题的通知》（财库〔2014〕68 号文）；</w:t>
      </w:r>
    </w:p>
    <w:p w14:paraId="133A2290">
      <w:pPr>
        <w:pageBreakBefore w:val="0"/>
        <w:kinsoku/>
        <w:overflowPunct/>
        <w:topLinePunct w:val="0"/>
        <w:autoSpaceDE/>
        <w:autoSpaceDN/>
        <w:bidi w:val="0"/>
        <w:adjustRightInd/>
        <w:spacing w:line="54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（7）财政部、工业和信息化部《关于印发&lt;政府采购促进中小企业发展管理办法&gt;的通知》 （财库〔2020〕46 号）；</w:t>
      </w:r>
    </w:p>
    <w:p w14:paraId="18A2722E">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w:t>
      </w:r>
      <w:r>
        <w:rPr>
          <w:rFonts w:hint="eastAsia" w:ascii="宋体" w:hAnsi="宋体" w:eastAsia="宋体" w:cs="宋体"/>
          <w:b/>
          <w:bCs/>
          <w:i w:val="0"/>
          <w:iCs w:val="0"/>
          <w:color w:val="auto"/>
          <w:sz w:val="24"/>
          <w:szCs w:val="24"/>
          <w:highlight w:val="none"/>
          <w:u w:val="single"/>
          <w:lang w:val="en-US" w:eastAsia="zh-CN"/>
        </w:rPr>
        <w:t>本次招标要求投标人须具备</w:t>
      </w:r>
      <w:r>
        <w:rPr>
          <w:rFonts w:hint="eastAsia" w:cs="宋体"/>
          <w:b/>
          <w:bCs/>
          <w:i w:val="0"/>
          <w:iCs w:val="0"/>
          <w:color w:val="auto"/>
          <w:sz w:val="24"/>
          <w:szCs w:val="24"/>
          <w:highlight w:val="none"/>
          <w:u w:val="single"/>
          <w:lang w:val="en-US" w:eastAsia="zh-CN"/>
        </w:rPr>
        <w:t>安防工程企业资质叁级（含叁级）以上资质、电子与智能化工程专业承包贰级</w:t>
      </w:r>
      <w:r>
        <w:rPr>
          <w:rFonts w:hint="eastAsia" w:ascii="宋体" w:hAnsi="宋体" w:eastAsia="宋体" w:cs="宋体"/>
          <w:b/>
          <w:bCs/>
          <w:i w:val="0"/>
          <w:iCs w:val="0"/>
          <w:color w:val="auto"/>
          <w:sz w:val="24"/>
          <w:szCs w:val="24"/>
          <w:highlight w:val="none"/>
          <w:u w:val="single"/>
          <w:lang w:val="en-US" w:eastAsia="zh-CN"/>
        </w:rPr>
        <w:t>（含</w:t>
      </w:r>
      <w:r>
        <w:rPr>
          <w:rFonts w:hint="eastAsia" w:cs="宋体"/>
          <w:b/>
          <w:bCs/>
          <w:i w:val="0"/>
          <w:iCs w:val="0"/>
          <w:color w:val="auto"/>
          <w:sz w:val="24"/>
          <w:szCs w:val="24"/>
          <w:highlight w:val="none"/>
          <w:u w:val="single"/>
          <w:lang w:val="en-US" w:eastAsia="zh-CN"/>
        </w:rPr>
        <w:t>贰</w:t>
      </w:r>
      <w:r>
        <w:rPr>
          <w:rFonts w:hint="eastAsia" w:ascii="宋体" w:hAnsi="宋体" w:eastAsia="宋体" w:cs="宋体"/>
          <w:b/>
          <w:bCs/>
          <w:i w:val="0"/>
          <w:iCs w:val="0"/>
          <w:color w:val="auto"/>
          <w:sz w:val="24"/>
          <w:szCs w:val="24"/>
          <w:highlight w:val="none"/>
          <w:u w:val="single"/>
          <w:lang w:val="en-US" w:eastAsia="zh-CN"/>
        </w:rPr>
        <w:t>级）以上资质</w:t>
      </w:r>
      <w:r>
        <w:rPr>
          <w:rFonts w:hint="eastAsia" w:cs="宋体"/>
          <w:b/>
          <w:bCs/>
          <w:i w:val="0"/>
          <w:iCs w:val="0"/>
          <w:color w:val="auto"/>
          <w:sz w:val="24"/>
          <w:szCs w:val="24"/>
          <w:highlight w:val="none"/>
          <w:u w:val="single"/>
          <w:lang w:val="en-US" w:eastAsia="zh-CN"/>
        </w:rPr>
        <w:t>和涉密信息系统集成资质（包含安防监控或总体集成）</w:t>
      </w:r>
      <w:r>
        <w:rPr>
          <w:rFonts w:hint="eastAsia" w:ascii="宋体" w:hAnsi="宋体" w:eastAsia="宋体" w:cs="宋体"/>
          <w:b/>
          <w:bCs/>
          <w:i w:val="0"/>
          <w:iCs w:val="0"/>
          <w:color w:val="auto"/>
          <w:sz w:val="24"/>
          <w:szCs w:val="24"/>
          <w:highlight w:val="none"/>
          <w:u w:val="single"/>
          <w:lang w:val="en-US" w:eastAsia="zh-CN"/>
        </w:rPr>
        <w:t>，</w:t>
      </w:r>
      <w:r>
        <w:rPr>
          <w:rFonts w:hint="eastAsia" w:cs="宋体"/>
          <w:b/>
          <w:bCs/>
          <w:i w:val="0"/>
          <w:iCs w:val="0"/>
          <w:color w:val="auto"/>
          <w:sz w:val="24"/>
          <w:szCs w:val="24"/>
          <w:highlight w:val="none"/>
          <w:u w:val="single"/>
          <w:lang w:val="en-US" w:eastAsia="zh-CN"/>
        </w:rPr>
        <w:t>安防</w:t>
      </w:r>
      <w:r>
        <w:rPr>
          <w:rFonts w:hint="eastAsia" w:ascii="宋体" w:hAnsi="宋体" w:eastAsia="宋体" w:cs="宋体"/>
          <w:b/>
          <w:bCs/>
          <w:i w:val="0"/>
          <w:iCs w:val="0"/>
          <w:color w:val="auto"/>
          <w:sz w:val="24"/>
          <w:szCs w:val="24"/>
          <w:highlight w:val="none"/>
          <w:u w:val="single"/>
          <w:lang w:val="en-US" w:eastAsia="zh-CN"/>
        </w:rPr>
        <w:t>工程业绩，并在人员、设备、资金等方面具有相应的施工能力，有安全施工生产许可证，外省企业已办理进疆备案。项目负责人必须具备机电专业二级（含二级）以上注册建造师职业资格并在本单位注册，具备有效的安全生产考核合格证书，且未担任其他在施建设工程项目的项目负责人。</w:t>
      </w:r>
    </w:p>
    <w:p w14:paraId="69D2AB04">
      <w:pPr>
        <w:pStyle w:val="37"/>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 其他资格要求：</w:t>
      </w:r>
    </w:p>
    <w:p w14:paraId="040E7358">
      <w:pPr>
        <w:pStyle w:val="37"/>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hr-HR"/>
        </w:rPr>
        <w:t>法定代表人或</w:t>
      </w:r>
      <w:r>
        <w:rPr>
          <w:rFonts w:hint="eastAsia" w:ascii="宋体" w:hAnsi="宋体" w:eastAsia="宋体" w:cs="宋体"/>
          <w:i w:val="0"/>
          <w:iCs w:val="0"/>
          <w:color w:val="auto"/>
          <w:sz w:val="24"/>
          <w:szCs w:val="24"/>
          <w:highlight w:val="none"/>
          <w:lang w:val="en-US" w:eastAsia="zh-CN"/>
        </w:rPr>
        <w:t>单位</w:t>
      </w:r>
      <w:r>
        <w:rPr>
          <w:rFonts w:hint="eastAsia" w:ascii="宋体" w:hAnsi="宋体" w:eastAsia="宋体" w:cs="宋体"/>
          <w:i w:val="0"/>
          <w:iCs w:val="0"/>
          <w:color w:val="auto"/>
          <w:sz w:val="24"/>
          <w:szCs w:val="24"/>
          <w:highlight w:val="none"/>
          <w:lang w:val="hr-HR"/>
        </w:rPr>
        <w:t>负责人为同一人或者存在</w:t>
      </w:r>
      <w:r>
        <w:rPr>
          <w:rFonts w:hint="eastAsia" w:ascii="宋体" w:hAnsi="宋体" w:eastAsia="宋体" w:cs="宋体"/>
          <w:i w:val="0"/>
          <w:iCs w:val="0"/>
          <w:color w:val="auto"/>
          <w:sz w:val="24"/>
          <w:szCs w:val="24"/>
          <w:highlight w:val="none"/>
          <w:lang w:val="en-US" w:eastAsia="zh-CN"/>
        </w:rPr>
        <w:t>直接</w:t>
      </w:r>
      <w:r>
        <w:rPr>
          <w:rFonts w:hint="eastAsia" w:ascii="宋体" w:hAnsi="宋体" w:eastAsia="宋体" w:cs="宋体"/>
          <w:i w:val="0"/>
          <w:iCs w:val="0"/>
          <w:color w:val="auto"/>
          <w:sz w:val="24"/>
          <w:szCs w:val="24"/>
          <w:highlight w:val="none"/>
          <w:lang w:val="hr-HR"/>
        </w:rPr>
        <w:t>控股、管理关系的</w:t>
      </w:r>
      <w:r>
        <w:rPr>
          <w:rFonts w:hint="eastAsia" w:ascii="宋体" w:hAnsi="宋体" w:eastAsia="宋体" w:cs="宋体"/>
          <w:i w:val="0"/>
          <w:iCs w:val="0"/>
          <w:color w:val="auto"/>
          <w:sz w:val="24"/>
          <w:szCs w:val="24"/>
          <w:highlight w:val="none"/>
          <w:lang w:val="en-US" w:eastAsia="zh-CN"/>
        </w:rPr>
        <w:t>不同供应商</w:t>
      </w:r>
      <w:r>
        <w:rPr>
          <w:rFonts w:hint="eastAsia" w:ascii="宋体" w:hAnsi="宋体" w:eastAsia="宋体" w:cs="宋体"/>
          <w:i w:val="0"/>
          <w:iCs w:val="0"/>
          <w:color w:val="auto"/>
          <w:sz w:val="24"/>
          <w:szCs w:val="24"/>
          <w:highlight w:val="none"/>
          <w:lang w:val="hr-HR"/>
        </w:rPr>
        <w:t>，不得参加同一合同项下的政府采购活动。</w:t>
      </w:r>
    </w:p>
    <w:p w14:paraId="68099EEC">
      <w:pPr>
        <w:pStyle w:val="37"/>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233A0AC8">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hr-HR"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hr-HR"/>
        </w:rPr>
        <w:t>供应商的信用行为</w:t>
      </w:r>
      <w:r>
        <w:rPr>
          <w:rFonts w:hint="eastAsia" w:ascii="宋体" w:hAnsi="宋体" w:eastAsia="宋体" w:cs="宋体"/>
          <w:i w:val="0"/>
          <w:iCs w:val="0"/>
          <w:color w:val="auto"/>
          <w:sz w:val="24"/>
          <w:szCs w:val="24"/>
          <w:highlight w:val="none"/>
          <w:lang w:val="hr-HR" w:eastAsia="zh-CN"/>
        </w:rPr>
        <w:t>：</w:t>
      </w:r>
      <w:r>
        <w:rPr>
          <w:rFonts w:hint="eastAsia" w:ascii="宋体" w:hAnsi="宋体" w:eastAsia="宋体" w:cs="宋体"/>
          <w:i w:val="0"/>
          <w:iCs w:val="0"/>
          <w:color w:val="auto"/>
          <w:sz w:val="24"/>
          <w:szCs w:val="24"/>
          <w:highlight w:val="none"/>
          <w:lang w:val="hr-HR"/>
        </w:rPr>
        <w:t>在</w:t>
      </w:r>
      <w:r>
        <w:rPr>
          <w:rFonts w:hint="eastAsia" w:ascii="宋体" w:hAnsi="宋体" w:eastAsia="宋体" w:cs="宋体"/>
          <w:i w:val="0"/>
          <w:iCs w:val="0"/>
          <w:color w:val="auto"/>
          <w:sz w:val="24"/>
          <w:szCs w:val="24"/>
          <w:highlight w:val="none"/>
          <w:lang w:val="en-US" w:eastAsia="zh-CN"/>
        </w:rPr>
        <w:t>资格审查阶段经查询</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eastAsia="zh-CN"/>
        </w:rPr>
        <w:t>未被列入“失信被执行人”、“重大税收违法失信主体”、“政府采购严重违法失信行为记录名单”</w:t>
      </w:r>
      <w:r>
        <w:rPr>
          <w:rFonts w:hint="eastAsia" w:ascii="宋体" w:hAnsi="宋体" w:eastAsia="宋体" w:cs="宋体"/>
          <w:i w:val="0"/>
          <w:iCs w:val="0"/>
          <w:color w:val="auto"/>
          <w:sz w:val="24"/>
          <w:szCs w:val="24"/>
          <w:highlight w:val="none"/>
          <w:lang w:val="hr-HR"/>
        </w:rPr>
        <w:t>其中之一。如有以上不良信用记录</w:t>
      </w:r>
      <w:r>
        <w:rPr>
          <w:rFonts w:hint="eastAsia" w:ascii="宋体" w:hAnsi="宋体" w:eastAsia="宋体" w:cs="宋体"/>
          <w:i w:val="0"/>
          <w:iCs w:val="0"/>
          <w:color w:val="auto"/>
          <w:sz w:val="24"/>
          <w:szCs w:val="24"/>
          <w:highlight w:val="none"/>
          <w:lang w:val="en-US" w:eastAsia="zh-CN"/>
        </w:rPr>
        <w:t>之一的，</w:t>
      </w:r>
      <w:r>
        <w:rPr>
          <w:rFonts w:hint="eastAsia" w:ascii="宋体" w:hAnsi="宋体" w:eastAsia="宋体" w:cs="宋体"/>
          <w:i w:val="0"/>
          <w:iCs w:val="0"/>
          <w:color w:val="auto"/>
          <w:sz w:val="24"/>
          <w:szCs w:val="24"/>
          <w:highlight w:val="none"/>
          <w:lang w:val="hr-HR"/>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hr-HR"/>
        </w:rPr>
        <w:t>。</w:t>
      </w:r>
    </w:p>
    <w:bookmarkEnd w:id="32"/>
    <w:p w14:paraId="33AC369A">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33" w:name="_Toc109900250"/>
      <w:bookmarkStart w:id="34" w:name="_Toc27103"/>
      <w:bookmarkStart w:id="35" w:name="_Toc109899831"/>
      <w:bookmarkStart w:id="36" w:name="_Toc109899412"/>
      <w:bookmarkStart w:id="37" w:name="_Toc163492814"/>
      <w:bookmarkStart w:id="38" w:name="_Toc140132747"/>
      <w:bookmarkStart w:id="39" w:name="_Toc155185862"/>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hr-HR" w:eastAsia="zh-CN" w:bidi="ar-SA"/>
        </w:rPr>
        <w:t>获取</w:t>
      </w:r>
      <w:r>
        <w:rPr>
          <w:rFonts w:hint="eastAsia" w:ascii="宋体" w:hAnsi="宋体" w:eastAsia="宋体" w:cs="宋体"/>
          <w:b/>
          <w:bCs/>
          <w:i w:val="0"/>
          <w:iCs w:val="0"/>
          <w:color w:val="auto"/>
          <w:kern w:val="2"/>
          <w:sz w:val="24"/>
          <w:szCs w:val="24"/>
          <w:highlight w:val="none"/>
          <w:lang w:val="en-US" w:eastAsia="zh-CN" w:bidi="ar-SA"/>
        </w:rPr>
        <w:t>采购</w:t>
      </w:r>
      <w:r>
        <w:rPr>
          <w:rFonts w:hint="eastAsia" w:ascii="宋体" w:hAnsi="宋体" w:eastAsia="宋体" w:cs="宋体"/>
          <w:b/>
          <w:bCs/>
          <w:i w:val="0"/>
          <w:iCs w:val="0"/>
          <w:color w:val="auto"/>
          <w:kern w:val="2"/>
          <w:sz w:val="24"/>
          <w:szCs w:val="24"/>
          <w:highlight w:val="none"/>
          <w:lang w:val="hr-HR" w:eastAsia="zh-CN" w:bidi="ar-SA"/>
        </w:rPr>
        <w:t>文件</w:t>
      </w:r>
      <w:bookmarkEnd w:id="27"/>
      <w:bookmarkEnd w:id="28"/>
      <w:bookmarkEnd w:id="29"/>
      <w:bookmarkEnd w:id="30"/>
      <w:bookmarkEnd w:id="31"/>
      <w:bookmarkEnd w:id="33"/>
      <w:bookmarkEnd w:id="34"/>
      <w:bookmarkEnd w:id="35"/>
      <w:bookmarkEnd w:id="36"/>
      <w:bookmarkEnd w:id="37"/>
      <w:bookmarkEnd w:id="38"/>
      <w:bookmarkEnd w:id="39"/>
      <w:r>
        <w:rPr>
          <w:rFonts w:hint="eastAsia" w:ascii="宋体" w:hAnsi="宋体" w:eastAsia="宋体" w:cs="宋体"/>
          <w:b/>
          <w:bCs/>
          <w:i w:val="0"/>
          <w:iCs w:val="0"/>
          <w:color w:val="auto"/>
          <w:kern w:val="2"/>
          <w:sz w:val="24"/>
          <w:szCs w:val="24"/>
          <w:highlight w:val="none"/>
          <w:lang w:val="hr-HR" w:eastAsia="zh-CN" w:bidi="ar-SA"/>
        </w:rPr>
        <w:t xml:space="preserve"> </w:t>
      </w:r>
    </w:p>
    <w:p w14:paraId="4A28C746">
      <w:pPr>
        <w:spacing w:line="360" w:lineRule="auto"/>
        <w:ind w:firstLine="540"/>
        <w:rPr>
          <w:rFonts w:hint="eastAsia" w:ascii="宋体" w:hAnsi="宋体" w:eastAsia="宋体" w:cs="宋体"/>
          <w:i w:val="0"/>
          <w:iCs w:val="0"/>
          <w:color w:val="auto"/>
          <w:sz w:val="24"/>
          <w:szCs w:val="24"/>
          <w:highlight w:val="none"/>
          <w:lang w:val="hr-HR" w:eastAsia="zh-CN"/>
        </w:rPr>
      </w:pPr>
      <w:bookmarkStart w:id="40" w:name="_Hlk130457234"/>
      <w:bookmarkStart w:id="41" w:name="_Toc28359092"/>
      <w:bookmarkStart w:id="42" w:name="_Hlk130457327"/>
      <w:bookmarkStart w:id="43" w:name="_Hlk130457261"/>
      <w:bookmarkStart w:id="44" w:name="_Toc35393632"/>
      <w:bookmarkStart w:id="45" w:name="_Toc35393801"/>
      <w:bookmarkStart w:id="46" w:name="_Toc28359015"/>
      <w:r>
        <w:rPr>
          <w:rFonts w:hint="eastAsia" w:ascii="宋体" w:hAnsi="宋体" w:eastAsia="宋体" w:cs="宋体"/>
          <w:i w:val="0"/>
          <w:iCs w:val="0"/>
          <w:color w:val="auto"/>
          <w:sz w:val="24"/>
          <w:szCs w:val="24"/>
          <w:highlight w:val="none"/>
          <w:lang w:val="hr-HR"/>
        </w:rPr>
        <w:t>1.</w:t>
      </w:r>
      <w:r>
        <w:rPr>
          <w:rFonts w:hint="eastAsia" w:ascii="宋体" w:hAnsi="宋体" w:eastAsia="宋体" w:cs="宋体"/>
          <w:i w:val="0"/>
          <w:iCs w:val="0"/>
          <w:color w:val="auto"/>
          <w:sz w:val="24"/>
          <w:szCs w:val="24"/>
          <w:highlight w:val="none"/>
          <w:lang w:val="hr-HR" w:eastAsia="zh-CN"/>
        </w:rPr>
        <w:t>获取</w:t>
      </w:r>
      <w:r>
        <w:rPr>
          <w:rFonts w:hint="eastAsia" w:ascii="宋体" w:hAnsi="宋体" w:eastAsia="宋体" w:cs="宋体"/>
          <w:i w:val="0"/>
          <w:iCs w:val="0"/>
          <w:color w:val="auto"/>
          <w:sz w:val="24"/>
          <w:szCs w:val="24"/>
          <w:highlight w:val="none"/>
          <w:lang w:val="hr-HR"/>
        </w:rPr>
        <w:t>时间：</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18</w:t>
      </w:r>
      <w:r>
        <w:rPr>
          <w:rFonts w:hint="eastAsia" w:ascii="宋体" w:hAnsi="宋体" w:eastAsia="宋体" w:cs="宋体"/>
          <w:i w:val="0"/>
          <w:iCs w:val="0"/>
          <w:color w:val="auto"/>
          <w:sz w:val="24"/>
          <w:szCs w:val="24"/>
          <w:highlight w:val="none"/>
          <w:u w:val="single"/>
        </w:rPr>
        <w:t>日至</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25</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u w:val="none"/>
        </w:rPr>
        <w:t>，每天上午00:00至14:00 ，下午14:00至23:59（北京时间，法定节假日除外）</w:t>
      </w:r>
      <w:r>
        <w:rPr>
          <w:rFonts w:hint="eastAsia" w:ascii="宋体" w:hAnsi="宋体" w:eastAsia="宋体" w:cs="宋体"/>
          <w:i w:val="0"/>
          <w:iCs w:val="0"/>
          <w:color w:val="auto"/>
          <w:sz w:val="24"/>
          <w:szCs w:val="24"/>
          <w:highlight w:val="none"/>
          <w:lang w:eastAsia="zh-CN"/>
        </w:rPr>
        <w:t>。</w:t>
      </w:r>
    </w:p>
    <w:bookmarkEnd w:id="40"/>
    <w:p w14:paraId="42FCE029">
      <w:pPr>
        <w:pStyle w:val="37"/>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2.</w:t>
      </w:r>
      <w:r>
        <w:rPr>
          <w:rFonts w:hint="eastAsia" w:ascii="宋体" w:hAnsi="宋体" w:eastAsia="宋体" w:cs="宋体"/>
          <w:i w:val="0"/>
          <w:iCs w:val="0"/>
          <w:color w:val="auto"/>
          <w:sz w:val="24"/>
          <w:szCs w:val="24"/>
          <w:highlight w:val="none"/>
          <w:lang w:val="hr-HR" w:eastAsia="zh-CN"/>
        </w:rPr>
        <w:t>获取</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hr-HR"/>
        </w:rPr>
        <w:t>：</w:t>
      </w:r>
      <w:bookmarkStart w:id="47" w:name="_Hlk89807779"/>
      <w:r>
        <w:rPr>
          <w:rFonts w:hint="eastAsia" w:ascii="宋体" w:hAnsi="宋体" w:eastAsia="宋体" w:cs="宋体"/>
          <w:i w:val="0"/>
          <w:iCs w:val="0"/>
          <w:color w:val="auto"/>
          <w:sz w:val="24"/>
          <w:szCs w:val="24"/>
          <w:highlight w:val="none"/>
          <w:lang w:val="en-US"/>
        </w:rPr>
        <w:t>兵团</w:t>
      </w:r>
      <w:r>
        <w:rPr>
          <w:rFonts w:hint="eastAsia" w:ascii="宋体" w:hAnsi="宋体" w:eastAsia="宋体" w:cs="宋体"/>
          <w:i w:val="0"/>
          <w:iCs w:val="0"/>
          <w:color w:val="auto"/>
          <w:sz w:val="24"/>
          <w:szCs w:val="24"/>
          <w:highlight w:val="none"/>
        </w:rPr>
        <w:t>政府采购</w:t>
      </w:r>
      <w:r>
        <w:rPr>
          <w:rFonts w:hint="eastAsia" w:ascii="宋体" w:hAnsi="宋体" w:eastAsia="宋体" w:cs="宋体"/>
          <w:i w:val="0"/>
          <w:iCs w:val="0"/>
          <w:color w:val="auto"/>
          <w:sz w:val="24"/>
          <w:szCs w:val="24"/>
          <w:highlight w:val="none"/>
          <w:lang w:val="en-US"/>
        </w:rPr>
        <w:t>电子交易云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网址</w:t>
      </w:r>
      <w:r>
        <w:rPr>
          <w:rFonts w:hint="eastAsia" w:ascii="宋体" w:hAnsi="宋体" w:eastAsia="宋体" w:cs="宋体"/>
          <w:i w:val="0"/>
          <w:iCs w:val="0"/>
          <w:color w:val="auto"/>
          <w:sz w:val="24"/>
          <w:szCs w:val="24"/>
          <w:highlight w:val="none"/>
          <w:lang w:val="hr-HR"/>
        </w:rPr>
        <w:t>：https://www.zcygov.cn/）</w:t>
      </w:r>
      <w:r>
        <w:rPr>
          <w:rFonts w:hint="eastAsia" w:ascii="宋体" w:hAnsi="宋体" w:eastAsia="宋体" w:cs="宋体"/>
          <w:i w:val="0"/>
          <w:iCs w:val="0"/>
          <w:color w:val="auto"/>
          <w:sz w:val="24"/>
          <w:szCs w:val="24"/>
          <w:highlight w:val="none"/>
        </w:rPr>
        <w:t>。</w:t>
      </w:r>
      <w:bookmarkEnd w:id="47"/>
    </w:p>
    <w:p w14:paraId="313475A6">
      <w:pPr>
        <w:pStyle w:val="37"/>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3.</w:t>
      </w:r>
      <w:r>
        <w:rPr>
          <w:rFonts w:hint="eastAsia" w:ascii="宋体" w:hAnsi="宋体" w:eastAsia="宋体" w:cs="宋体"/>
          <w:i w:val="0"/>
          <w:iCs w:val="0"/>
          <w:color w:val="auto"/>
          <w:sz w:val="24"/>
          <w:szCs w:val="24"/>
          <w:highlight w:val="none"/>
          <w:lang w:val="hr-HR" w:eastAsia="zh-CN"/>
        </w:rPr>
        <w:t>获取</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供应商登录政采云平台</w:t>
      </w:r>
      <w:r>
        <w:rPr>
          <w:rFonts w:hint="eastAsia" w:ascii="宋体" w:hAnsi="宋体" w:eastAsia="宋体" w:cs="宋体"/>
          <w:i w:val="0"/>
          <w:iCs w:val="0"/>
          <w:color w:val="auto"/>
          <w:sz w:val="24"/>
          <w:szCs w:val="24"/>
          <w:highlight w:val="none"/>
          <w:lang w:val="hr-HR"/>
        </w:rPr>
        <w:t>https</w:t>
      </w:r>
      <w:r>
        <w:rPr>
          <w:rFonts w:hint="eastAsia" w:ascii="宋体" w:hAnsi="宋体" w:eastAsia="宋体" w:cs="宋体"/>
          <w:bCs/>
          <w:i w:val="0"/>
          <w:iCs w:val="0"/>
          <w:color w:val="auto"/>
          <w:sz w:val="24"/>
          <w:szCs w:val="24"/>
          <w:highlight w:val="none"/>
        </w:rPr>
        <w:t>:</w:t>
      </w:r>
      <w:r>
        <w:rPr>
          <w:rFonts w:hint="eastAsia" w:ascii="宋体" w:hAnsi="宋体" w:eastAsia="宋体" w:cs="宋体"/>
          <w:i w:val="0"/>
          <w:iCs w:val="0"/>
          <w:color w:val="auto"/>
          <w:sz w:val="24"/>
          <w:szCs w:val="24"/>
          <w:highlight w:val="none"/>
          <w:lang w:val="hr-HR"/>
        </w:rPr>
        <w:t>//www.zcygov.cn/</w:t>
      </w:r>
      <w:r>
        <w:rPr>
          <w:rFonts w:hint="eastAsia" w:ascii="宋体" w:hAnsi="宋体" w:eastAsia="宋体" w:cs="宋体"/>
          <w:i w:val="0"/>
          <w:iCs w:val="0"/>
          <w:color w:val="auto"/>
          <w:sz w:val="24"/>
          <w:szCs w:val="24"/>
          <w:highlight w:val="none"/>
          <w:lang w:val="en-US"/>
        </w:rPr>
        <w:t>在线申请</w:t>
      </w:r>
      <w:r>
        <w:rPr>
          <w:rFonts w:hint="eastAsia" w:ascii="宋体" w:hAnsi="宋体" w:eastAsia="宋体"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rPr>
        <w:t>获取</w:t>
      </w:r>
      <w:r>
        <w:rPr>
          <w:rFonts w:hint="eastAsia" w:ascii="宋体" w:hAnsi="宋体" w:eastAsia="宋体" w:cs="宋体"/>
          <w:i w:val="0"/>
          <w:iCs w:val="0"/>
          <w:color w:val="auto"/>
          <w:sz w:val="24"/>
          <w:szCs w:val="24"/>
          <w:highlight w:val="none"/>
          <w:lang w:val="en-US" w:eastAsia="zh-CN"/>
        </w:rPr>
        <w:t>电子</w:t>
      </w:r>
      <w:r>
        <w:rPr>
          <w:rFonts w:hint="eastAsia" w:ascii="宋体" w:hAnsi="宋体" w:eastAsia="宋体" w:cs="宋体"/>
          <w:i w:val="0"/>
          <w:iCs w:val="0"/>
          <w:color w:val="auto"/>
          <w:sz w:val="24"/>
          <w:szCs w:val="24"/>
          <w:highlight w:val="none"/>
          <w:lang w:val="en-US"/>
        </w:rPr>
        <w:t>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进入</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项目采购</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应用</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在获取采购文件菜单中选择项目</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申请获取采购文件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w:t>
      </w:r>
      <w:r>
        <w:rPr>
          <w:rFonts w:hint="eastAsia" w:ascii="宋体" w:hAnsi="宋体" w:eastAsia="宋体" w:cs="宋体"/>
          <w:i w:val="0"/>
          <w:iCs w:val="0"/>
          <w:color w:val="auto"/>
          <w:sz w:val="24"/>
          <w:szCs w:val="24"/>
          <w:highlight w:val="none"/>
          <w:lang w:val="hr-HR"/>
        </w:rPr>
        <w:t xml:space="preserve"> </w:t>
      </w:r>
    </w:p>
    <w:p w14:paraId="6565D40F">
      <w:pPr>
        <w:pStyle w:val="37"/>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rPr>
        <w:t>售价：</w:t>
      </w:r>
      <w:r>
        <w:rPr>
          <w:rFonts w:hint="eastAsia" w:ascii="宋体" w:hAnsi="宋体" w:eastAsia="宋体" w:cs="宋体"/>
          <w:i w:val="0"/>
          <w:iCs w:val="0"/>
          <w:color w:val="auto"/>
          <w:sz w:val="24"/>
          <w:szCs w:val="24"/>
          <w:highlight w:val="none"/>
          <w:lang w:val="en-US" w:eastAsia="zh-CN"/>
        </w:rPr>
        <w:t>0元。</w:t>
      </w:r>
    </w:p>
    <w:bookmarkEnd w:id="41"/>
    <w:bookmarkEnd w:id="42"/>
    <w:bookmarkEnd w:id="43"/>
    <w:bookmarkEnd w:id="44"/>
    <w:bookmarkEnd w:id="45"/>
    <w:bookmarkEnd w:id="46"/>
    <w:p w14:paraId="447E1412">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48" w:name="_Toc109900251"/>
      <w:bookmarkStart w:id="49" w:name="_Toc109899413"/>
      <w:bookmarkStart w:id="50" w:name="_Toc140132748"/>
      <w:bookmarkStart w:id="51" w:name="_Toc109899832"/>
      <w:bookmarkStart w:id="52" w:name="_Toc155185863"/>
      <w:bookmarkStart w:id="53" w:name="_Toc163492815"/>
      <w:bookmarkStart w:id="54" w:name="_Toc15226"/>
      <w:r>
        <w:rPr>
          <w:rFonts w:hint="eastAsia" w:ascii="宋体" w:hAnsi="宋体" w:eastAsia="宋体" w:cs="宋体"/>
          <w:b/>
          <w:bCs/>
          <w:i w:val="0"/>
          <w:iCs w:val="0"/>
          <w:color w:val="auto"/>
          <w:kern w:val="2"/>
          <w:sz w:val="24"/>
          <w:szCs w:val="24"/>
          <w:highlight w:val="none"/>
          <w:lang w:val="en-US" w:eastAsia="zh-CN" w:bidi="ar-SA"/>
        </w:rPr>
        <w:t>四、</w:t>
      </w:r>
      <w:bookmarkEnd w:id="48"/>
      <w:bookmarkEnd w:id="49"/>
      <w:bookmarkEnd w:id="50"/>
      <w:bookmarkEnd w:id="51"/>
      <w:bookmarkEnd w:id="52"/>
      <w:bookmarkEnd w:id="53"/>
      <w:r>
        <w:rPr>
          <w:rFonts w:hint="eastAsia" w:ascii="宋体" w:hAnsi="宋体" w:eastAsia="宋体" w:cs="宋体"/>
          <w:b/>
          <w:bCs/>
          <w:i w:val="0"/>
          <w:iCs w:val="0"/>
          <w:color w:val="auto"/>
          <w:spacing w:val="-6"/>
          <w:kern w:val="2"/>
          <w:sz w:val="24"/>
          <w:szCs w:val="24"/>
          <w:highlight w:val="none"/>
          <w:lang w:val="hr-HR" w:eastAsia="zh-CN" w:bidi="ar-SA"/>
        </w:rPr>
        <w:t>响应文件提交</w:t>
      </w:r>
      <w:bookmarkEnd w:id="54"/>
    </w:p>
    <w:p w14:paraId="2D6197EB">
      <w:pPr>
        <w:pStyle w:val="37"/>
        <w:rPr>
          <w:rFonts w:hint="eastAsia" w:ascii="宋体" w:hAnsi="宋体" w:eastAsia="宋体" w:cs="宋体"/>
          <w:i w:val="0"/>
          <w:iCs w:val="0"/>
          <w:color w:val="auto"/>
          <w:sz w:val="24"/>
          <w:szCs w:val="24"/>
          <w:highlight w:val="none"/>
        </w:rPr>
      </w:pPr>
      <w:bookmarkStart w:id="55" w:name="_Hlk130457395"/>
      <w:bookmarkStart w:id="56" w:name="_Toc35393634"/>
      <w:bookmarkStart w:id="57" w:name="_Toc28359017"/>
      <w:bookmarkStart w:id="58" w:name="_Toc44583633"/>
      <w:bookmarkStart w:id="59" w:name="_Toc28359094"/>
      <w:bookmarkStart w:id="60" w:name="_Toc35393803"/>
      <w:r>
        <w:rPr>
          <w:rFonts w:hint="eastAsia" w:ascii="宋体" w:hAnsi="宋体" w:eastAsia="宋体" w:cs="宋体"/>
          <w:i w:val="0"/>
          <w:iCs w:val="0"/>
          <w:color w:val="auto"/>
          <w:sz w:val="24"/>
          <w:szCs w:val="24"/>
          <w:highlight w:val="none"/>
        </w:rPr>
        <w:t>1.截止时间</w:t>
      </w:r>
      <w:r>
        <w:rPr>
          <w:rFonts w:hint="eastAsia" w:ascii="宋体" w:hAnsi="宋体" w:eastAsia="宋体" w:cs="宋体"/>
          <w:i w:val="0"/>
          <w:iCs w:val="0"/>
          <w:color w:val="auto"/>
          <w:sz w:val="24"/>
          <w:szCs w:val="24"/>
          <w:highlight w:val="none"/>
          <w:lang w:eastAsia="zh-CN"/>
        </w:rPr>
        <w:t>：</w:t>
      </w:r>
      <w:r>
        <w:rPr>
          <w:rFonts w:hint="eastAsia" w:cs="宋体"/>
          <w:i w:val="0"/>
          <w:iCs w:val="0"/>
          <w:color w:val="auto"/>
          <w:sz w:val="24"/>
          <w:szCs w:val="24"/>
          <w:highlight w:val="none"/>
          <w:u w:val="single"/>
          <w:lang w:val="en-US" w:eastAsia="zh-CN"/>
        </w:rPr>
        <w:t>2025年6月30日10</w:t>
      </w:r>
      <w:r>
        <w:rPr>
          <w:rFonts w:hint="eastAsia" w:ascii="宋体" w:hAnsi="宋体" w:eastAsia="宋体" w:cs="宋体"/>
          <w:i w:val="0"/>
          <w:iCs w:val="0"/>
          <w:color w:val="auto"/>
          <w:sz w:val="24"/>
          <w:szCs w:val="24"/>
          <w:highlight w:val="none"/>
          <w:u w:val="single"/>
        </w:rPr>
        <w:t xml:space="preserve"> 时</w:t>
      </w:r>
      <w:r>
        <w:rPr>
          <w:rFonts w:hint="eastAsia"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w:t>
      </w:r>
    </w:p>
    <w:p w14:paraId="63FC81BC">
      <w:pPr>
        <w:pStyle w:val="3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：通过</w:t>
      </w:r>
      <w:r>
        <w:rPr>
          <w:rFonts w:hint="eastAsia" w:ascii="宋体" w:hAnsi="宋体" w:eastAsia="宋体" w:cs="宋体"/>
          <w:i w:val="0"/>
          <w:iCs w:val="0"/>
          <w:color w:val="auto"/>
          <w:sz w:val="24"/>
          <w:szCs w:val="24"/>
          <w:highlight w:val="none"/>
          <w:lang w:val="en-US"/>
        </w:rPr>
        <w:t>政采云平台投标</w:t>
      </w:r>
      <w:r>
        <w:rPr>
          <w:rFonts w:hint="eastAsia" w:ascii="宋体" w:hAnsi="宋体" w:eastAsia="宋体" w:cs="宋体"/>
          <w:i w:val="0"/>
          <w:iCs w:val="0"/>
          <w:color w:val="auto"/>
          <w:sz w:val="24"/>
          <w:szCs w:val="24"/>
          <w:highlight w:val="none"/>
        </w:rPr>
        <w:t>供应商客户端</w:t>
      </w:r>
    </w:p>
    <w:bookmarkEnd w:id="55"/>
    <w:p w14:paraId="6BAC9797">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1" w:name="_Toc24119"/>
      <w:bookmarkStart w:id="62" w:name="_Toc163492816"/>
      <w:bookmarkStart w:id="63" w:name="_Toc155185864"/>
      <w:bookmarkStart w:id="64" w:name="_Toc140132749"/>
      <w:bookmarkStart w:id="65" w:name="_Toc109899833"/>
      <w:bookmarkStart w:id="66" w:name="_Toc109900252"/>
      <w:bookmarkStart w:id="67" w:name="_Toc109899414"/>
      <w:r>
        <w:rPr>
          <w:rFonts w:hint="eastAsia" w:ascii="宋体" w:hAnsi="宋体" w:eastAsia="宋体" w:cs="宋体"/>
          <w:b/>
          <w:bCs/>
          <w:i w:val="0"/>
          <w:iCs w:val="0"/>
          <w:color w:val="auto"/>
          <w:kern w:val="2"/>
          <w:sz w:val="24"/>
          <w:szCs w:val="24"/>
          <w:highlight w:val="none"/>
          <w:lang w:val="en-US" w:eastAsia="zh-CN" w:bidi="ar-SA"/>
        </w:rPr>
        <w:t>五、开启</w:t>
      </w:r>
      <w:bookmarkEnd w:id="61"/>
    </w:p>
    <w:p w14:paraId="508C6E16">
      <w:pPr>
        <w:pStyle w:val="3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cs="宋体"/>
          <w:i w:val="0"/>
          <w:iCs w:val="0"/>
          <w:color w:val="auto"/>
          <w:sz w:val="24"/>
          <w:szCs w:val="24"/>
          <w:highlight w:val="none"/>
          <w:lang w:eastAsia="zh-CN"/>
        </w:rPr>
        <w:t>开标</w:t>
      </w:r>
      <w:r>
        <w:rPr>
          <w:rFonts w:hint="eastAsia" w:ascii="宋体" w:hAnsi="宋体" w:eastAsia="宋体" w:cs="宋体"/>
          <w:i w:val="0"/>
          <w:iCs w:val="0"/>
          <w:color w:val="auto"/>
          <w:sz w:val="24"/>
          <w:szCs w:val="24"/>
          <w:highlight w:val="none"/>
        </w:rPr>
        <w:t>时间：</w:t>
      </w:r>
      <w:r>
        <w:rPr>
          <w:rFonts w:hint="eastAsia" w:cs="宋体"/>
          <w:i w:val="0"/>
          <w:iCs w:val="0"/>
          <w:color w:val="auto"/>
          <w:sz w:val="24"/>
          <w:szCs w:val="24"/>
          <w:highlight w:val="none"/>
          <w:u w:val="single"/>
          <w:lang w:val="en-US" w:eastAsia="zh-CN"/>
        </w:rPr>
        <w:t>2025年6月30日10</w:t>
      </w:r>
      <w:r>
        <w:rPr>
          <w:rFonts w:hint="eastAsia" w:ascii="宋体" w:hAnsi="宋体" w:eastAsia="宋体" w:cs="宋体"/>
          <w:i w:val="0"/>
          <w:iCs w:val="0"/>
          <w:color w:val="auto"/>
          <w:sz w:val="24"/>
          <w:szCs w:val="24"/>
          <w:highlight w:val="none"/>
          <w:u w:val="single"/>
        </w:rPr>
        <w:t xml:space="preserve"> 时</w:t>
      </w:r>
      <w:r>
        <w:rPr>
          <w:rFonts w:hint="eastAsia"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w:t>
      </w:r>
    </w:p>
    <w:p w14:paraId="6EF391E3">
      <w:pPr>
        <w:pStyle w:val="37"/>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eastAsia="zh-CN"/>
        </w:rPr>
        <w:t>开标</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供应商登录政采云平台https</w:t>
      </w:r>
      <w:r>
        <w:rPr>
          <w:rFonts w:hint="eastAsia" w:ascii="宋体" w:hAnsi="宋体" w:eastAsia="宋体" w:cs="宋体"/>
          <w:bCs/>
          <w:i w:val="0"/>
          <w:iCs w:val="0"/>
          <w:color w:val="auto"/>
          <w:sz w:val="24"/>
          <w:szCs w:val="24"/>
          <w:highlight w:val="none"/>
        </w:rPr>
        <w:t>:</w:t>
      </w:r>
      <w:r>
        <w:rPr>
          <w:rFonts w:hint="eastAsia" w:ascii="宋体" w:hAnsi="宋体" w:eastAsia="宋体" w:cs="宋体"/>
          <w:i w:val="0"/>
          <w:iCs w:val="0"/>
          <w:color w:val="auto"/>
          <w:sz w:val="24"/>
          <w:szCs w:val="24"/>
          <w:highlight w:val="none"/>
          <w:lang w:val="en-US"/>
        </w:rPr>
        <w:t>//www.zcygov.cn/，进入“项目采购-开评标管理-右边选择对应项目点击“进入项目”进入开标大厅</w:t>
      </w:r>
      <w:r>
        <w:rPr>
          <w:rFonts w:hint="eastAsia" w:ascii="宋体" w:hAnsi="宋体" w:eastAsia="宋体" w:cs="宋体"/>
          <w:i w:val="0"/>
          <w:iCs w:val="0"/>
          <w:color w:val="auto"/>
          <w:sz w:val="24"/>
          <w:szCs w:val="24"/>
          <w:highlight w:val="none"/>
          <w:lang w:val="en-US" w:eastAsia="zh-CN"/>
        </w:rPr>
        <w:t>，新疆天瑞工程造价咨询有限公司(石河子市上海城B幢4楼开标室)</w:t>
      </w:r>
      <w:r>
        <w:rPr>
          <w:rFonts w:hint="eastAsia" w:ascii="宋体" w:hAnsi="宋体" w:eastAsia="宋体" w:cs="宋体"/>
          <w:i w:val="0"/>
          <w:iCs w:val="0"/>
          <w:color w:val="auto"/>
          <w:sz w:val="24"/>
          <w:szCs w:val="24"/>
          <w:highlight w:val="none"/>
          <w:lang w:val="en-US"/>
        </w:rPr>
        <w:t>。</w:t>
      </w:r>
    </w:p>
    <w:p w14:paraId="0B0D9ADF">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68" w:name="_Toc9733"/>
      <w:r>
        <w:rPr>
          <w:rFonts w:hint="eastAsia" w:ascii="宋体" w:hAnsi="宋体" w:eastAsia="宋体" w:cs="宋体"/>
          <w:b/>
          <w:bCs/>
          <w:i w:val="0"/>
          <w:iCs w:val="0"/>
          <w:color w:val="auto"/>
          <w:kern w:val="2"/>
          <w:sz w:val="24"/>
          <w:szCs w:val="24"/>
          <w:highlight w:val="none"/>
          <w:lang w:val="en-US" w:eastAsia="zh-CN" w:bidi="ar-SA"/>
        </w:rPr>
        <w:t>六、</w:t>
      </w:r>
      <w:r>
        <w:rPr>
          <w:rFonts w:hint="eastAsia" w:ascii="宋体" w:hAnsi="宋体" w:eastAsia="宋体" w:cs="宋体"/>
          <w:b/>
          <w:bCs/>
          <w:i w:val="0"/>
          <w:iCs w:val="0"/>
          <w:color w:val="auto"/>
          <w:kern w:val="2"/>
          <w:sz w:val="24"/>
          <w:szCs w:val="24"/>
          <w:highlight w:val="none"/>
          <w:lang w:val="hr-HR" w:eastAsia="zh-CN" w:bidi="ar-SA"/>
        </w:rPr>
        <w:t>公告期限</w:t>
      </w:r>
      <w:bookmarkEnd w:id="56"/>
      <w:bookmarkEnd w:id="57"/>
      <w:bookmarkEnd w:id="58"/>
      <w:bookmarkEnd w:id="59"/>
      <w:bookmarkEnd w:id="60"/>
      <w:bookmarkEnd w:id="62"/>
      <w:bookmarkEnd w:id="63"/>
      <w:bookmarkEnd w:id="64"/>
      <w:bookmarkEnd w:id="65"/>
      <w:bookmarkEnd w:id="66"/>
      <w:bookmarkEnd w:id="67"/>
      <w:bookmarkEnd w:id="68"/>
    </w:p>
    <w:p w14:paraId="187C1FE3">
      <w:pPr>
        <w:pageBreakBefore w:val="0"/>
        <w:shd w:val="clear"/>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自本公告发布之日起3个工作日。</w:t>
      </w:r>
      <w:bookmarkStart w:id="69" w:name="_Toc109899834"/>
      <w:bookmarkStart w:id="70" w:name="_Toc44583634"/>
      <w:bookmarkStart w:id="71" w:name="_Toc155185865"/>
      <w:bookmarkStart w:id="72" w:name="_Toc109899415"/>
      <w:bookmarkStart w:id="73" w:name="_Toc163492817"/>
      <w:bookmarkStart w:id="74" w:name="_Toc140132750"/>
      <w:bookmarkStart w:id="75" w:name="_Toc35393635"/>
      <w:bookmarkStart w:id="76" w:name="_Toc109900253"/>
      <w:bookmarkStart w:id="77" w:name="_Toc35393804"/>
    </w:p>
    <w:p w14:paraId="7CAF6DD9">
      <w:pPr>
        <w:pageBreakBefore w:val="0"/>
        <w:shd w:val="clear"/>
        <w:kinsoku/>
        <w:wordWrap/>
        <w:overflowPunct/>
        <w:topLinePunct w:val="0"/>
        <w:bidi w:val="0"/>
        <w:snapToGrid w:val="0"/>
        <w:spacing w:line="348" w:lineRule="auto"/>
        <w:jc w:val="both"/>
        <w:outlineLvl w:val="9"/>
        <w:rPr>
          <w:rFonts w:hint="eastAsia" w:ascii="宋体" w:hAnsi="宋体" w:eastAsia="宋体" w:cs="宋体"/>
          <w:b w:val="0"/>
          <w:bCs w:val="0"/>
          <w:i w:val="0"/>
          <w:iCs w:val="0"/>
          <w:color w:val="auto"/>
          <w:kern w:val="2"/>
          <w:sz w:val="24"/>
          <w:szCs w:val="24"/>
          <w:highlight w:val="none"/>
          <w:lang w:val="hr-HR" w:eastAsia="zh-CN" w:bidi="ar-SA"/>
        </w:rPr>
      </w:pPr>
      <w:bookmarkStart w:id="78" w:name="_Toc6777"/>
      <w:r>
        <w:rPr>
          <w:rStyle w:val="42"/>
          <w:rFonts w:hint="eastAsia"/>
          <w:color w:val="auto"/>
          <w:sz w:val="24"/>
          <w:szCs w:val="24"/>
          <w:highlight w:val="none"/>
          <w:lang w:val="hr-HR" w:eastAsia="zh-CN"/>
        </w:rPr>
        <w:t>七、其他补充事宜</w:t>
      </w:r>
      <w:bookmarkEnd w:id="69"/>
      <w:bookmarkEnd w:id="70"/>
      <w:bookmarkEnd w:id="71"/>
      <w:bookmarkEnd w:id="72"/>
      <w:bookmarkEnd w:id="73"/>
      <w:bookmarkEnd w:id="74"/>
      <w:bookmarkEnd w:id="75"/>
      <w:bookmarkEnd w:id="76"/>
      <w:bookmarkEnd w:id="77"/>
      <w:bookmarkEnd w:id="78"/>
    </w:p>
    <w:p w14:paraId="2043A8DF">
      <w:pPr>
        <w:widowControl/>
        <w:shd w:val="clear" w:color="auto"/>
        <w:spacing w:line="480" w:lineRule="exact"/>
        <w:ind w:firstLine="480" w:firstLineChars="200"/>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1、本项目实行网上</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，采用电子</w:t>
      </w:r>
      <w:r>
        <w:rPr>
          <w:rFonts w:hint="eastAsia" w:ascii="宋体" w:hAnsi="宋体" w:eastAsia="宋体" w:cs="宋体"/>
          <w:bCs/>
          <w:i w:val="0"/>
          <w:iCs w:val="0"/>
          <w:color w:val="auto"/>
          <w:sz w:val="24"/>
          <w:szCs w:val="24"/>
          <w:highlight w:val="none"/>
          <w:lang w:eastAsia="zh-CN"/>
        </w:rPr>
        <w:t>响应</w:t>
      </w:r>
      <w:r>
        <w:rPr>
          <w:rFonts w:hint="eastAsia" w:ascii="宋体" w:hAnsi="宋体" w:eastAsia="宋体" w:cs="宋体"/>
          <w:bCs/>
          <w:i w:val="0"/>
          <w:iCs w:val="0"/>
          <w:color w:val="auto"/>
          <w:sz w:val="24"/>
          <w:szCs w:val="24"/>
          <w:highlight w:val="none"/>
        </w:rPr>
        <w:t>文件</w:t>
      </w:r>
      <w:r>
        <w:rPr>
          <w:rFonts w:hint="eastAsia" w:ascii="宋体" w:hAnsi="宋体" w:eastAsia="宋体" w:cs="宋体"/>
          <w:bCs/>
          <w:i w:val="0"/>
          <w:iCs w:val="0"/>
          <w:color w:val="auto"/>
          <w:sz w:val="24"/>
          <w:szCs w:val="24"/>
          <w:highlight w:val="none"/>
          <w:lang w:eastAsia="zh-CN"/>
        </w:rPr>
        <w:t>。</w:t>
      </w:r>
    </w:p>
    <w:p w14:paraId="7DFC1A41">
      <w:pPr>
        <w:keepNext w:val="0"/>
        <w:keepLines w:val="0"/>
        <w:pageBreakBefore w:val="0"/>
        <w:widowControl/>
        <w:shd w:val="clear" w:color="auto"/>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4B02550E">
      <w:pPr>
        <w:keepNext w:val="0"/>
        <w:keepLines w:val="0"/>
        <w:pageBreakBefore w:val="0"/>
        <w:widowControl/>
        <w:shd w:val="clear" w:color="auto"/>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3、供应商将政采云电子交易客户端下载、安装完成后，可通过账号密码或CA登录客户端进行</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2A819AC">
      <w:pPr>
        <w:keepNext w:val="0"/>
        <w:keepLines w:val="0"/>
        <w:pageBreakBefore w:val="0"/>
        <w:widowControl/>
        <w:shd w:val="clear" w:color="auto"/>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val="en-US" w:eastAsia="zh-CN"/>
        </w:rPr>
      </w:pPr>
      <w:bookmarkStart w:id="79" w:name="_Toc1462"/>
      <w:r>
        <w:rPr>
          <w:rFonts w:hint="eastAsia" w:ascii="宋体" w:hAnsi="宋体" w:eastAsia="宋体" w:cs="宋体"/>
          <w:color w:val="auto"/>
          <w:sz w:val="24"/>
          <w:szCs w:val="24"/>
          <w:highlight w:val="none"/>
          <w:lang w:val="en-US" w:eastAsia="zh-CN"/>
        </w:rPr>
        <w:t>4、发布公告的媒介：新疆兵团政府采购网上发布</w:t>
      </w:r>
      <w:r>
        <w:rPr>
          <w:rFonts w:hint="eastAsia" w:cs="宋体"/>
          <w:color w:val="auto"/>
          <w:sz w:val="24"/>
          <w:szCs w:val="24"/>
          <w:highlight w:val="none"/>
          <w:lang w:val="en-US" w:eastAsia="zh-CN"/>
        </w:rPr>
        <w:t>。</w:t>
      </w:r>
    </w:p>
    <w:p w14:paraId="692B7884">
      <w:pPr>
        <w:pStyle w:val="3"/>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79"/>
    </w:p>
    <w:p w14:paraId="1A8A99EB">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rPr>
      </w:pPr>
      <w:bookmarkStart w:id="80" w:name="_Toc28359019"/>
      <w:bookmarkStart w:id="81" w:name="_Toc28359096"/>
      <w:bookmarkStart w:id="82" w:name="_Toc35393806"/>
      <w:bookmarkStart w:id="83" w:name="_Toc35393637"/>
      <w:r>
        <w:rPr>
          <w:rFonts w:hint="eastAsia" w:ascii="宋体" w:hAnsi="宋体" w:eastAsia="宋体" w:cs="宋体"/>
          <w:b w:val="0"/>
          <w:bCs w:val="0"/>
          <w:i w:val="0"/>
          <w:iCs w:val="0"/>
          <w:color w:val="auto"/>
          <w:sz w:val="24"/>
          <w:szCs w:val="24"/>
          <w:highlight w:val="none"/>
        </w:rPr>
        <w:t>1.采购人信息</w:t>
      </w:r>
      <w:bookmarkEnd w:id="80"/>
      <w:bookmarkEnd w:id="81"/>
      <w:bookmarkEnd w:id="82"/>
      <w:bookmarkEnd w:id="83"/>
    </w:p>
    <w:p w14:paraId="14F127BA">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名</w:t>
      </w:r>
      <w:r>
        <w:rPr>
          <w:rFonts w:hint="eastAsia"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w:t>
      </w:r>
      <w:r>
        <w:rPr>
          <w:rFonts w:hint="eastAsia" w:cs="宋体"/>
          <w:b w:val="0"/>
          <w:bCs w:val="0"/>
          <w:i w:val="0"/>
          <w:iCs w:val="0"/>
          <w:color w:val="auto"/>
          <w:sz w:val="24"/>
          <w:szCs w:val="24"/>
          <w:highlight w:val="none"/>
          <w:u w:val="none"/>
          <w:lang w:eastAsia="zh-CN"/>
        </w:rPr>
        <w:t>某单位</w:t>
      </w:r>
    </w:p>
    <w:p w14:paraId="188AA5D0">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rPr>
        <w:t>地</w:t>
      </w:r>
      <w:r>
        <w:rPr>
          <w:rFonts w:hint="eastAsia"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址：</w:t>
      </w:r>
      <w:r>
        <w:rPr>
          <w:rFonts w:hint="eastAsia" w:cs="宋体"/>
          <w:b w:val="0"/>
          <w:bCs w:val="0"/>
          <w:i w:val="0"/>
          <w:iCs w:val="0"/>
          <w:color w:val="auto"/>
          <w:sz w:val="24"/>
          <w:szCs w:val="24"/>
          <w:highlight w:val="none"/>
          <w:u w:val="none"/>
          <w:lang w:eastAsia="zh-CN"/>
        </w:rPr>
        <w:t>石河子</w:t>
      </w:r>
    </w:p>
    <w:p w14:paraId="2A0CD90E">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u w:val="none"/>
        </w:rPr>
      </w:pPr>
      <w:r>
        <w:rPr>
          <w:rFonts w:hint="eastAsia" w:cs="宋体"/>
          <w:b w:val="0"/>
          <w:bCs w:val="0"/>
          <w:i w:val="0"/>
          <w:iCs w:val="0"/>
          <w:color w:val="auto"/>
          <w:sz w:val="24"/>
          <w:szCs w:val="24"/>
          <w:highlight w:val="none"/>
          <w:u w:val="none"/>
          <w:lang w:eastAsia="zh-CN"/>
        </w:rPr>
        <w:t>联</w:t>
      </w:r>
      <w:r>
        <w:rPr>
          <w:rFonts w:hint="eastAsia" w:cs="宋体"/>
          <w:b w:val="0"/>
          <w:bCs w:val="0"/>
          <w:i w:val="0"/>
          <w:iCs w:val="0"/>
          <w:color w:val="auto"/>
          <w:sz w:val="24"/>
          <w:szCs w:val="24"/>
          <w:highlight w:val="none"/>
          <w:u w:val="none"/>
          <w:lang w:val="en-US" w:eastAsia="zh-CN"/>
        </w:rPr>
        <w:t xml:space="preserve"> </w:t>
      </w:r>
      <w:r>
        <w:rPr>
          <w:rFonts w:hint="eastAsia" w:cs="宋体"/>
          <w:b w:val="0"/>
          <w:bCs w:val="0"/>
          <w:i w:val="0"/>
          <w:iCs w:val="0"/>
          <w:color w:val="auto"/>
          <w:sz w:val="24"/>
          <w:szCs w:val="24"/>
          <w:highlight w:val="none"/>
          <w:u w:val="none"/>
          <w:lang w:eastAsia="zh-CN"/>
        </w:rPr>
        <w:t>系</w:t>
      </w:r>
      <w:r>
        <w:rPr>
          <w:rFonts w:hint="eastAsia" w:cs="宋体"/>
          <w:b w:val="0"/>
          <w:bCs w:val="0"/>
          <w:i w:val="0"/>
          <w:iCs w:val="0"/>
          <w:color w:val="auto"/>
          <w:sz w:val="24"/>
          <w:szCs w:val="24"/>
          <w:highlight w:val="none"/>
          <w:u w:val="none"/>
          <w:lang w:val="en-US" w:eastAsia="zh-CN"/>
        </w:rPr>
        <w:t xml:space="preserve"> </w:t>
      </w:r>
      <w:r>
        <w:rPr>
          <w:rFonts w:hint="eastAsia" w:cs="宋体"/>
          <w:b w:val="0"/>
          <w:bCs w:val="0"/>
          <w:i w:val="0"/>
          <w:iCs w:val="0"/>
          <w:color w:val="auto"/>
          <w:sz w:val="24"/>
          <w:szCs w:val="24"/>
          <w:highlight w:val="none"/>
          <w:u w:val="none"/>
          <w:lang w:eastAsia="zh-CN"/>
        </w:rPr>
        <w:t>人：贺延君</w:t>
      </w:r>
    </w:p>
    <w:p w14:paraId="58B1D295">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联系方式：</w:t>
      </w:r>
      <w:bookmarkStart w:id="84" w:name="_Hlk46775675"/>
      <w:r>
        <w:rPr>
          <w:rFonts w:hint="eastAsia" w:ascii="宋体" w:hAnsi="宋体" w:eastAsia="宋体" w:cs="宋体"/>
          <w:b w:val="0"/>
          <w:bCs w:val="0"/>
          <w:i w:val="0"/>
          <w:iCs w:val="0"/>
          <w:color w:val="auto"/>
          <w:sz w:val="24"/>
          <w:szCs w:val="24"/>
          <w:highlight w:val="none"/>
          <w:u w:val="none"/>
          <w:lang w:val="en-US" w:eastAsia="zh-CN"/>
        </w:rPr>
        <w:t>18999530258</w:t>
      </w:r>
    </w:p>
    <w:bookmarkEnd w:id="84"/>
    <w:p w14:paraId="7BCC8D9E">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u w:val="none"/>
        </w:rPr>
      </w:pPr>
      <w:bookmarkStart w:id="85" w:name="_Toc28359020"/>
      <w:bookmarkStart w:id="86" w:name="_Toc28359097"/>
      <w:bookmarkStart w:id="87" w:name="_Toc35393638"/>
      <w:bookmarkStart w:id="88" w:name="_Toc35393807"/>
      <w:r>
        <w:rPr>
          <w:rFonts w:hint="eastAsia" w:ascii="宋体" w:hAnsi="宋体" w:eastAsia="宋体" w:cs="宋体"/>
          <w:b w:val="0"/>
          <w:bCs w:val="0"/>
          <w:i w:val="0"/>
          <w:iCs w:val="0"/>
          <w:color w:val="auto"/>
          <w:sz w:val="24"/>
          <w:szCs w:val="24"/>
          <w:highlight w:val="none"/>
          <w:u w:val="none"/>
        </w:rPr>
        <w:t>2.采购代理机构信息</w:t>
      </w:r>
      <w:bookmarkEnd w:id="85"/>
      <w:bookmarkEnd w:id="86"/>
      <w:bookmarkEnd w:id="87"/>
      <w:bookmarkEnd w:id="88"/>
    </w:p>
    <w:p w14:paraId="617A5A52">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名</w:t>
      </w:r>
      <w:r>
        <w:rPr>
          <w:rFonts w:hint="eastAsia"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w:t>
      </w:r>
      <w:r>
        <w:rPr>
          <w:rFonts w:hint="eastAsia" w:ascii="宋体" w:hAnsi="宋体" w:eastAsia="宋体" w:cs="宋体"/>
          <w:b w:val="0"/>
          <w:bCs w:val="0"/>
          <w:i w:val="0"/>
          <w:iCs w:val="0"/>
          <w:color w:val="auto"/>
          <w:sz w:val="24"/>
          <w:szCs w:val="24"/>
          <w:highlight w:val="none"/>
          <w:u w:val="none"/>
          <w:lang w:val="en-US" w:eastAsia="zh-CN"/>
        </w:rPr>
        <w:t>新疆天瑞工程造价咨询有限公司</w:t>
      </w:r>
    </w:p>
    <w:p w14:paraId="54E9E087">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地</w:t>
      </w:r>
      <w:r>
        <w:rPr>
          <w:rFonts w:hint="eastAsia"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址：</w:t>
      </w:r>
      <w:r>
        <w:rPr>
          <w:rFonts w:hint="eastAsia" w:ascii="宋体" w:hAnsi="宋体" w:eastAsia="宋体" w:cs="宋体"/>
          <w:b w:val="0"/>
          <w:bCs w:val="0"/>
          <w:i w:val="0"/>
          <w:iCs w:val="0"/>
          <w:color w:val="auto"/>
          <w:sz w:val="24"/>
          <w:szCs w:val="24"/>
          <w:highlight w:val="none"/>
          <w:u w:val="none"/>
          <w:lang w:val="en-US" w:eastAsia="zh-CN"/>
        </w:rPr>
        <w:t>石河子市上海城B幢4</w:t>
      </w:r>
      <w:r>
        <w:rPr>
          <w:rFonts w:hint="eastAsia" w:ascii="宋体" w:hAnsi="宋体" w:eastAsia="宋体" w:cs="宋体"/>
          <w:i w:val="0"/>
          <w:iCs w:val="0"/>
          <w:color w:val="auto"/>
          <w:sz w:val="24"/>
          <w:szCs w:val="24"/>
          <w:highlight w:val="none"/>
          <w:u w:val="none"/>
          <w:lang w:val="en-US" w:eastAsia="zh-CN"/>
        </w:rPr>
        <w:t>楼开标室</w:t>
      </w:r>
    </w:p>
    <w:p w14:paraId="7D91AC76">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cs="宋体"/>
          <w:i w:val="0"/>
          <w:iCs w:val="0"/>
          <w:color w:val="auto"/>
          <w:sz w:val="24"/>
          <w:szCs w:val="24"/>
          <w:highlight w:val="none"/>
          <w:u w:val="none"/>
          <w:lang w:eastAsia="zh-CN"/>
        </w:rPr>
      </w:pPr>
      <w:r>
        <w:rPr>
          <w:rFonts w:hint="eastAsia" w:cs="宋体"/>
          <w:i w:val="0"/>
          <w:iCs w:val="0"/>
          <w:color w:val="auto"/>
          <w:sz w:val="24"/>
          <w:szCs w:val="24"/>
          <w:highlight w:val="none"/>
          <w:u w:val="none"/>
          <w:lang w:eastAsia="zh-CN"/>
        </w:rPr>
        <w:t>联</w:t>
      </w:r>
      <w:r>
        <w:rPr>
          <w:rFonts w:hint="eastAsia" w:cs="宋体"/>
          <w:i w:val="0"/>
          <w:iCs w:val="0"/>
          <w:color w:val="auto"/>
          <w:sz w:val="24"/>
          <w:szCs w:val="24"/>
          <w:highlight w:val="none"/>
          <w:u w:val="none"/>
          <w:lang w:val="en-US" w:eastAsia="zh-CN"/>
        </w:rPr>
        <w:t xml:space="preserve"> </w:t>
      </w:r>
      <w:r>
        <w:rPr>
          <w:rFonts w:hint="eastAsia" w:cs="宋体"/>
          <w:i w:val="0"/>
          <w:iCs w:val="0"/>
          <w:color w:val="auto"/>
          <w:sz w:val="24"/>
          <w:szCs w:val="24"/>
          <w:highlight w:val="none"/>
          <w:u w:val="none"/>
          <w:lang w:eastAsia="zh-CN"/>
        </w:rPr>
        <w:t>系</w:t>
      </w:r>
      <w:r>
        <w:rPr>
          <w:rFonts w:hint="eastAsia" w:cs="宋体"/>
          <w:i w:val="0"/>
          <w:iCs w:val="0"/>
          <w:color w:val="auto"/>
          <w:sz w:val="24"/>
          <w:szCs w:val="24"/>
          <w:highlight w:val="none"/>
          <w:u w:val="none"/>
          <w:lang w:val="en-US" w:eastAsia="zh-CN"/>
        </w:rPr>
        <w:t xml:space="preserve"> </w:t>
      </w:r>
      <w:r>
        <w:rPr>
          <w:rFonts w:hint="eastAsia" w:cs="宋体"/>
          <w:i w:val="0"/>
          <w:iCs w:val="0"/>
          <w:color w:val="auto"/>
          <w:sz w:val="24"/>
          <w:szCs w:val="24"/>
          <w:highlight w:val="none"/>
          <w:u w:val="none"/>
          <w:lang w:eastAsia="zh-CN"/>
        </w:rPr>
        <w:t>人：张斌</w:t>
      </w:r>
    </w:p>
    <w:p w14:paraId="1A7A2626">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联系方式： 15299939280</w:t>
      </w:r>
    </w:p>
    <w:p w14:paraId="494CE417">
      <w:pPr>
        <w:pStyle w:val="37"/>
        <w:keepNext w:val="0"/>
        <w:keepLines w:val="0"/>
        <w:pageBreakBefore w:val="0"/>
        <w:widowControl w:val="0"/>
        <w:kinsoku/>
        <w:wordWrap w:val="0"/>
        <w:overflowPunct/>
        <w:topLinePunct w:val="0"/>
        <w:autoSpaceDE/>
        <w:autoSpaceDN/>
        <w:bidi w:val="0"/>
        <w:adjustRightInd/>
        <w:snapToGrid/>
        <w:spacing w:line="480" w:lineRule="auto"/>
        <w:ind w:firstLine="482"/>
        <w:textAlignment w:val="auto"/>
        <w:rPr>
          <w:rFonts w:hint="eastAsia" w:ascii="宋体" w:hAnsi="宋体" w:eastAsia="宋体" w:cs="宋体"/>
          <w:i w:val="0"/>
          <w:iCs w:val="0"/>
          <w:color w:val="auto"/>
          <w:sz w:val="24"/>
          <w:szCs w:val="24"/>
          <w:highlight w:val="none"/>
          <w:u w:val="none"/>
        </w:rPr>
      </w:pPr>
    </w:p>
    <w:p w14:paraId="22579F0E">
      <w:pPr>
        <w:pStyle w:val="95"/>
        <w:keepNext w:val="0"/>
        <w:keepLines w:val="0"/>
        <w:pageBreakBefore w:val="0"/>
        <w:widowControl/>
        <w:kinsoku/>
        <w:overflowPunct/>
        <w:autoSpaceDE/>
        <w:autoSpaceDN/>
        <w:bidi w:val="0"/>
        <w:adjustRightInd/>
        <w:snapToGrid/>
        <w:spacing w:after="200" w:line="500" w:lineRule="exact"/>
        <w:ind w:firstLine="4800" w:firstLineChars="2000"/>
        <w:jc w:val="left"/>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2025年6月18日</w:t>
      </w:r>
    </w:p>
    <w:p w14:paraId="1002A784">
      <w:pPr>
        <w:ind w:firstLine="480" w:firstLineChars="200"/>
        <w:rPr>
          <w:i w:val="0"/>
          <w:iCs w:val="0"/>
          <w:color w:val="auto"/>
          <w:highlight w:val="none"/>
        </w:rPr>
      </w:pPr>
    </w:p>
    <w:p w14:paraId="160F9D0A">
      <w:pPr>
        <w:ind w:firstLine="480" w:firstLineChars="200"/>
        <w:rPr>
          <w:i w:val="0"/>
          <w:iCs w:val="0"/>
          <w:color w:val="auto"/>
          <w:highlight w:val="none"/>
        </w:rPr>
      </w:pPr>
    </w:p>
    <w:p w14:paraId="319F9C40">
      <w:pPr>
        <w:ind w:firstLine="480" w:firstLineChars="200"/>
        <w:rPr>
          <w:i w:val="0"/>
          <w:iCs w:val="0"/>
          <w:color w:val="auto"/>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E2C9AB2">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89" w:name="_Toc9638"/>
      <w:r>
        <w:rPr>
          <w:rFonts w:hint="eastAsia" w:ascii="宋体" w:hAnsi="宋体" w:eastAsia="宋体" w:cs="宋体"/>
          <w:b/>
          <w:bCs/>
          <w:color w:val="auto"/>
          <w:kern w:val="44"/>
          <w:sz w:val="36"/>
          <w:szCs w:val="36"/>
          <w:highlight w:val="none"/>
          <w:lang w:val="en-US" w:eastAsia="zh-CN" w:bidi="ar-SA"/>
        </w:rPr>
        <w:t>第二章 供应商须知</w:t>
      </w:r>
      <w:bookmarkEnd w:id="89"/>
    </w:p>
    <w:p w14:paraId="224924B5">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0" w:name="_Toc11918"/>
      <w:r>
        <w:rPr>
          <w:rFonts w:hint="eastAsia" w:eastAsia="宋体" w:asciiTheme="majorHAnsi" w:hAnsiTheme="majorHAnsi" w:cstheme="majorBidi"/>
          <w:b/>
          <w:bCs/>
          <w:color w:val="auto"/>
          <w:kern w:val="2"/>
          <w:sz w:val="28"/>
          <w:szCs w:val="28"/>
          <w:highlight w:val="none"/>
          <w:lang w:val="en-US" w:eastAsia="zh-CN" w:bidi="ar-SA"/>
        </w:rPr>
        <w:t>一、供应商须知前附表</w:t>
      </w:r>
      <w:bookmarkEnd w:id="90"/>
    </w:p>
    <w:p w14:paraId="016068EF">
      <w:pPr>
        <w:pStyle w:val="37"/>
        <w:ind w:firstLine="480"/>
        <w:rPr>
          <w:i w:val="0"/>
          <w:iCs w:val="0"/>
          <w:color w:val="auto"/>
          <w:highlight w:val="none"/>
        </w:rPr>
      </w:pPr>
      <w:r>
        <w:rPr>
          <w:rFonts w:hint="eastAsia"/>
          <w:i w:val="0"/>
          <w:iCs w:val="0"/>
          <w:color w:val="auto"/>
          <w:highlight w:val="none"/>
        </w:rPr>
        <w:t>磋商供应商应仔细阅读本磋商文件的第二章“供应商须知”，下面所列资料是对“供应商须知”的具体补充和说明。如有矛盾，应以本表为准。</w:t>
      </w:r>
      <w:r>
        <w:rPr>
          <w:rFonts w:hint="eastAsia"/>
          <w:i w:val="0"/>
          <w:iCs w:val="0"/>
          <w:color w:val="auto"/>
          <w:highlight w:val="none"/>
          <w:lang w:val="en-US" w:eastAsia="zh-CN"/>
        </w:rPr>
        <w:t>标记“</w:t>
      </w:r>
      <w:r>
        <w:rPr>
          <w:rFonts w:hint="eastAsia" w:ascii="宋体" w:hAnsi="宋体" w:eastAsia="宋体"/>
          <w:i w:val="0"/>
          <w:iCs w:val="0"/>
          <w:color w:val="auto"/>
          <w:highlight w:val="none"/>
          <w:lang w:val="en-US" w:eastAsia="zh-CN"/>
        </w:rPr>
        <w:t>☑”的选项意为适用于本项目，标记“□”的选项意为不适用于本项目。</w:t>
      </w:r>
    </w:p>
    <w:tbl>
      <w:tblPr>
        <w:tblStyle w:val="31"/>
        <w:tblW w:w="9354"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6663"/>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5"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b/>
                <w:bCs/>
                <w:i w:val="0"/>
                <w:iCs w:val="0"/>
                <w:color w:val="auto"/>
                <w:sz w:val="24"/>
                <w:szCs w:val="24"/>
                <w:highlight w:val="none"/>
              </w:rPr>
            </w:pPr>
            <w:bookmarkStart w:id="91" w:name="_Hlk161703381"/>
            <w:r>
              <w:rPr>
                <w:rFonts w:hint="eastAsia" w:ascii="宋体" w:hAnsi="宋体" w:eastAsia="宋体" w:cs="宋体"/>
                <w:b/>
                <w:bCs/>
                <w:i w:val="0"/>
                <w:iCs w:val="0"/>
                <w:color w:val="auto"/>
                <w:sz w:val="24"/>
                <w:szCs w:val="24"/>
                <w:highlight w:val="none"/>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66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721" w:type="dxa"/>
            <w:tcBorders>
              <w:top w:val="single" w:color="auto" w:sz="2" w:space="0"/>
              <w:left w:val="single" w:color="auto" w:sz="2" w:space="0"/>
              <w:bottom w:val="single" w:color="auto" w:sz="2" w:space="0"/>
              <w:right w:val="single" w:color="auto" w:sz="2" w:space="0"/>
            </w:tcBorders>
            <w:vAlign w:val="center"/>
          </w:tcPr>
          <w:p w14:paraId="71CF8DC6">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bookmarkStart w:id="92" w:name="_Hlk143529175"/>
            <w:r>
              <w:rPr>
                <w:rFonts w:hint="eastAsia" w:ascii="宋体" w:hAnsi="宋体" w:eastAsia="宋体" w:cs="宋体"/>
                <w:i w:val="0"/>
                <w:iCs w:val="0"/>
                <w:color w:val="auto"/>
                <w:sz w:val="24"/>
                <w:szCs w:val="24"/>
                <w:highlight w:val="none"/>
              </w:rPr>
              <w:t>现场考察</w:t>
            </w:r>
            <w:bookmarkEnd w:id="92"/>
          </w:p>
        </w:tc>
        <w:tc>
          <w:tcPr>
            <w:tcW w:w="6663" w:type="dxa"/>
            <w:tcBorders>
              <w:top w:val="single" w:color="auto" w:sz="2" w:space="0"/>
              <w:left w:val="single" w:color="auto" w:sz="2" w:space="0"/>
              <w:bottom w:val="single" w:color="auto" w:sz="2" w:space="0"/>
              <w:right w:val="single" w:color="auto" w:sz="2" w:space="0"/>
            </w:tcBorders>
            <w:vAlign w:val="center"/>
          </w:tcPr>
          <w:p w14:paraId="5E2B3EE4">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不组织，供应商自行前往</w:t>
            </w:r>
          </w:p>
          <w:p w14:paraId="2238EF6A">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组织</w:t>
            </w:r>
          </w:p>
          <w:p w14:paraId="047A7004">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520FC15">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eastAsia="zh-CN"/>
              </w:rPr>
              <w:t>石河子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708D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0DFFA9D">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4B69922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2F17AFF8">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4A4C4E96">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193F38F2">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461D1F46">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8"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4A7BE250">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663" w:type="dxa"/>
            <w:tcBorders>
              <w:top w:val="single" w:color="auto" w:sz="2" w:space="0"/>
              <w:left w:val="single" w:color="auto" w:sz="2" w:space="0"/>
              <w:bottom w:val="single" w:color="auto" w:sz="2" w:space="0"/>
              <w:right w:val="single" w:color="auto" w:sz="2" w:space="0"/>
            </w:tcBorders>
            <w:vAlign w:val="center"/>
          </w:tcPr>
          <w:p w14:paraId="35CDAC39">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7419497D">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15299939280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631C46F9">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56E4A3E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响应文件有效期</w:t>
            </w:r>
          </w:p>
        </w:tc>
        <w:tc>
          <w:tcPr>
            <w:tcW w:w="6663" w:type="dxa"/>
            <w:tcBorders>
              <w:top w:val="single" w:color="auto" w:sz="2" w:space="0"/>
              <w:left w:val="single" w:color="auto" w:sz="2" w:space="0"/>
              <w:bottom w:val="single" w:color="auto" w:sz="2" w:space="0"/>
              <w:right w:val="single" w:color="auto" w:sz="2" w:space="0"/>
            </w:tcBorders>
            <w:vAlign w:val="center"/>
          </w:tcPr>
          <w:p w14:paraId="7A8404D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85"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721" w:type="dxa"/>
            <w:tcBorders>
              <w:top w:val="single" w:color="auto" w:sz="2" w:space="0"/>
              <w:left w:val="single" w:color="auto" w:sz="2" w:space="0"/>
              <w:bottom w:val="single" w:color="auto" w:sz="2" w:space="0"/>
              <w:right w:val="single" w:color="auto" w:sz="2" w:space="0"/>
            </w:tcBorders>
            <w:vAlign w:val="center"/>
          </w:tcPr>
          <w:p w14:paraId="60D2F551">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663" w:type="dxa"/>
            <w:tcBorders>
              <w:top w:val="single" w:color="auto" w:sz="2" w:space="0"/>
              <w:left w:val="single" w:color="auto" w:sz="2" w:space="0"/>
              <w:bottom w:val="single" w:color="auto" w:sz="2" w:space="0"/>
              <w:right w:val="single" w:color="auto" w:sz="2" w:space="0"/>
            </w:tcBorders>
            <w:vAlign w:val="center"/>
          </w:tcPr>
          <w:p w14:paraId="713A171A">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5947F8CF">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659FBE06">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408CDEE0">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□定额收取：人民币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lang w:eastAsia="zh-CN"/>
              </w:rPr>
              <w:t>。</w:t>
            </w:r>
          </w:p>
          <w:p w14:paraId="471258F6">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4A250729">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3245F7C">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3.收款单位：新疆天瑞工程造价咨询有限公司</w:t>
            </w:r>
          </w:p>
          <w:p w14:paraId="6808B6DA">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开户银行：中国建设银行石河子分行夕阳红支行</w:t>
            </w:r>
          </w:p>
          <w:p w14:paraId="5B33A771">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行    号：105902800039</w:t>
            </w:r>
          </w:p>
          <w:p w14:paraId="013890D1">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账    号：6505 0163 1700 0000 0228</w:t>
            </w:r>
            <w:r>
              <w:rPr>
                <w:rFonts w:hint="eastAsia" w:ascii="宋体" w:hAnsi="宋体" w:eastAsia="宋体" w:cs="宋体"/>
                <w:i w:val="0"/>
                <w:iCs w:val="0"/>
                <w:color w:val="auto"/>
                <w:sz w:val="24"/>
                <w:szCs w:val="24"/>
                <w:highlight w:val="none"/>
              </w:rPr>
              <w:t xml:space="preserve">                       </w:t>
            </w:r>
          </w:p>
          <w:p w14:paraId="1F174ACF">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 xml:space="preserve">退还时间： </w:t>
            </w:r>
            <w:r>
              <w:rPr>
                <w:rFonts w:hint="eastAsia" w:ascii="宋体" w:hAnsi="宋体" w:eastAsia="宋体" w:cs="宋体"/>
                <w:i w:val="0"/>
                <w:iCs w:val="0"/>
                <w:color w:val="auto"/>
                <w:sz w:val="24"/>
                <w:szCs w:val="24"/>
                <w:highlight w:val="none"/>
                <w:lang w:val="en-US" w:eastAsia="zh-CN"/>
              </w:rPr>
              <w:t>自成交通知书发出之日起 5 个工作日内退还未成交供应商的磋商保证金，自政府采购合同签订之日起 5 个工作日内退还成交供应商的投标保证金。</w:t>
            </w:r>
            <w:r>
              <w:rPr>
                <w:rFonts w:hint="eastAsia" w:ascii="宋体" w:hAnsi="宋体" w:eastAsia="宋体" w:cs="宋体"/>
                <w:i w:val="0"/>
                <w:iCs w:val="0"/>
                <w:color w:val="auto"/>
                <w:sz w:val="24"/>
                <w:szCs w:val="24"/>
                <w:highlight w:val="none"/>
              </w:rPr>
              <w:t xml:space="preserve">             </w:t>
            </w:r>
          </w:p>
          <w:p w14:paraId="0C79EF6C">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7CEAD366">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51E0176B">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保证金的，受益人和收取单位须为采购人。</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w:t>
            </w:r>
          </w:p>
        </w:tc>
        <w:tc>
          <w:tcPr>
            <w:tcW w:w="1721" w:type="dxa"/>
            <w:tcBorders>
              <w:top w:val="single" w:color="auto" w:sz="2" w:space="0"/>
              <w:left w:val="single" w:color="auto" w:sz="2" w:space="0"/>
              <w:bottom w:val="single" w:color="auto" w:sz="2" w:space="0"/>
              <w:right w:val="single" w:color="auto" w:sz="2" w:space="0"/>
            </w:tcBorders>
            <w:vAlign w:val="center"/>
          </w:tcPr>
          <w:p w14:paraId="747E8F82">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663" w:type="dxa"/>
            <w:tcBorders>
              <w:top w:val="single" w:color="auto" w:sz="2" w:space="0"/>
              <w:left w:val="single" w:color="auto" w:sz="2" w:space="0"/>
              <w:bottom w:val="single" w:color="auto" w:sz="2" w:space="0"/>
              <w:right w:val="single" w:color="auto" w:sz="2" w:space="0"/>
            </w:tcBorders>
            <w:vAlign w:val="center"/>
          </w:tcPr>
          <w:p w14:paraId="125EFEDD">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 xml:space="preserve">20 </w:t>
            </w:r>
            <w:r>
              <w:rPr>
                <w:rFonts w:hint="eastAsia" w:ascii="宋体" w:hAnsi="宋体" w:eastAsia="宋体" w:cs="宋体"/>
                <w:i w:val="0"/>
                <w:iCs w:val="0"/>
                <w:color w:val="auto"/>
                <w:sz w:val="24"/>
                <w:szCs w:val="24"/>
                <w:highlight w:val="none"/>
                <w:lang w:val="en-US" w:eastAsia="zh-CN"/>
              </w:rPr>
              <w:t>分钟</w:t>
            </w:r>
            <w:r>
              <w:rPr>
                <w:rFonts w:hint="eastAsia" w:ascii="宋体" w:hAnsi="宋体" w:eastAsia="宋体" w:cs="宋体"/>
                <w:i w:val="0"/>
                <w:iCs w:val="0"/>
                <w:color w:val="auto"/>
                <w:sz w:val="24"/>
                <w:szCs w:val="24"/>
                <w:highlight w:val="none"/>
              </w:rPr>
              <w:t xml:space="preserve"> </w:t>
            </w:r>
          </w:p>
          <w:p w14:paraId="7EBEE188">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r>
              <w:rPr>
                <w:rFonts w:hint="eastAsia" w:ascii="宋体" w:hAnsi="宋体" w:eastAsia="宋体" w:cs="宋体"/>
                <w:i w:val="0"/>
                <w:iCs w:val="0"/>
                <w:color w:val="auto"/>
                <w:sz w:val="24"/>
                <w:szCs w:val="24"/>
                <w:highlight w:val="none"/>
              </w:rPr>
              <w:t>。</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5"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27.2</w:t>
            </w:r>
          </w:p>
        </w:tc>
        <w:tc>
          <w:tcPr>
            <w:tcW w:w="1721" w:type="dxa"/>
            <w:tcBorders>
              <w:top w:val="single" w:color="auto" w:sz="2" w:space="0"/>
              <w:left w:val="single" w:color="auto" w:sz="2" w:space="0"/>
              <w:bottom w:val="single" w:color="auto" w:sz="2" w:space="0"/>
              <w:right w:val="single" w:color="auto" w:sz="2" w:space="0"/>
            </w:tcBorders>
            <w:vAlign w:val="center"/>
          </w:tcPr>
          <w:p w14:paraId="3B1D8DC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663" w:type="dxa"/>
            <w:tcBorders>
              <w:top w:val="single" w:color="auto" w:sz="2" w:space="0"/>
              <w:left w:val="single" w:color="auto" w:sz="2" w:space="0"/>
              <w:bottom w:val="single" w:color="auto" w:sz="2" w:space="0"/>
              <w:right w:val="single" w:color="auto" w:sz="2" w:space="0"/>
            </w:tcBorders>
            <w:vAlign w:val="center"/>
          </w:tcPr>
          <w:p w14:paraId="6720137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成交候选供应商数量</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9"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28</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7F769072">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663" w:type="dxa"/>
            <w:tcBorders>
              <w:top w:val="single" w:color="auto" w:sz="2" w:space="0"/>
              <w:left w:val="single" w:color="auto" w:sz="2" w:space="0"/>
              <w:bottom w:val="single" w:color="auto" w:sz="2" w:space="0"/>
              <w:right w:val="single" w:color="auto" w:sz="2" w:space="0"/>
            </w:tcBorders>
            <w:vAlign w:val="center"/>
          </w:tcPr>
          <w:p w14:paraId="77284D4E">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5AFD1CC8">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76"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6AB44AED">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663" w:type="dxa"/>
            <w:tcBorders>
              <w:top w:val="single" w:color="auto" w:sz="2" w:space="0"/>
              <w:left w:val="single" w:color="auto" w:sz="2" w:space="0"/>
              <w:bottom w:val="single" w:color="auto" w:sz="2" w:space="0"/>
              <w:right w:val="single" w:color="auto" w:sz="2" w:space="0"/>
            </w:tcBorders>
            <w:vAlign w:val="center"/>
          </w:tcPr>
          <w:p w14:paraId="242C35C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900BF28">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□免收</w:t>
            </w:r>
          </w:p>
          <w:p w14:paraId="1CB543E4">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合同价的</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 xml:space="preserve"> %</w:t>
            </w:r>
          </w:p>
          <w:p w14:paraId="765D7FA1">
            <w:pPr>
              <w:pStyle w:val="48"/>
              <w:keepNext w:val="0"/>
              <w:keepLines w:val="0"/>
              <w:pageBreakBefore w:val="0"/>
              <w:kinsoku/>
              <w:wordWrap/>
              <w:overflowPunct/>
              <w:topLinePunct w:val="0"/>
              <w:bidi w:val="0"/>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none"/>
              </w:rPr>
              <w:t>人民币</w:t>
            </w:r>
            <w:r>
              <w:rPr>
                <w:rFonts w:hint="eastAsia" w:ascii="宋体" w:hAnsi="宋体" w:eastAsia="宋体" w:cs="宋体"/>
                <w:i w:val="0"/>
                <w:iCs w:val="0"/>
                <w:color w:val="auto"/>
                <w:sz w:val="24"/>
                <w:szCs w:val="24"/>
                <w:highlight w:val="none"/>
                <w:u w:val="single"/>
              </w:rPr>
              <w:t xml:space="preserve">           元</w:t>
            </w:r>
          </w:p>
          <w:p w14:paraId="0067AB47">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278665BD">
            <w:pPr>
              <w:pStyle w:val="66"/>
              <w:keepNext w:val="0"/>
              <w:keepLines w:val="0"/>
              <w:pageBreakBefore w:val="0"/>
              <w:widowControl w:val="0"/>
              <w:shd w:val="clear" w:color="auto" w:fill="auto"/>
              <w:kinsoku/>
              <w:wordWrap/>
              <w:overflowPunct/>
              <w:topLinePunct w:val="0"/>
              <w:autoSpaceDE/>
              <w:autoSpaceDN/>
              <w:bidi w:val="0"/>
              <w:adjustRightInd/>
              <w:snapToGrid/>
              <w:spacing w:line="35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18EEE24E">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收取单位：</w:t>
            </w:r>
            <w:r>
              <w:rPr>
                <w:rFonts w:hint="eastAsia" w:cs="宋体"/>
                <w:i w:val="0"/>
                <w:iCs w:val="0"/>
                <w:color w:val="auto"/>
                <w:sz w:val="24"/>
                <w:szCs w:val="24"/>
                <w:highlight w:val="none"/>
                <w:lang w:eastAsia="zh-CN"/>
              </w:rPr>
              <w:t>某单位</w:t>
            </w:r>
            <w:r>
              <w:rPr>
                <w:rFonts w:hint="eastAsia" w:ascii="宋体" w:hAnsi="宋体" w:eastAsia="宋体" w:cs="宋体"/>
                <w:i w:val="0"/>
                <w:iCs w:val="0"/>
                <w:color w:val="auto"/>
                <w:sz w:val="24"/>
                <w:szCs w:val="24"/>
                <w:highlight w:val="none"/>
              </w:rPr>
              <w:t xml:space="preserve">                            </w:t>
            </w:r>
          </w:p>
          <w:p w14:paraId="268DB4F1">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4.收取账号：成交后提供 </w:t>
            </w:r>
          </w:p>
          <w:p w14:paraId="0847B625">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5.退还时间：出具审定报告并提供全套施工资料至发包人后， </w:t>
            </w:r>
          </w:p>
          <w:p w14:paraId="23CD963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无息原账户退还履约保证金。</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32.5</w:t>
            </w:r>
          </w:p>
        </w:tc>
        <w:tc>
          <w:tcPr>
            <w:tcW w:w="1721" w:type="dxa"/>
            <w:tcBorders>
              <w:top w:val="single" w:color="auto" w:sz="2" w:space="0"/>
              <w:left w:val="single" w:color="auto" w:sz="2" w:space="0"/>
              <w:bottom w:val="single" w:color="auto" w:sz="2" w:space="0"/>
              <w:right w:val="single" w:color="auto" w:sz="2" w:space="0"/>
            </w:tcBorders>
            <w:vAlign w:val="center"/>
          </w:tcPr>
          <w:p w14:paraId="04D9510B">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6663" w:type="dxa"/>
            <w:tcBorders>
              <w:top w:val="single" w:color="auto" w:sz="2" w:space="0"/>
              <w:left w:val="single" w:color="auto" w:sz="2" w:space="0"/>
              <w:bottom w:val="single" w:color="auto" w:sz="2" w:space="0"/>
              <w:right w:val="single" w:color="auto" w:sz="2" w:space="0"/>
            </w:tcBorders>
            <w:vAlign w:val="center"/>
          </w:tcPr>
          <w:p w14:paraId="4344EC45">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3D901FC0">
            <w:pPr>
              <w:pStyle w:val="48"/>
              <w:keepNext w:val="0"/>
              <w:keepLines w:val="0"/>
              <w:pageBreakBefore w:val="0"/>
              <w:kinsoku/>
              <w:wordWrap/>
              <w:overflowPunct/>
              <w:topLinePunct w:val="0"/>
              <w:bidi w:val="0"/>
              <w:spacing w:line="350" w:lineRule="exact"/>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2"/>
                <w:sz w:val="24"/>
                <w:szCs w:val="24"/>
                <w:highlight w:val="none"/>
                <w:lang w:val="en-US" w:eastAsia="zh-CN" w:bidi="ar-SA"/>
              </w:rPr>
              <w:t xml:space="preserve">不允许 </w:t>
            </w:r>
          </w:p>
          <w:p w14:paraId="56DFA0F7">
            <w:pPr>
              <w:pStyle w:val="48"/>
              <w:keepNext w:val="0"/>
              <w:keepLines w:val="0"/>
              <w:pageBreakBefore w:val="0"/>
              <w:kinsoku/>
              <w:wordWrap/>
              <w:overflowPunct/>
              <w:topLinePunct w:val="0"/>
              <w:bidi w:val="0"/>
              <w:spacing w:line="350" w:lineRule="exact"/>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C445FF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w:t>
            </w:r>
            <w:r>
              <w:rPr>
                <w:rFonts w:hint="eastAsia" w:cs="宋体"/>
                <w:i w:val="0"/>
                <w:iCs w:val="0"/>
                <w:color w:val="auto"/>
                <w:kern w:val="2"/>
                <w:sz w:val="24"/>
                <w:szCs w:val="24"/>
                <w:highlight w:val="none"/>
                <w:u w:val="single"/>
                <w:lang w:val="en-US" w:eastAsia="zh-CN" w:bidi="ar-SA"/>
              </w:rPr>
              <w:t xml:space="preserve">  /  </w:t>
            </w:r>
            <w:r>
              <w:rPr>
                <w:rFonts w:hint="eastAsia" w:ascii="宋体" w:hAnsi="宋体" w:eastAsia="宋体" w:cs="宋体"/>
                <w:i w:val="0"/>
                <w:iCs w:val="0"/>
                <w:color w:val="auto"/>
                <w:kern w:val="2"/>
                <w:sz w:val="24"/>
                <w:szCs w:val="24"/>
                <w:highlight w:val="none"/>
                <w:lang w:val="en-US" w:eastAsia="zh-CN" w:bidi="ar-SA"/>
              </w:rPr>
              <w:t xml:space="preserve">； </w:t>
            </w:r>
          </w:p>
          <w:p w14:paraId="1F78828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w:t>
            </w:r>
            <w:r>
              <w:rPr>
                <w:rFonts w:hint="eastAsia" w:cs="宋体"/>
                <w:i w:val="0"/>
                <w:iCs w:val="0"/>
                <w:color w:val="auto"/>
                <w:kern w:val="2"/>
                <w:sz w:val="24"/>
                <w:szCs w:val="24"/>
                <w:highlight w:val="none"/>
                <w:u w:val="single"/>
                <w:lang w:val="en-US" w:eastAsia="zh-CN" w:bidi="ar-SA"/>
              </w:rPr>
              <w:t xml:space="preserve">  /  </w:t>
            </w:r>
            <w:r>
              <w:rPr>
                <w:rFonts w:hint="eastAsia" w:ascii="宋体" w:hAnsi="宋体" w:eastAsia="宋体" w:cs="宋体"/>
                <w:i w:val="0"/>
                <w:iCs w:val="0"/>
                <w:color w:val="auto"/>
                <w:kern w:val="2"/>
                <w:sz w:val="24"/>
                <w:szCs w:val="24"/>
                <w:highlight w:val="none"/>
                <w:lang w:val="en-US" w:eastAsia="zh-CN" w:bidi="ar-SA"/>
              </w:rPr>
              <w:t>；</w:t>
            </w:r>
          </w:p>
          <w:p w14:paraId="3628979B">
            <w:pPr>
              <w:pStyle w:val="48"/>
              <w:keepNext w:val="0"/>
              <w:keepLines w:val="0"/>
              <w:pageBreakBefore w:val="0"/>
              <w:kinsoku/>
              <w:wordWrap/>
              <w:overflowPunct/>
              <w:topLinePunct w:val="0"/>
              <w:bidi w:val="0"/>
              <w:spacing w:line="350" w:lineRule="exact"/>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w:t>
            </w:r>
            <w:r>
              <w:rPr>
                <w:rFonts w:hint="eastAsia" w:cs="宋体"/>
                <w:i w:val="0"/>
                <w:iCs w:val="0"/>
                <w:color w:val="auto"/>
                <w:kern w:val="2"/>
                <w:sz w:val="24"/>
                <w:szCs w:val="24"/>
                <w:highlight w:val="none"/>
                <w:u w:val="single"/>
                <w:lang w:val="en-US" w:eastAsia="zh-CN" w:bidi="ar-SA"/>
              </w:rPr>
              <w:t xml:space="preserve">  /  </w:t>
            </w:r>
            <w:r>
              <w:rPr>
                <w:rFonts w:hint="eastAsia" w:ascii="宋体" w:hAnsi="宋体" w:eastAsia="宋体" w:cs="宋体"/>
                <w:i w:val="0"/>
                <w:iCs w:val="0"/>
                <w:color w:val="auto"/>
                <w:kern w:val="2"/>
                <w:sz w:val="24"/>
                <w:szCs w:val="24"/>
                <w:highlight w:val="none"/>
                <w:lang w:val="en-US" w:eastAsia="zh-CN" w:bidi="ar-SA"/>
              </w:rPr>
              <w:t>。</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33.1</w:t>
            </w:r>
          </w:p>
        </w:tc>
        <w:tc>
          <w:tcPr>
            <w:tcW w:w="1721" w:type="dxa"/>
            <w:tcBorders>
              <w:top w:val="single" w:color="auto" w:sz="2" w:space="0"/>
              <w:left w:val="single" w:color="auto" w:sz="2" w:space="0"/>
              <w:bottom w:val="single" w:color="auto" w:sz="2" w:space="0"/>
              <w:right w:val="single" w:color="auto" w:sz="2" w:space="0"/>
            </w:tcBorders>
            <w:vAlign w:val="center"/>
          </w:tcPr>
          <w:p w14:paraId="66EBB004">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663" w:type="dxa"/>
            <w:tcBorders>
              <w:top w:val="single" w:color="auto" w:sz="2" w:space="0"/>
              <w:left w:val="single" w:color="auto" w:sz="2" w:space="0"/>
              <w:bottom w:val="single" w:color="auto" w:sz="2" w:space="0"/>
              <w:right w:val="single" w:color="auto" w:sz="2" w:space="0"/>
            </w:tcBorders>
            <w:vAlign w:val="center"/>
          </w:tcPr>
          <w:p w14:paraId="1A387D2E">
            <w:pPr>
              <w:pStyle w:val="56"/>
              <w:keepNext w:val="0"/>
              <w:keepLines w:val="0"/>
              <w:pageBreakBefore w:val="0"/>
              <w:widowControl w:val="0"/>
              <w:numPr>
                <w:ilvl w:val="0"/>
                <w:numId w:val="1"/>
              </w:numPr>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投标人认为招标文件、招标过程和中标结果使自己的权益受到损害的，可以根据《中华人民共和国政府采购法实施条例》和《政府采购质疑和投诉办法》的有关规定，依法向采购人或其委托的采购代理机构提出质疑。</w:t>
            </w:r>
          </w:p>
          <w:p w14:paraId="5261FE30">
            <w:pPr>
              <w:pStyle w:val="66"/>
              <w:keepNext w:val="0"/>
              <w:keepLines w:val="0"/>
              <w:pageBreakBefore w:val="0"/>
              <w:numPr>
                <w:ilvl w:val="0"/>
                <w:numId w:val="1"/>
              </w:numPr>
              <w:kinsoku/>
              <w:wordWrap/>
              <w:overflowPunct/>
              <w:topLinePunct w:val="0"/>
              <w:bidi w:val="0"/>
              <w:spacing w:line="350" w:lineRule="exact"/>
              <w:ind w:left="0" w:leftChars="0" w:firstLine="0" w:firstLineChars="0"/>
              <w:textAlignment w:val="auto"/>
              <w:rPr>
                <w:rFonts w:hint="eastAsia"/>
                <w:color w:val="auto"/>
                <w:highlight w:val="none"/>
                <w:lang w:val="zh-CN" w:eastAsia="zh-CN"/>
              </w:rPr>
            </w:pPr>
            <w:r>
              <w:rPr>
                <w:rFonts w:hint="eastAsia"/>
                <w:color w:val="auto"/>
                <w:highlight w:val="none"/>
                <w:lang w:val="zh-CN" w:eastAsia="zh-CN"/>
              </w:rPr>
              <w:t>质疑投标人应按照财政部制定的《政府采购质疑函范本》格式（可从财政部官方网站下载）和《政府采购质疑和投诉办法》的要求，在法定质疑期内以书面形式提出质疑，针对同一采购程序环节的质疑次数应一次性提供。</w:t>
            </w:r>
          </w:p>
          <w:p w14:paraId="71AA3807">
            <w:pPr>
              <w:pStyle w:val="66"/>
              <w:keepNext w:val="0"/>
              <w:keepLines w:val="0"/>
              <w:pageBreakBefore w:val="0"/>
              <w:numPr>
                <w:ilvl w:val="0"/>
                <w:numId w:val="1"/>
              </w:numPr>
              <w:kinsoku/>
              <w:wordWrap/>
              <w:overflowPunct/>
              <w:topLinePunct w:val="0"/>
              <w:bidi w:val="0"/>
              <w:spacing w:line="350" w:lineRule="exact"/>
              <w:ind w:left="0" w:leftChars="0" w:firstLine="0" w:firstLineChars="0"/>
              <w:textAlignment w:val="auto"/>
              <w:rPr>
                <w:rFonts w:hint="eastAsia"/>
                <w:color w:val="auto"/>
                <w:highlight w:val="none"/>
                <w:lang w:val="zh-CN" w:eastAsia="zh-CN"/>
              </w:rPr>
            </w:pPr>
            <w:r>
              <w:rPr>
                <w:rFonts w:hint="eastAsia"/>
                <w:color w:val="auto"/>
                <w:highlight w:val="none"/>
                <w:lang w:val="zh-CN" w:eastAsia="zh-CN"/>
              </w:rPr>
              <w:t>超出法定质疑期提交的质疑将被拒绝。重复或分次提出的、内容或形式不符合《政府采购质疑和投诉办法》的，质疑投标人将依法承担不利后果。</w:t>
            </w:r>
          </w:p>
          <w:p w14:paraId="5AAD2B83">
            <w:pPr>
              <w:pStyle w:val="66"/>
              <w:keepNext w:val="0"/>
              <w:keepLines w:val="0"/>
              <w:pageBreakBefore w:val="0"/>
              <w:numPr>
                <w:ilvl w:val="0"/>
                <w:numId w:val="1"/>
              </w:numPr>
              <w:kinsoku/>
              <w:wordWrap/>
              <w:overflowPunct/>
              <w:topLinePunct w:val="0"/>
              <w:bidi w:val="0"/>
              <w:spacing w:line="350" w:lineRule="exact"/>
              <w:ind w:left="0" w:leftChars="0" w:firstLine="0" w:firstLineChars="0"/>
              <w:textAlignment w:val="auto"/>
              <w:rPr>
                <w:rFonts w:hint="eastAsia" w:ascii="宋体" w:hAnsi="宋体" w:eastAsia="宋体" w:cs="宋体"/>
                <w:i w:val="0"/>
                <w:iCs w:val="0"/>
                <w:color w:val="auto"/>
                <w:kern w:val="2"/>
                <w:sz w:val="24"/>
                <w:szCs w:val="24"/>
                <w:highlight w:val="none"/>
                <w:lang w:val="zh-CN" w:eastAsia="zh-CN" w:bidi="ar-SA"/>
              </w:rPr>
            </w:pPr>
            <w:r>
              <w:rPr>
                <w:rFonts w:hint="eastAsia"/>
                <w:color w:val="auto"/>
                <w:highlight w:val="none"/>
                <w:lang w:val="zh-CN" w:eastAsia="zh-CN"/>
              </w:rPr>
              <w:t>依据：《中华人民共和国政府采购法实施条例》第五十三条政府采购法第五十二条规定的投标人应知其权益受到损害之日，是指：（一） 对可以质疑的采购文件提出质疑的，为收到采购文件之日或者采购文件公告期限届满之日；（二） 对采购过程提出质疑的，为各采购程序环节结束之日；（三）对中标或者成交结果提出质疑的，为中标或者成交结果公告期限届满之日。</w:t>
            </w:r>
          </w:p>
          <w:p w14:paraId="19F26822">
            <w:pPr>
              <w:pStyle w:val="56"/>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eastAsia="zh-CN"/>
              </w:rPr>
              <w:t>纸质书面形式并加盖公章递交</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33CC548F">
            <w:pPr>
              <w:pStyle w:val="56"/>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接收部门：</w:t>
            </w:r>
            <w:r>
              <w:rPr>
                <w:rFonts w:hint="eastAsia" w:ascii="宋体" w:hAnsi="宋体" w:eastAsia="宋体" w:cs="宋体"/>
                <w:i w:val="0"/>
                <w:iCs w:val="0"/>
                <w:color w:val="auto"/>
                <w:sz w:val="24"/>
                <w:szCs w:val="24"/>
                <w:highlight w:val="none"/>
                <w:u w:val="single"/>
              </w:rPr>
              <w:t xml:space="preserve"> 新疆天瑞工程造价咨询有限公司</w:t>
            </w:r>
            <w:r>
              <w:rPr>
                <w:rFonts w:hint="eastAsia" w:ascii="宋体" w:hAnsi="宋体" w:eastAsia="宋体" w:cs="宋体"/>
                <w:i w:val="0"/>
                <w:iCs w:val="0"/>
                <w:color w:val="auto"/>
                <w:kern w:val="2"/>
                <w:sz w:val="24"/>
                <w:szCs w:val="24"/>
                <w:highlight w:val="none"/>
                <w:lang w:val="zh-CN" w:eastAsia="zh-CN" w:bidi="ar-SA"/>
              </w:rPr>
              <w:t xml:space="preserve">              </w:t>
            </w:r>
          </w:p>
          <w:p w14:paraId="4E9BBFA0">
            <w:pPr>
              <w:pStyle w:val="56"/>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联系电话：</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15299939280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6C71E447">
            <w:pPr>
              <w:pStyle w:val="56"/>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zh-CN" w:eastAsia="zh-CN" w:bidi="ar-SA"/>
              </w:rPr>
              <w:t>通讯地址：</w:t>
            </w:r>
            <w:r>
              <w:rPr>
                <w:rFonts w:hint="eastAsia" w:ascii="宋体" w:hAnsi="宋体" w:eastAsia="宋体" w:cs="宋体"/>
                <w:i w:val="0"/>
                <w:iCs w:val="0"/>
                <w:color w:val="auto"/>
                <w:sz w:val="24"/>
                <w:szCs w:val="24"/>
                <w:highlight w:val="none"/>
                <w:u w:val="single"/>
              </w:rPr>
              <w:t xml:space="preserve"> 石河子市上海城B幢4楼</w:t>
            </w:r>
            <w:r>
              <w:rPr>
                <w:rFonts w:hint="eastAsia" w:ascii="宋体" w:hAnsi="宋体" w:cs="宋体"/>
                <w:i w:val="0"/>
                <w:iCs w:val="0"/>
                <w:color w:val="auto"/>
                <w:sz w:val="24"/>
                <w:szCs w:val="24"/>
                <w:highlight w:val="none"/>
                <w:u w:val="single"/>
                <w:lang w:val="en-US" w:eastAsia="zh-CN"/>
              </w:rPr>
              <w:t xml:space="preserve"> </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vAlign w:val="center"/>
          </w:tcPr>
          <w:p w14:paraId="620FF725">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663" w:type="dxa"/>
            <w:tcBorders>
              <w:top w:val="single" w:color="auto" w:sz="2" w:space="0"/>
              <w:left w:val="single" w:color="auto" w:sz="2" w:space="0"/>
              <w:bottom w:val="single" w:color="auto" w:sz="2" w:space="0"/>
              <w:right w:val="single" w:color="auto" w:sz="2" w:space="0"/>
            </w:tcBorders>
            <w:vAlign w:val="center"/>
          </w:tcPr>
          <w:p w14:paraId="50481589">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 xml:space="preserve">人支付 </w:t>
            </w:r>
          </w:p>
          <w:p w14:paraId="70F43E2F">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ascii="宋体" w:hAnsi="宋体" w:eastAsia="宋体" w:cs="宋体"/>
                <w:i w:val="0"/>
                <w:iCs w:val="0"/>
                <w:color w:val="auto"/>
                <w:sz w:val="24"/>
                <w:szCs w:val="24"/>
                <w:highlight w:val="none"/>
                <w:lang w:val="en-US" w:eastAsia="zh-CN"/>
              </w:rPr>
              <w:t xml:space="preserve">按发改价格【2011】534 号及计价格【2002】1980 </w:t>
            </w:r>
          </w:p>
          <w:p w14:paraId="4710D0C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号文件计算</w:t>
            </w:r>
            <w:r>
              <w:rPr>
                <w:rFonts w:hint="eastAsia" w:cs="宋体"/>
                <w:i w:val="0"/>
                <w:iCs w:val="0"/>
                <w:color w:val="auto"/>
                <w:sz w:val="24"/>
                <w:szCs w:val="24"/>
                <w:highlight w:val="none"/>
                <w:lang w:val="en-US" w:eastAsia="zh-CN"/>
              </w:rPr>
              <w:t>，不足4000元的按4000元收取，</w:t>
            </w:r>
            <w:r>
              <w:rPr>
                <w:rFonts w:hint="eastAsia" w:ascii="宋体" w:hAnsi="宋体" w:eastAsia="宋体" w:cs="宋体"/>
                <w:i w:val="0"/>
                <w:iCs w:val="0"/>
                <w:color w:val="auto"/>
                <w:sz w:val="24"/>
                <w:szCs w:val="24"/>
                <w:highlight w:val="none"/>
                <w:lang w:val="en-US" w:eastAsia="zh-CN"/>
              </w:rPr>
              <w:t>招标代理服务费由成交供应商支付</w:t>
            </w:r>
            <w:r>
              <w:rPr>
                <w:rFonts w:hint="eastAsia" w:cs="宋体"/>
                <w:i w:val="0"/>
                <w:iCs w:val="0"/>
                <w:color w:val="auto"/>
                <w:sz w:val="24"/>
                <w:szCs w:val="24"/>
                <w:highlight w:val="none"/>
                <w:lang w:val="en-US" w:eastAsia="zh-CN"/>
              </w:rPr>
              <w:t>。</w:t>
            </w:r>
          </w:p>
          <w:p w14:paraId="624D4904">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供应商中标后，领取中标通知书前缴纳</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right w:val="single" w:color="auto" w:sz="2" w:space="0"/>
            </w:tcBorders>
            <w:vAlign w:val="center"/>
          </w:tcPr>
          <w:p w14:paraId="15EB639A">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721" w:type="dxa"/>
            <w:tcBorders>
              <w:top w:val="single" w:color="auto" w:sz="2" w:space="0"/>
              <w:left w:val="single" w:color="auto" w:sz="2" w:space="0"/>
              <w:bottom w:val="single" w:color="auto" w:sz="2" w:space="0"/>
              <w:right w:val="single" w:color="auto" w:sz="2" w:space="0"/>
            </w:tcBorders>
            <w:vAlign w:val="center"/>
          </w:tcPr>
          <w:p w14:paraId="623E81DC">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支持中小企业政策</w:t>
            </w:r>
            <w:r>
              <w:rPr>
                <w:rStyle w:val="34"/>
                <w:rFonts w:hint="eastAsia" w:ascii="宋体" w:hAnsi="宋体" w:eastAsia="宋体" w:cs="宋体"/>
                <w:b w:val="0"/>
                <w:i w:val="0"/>
                <w:iCs w:val="0"/>
                <w:color w:val="auto"/>
                <w:sz w:val="24"/>
                <w:szCs w:val="24"/>
                <w:highlight w:val="none"/>
                <w:lang w:val="en-US" w:eastAsia="zh-CN"/>
              </w:rPr>
              <w:t>（非专门面向中小企业采购项目适用）</w:t>
            </w:r>
          </w:p>
        </w:tc>
        <w:tc>
          <w:tcPr>
            <w:tcW w:w="6663" w:type="dxa"/>
            <w:tcBorders>
              <w:top w:val="single" w:color="auto" w:sz="2" w:space="0"/>
              <w:left w:val="single" w:color="auto" w:sz="2" w:space="0"/>
              <w:bottom w:val="single" w:color="auto" w:sz="2" w:space="0"/>
              <w:right w:val="single" w:color="auto" w:sz="2" w:space="0"/>
            </w:tcBorders>
            <w:vAlign w:val="center"/>
          </w:tcPr>
          <w:p w14:paraId="494A9BAF">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1</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小型和微型企业价格扣除：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w:t>
            </w:r>
          </w:p>
          <w:p w14:paraId="1EC73829">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2</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监狱企业价格扣除：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498559E5">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3</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残疾人福利性单位价格扣除：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56AB8547">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4</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符合条件的联合体价格扣除：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w:t>
            </w:r>
          </w:p>
          <w:p w14:paraId="083F702C">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5</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符合条件的向小微企业分包的大中型企业价格扣除：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。（允许大中型企业向小微企业分包的项目适用）</w:t>
            </w:r>
          </w:p>
          <w:p w14:paraId="0C9D1349">
            <w:pPr>
              <w:pStyle w:val="97"/>
              <w:keepNext w:val="0"/>
              <w:keepLines w:val="0"/>
              <w:pageBreakBefore w:val="0"/>
              <w:widowControl w:val="0"/>
              <w:kinsoku/>
              <w:wordWrap/>
              <w:overflowPunct/>
              <w:topLinePunct w:val="0"/>
              <w:bidi w:val="0"/>
              <w:spacing w:before="0" w:beforeAutospacing="0" w:after="0" w:afterAutospacing="0" w:line="350" w:lineRule="exact"/>
              <w:jc w:val="both"/>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bCs w:val="0"/>
                <w:i w:val="0"/>
                <w:iCs w:val="0"/>
                <w:color w:val="auto"/>
                <w:sz w:val="24"/>
                <w:szCs w:val="24"/>
                <w:highlight w:val="none"/>
                <w:lang w:val="en-US" w:eastAsia="zh-CN"/>
              </w:rPr>
              <w:t>6.价格扣除办法：本项目为面向</w:t>
            </w:r>
            <w:r>
              <w:rPr>
                <w:rFonts w:hint="eastAsia" w:cs="宋体"/>
                <w:b/>
                <w:bCs w:val="0"/>
                <w:i w:val="0"/>
                <w:iCs w:val="0"/>
                <w:color w:val="auto"/>
                <w:sz w:val="24"/>
                <w:szCs w:val="24"/>
                <w:highlight w:val="none"/>
                <w:lang w:val="en-US" w:eastAsia="zh-CN"/>
              </w:rPr>
              <w:t>中小微企业预</w:t>
            </w:r>
            <w:r>
              <w:rPr>
                <w:rFonts w:hint="eastAsia" w:ascii="宋体" w:hAnsi="宋体" w:eastAsia="宋体" w:cs="宋体"/>
                <w:b/>
                <w:bCs w:val="0"/>
                <w:i w:val="0"/>
                <w:iCs w:val="0"/>
                <w:color w:val="auto"/>
                <w:sz w:val="24"/>
                <w:szCs w:val="24"/>
                <w:highlight w:val="none"/>
                <w:lang w:val="en-US" w:eastAsia="zh-CN"/>
              </w:rPr>
              <w:t>留项目，不适用价格扣除。</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39.9</w:t>
            </w:r>
          </w:p>
        </w:tc>
        <w:tc>
          <w:tcPr>
            <w:tcW w:w="1721" w:type="dxa"/>
            <w:tcBorders>
              <w:top w:val="single" w:color="auto" w:sz="2" w:space="0"/>
              <w:left w:val="single" w:color="auto" w:sz="2" w:space="0"/>
              <w:bottom w:val="single" w:color="auto" w:sz="2" w:space="0"/>
              <w:right w:val="single" w:color="auto" w:sz="2" w:space="0"/>
            </w:tcBorders>
            <w:vAlign w:val="center"/>
          </w:tcPr>
          <w:p w14:paraId="4DEF3B1D">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2A0D024C">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Style w:val="34"/>
                <w:rFonts w:hint="eastAsia" w:ascii="宋体" w:hAnsi="宋体" w:eastAsia="宋体" w:cs="宋体"/>
                <w:b w:val="0"/>
                <w:i w:val="0"/>
                <w:iCs w:val="0"/>
                <w:color w:val="auto"/>
                <w:sz w:val="24"/>
                <w:szCs w:val="24"/>
                <w:highlight w:val="none"/>
                <w:lang w:val="en-US" w:eastAsia="zh-CN"/>
              </w:rPr>
              <w:t>参照后附</w:t>
            </w:r>
            <w:r>
              <w:rPr>
                <w:rStyle w:val="34"/>
                <w:rFonts w:hint="eastAsia" w:ascii="宋体" w:hAnsi="宋体" w:eastAsia="宋体" w:cs="宋体"/>
                <w:b w:val="0"/>
                <w:i w:val="0"/>
                <w:iCs w:val="0"/>
                <w:color w:val="auto"/>
                <w:sz w:val="24"/>
                <w:szCs w:val="24"/>
                <w:highlight w:val="none"/>
                <w:lang w:eastAsia="zh-CN"/>
              </w:rPr>
              <w:t>《</w:t>
            </w:r>
            <w:r>
              <w:rPr>
                <w:rStyle w:val="34"/>
                <w:rFonts w:hint="eastAsia" w:ascii="宋体" w:hAnsi="宋体" w:eastAsia="宋体" w:cs="宋体"/>
                <w:b w:val="0"/>
                <w:i w:val="0"/>
                <w:iCs w:val="0"/>
                <w:color w:val="auto"/>
                <w:sz w:val="24"/>
                <w:szCs w:val="24"/>
                <w:highlight w:val="none"/>
              </w:rPr>
              <w:t>工信部联企业〔2011〕300号</w:t>
            </w:r>
            <w:r>
              <w:rPr>
                <w:rStyle w:val="34"/>
                <w:rFonts w:hint="eastAsia" w:ascii="宋体" w:hAnsi="宋体" w:eastAsia="宋体" w:cs="宋体"/>
                <w:b w:val="0"/>
                <w:i w:val="0"/>
                <w:iCs w:val="0"/>
                <w:color w:val="auto"/>
                <w:sz w:val="24"/>
                <w:szCs w:val="24"/>
                <w:highlight w:val="none"/>
                <w:lang w:eastAsia="zh-CN"/>
              </w:rPr>
              <w:t>》</w:t>
            </w:r>
          </w:p>
        </w:tc>
        <w:tc>
          <w:tcPr>
            <w:tcW w:w="6663"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pageBreakBefore w:val="0"/>
              <w:widowControl/>
              <w:suppressLineNumbers w:val="0"/>
              <w:kinsoku/>
              <w:wordWrap/>
              <w:overflowPunct/>
              <w:topLinePunct w:val="0"/>
              <w:bidi w:val="0"/>
              <w:spacing w:line="350" w:lineRule="exact"/>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本项目采购标的对应的中小企业划分标准所属行业： </w:t>
            </w:r>
          </w:p>
          <w:tbl>
            <w:tblPr>
              <w:tblStyle w:val="32"/>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21"/>
              <w:gridCol w:w="2348"/>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A664177">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包号</w:t>
                  </w:r>
                </w:p>
              </w:tc>
              <w:tc>
                <w:tcPr>
                  <w:tcW w:w="2721" w:type="dxa"/>
                  <w:vAlign w:val="center"/>
                </w:tcPr>
                <w:p w14:paraId="0AD36816">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2348" w:type="dxa"/>
                  <w:vAlign w:val="center"/>
                </w:tcPr>
                <w:p w14:paraId="2C78D772">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5DA92CB">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第1包</w:t>
                  </w:r>
                </w:p>
              </w:tc>
              <w:tc>
                <w:tcPr>
                  <w:tcW w:w="2721" w:type="dxa"/>
                  <w:vAlign w:val="center"/>
                </w:tcPr>
                <w:p w14:paraId="7B94C3FE">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某单位安防设施设备更新及线路改造项目</w:t>
                  </w:r>
                </w:p>
              </w:tc>
              <w:tc>
                <w:tcPr>
                  <w:tcW w:w="2348" w:type="dxa"/>
                  <w:vAlign w:val="center"/>
                </w:tcPr>
                <w:p w14:paraId="5507F716">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软件和信息</w:t>
                  </w:r>
                </w:p>
                <w:p w14:paraId="33535D95">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技术服务业</w:t>
                  </w:r>
                </w:p>
              </w:tc>
            </w:tr>
            <w:tr w14:paraId="2B6F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03935A5">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p>
              </w:tc>
              <w:tc>
                <w:tcPr>
                  <w:tcW w:w="2721" w:type="dxa"/>
                  <w:vAlign w:val="center"/>
                </w:tcPr>
                <w:p w14:paraId="5103515D">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p>
              </w:tc>
              <w:tc>
                <w:tcPr>
                  <w:tcW w:w="2348" w:type="dxa"/>
                  <w:vAlign w:val="center"/>
                </w:tcPr>
                <w:p w14:paraId="0788A459">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p>
              </w:tc>
            </w:tr>
            <w:tr w14:paraId="019A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2A59A4A9">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w:t>
                  </w:r>
                </w:p>
              </w:tc>
              <w:tc>
                <w:tcPr>
                  <w:tcW w:w="2721" w:type="dxa"/>
                  <w:vAlign w:val="center"/>
                </w:tcPr>
                <w:p w14:paraId="1F868F67">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p>
              </w:tc>
              <w:tc>
                <w:tcPr>
                  <w:tcW w:w="2348" w:type="dxa"/>
                  <w:vAlign w:val="center"/>
                </w:tcPr>
                <w:p w14:paraId="53C9A106">
                  <w:pPr>
                    <w:keepNext w:val="0"/>
                    <w:keepLines w:val="0"/>
                    <w:pageBreakBefore w:val="0"/>
                    <w:widowControl/>
                    <w:suppressLineNumbers w:val="0"/>
                    <w:kinsoku/>
                    <w:wordWrap/>
                    <w:overflowPunct/>
                    <w:topLinePunct w:val="0"/>
                    <w:bidi w:val="0"/>
                    <w:spacing w:line="35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p>
              </w:tc>
            </w:tr>
          </w:tbl>
          <w:p w14:paraId="4176FC14">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p>
        </w:tc>
      </w:tr>
      <w:tr w14:paraId="02EBB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3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A432A49">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40.5</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045319EF">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1F559201">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1F7BC457">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2BEF7B44">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合同融资政策</w:t>
            </w:r>
          </w:p>
        </w:tc>
        <w:tc>
          <w:tcPr>
            <w:tcW w:w="6663" w:type="dxa"/>
            <w:tcBorders>
              <w:top w:val="single" w:color="auto" w:sz="2" w:space="0"/>
              <w:left w:val="single" w:color="auto" w:sz="2" w:space="0"/>
              <w:bottom w:val="single" w:color="auto" w:sz="2" w:space="0"/>
              <w:right w:val="single" w:color="auto" w:sz="2" w:space="0"/>
            </w:tcBorders>
            <w:shd w:val="clear" w:color="auto" w:fill="auto"/>
            <w:vAlign w:val="center"/>
          </w:tcPr>
          <w:p w14:paraId="26C388BA">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7007EF4A">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渠道和方式：</w:t>
            </w:r>
            <w:r>
              <w:rPr>
                <w:rFonts w:hint="eastAsia" w:ascii="宋体" w:hAnsi="宋体" w:eastAsia="宋体" w:cs="宋体"/>
                <w:i w:val="0"/>
                <w:iCs w:val="0"/>
                <w:color w:val="auto"/>
                <w:sz w:val="24"/>
                <w:szCs w:val="24"/>
                <w:highlight w:val="none"/>
                <w:u w:val="single"/>
                <w:lang w:val="en-US" w:eastAsia="zh-CN"/>
              </w:rPr>
              <w:t xml:space="preserve">http://ccgp-bingtuan.gov.cn/site/detail?parentId=1891 </w:t>
            </w:r>
          </w:p>
          <w:p w14:paraId="75DA9B21">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u w:val="single"/>
                <w:lang w:val="en-US" w:eastAsia="zh-CN"/>
              </w:rPr>
              <w:t xml:space="preserve">70&amp;articleId=v6Y7G2/3vAO2foqoB5tPtA==&amp;utm=site.site-P </w:t>
            </w:r>
          </w:p>
          <w:p w14:paraId="0C89215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u w:val="single"/>
                <w:lang w:val="en-US" w:eastAsia="zh-CN"/>
              </w:rPr>
              <w:t xml:space="preserve">C-4840.633-pc-websitegroup-secondlevelpage-front.3.5e </w:t>
            </w:r>
          </w:p>
          <w:p w14:paraId="3BED82FA">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u w:val="single"/>
                <w:lang w:val="en-US" w:eastAsia="zh-CN"/>
              </w:rPr>
              <w:t>a1f8907a1111eeadf13353b39b56c9。</w:t>
            </w:r>
          </w:p>
          <w:p w14:paraId="6795BCBE">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 xml:space="preserve">  2.</w:t>
            </w:r>
            <w:r>
              <w:rPr>
                <w:rFonts w:hint="eastAsia" w:ascii="宋体" w:hAnsi="宋体" w:eastAsia="宋体" w:cs="宋体"/>
                <w:i w:val="0"/>
                <w:iCs w:val="0"/>
                <w:color w:val="auto"/>
                <w:sz w:val="24"/>
                <w:szCs w:val="24"/>
                <w:highlight w:val="none"/>
                <w:lang w:eastAsia="zh-CN"/>
              </w:rPr>
              <w:t>“政采贷”融资指引：在取得政府采购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通知书后，可访问“</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，查看和联系第三方平台或者金融机构，商洽融资事项，确定融资意向。</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人签署政府采购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合同后，登录“</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，选择意向产品进行申请，并填写相关信息，“</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将中标人融资申请信息推送第三方平台、意向金融机构。</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615"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4" w:space="0"/>
            </w:tcBorders>
            <w:vAlign w:val="center"/>
          </w:tcPr>
          <w:p w14:paraId="57A459C3">
            <w:pPr>
              <w:pStyle w:val="48"/>
              <w:keepNext w:val="0"/>
              <w:keepLines w:val="0"/>
              <w:pageBreakBefore w:val="0"/>
              <w:kinsoku/>
              <w:wordWrap/>
              <w:overflowPunct/>
              <w:topLinePunct w:val="0"/>
              <w:bidi w:val="0"/>
              <w:spacing w:line="350" w:lineRule="exac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6663" w:type="dxa"/>
            <w:tcBorders>
              <w:top w:val="single" w:color="auto" w:sz="2" w:space="0"/>
              <w:left w:val="single" w:color="auto" w:sz="4" w:space="0"/>
              <w:bottom w:val="single" w:color="auto" w:sz="2" w:space="0"/>
              <w:right w:val="single" w:color="auto" w:sz="2" w:space="0"/>
            </w:tcBorders>
            <w:vAlign w:val="center"/>
          </w:tcPr>
          <w:p w14:paraId="3A436BDE">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（1）在评标过程直至签订合同前的任何时间，如经证实发现 </w:t>
            </w:r>
          </w:p>
          <w:p w14:paraId="11296AE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供应商提供虚假投标资料(包括技术支持资料)或信息骗取中标的，或者未按本采购文件要求提交履约保证金（如要求）的， </w:t>
            </w:r>
          </w:p>
          <w:p w14:paraId="1A61B54C">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将取消其成交资格，没收投标保证金，并报主管部门备案。 </w:t>
            </w:r>
          </w:p>
          <w:p w14:paraId="027522F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（2）采购方与中标供应商应于《中标通知书》发出之日起 </w:t>
            </w:r>
            <w:r>
              <w:rPr>
                <w:rFonts w:hint="eastAsia" w:cs="宋体"/>
                <w:i w:val="0"/>
                <w:iCs w:val="0"/>
                <w:color w:val="auto"/>
                <w:sz w:val="24"/>
                <w:szCs w:val="24"/>
                <w:highlight w:val="none"/>
                <w:lang w:val="en-US" w:eastAsia="zh-CN"/>
              </w:rPr>
              <w:t>25</w:t>
            </w:r>
            <w:r>
              <w:rPr>
                <w:rFonts w:hint="eastAsia" w:ascii="宋体" w:hAnsi="宋体" w:eastAsia="宋体" w:cs="宋体"/>
                <w:i w:val="0"/>
                <w:iCs w:val="0"/>
                <w:color w:val="auto"/>
                <w:sz w:val="24"/>
                <w:szCs w:val="24"/>
                <w:highlight w:val="none"/>
                <w:lang w:val="en-US" w:eastAsia="zh-CN"/>
              </w:rPr>
              <w:t xml:space="preserve"> </w:t>
            </w:r>
          </w:p>
          <w:p w14:paraId="06F1905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日内，按照采购文件确定的事项签订采购合同，合同签订之日 </w:t>
            </w:r>
          </w:p>
          <w:p w14:paraId="688830B8">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起2个工作日内进行公示。 </w:t>
            </w:r>
          </w:p>
          <w:p w14:paraId="2E7B5A1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（3）项目验收结束后5个工作日内，将验收结果通过“兵团 </w:t>
            </w:r>
          </w:p>
          <w:p w14:paraId="7C6D9930">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政府采购网”予以公示。</w:t>
            </w:r>
          </w:p>
          <w:p w14:paraId="5C911A10">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各投标单位登录新疆兵团政府采购网→下载专区→政采云电子招投标供应商投标客户端→政采云电子招投标供应商操作指南、政采云电子招投标供应商投标客户端。</w:t>
            </w:r>
          </w:p>
          <w:p w14:paraId="11CFCB4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开标全过程投标人必须保证有专人负责电脑操作，投标人投标文件解密均有时间限制，请各投标人务必在系统规定时间内完成投标文件解密等需要操作的事项，如超时未完成，所造成的一切后果由投标人自行承担。</w:t>
            </w:r>
          </w:p>
          <w:p w14:paraId="030642ED">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lang w:val="en-US" w:eastAsia="zh-CN"/>
              </w:rPr>
              <w:t>本项目投标报价为二</w:t>
            </w:r>
            <w:r>
              <w:rPr>
                <w:rFonts w:hint="eastAsia" w:cs="宋体"/>
                <w:b/>
                <w:bCs/>
                <w:i w:val="0"/>
                <w:iCs w:val="0"/>
                <w:color w:val="auto"/>
                <w:sz w:val="24"/>
                <w:szCs w:val="24"/>
                <w:highlight w:val="none"/>
                <w:lang w:val="en-US" w:eastAsia="zh-CN"/>
              </w:rPr>
              <w:t>轮</w:t>
            </w:r>
            <w:r>
              <w:rPr>
                <w:rFonts w:hint="eastAsia" w:ascii="宋体" w:hAnsi="宋体" w:eastAsia="宋体" w:cs="宋体"/>
                <w:b/>
                <w:bCs/>
                <w:i w:val="0"/>
                <w:iCs w:val="0"/>
                <w:color w:val="auto"/>
                <w:sz w:val="24"/>
                <w:szCs w:val="24"/>
                <w:highlight w:val="none"/>
                <w:lang w:val="en-US" w:eastAsia="zh-CN"/>
              </w:rPr>
              <w:t>报价</w:t>
            </w:r>
            <w:r>
              <w:rPr>
                <w:rFonts w:hint="eastAsia" w:cs="宋体"/>
                <w:b/>
                <w:bCs/>
                <w:i w:val="0"/>
                <w:iCs w:val="0"/>
                <w:color w:val="auto"/>
                <w:sz w:val="24"/>
                <w:szCs w:val="24"/>
                <w:highlight w:val="none"/>
                <w:lang w:val="en-US" w:eastAsia="zh-CN"/>
              </w:rPr>
              <w:t>：开标全过程投标人必须保证有专人负责，二轮报价均有时间限制，请各投标人务必在规定时间内完成二轮报价等需要操作的事项，如超时未完成，所造成的一切后果由投标人自行承担。</w:t>
            </w:r>
          </w:p>
          <w:p w14:paraId="5AE15E82">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）本项目实行电子招投标，供应商须登录团政府采购网政采云平台（</w:t>
            </w:r>
            <w:r>
              <w:rPr>
                <w:rFonts w:hint="eastAsia" w:ascii="宋体" w:hAnsi="宋体" w:eastAsia="宋体" w:cs="宋体"/>
                <w:i w:val="0"/>
                <w:iCs w:val="0"/>
                <w:color w:val="auto"/>
                <w:sz w:val="24"/>
                <w:szCs w:val="24"/>
                <w:highlight w:val="none"/>
                <w:lang w:val="en-US" w:eastAsia="zh-CN"/>
              </w:rPr>
              <w:fldChar w:fldCharType="begin"/>
            </w:r>
            <w:r>
              <w:rPr>
                <w:rFonts w:hint="eastAsia" w:ascii="宋体" w:hAnsi="宋体" w:eastAsia="宋体" w:cs="宋体"/>
                <w:i w:val="0"/>
                <w:iCs w:val="0"/>
                <w:color w:val="auto"/>
                <w:sz w:val="24"/>
                <w:szCs w:val="24"/>
                <w:highlight w:val="none"/>
                <w:lang w:val="en-US" w:eastAsia="zh-CN"/>
              </w:rPr>
              <w:instrText xml:space="preserve"> HYPERLINK "http://ccgp-bingtuan.gov.cn/%EF%BC%89%E7%94%B3%E8%AF%B7%E8%8E%B7%E5%8F%96%E9%87%87%E8%B4%AD%E6%96%87%E4%BB%B6%EF%BC%8C%E5%B9%B6%E9%80%9A%E8%BF%87%E6%94%BF%E9%87%87%E4%BA%91%E7%94%B5%E5%AD%90%E6%8A%95%E6%A0%87%E5%AE%A2%E6%88%B7%E7%AB%AF%E5%88%B6%E4%BD%9C%E6%8A%95%E6%A0%87%E6%96%87%E4%BB%B6%EF%BC%8C%E5%90%8C%E6%97%B6%E8%87%AA%E8%A1%8C%E6%89%BF%E6%8B%85%E4%B8%8E%E6%8A%95%E6%A0%87%E6%9C%89%E5%85%B3%E7%9A%84%E4%B8%80%E5%88%87%E8%B4%B9%E7%94%A8%E3%80%82" </w:instrText>
            </w:r>
            <w:r>
              <w:rPr>
                <w:rFonts w:hint="eastAsia" w:ascii="宋体" w:hAnsi="宋体" w:eastAsia="宋体" w:cs="宋体"/>
                <w:i w:val="0"/>
                <w:iCs w:val="0"/>
                <w:color w:val="auto"/>
                <w:sz w:val="24"/>
                <w:szCs w:val="24"/>
                <w:highlight w:val="none"/>
                <w:lang w:val="en-US" w:eastAsia="zh-CN"/>
              </w:rPr>
              <w:fldChar w:fldCharType="separate"/>
            </w:r>
            <w:r>
              <w:rPr>
                <w:rFonts w:hint="eastAsia" w:ascii="宋体" w:hAnsi="宋体" w:eastAsia="宋体" w:cs="宋体"/>
                <w:i w:val="0"/>
                <w:iCs w:val="0"/>
                <w:color w:val="auto"/>
                <w:sz w:val="24"/>
                <w:szCs w:val="24"/>
                <w:highlight w:val="none"/>
                <w:lang w:val="en-US" w:eastAsia="zh-CN"/>
              </w:rPr>
              <w:t>http://ccgp-bingtuan.gov.cn/）申请获取采购文件，并通过政采云电子投标客户端制作投标文件，同时自行承担与投标有关的一切费用。</w:t>
            </w:r>
            <w:r>
              <w:rPr>
                <w:rFonts w:hint="eastAsia" w:ascii="宋体" w:hAnsi="宋体" w:eastAsia="宋体" w:cs="宋体"/>
                <w:i w:val="0"/>
                <w:iCs w:val="0"/>
                <w:color w:val="auto"/>
                <w:sz w:val="24"/>
                <w:szCs w:val="24"/>
                <w:highlight w:val="none"/>
                <w:lang w:val="en-US" w:eastAsia="zh-CN"/>
              </w:rPr>
              <w:fldChar w:fldCharType="end"/>
            </w:r>
          </w:p>
          <w:p w14:paraId="71B7975A">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w:t>
            </w:r>
            <w:r>
              <w:rPr>
                <w:rFonts w:hint="eastAsia" w:cs="宋体"/>
                <w:i w:val="0"/>
                <w:iCs w:val="0"/>
                <w:color w:val="auto"/>
                <w:sz w:val="24"/>
                <w:szCs w:val="24"/>
                <w:highlight w:val="none"/>
                <w:lang w:val="en-US" w:eastAsia="zh-CN"/>
              </w:rPr>
              <w:t>95763</w:t>
            </w:r>
            <w:r>
              <w:rPr>
                <w:rFonts w:hint="eastAsia" w:ascii="宋体" w:hAnsi="宋体" w:eastAsia="宋体" w:cs="宋体"/>
                <w:i w:val="0"/>
                <w:iCs w:val="0"/>
                <w:color w:val="auto"/>
                <w:sz w:val="24"/>
                <w:szCs w:val="24"/>
                <w:highlight w:val="none"/>
                <w:lang w:val="en-US" w:eastAsia="zh-CN"/>
              </w:rPr>
              <w:t>；</w:t>
            </w:r>
          </w:p>
          <w:p w14:paraId="10511566">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val="en-US" w:eastAsia="zh-CN"/>
              </w:rPr>
              <w:t>）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959904D">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）招标文件规定：不接受投标文件中出现的可选择或可调整的投标方案和投标报价，任何有选择的或可调整的投标方案或投标报价将被视为不响应招标文件要求，其投标将被拒绝。</w:t>
            </w:r>
          </w:p>
          <w:p w14:paraId="5224CC71">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11</w:t>
            </w:r>
            <w:r>
              <w:rPr>
                <w:rFonts w:hint="eastAsia" w:ascii="宋体" w:hAnsi="宋体" w:eastAsia="宋体" w:cs="宋体"/>
                <w:i w:val="0"/>
                <w:iCs w:val="0"/>
                <w:color w:val="auto"/>
                <w:sz w:val="24"/>
                <w:szCs w:val="24"/>
                <w:highlight w:val="none"/>
                <w:lang w:val="en-US" w:eastAsia="zh-CN"/>
              </w:rPr>
              <w:t>）友情提示：请供应商在上传投标文件时，注意政采云平台上传时需要手动填写的相关信息，必须跟投标文件中填写的相关信息保持一致。如出现投标报价、交货期、质保期等内容与投标文件不一致，也会视为选择性方案，其投标将被拒绝。</w:t>
            </w:r>
          </w:p>
          <w:p w14:paraId="70B25EBC">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12</w:t>
            </w:r>
            <w:r>
              <w:rPr>
                <w:rFonts w:hint="eastAsia" w:ascii="宋体" w:hAnsi="宋体" w:eastAsia="宋体" w:cs="宋体"/>
                <w:i w:val="0"/>
                <w:iCs w:val="0"/>
                <w:color w:val="auto"/>
                <w:sz w:val="24"/>
                <w:szCs w:val="24"/>
                <w:highlight w:val="none"/>
                <w:lang w:val="en-US" w:eastAsia="zh-CN"/>
              </w:rPr>
              <w:t>）特别声明：供应商在制作投标文件时，不得弄虚作假，不得使用各种手段伪造、变造本不属于供应商自身的响应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违法违规行为上报财政主管部门进行通报。</w:t>
            </w:r>
          </w:p>
          <w:p w14:paraId="0EFE0B1B">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w:t>
            </w:r>
            <w:r>
              <w:rPr>
                <w:rFonts w:hint="eastAsia" w:cs="宋体"/>
                <w:b/>
                <w:bCs/>
                <w:i w:val="0"/>
                <w:iCs w:val="0"/>
                <w:color w:val="auto"/>
                <w:sz w:val="24"/>
                <w:szCs w:val="24"/>
                <w:highlight w:val="none"/>
                <w:lang w:val="en-US" w:eastAsia="zh-CN"/>
              </w:rPr>
              <w:t>13</w:t>
            </w:r>
            <w:r>
              <w:rPr>
                <w:rFonts w:hint="eastAsia" w:ascii="宋体" w:hAnsi="宋体" w:eastAsia="宋体" w:cs="宋体"/>
                <w:b/>
                <w:bCs/>
                <w:i w:val="0"/>
                <w:iCs w:val="0"/>
                <w:color w:val="auto"/>
                <w:sz w:val="24"/>
                <w:szCs w:val="24"/>
                <w:highlight w:val="none"/>
                <w:lang w:val="en-US" w:eastAsia="zh-CN"/>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14:paraId="4D1A1611">
            <w:pPr>
              <w:pStyle w:val="48"/>
              <w:keepNext w:val="0"/>
              <w:keepLines w:val="0"/>
              <w:pageBreakBefore w:val="0"/>
              <w:kinsoku/>
              <w:wordWrap/>
              <w:overflowPunct/>
              <w:topLinePunct w:val="0"/>
              <w:bidi w:val="0"/>
              <w:spacing w:line="350" w:lineRule="exact"/>
              <w:textAlignment w:val="auto"/>
              <w:rPr>
                <w:rFonts w:hint="eastAsia" w:ascii="宋体" w:hAnsi="宋体" w:eastAsia="宋体" w:cs="Times New Roman"/>
                <w:b/>
                <w:bCs/>
                <w:color w:val="auto"/>
                <w:kern w:val="0"/>
                <w:sz w:val="24"/>
                <w:szCs w:val="24"/>
                <w:highlight w:val="none"/>
                <w:lang w:val="en-US" w:eastAsia="zh-CN" w:bidi="ar-SA"/>
              </w:rPr>
            </w:pPr>
            <w:r>
              <w:rPr>
                <w:rFonts w:hint="eastAsia" w:cs="宋体"/>
                <w:b/>
                <w:bCs/>
                <w:i w:val="0"/>
                <w:iCs w:val="0"/>
                <w:color w:val="auto"/>
                <w:sz w:val="24"/>
                <w:szCs w:val="24"/>
                <w:highlight w:val="none"/>
                <w:lang w:val="en-US" w:eastAsia="zh-CN"/>
              </w:rPr>
              <w:t>（14）</w:t>
            </w:r>
            <w:r>
              <w:rPr>
                <w:rFonts w:hint="eastAsia" w:ascii="宋体" w:hAnsi="宋体" w:eastAsia="宋体" w:cs="Times New Roman"/>
                <w:b/>
                <w:bCs/>
                <w:color w:val="auto"/>
                <w:kern w:val="0"/>
                <w:sz w:val="24"/>
                <w:szCs w:val="24"/>
                <w:highlight w:val="none"/>
                <w:lang w:val="en-US" w:eastAsia="zh-CN" w:bidi="ar-SA"/>
              </w:rPr>
              <w:t>供应商须在投标截止时间前（</w:t>
            </w:r>
            <w:r>
              <w:rPr>
                <w:rFonts w:hint="eastAsia" w:ascii="宋体" w:hAnsi="宋体" w:eastAsia="宋体" w:cs="宋体"/>
                <w:b/>
                <w:bCs/>
                <w:color w:val="auto"/>
                <w:kern w:val="0"/>
                <w:sz w:val="24"/>
                <w:szCs w:val="24"/>
                <w:highlight w:val="none"/>
                <w:u w:val="single"/>
                <w:lang w:eastAsia="zh-CN"/>
              </w:rPr>
              <w:t>2025年</w:t>
            </w:r>
            <w:r>
              <w:rPr>
                <w:rFonts w:hint="eastAsia" w:ascii="宋体" w:hAnsi="宋体" w:eastAsia="宋体" w:cs="宋体"/>
                <w:b/>
                <w:bCs/>
                <w:color w:val="auto"/>
                <w:kern w:val="0"/>
                <w:sz w:val="24"/>
                <w:szCs w:val="24"/>
                <w:highlight w:val="none"/>
                <w:u w:val="single"/>
                <w:lang w:val="en-US" w:eastAsia="zh-CN"/>
              </w:rPr>
              <w:t>6</w:t>
            </w:r>
            <w:r>
              <w:rPr>
                <w:rFonts w:hint="eastAsia" w:ascii="宋体" w:hAnsi="宋体" w:eastAsia="宋体" w:cs="宋体"/>
                <w:b/>
                <w:bCs/>
                <w:color w:val="auto"/>
                <w:kern w:val="0"/>
                <w:sz w:val="24"/>
                <w:szCs w:val="24"/>
                <w:highlight w:val="none"/>
                <w:u w:val="single"/>
                <w:lang w:eastAsia="zh-CN"/>
              </w:rPr>
              <w:t>月</w:t>
            </w:r>
            <w:r>
              <w:rPr>
                <w:rFonts w:hint="eastAsia" w:cs="宋体"/>
                <w:b/>
                <w:bCs/>
                <w:color w:val="auto"/>
                <w:kern w:val="0"/>
                <w:sz w:val="24"/>
                <w:szCs w:val="24"/>
                <w:highlight w:val="none"/>
                <w:u w:val="single"/>
                <w:lang w:val="en-US" w:eastAsia="zh-CN"/>
              </w:rPr>
              <w:t>30</w:t>
            </w:r>
            <w:r>
              <w:rPr>
                <w:rFonts w:hint="eastAsia" w:ascii="宋体" w:hAnsi="宋体" w:eastAsia="宋体" w:cs="宋体"/>
                <w:b/>
                <w:bCs/>
                <w:color w:val="auto"/>
                <w:kern w:val="0"/>
                <w:sz w:val="24"/>
                <w:szCs w:val="24"/>
                <w:highlight w:val="none"/>
                <w:u w:val="single"/>
                <w:lang w:eastAsia="zh-CN"/>
              </w:rPr>
              <w:t>日</w:t>
            </w:r>
            <w:r>
              <w:rPr>
                <w:rFonts w:hint="eastAsia" w:ascii="宋体" w:hAnsi="宋体" w:cs="宋体"/>
                <w:b/>
                <w:bCs/>
                <w:color w:val="auto"/>
                <w:kern w:val="0"/>
                <w:sz w:val="24"/>
                <w:szCs w:val="24"/>
                <w:highlight w:val="none"/>
                <w:u w:val="single"/>
                <w:lang w:val="en-US" w:eastAsia="zh-CN"/>
              </w:rPr>
              <w:t>10</w:t>
            </w:r>
            <w:r>
              <w:rPr>
                <w:rFonts w:hint="eastAsia" w:ascii="宋体" w:hAnsi="宋体" w:eastAsia="宋体" w:cs="宋体"/>
                <w:b/>
                <w:bCs/>
                <w:color w:val="auto"/>
                <w:kern w:val="2"/>
                <w:sz w:val="24"/>
                <w:szCs w:val="24"/>
                <w:highlight w:val="none"/>
                <w:u w:val="single"/>
                <w:lang w:val="en-US" w:eastAsia="zh-CN" w:bidi="ar-SA"/>
              </w:rPr>
              <w:t xml:space="preserve"> 时</w:t>
            </w:r>
            <w:r>
              <w:rPr>
                <w:rFonts w:hint="eastAsia" w:ascii="宋体" w:hAnsi="宋体" w:cs="宋体"/>
                <w:b/>
                <w:bCs/>
                <w:color w:val="auto"/>
                <w:kern w:val="2"/>
                <w:sz w:val="24"/>
                <w:szCs w:val="24"/>
                <w:highlight w:val="none"/>
                <w:u w:val="single"/>
                <w:lang w:val="en-US" w:eastAsia="zh-CN" w:bidi="ar-SA"/>
              </w:rPr>
              <w:t>30</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eastAsia="宋体" w:cs="Times New Roman"/>
                <w:b/>
                <w:bCs/>
                <w:color w:val="auto"/>
                <w:kern w:val="0"/>
                <w:sz w:val="24"/>
                <w:szCs w:val="24"/>
                <w:highlight w:val="none"/>
                <w:lang w:val="en-US" w:eastAsia="zh-CN" w:bidi="ar-SA"/>
              </w:rPr>
              <w:t>分）提供投标响应文件，包括：未加密版PDF格式U盘3份及纸质版响应文件3份（1 正2副），双面打印并密封在档案袋中做好标示，密封提交（可邮寄）至招标采购代理公司（石河子市上海城B幢6楼8-B42号）。纸质版响应文件和电子U盘响应文件与上传至政采云平台响应文件必须一致（必须逐页加盖公章），由此产生的一切风险与后果由各潜在供应商承担。装订应采取A4纸分包牢固胶装装订成册，必须编写目录页码（页码应连续），响应文件封面须标注项目编号及、所投项目名称和投标单位名称、联系人及联系电话。</w:t>
            </w:r>
          </w:p>
          <w:p w14:paraId="69A82C65">
            <w:pPr>
              <w:pStyle w:val="48"/>
              <w:keepNext w:val="0"/>
              <w:keepLines w:val="0"/>
              <w:pageBreakBefore w:val="0"/>
              <w:kinsoku/>
              <w:wordWrap/>
              <w:overflowPunct/>
              <w:topLinePunct w:val="0"/>
              <w:bidi w:val="0"/>
              <w:spacing w:line="350" w:lineRule="exact"/>
              <w:textAlignment w:val="auto"/>
              <w:rPr>
                <w:rFonts w:hint="default" w:ascii="宋体" w:hAnsi="宋体" w:eastAsia="宋体" w:cs="Times New Roman"/>
                <w:b/>
                <w:bCs/>
                <w:color w:val="auto"/>
                <w:kern w:val="0"/>
                <w:sz w:val="24"/>
                <w:szCs w:val="24"/>
                <w:highlight w:val="none"/>
                <w:lang w:val="en-US" w:eastAsia="zh-CN" w:bidi="ar-SA"/>
              </w:rPr>
            </w:pPr>
            <w:r>
              <w:rPr>
                <w:rFonts w:hint="eastAsia" w:cs="宋体"/>
                <w:b/>
                <w:bCs/>
                <w:color w:val="auto"/>
                <w:kern w:val="0"/>
                <w:sz w:val="24"/>
                <w:szCs w:val="24"/>
                <w:highlight w:val="none"/>
                <w:lang w:val="en-US" w:eastAsia="zh-CN" w:bidi="ar-SA"/>
              </w:rPr>
              <w:t>（15）</w:t>
            </w:r>
            <w:r>
              <w:rPr>
                <w:rFonts w:hint="eastAsia" w:ascii="宋体" w:hAnsi="宋体" w:eastAsia="宋体" w:cs="宋体"/>
                <w:b/>
                <w:bCs/>
                <w:color w:val="auto"/>
                <w:kern w:val="0"/>
                <w:sz w:val="24"/>
                <w:szCs w:val="24"/>
                <w:highlight w:val="none"/>
                <w:lang w:val="en-US" w:eastAsia="zh-CN" w:bidi="ar-SA"/>
              </w:rPr>
              <w:t>针对本次所投产品</w:t>
            </w:r>
            <w:r>
              <w:rPr>
                <w:rFonts w:hint="eastAsia" w:ascii="宋体" w:hAnsi="宋体" w:cs="宋体"/>
                <w:b/>
                <w:bCs/>
                <w:color w:val="auto"/>
                <w:kern w:val="0"/>
                <w:sz w:val="24"/>
                <w:szCs w:val="24"/>
                <w:highlight w:val="none"/>
                <w:lang w:val="en-US" w:eastAsia="zh-CN" w:bidi="ar-SA"/>
              </w:rPr>
              <w:t>的投标人</w:t>
            </w:r>
            <w:r>
              <w:rPr>
                <w:rFonts w:hint="eastAsia" w:ascii="宋体" w:hAnsi="宋体" w:eastAsia="宋体" w:cs="宋体"/>
                <w:b/>
                <w:bCs/>
                <w:color w:val="auto"/>
                <w:kern w:val="0"/>
                <w:sz w:val="24"/>
                <w:szCs w:val="24"/>
                <w:highlight w:val="none"/>
                <w:lang w:val="en-US" w:eastAsia="zh-CN" w:bidi="ar-SA"/>
              </w:rPr>
              <w:t>有一定货源的供应商，各供应商不得恶意低价竞</w:t>
            </w:r>
            <w:r>
              <w:rPr>
                <w:rFonts w:hint="eastAsia" w:ascii="宋体" w:hAnsi="宋体" w:cs="宋体"/>
                <w:b/>
                <w:bCs/>
                <w:color w:val="auto"/>
                <w:kern w:val="0"/>
                <w:sz w:val="24"/>
                <w:szCs w:val="24"/>
                <w:highlight w:val="none"/>
                <w:lang w:val="en-US" w:eastAsia="zh-CN" w:bidi="ar-SA"/>
              </w:rPr>
              <w:t>争</w:t>
            </w:r>
            <w:r>
              <w:rPr>
                <w:rFonts w:hint="eastAsia" w:ascii="宋体" w:hAnsi="宋体" w:eastAsia="宋体" w:cs="宋体"/>
                <w:b/>
                <w:bCs/>
                <w:color w:val="auto"/>
                <w:kern w:val="0"/>
                <w:sz w:val="24"/>
                <w:szCs w:val="24"/>
                <w:highlight w:val="none"/>
                <w:lang w:val="en-US" w:eastAsia="zh-CN" w:bidi="ar-SA"/>
              </w:rPr>
              <w:t>，评标委员会在评审过程中若发现出现低于市场平均价的供应商将在规定</w:t>
            </w:r>
            <w:r>
              <w:rPr>
                <w:rFonts w:hint="eastAsia" w:ascii="宋体" w:hAnsi="宋体" w:cs="宋体"/>
                <w:b/>
                <w:bCs/>
                <w:color w:val="auto"/>
                <w:kern w:val="0"/>
                <w:sz w:val="24"/>
                <w:szCs w:val="24"/>
                <w:highlight w:val="none"/>
                <w:lang w:val="en-US" w:eastAsia="zh-CN" w:bidi="ar-SA"/>
              </w:rPr>
              <w:t>时</w:t>
            </w:r>
            <w:r>
              <w:rPr>
                <w:rFonts w:hint="eastAsia" w:ascii="宋体" w:hAnsi="宋体" w:eastAsia="宋体" w:cs="宋体"/>
                <w:b/>
                <w:bCs/>
                <w:color w:val="auto"/>
                <w:kern w:val="0"/>
                <w:sz w:val="24"/>
                <w:szCs w:val="24"/>
                <w:highlight w:val="none"/>
                <w:lang w:val="en-US" w:eastAsia="zh-CN" w:bidi="ar-SA"/>
              </w:rPr>
              <w:t>限内要求提供对价格构成及相关印证资料（收据、发票、合同明细、协议等），若未在规定时间内（30分钟内）提供有效证明资料将按无效投标处理。</w:t>
            </w:r>
          </w:p>
        </w:tc>
      </w:tr>
      <w:tr w14:paraId="66886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9" w:hRule="atLeast"/>
        </w:trPr>
        <w:tc>
          <w:tcPr>
            <w:tcW w:w="970" w:type="dxa"/>
            <w:tcBorders>
              <w:top w:val="single" w:color="auto" w:sz="2" w:space="0"/>
              <w:left w:val="single" w:color="auto" w:sz="2" w:space="0"/>
              <w:bottom w:val="single" w:color="auto" w:sz="2" w:space="0"/>
              <w:right w:val="single" w:color="auto" w:sz="4" w:space="0"/>
            </w:tcBorders>
            <w:vAlign w:val="center"/>
          </w:tcPr>
          <w:p w14:paraId="5A11D4B7">
            <w:pPr>
              <w:pStyle w:val="48"/>
              <w:keepNext w:val="0"/>
              <w:keepLines w:val="0"/>
              <w:pageBreakBefore w:val="0"/>
              <w:kinsoku/>
              <w:wordWrap/>
              <w:overflowPunct/>
              <w:topLinePunct w:val="0"/>
              <w:bidi w:val="0"/>
              <w:spacing w:line="350" w:lineRule="exact"/>
              <w:jc w:val="center"/>
              <w:textAlignment w:val="auto"/>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46</w:t>
            </w:r>
          </w:p>
        </w:tc>
        <w:tc>
          <w:tcPr>
            <w:tcW w:w="1721" w:type="dxa"/>
            <w:tcBorders>
              <w:top w:val="single" w:color="auto" w:sz="2" w:space="0"/>
              <w:left w:val="single" w:color="auto" w:sz="2" w:space="0"/>
              <w:bottom w:val="single" w:color="auto" w:sz="2" w:space="0"/>
              <w:right w:val="single" w:color="auto" w:sz="4" w:space="0"/>
            </w:tcBorders>
            <w:vAlign w:val="center"/>
          </w:tcPr>
          <w:p w14:paraId="15393FFF">
            <w:pPr>
              <w:pStyle w:val="111"/>
              <w:keepNext w:val="0"/>
              <w:keepLines w:val="0"/>
              <w:pageBreakBefore w:val="0"/>
              <w:widowControl w:val="0"/>
              <w:shd w:val="clear" w:color="auto" w:fill="auto"/>
              <w:kinsoku/>
              <w:wordWrap/>
              <w:overflowPunct/>
              <w:topLinePunct w:val="0"/>
              <w:autoSpaceDE/>
              <w:autoSpaceDN/>
              <w:bidi w:val="0"/>
              <w:adjustRightInd/>
              <w:snapToGrid/>
              <w:spacing w:after="200"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工期</w:t>
            </w:r>
          </w:p>
        </w:tc>
        <w:tc>
          <w:tcPr>
            <w:tcW w:w="6663" w:type="dxa"/>
            <w:tcBorders>
              <w:top w:val="single" w:color="auto" w:sz="2" w:space="0"/>
              <w:left w:val="single" w:color="auto" w:sz="4" w:space="0"/>
              <w:bottom w:val="single" w:color="auto" w:sz="2" w:space="0"/>
              <w:right w:val="single" w:color="auto" w:sz="2" w:space="0"/>
            </w:tcBorders>
            <w:vAlign w:val="center"/>
          </w:tcPr>
          <w:p w14:paraId="0A0DAECB">
            <w:pPr>
              <w:pStyle w:val="48"/>
              <w:keepNext w:val="0"/>
              <w:keepLines w:val="0"/>
              <w:pageBreakBefore w:val="0"/>
              <w:kinsoku/>
              <w:wordWrap/>
              <w:overflowPunct/>
              <w:topLinePunct w:val="0"/>
              <w:bidi w:val="0"/>
              <w:spacing w:line="350" w:lineRule="exact"/>
              <w:textAlignment w:val="auto"/>
              <w:rPr>
                <w:rFonts w:hint="eastAsia" w:cs="宋体"/>
                <w:b/>
                <w:bCs/>
                <w:i w:val="0"/>
                <w:iCs w:val="0"/>
                <w:color w:val="auto"/>
                <w:sz w:val="24"/>
                <w:szCs w:val="24"/>
                <w:highlight w:val="none"/>
                <w:lang w:val="en-US" w:eastAsia="zh-CN"/>
              </w:rPr>
            </w:pPr>
            <w:r>
              <w:rPr>
                <w:rFonts w:hint="eastAsia" w:ascii="宋体" w:hAnsi="宋体"/>
                <w:color w:val="auto"/>
                <w:sz w:val="24"/>
                <w:szCs w:val="24"/>
                <w:highlight w:val="none"/>
              </w:rPr>
              <w:t>计划工期：</w:t>
            </w:r>
            <w:r>
              <w:rPr>
                <w:rFonts w:hint="eastAsia"/>
                <w:color w:val="auto"/>
                <w:sz w:val="24"/>
                <w:szCs w:val="24"/>
                <w:highlight w:val="none"/>
                <w:u w:val="single"/>
                <w:lang w:val="en-US" w:eastAsia="zh-CN"/>
              </w:rPr>
              <w:t>90</w:t>
            </w:r>
            <w:r>
              <w:rPr>
                <w:rFonts w:hint="eastAsia" w:ascii="宋体" w:hAnsi="宋体" w:cs="宋体"/>
                <w:color w:val="auto"/>
                <w:sz w:val="24"/>
                <w:szCs w:val="24"/>
                <w:highlight w:val="none"/>
                <w:u w:val="single"/>
              </w:rPr>
              <w:t>日历天</w:t>
            </w:r>
            <w:r>
              <w:rPr>
                <w:rFonts w:hint="eastAsia" w:cs="宋体"/>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合同签订生效后</w:t>
            </w:r>
            <w:r>
              <w:rPr>
                <w:rFonts w:hint="eastAsia" w:cs="宋体"/>
                <w:i w:val="0"/>
                <w:iCs w:val="0"/>
                <w:color w:val="auto"/>
                <w:sz w:val="24"/>
                <w:szCs w:val="24"/>
                <w:highlight w:val="none"/>
                <w:u w:val="single"/>
                <w:lang w:val="en-US" w:eastAsia="zh-CN"/>
              </w:rPr>
              <w:t>90</w:t>
            </w:r>
            <w:r>
              <w:rPr>
                <w:rFonts w:hint="eastAsia" w:ascii="宋体" w:hAnsi="宋体" w:eastAsia="宋体" w:cs="宋体"/>
                <w:i w:val="0"/>
                <w:iCs w:val="0"/>
                <w:color w:val="auto"/>
                <w:sz w:val="24"/>
                <w:szCs w:val="24"/>
                <w:highlight w:val="none"/>
                <w:u w:val="single"/>
                <w:lang w:val="en-US" w:eastAsia="zh-CN"/>
              </w:rPr>
              <w:t>日内货到采购人指定地点，完成安装调试</w:t>
            </w:r>
            <w:r>
              <w:rPr>
                <w:rFonts w:hint="eastAsia" w:cs="宋体"/>
                <w:i w:val="0"/>
                <w:iCs w:val="0"/>
                <w:color w:val="auto"/>
                <w:sz w:val="24"/>
                <w:szCs w:val="24"/>
                <w:highlight w:val="none"/>
                <w:u w:val="single"/>
                <w:lang w:val="en-US" w:eastAsia="zh-CN"/>
              </w:rPr>
              <w:t>并验收合格</w:t>
            </w:r>
            <w:r>
              <w:rPr>
                <w:rFonts w:hint="eastAsia" w:ascii="宋体" w:hAnsi="宋体" w:cs="宋体"/>
                <w:color w:val="auto"/>
                <w:sz w:val="24"/>
                <w:szCs w:val="24"/>
                <w:highlight w:val="none"/>
              </w:rPr>
              <w:t>。</w:t>
            </w:r>
          </w:p>
        </w:tc>
      </w:tr>
      <w:tr w14:paraId="638D4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88" w:hRule="atLeast"/>
        </w:trPr>
        <w:tc>
          <w:tcPr>
            <w:tcW w:w="970" w:type="dxa"/>
            <w:tcBorders>
              <w:top w:val="single" w:color="auto" w:sz="2" w:space="0"/>
              <w:left w:val="single" w:color="auto" w:sz="2" w:space="0"/>
              <w:bottom w:val="single" w:color="auto" w:sz="2" w:space="0"/>
              <w:right w:val="single" w:color="auto" w:sz="4" w:space="0"/>
            </w:tcBorders>
            <w:vAlign w:val="center"/>
          </w:tcPr>
          <w:p w14:paraId="7567115E">
            <w:pPr>
              <w:pStyle w:val="48"/>
              <w:keepNext w:val="0"/>
              <w:keepLines w:val="0"/>
              <w:pageBreakBefore w:val="0"/>
              <w:kinsoku/>
              <w:wordWrap/>
              <w:overflowPunct/>
              <w:topLinePunct w:val="0"/>
              <w:bidi w:val="0"/>
              <w:spacing w:line="350" w:lineRule="exact"/>
              <w:jc w:val="center"/>
              <w:textAlignment w:val="auto"/>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47</w:t>
            </w:r>
          </w:p>
        </w:tc>
        <w:tc>
          <w:tcPr>
            <w:tcW w:w="1721" w:type="dxa"/>
            <w:tcBorders>
              <w:top w:val="single" w:color="auto" w:sz="2" w:space="0"/>
              <w:left w:val="single" w:color="auto" w:sz="2" w:space="0"/>
              <w:bottom w:val="single" w:color="auto" w:sz="2" w:space="0"/>
              <w:right w:val="single" w:color="auto" w:sz="4" w:space="0"/>
            </w:tcBorders>
            <w:vAlign w:val="center"/>
          </w:tcPr>
          <w:p w14:paraId="3E238514">
            <w:pPr>
              <w:pStyle w:val="111"/>
              <w:keepNext w:val="0"/>
              <w:keepLines w:val="0"/>
              <w:pageBreakBefore w:val="0"/>
              <w:widowControl w:val="0"/>
              <w:shd w:val="clear" w:color="auto" w:fill="auto"/>
              <w:kinsoku/>
              <w:wordWrap/>
              <w:overflowPunct/>
              <w:topLinePunct w:val="0"/>
              <w:autoSpaceDE/>
              <w:autoSpaceDN/>
              <w:bidi w:val="0"/>
              <w:adjustRightInd/>
              <w:snapToGrid/>
              <w:spacing w:after="200"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最高限价</w:t>
            </w:r>
          </w:p>
        </w:tc>
        <w:tc>
          <w:tcPr>
            <w:tcW w:w="6663" w:type="dxa"/>
            <w:tcBorders>
              <w:top w:val="single" w:color="auto" w:sz="2" w:space="0"/>
              <w:left w:val="single" w:color="auto" w:sz="4" w:space="0"/>
              <w:bottom w:val="single" w:color="auto" w:sz="2" w:space="0"/>
              <w:right w:val="single" w:color="auto" w:sz="2" w:space="0"/>
            </w:tcBorders>
            <w:vAlign w:val="center"/>
          </w:tcPr>
          <w:p w14:paraId="6C1631F3">
            <w:pPr>
              <w:pStyle w:val="63"/>
              <w:keepNext w:val="0"/>
              <w:keepLines w:val="0"/>
              <w:pageBreakBefore w:val="0"/>
              <w:widowControl w:val="0"/>
              <w:shd w:val="clear" w:color="auto" w:fill="auto"/>
              <w:kinsoku/>
              <w:wordWrap/>
              <w:overflowPunct/>
              <w:topLinePunct w:val="0"/>
              <w:autoSpaceDE/>
              <w:autoSpaceDN/>
              <w:bidi w:val="0"/>
              <w:adjustRightInd/>
              <w:snapToGrid/>
              <w:spacing w:line="350" w:lineRule="exact"/>
              <w:textAlignment w:val="auto"/>
              <w:rPr>
                <w:rFonts w:hint="eastAsia" w:cs="宋体"/>
                <w:b/>
                <w:bCs/>
                <w:i w:val="0"/>
                <w:iCs w:val="0"/>
                <w:color w:val="auto"/>
                <w:sz w:val="24"/>
                <w:szCs w:val="24"/>
                <w:highlight w:val="none"/>
                <w:lang w:val="en-US" w:eastAsia="zh-CN"/>
              </w:rPr>
            </w:pPr>
            <w:r>
              <w:rPr>
                <w:rFonts w:hint="eastAsia"/>
                <w:b/>
                <w:bCs/>
                <w:color w:val="auto"/>
                <w:kern w:val="2"/>
                <w:sz w:val="24"/>
                <w:szCs w:val="24"/>
                <w:highlight w:val="none"/>
                <w:lang w:val="en-US" w:eastAsia="zh-CN"/>
              </w:rPr>
              <w:t>招标控制总价(最高限价)：3469599.76元</w:t>
            </w:r>
            <w:r>
              <w:rPr>
                <w:rFonts w:hint="eastAsia"/>
                <w:b/>
                <w:bCs/>
                <w:color w:val="auto"/>
                <w:kern w:val="2"/>
                <w:sz w:val="24"/>
                <w:szCs w:val="24"/>
                <w:highlight w:val="none"/>
                <w:lang w:val="en-US" w:eastAsia="zh-CN" w:bidi="ar-SA"/>
              </w:rPr>
              <w:t>，</w:t>
            </w:r>
            <w:r>
              <w:rPr>
                <w:rFonts w:hint="eastAsia" w:ascii="宋体" w:hAnsi="宋体" w:cs="仿宋"/>
                <w:b/>
                <w:bCs/>
                <w:color w:val="auto"/>
                <w:sz w:val="24"/>
                <w:highlight w:val="none"/>
              </w:rPr>
              <w:t>(其中：规费：32978.76元；安全文明费（不含临时设施费）：2020.48元；增值税销项税额：286480.7</w:t>
            </w:r>
            <w:r>
              <w:rPr>
                <w:rFonts w:hint="eastAsia" w:ascii="宋体" w:hAnsi="宋体" w:cs="仿宋"/>
                <w:b/>
                <w:bCs/>
                <w:color w:val="auto"/>
                <w:sz w:val="24"/>
                <w:highlight w:val="none"/>
                <w:lang w:val="en-US" w:eastAsia="zh-CN"/>
              </w:rPr>
              <w:t>0</w:t>
            </w:r>
            <w:r>
              <w:rPr>
                <w:rFonts w:hint="eastAsia" w:ascii="宋体" w:hAnsi="宋体" w:cs="仿宋"/>
                <w:b/>
                <w:bCs/>
                <w:color w:val="auto"/>
                <w:sz w:val="24"/>
                <w:highlight w:val="none"/>
              </w:rPr>
              <w:t>元；</w:t>
            </w:r>
            <w:r>
              <w:rPr>
                <w:rFonts w:hint="eastAsia" w:ascii="宋体" w:hAnsi="宋体" w:cs="仿宋"/>
                <w:b/>
                <w:bCs/>
                <w:color w:val="auto"/>
                <w:sz w:val="24"/>
                <w:highlight w:val="none"/>
                <w:lang w:val="en-US" w:eastAsia="zh-CN"/>
              </w:rPr>
              <w:t>暂估价：6500.00元；</w:t>
            </w:r>
            <w:r>
              <w:rPr>
                <w:rFonts w:hint="eastAsia" w:ascii="宋体" w:hAnsi="宋体" w:cs="仿宋"/>
                <w:b/>
                <w:bCs/>
                <w:color w:val="auto"/>
                <w:sz w:val="24"/>
                <w:highlight w:val="none"/>
              </w:rPr>
              <w:t>不含不可竞争费的控制价为</w:t>
            </w:r>
            <w:r>
              <w:rPr>
                <w:rFonts w:hint="eastAsia" w:ascii="宋体" w:hAnsi="宋体" w:cs="仿宋"/>
                <w:b/>
                <w:bCs/>
                <w:color w:val="auto"/>
                <w:sz w:val="24"/>
                <w:highlight w:val="none"/>
                <w:lang w:eastAsia="zh-CN"/>
              </w:rPr>
              <w:t>：3141619.82</w:t>
            </w:r>
            <w:r>
              <w:rPr>
                <w:rFonts w:hint="eastAsia" w:ascii="宋体" w:hAnsi="宋体" w:cs="仿宋"/>
                <w:b/>
                <w:bCs/>
                <w:color w:val="auto"/>
                <w:sz w:val="24"/>
                <w:highlight w:val="none"/>
              </w:rPr>
              <w:t>元)。各投标人的投标报价（包括不含不可竞争费用的投标报价、不可竞争费用、投标总报价）均不得超出本工程规定的招标控制价</w:t>
            </w:r>
            <w:r>
              <w:rPr>
                <w:rFonts w:hint="eastAsia" w:ascii="宋体" w:hAnsi="宋体" w:cs="仿宋"/>
                <w:b/>
                <w:bCs/>
                <w:color w:val="auto"/>
                <w:sz w:val="24"/>
                <w:highlight w:val="none"/>
                <w:lang w:val="en-US" w:eastAsia="zh-CN"/>
              </w:rPr>
              <w:t>(最高限价)</w:t>
            </w:r>
            <w:r>
              <w:rPr>
                <w:rFonts w:hint="eastAsia" w:ascii="宋体" w:hAnsi="宋体" w:cs="仿宋"/>
                <w:b/>
                <w:bCs/>
                <w:color w:val="auto"/>
                <w:sz w:val="24"/>
                <w:highlight w:val="none"/>
              </w:rPr>
              <w:t>，否则即属于投标文件的重大偏差。投标文件将被拒绝。</w:t>
            </w:r>
          </w:p>
        </w:tc>
      </w:tr>
      <w:tr w14:paraId="7F93F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19" w:hRule="atLeast"/>
        </w:trPr>
        <w:tc>
          <w:tcPr>
            <w:tcW w:w="970" w:type="dxa"/>
            <w:tcBorders>
              <w:top w:val="single" w:color="auto" w:sz="2" w:space="0"/>
              <w:left w:val="single" w:color="auto" w:sz="2" w:space="0"/>
              <w:bottom w:val="single" w:color="auto" w:sz="2" w:space="0"/>
              <w:right w:val="single" w:color="auto" w:sz="4" w:space="0"/>
            </w:tcBorders>
            <w:vAlign w:val="center"/>
          </w:tcPr>
          <w:p w14:paraId="1BCB8715">
            <w:pPr>
              <w:pStyle w:val="48"/>
              <w:keepNext w:val="0"/>
              <w:keepLines w:val="0"/>
              <w:pageBreakBefore w:val="0"/>
              <w:kinsoku/>
              <w:wordWrap/>
              <w:overflowPunct/>
              <w:topLinePunct w:val="0"/>
              <w:bidi w:val="0"/>
              <w:spacing w:line="350" w:lineRule="exact"/>
              <w:jc w:val="center"/>
              <w:textAlignment w:val="auto"/>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48</w:t>
            </w:r>
          </w:p>
        </w:tc>
        <w:tc>
          <w:tcPr>
            <w:tcW w:w="1721" w:type="dxa"/>
            <w:tcBorders>
              <w:top w:val="single" w:color="auto" w:sz="2" w:space="0"/>
              <w:left w:val="single" w:color="auto" w:sz="2" w:space="0"/>
              <w:bottom w:val="single" w:color="auto" w:sz="2" w:space="0"/>
              <w:right w:val="single" w:color="auto" w:sz="4" w:space="0"/>
            </w:tcBorders>
            <w:vAlign w:val="center"/>
          </w:tcPr>
          <w:p w14:paraId="3BBA12D9">
            <w:pPr>
              <w:pStyle w:val="111"/>
              <w:keepNext w:val="0"/>
              <w:keepLines w:val="0"/>
              <w:pageBreakBefore w:val="0"/>
              <w:widowControl w:val="0"/>
              <w:shd w:val="clear" w:color="auto" w:fill="auto"/>
              <w:kinsoku/>
              <w:wordWrap/>
              <w:overflowPunct/>
              <w:topLinePunct w:val="0"/>
              <w:autoSpaceDE/>
              <w:autoSpaceDN/>
              <w:bidi w:val="0"/>
              <w:adjustRightInd/>
              <w:snapToGrid/>
              <w:spacing w:after="200"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付款方式</w:t>
            </w:r>
          </w:p>
        </w:tc>
        <w:tc>
          <w:tcPr>
            <w:tcW w:w="6663" w:type="dxa"/>
            <w:tcBorders>
              <w:top w:val="single" w:color="auto" w:sz="2" w:space="0"/>
              <w:left w:val="single" w:color="auto" w:sz="4" w:space="0"/>
              <w:bottom w:val="single" w:color="auto" w:sz="2" w:space="0"/>
              <w:right w:val="single" w:color="auto" w:sz="2" w:space="0"/>
            </w:tcBorders>
            <w:vAlign w:val="center"/>
          </w:tcPr>
          <w:p w14:paraId="4E7031B5">
            <w:pPr>
              <w:pStyle w:val="56"/>
              <w:keepNext w:val="0"/>
              <w:keepLines w:val="0"/>
              <w:pageBreakBefore w:val="0"/>
              <w:shd w:val="clear" w:color="auto" w:fill="auto"/>
              <w:kinsoku/>
              <w:wordWrap/>
              <w:overflowPunct/>
              <w:topLinePunct w:val="0"/>
              <w:autoSpaceDE w:val="0"/>
              <w:autoSpaceDN w:val="0"/>
              <w:bidi w:val="0"/>
              <w:adjustRightInd w:val="0"/>
              <w:snapToGrid/>
              <w:spacing w:after="200" w:line="350" w:lineRule="exact"/>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按合同执行。</w:t>
            </w:r>
          </w:p>
        </w:tc>
      </w:tr>
      <w:tr w14:paraId="7A1B0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59" w:hRule="atLeast"/>
        </w:trPr>
        <w:tc>
          <w:tcPr>
            <w:tcW w:w="970" w:type="dxa"/>
            <w:tcBorders>
              <w:top w:val="single" w:color="auto" w:sz="2" w:space="0"/>
              <w:left w:val="single" w:color="auto" w:sz="2" w:space="0"/>
              <w:bottom w:val="single" w:color="auto" w:sz="2" w:space="0"/>
              <w:right w:val="single" w:color="auto" w:sz="4" w:space="0"/>
            </w:tcBorders>
            <w:vAlign w:val="center"/>
          </w:tcPr>
          <w:p w14:paraId="09BB6D7E">
            <w:pPr>
              <w:pStyle w:val="48"/>
              <w:keepNext w:val="0"/>
              <w:keepLines w:val="0"/>
              <w:pageBreakBefore w:val="0"/>
              <w:kinsoku/>
              <w:wordWrap/>
              <w:overflowPunct/>
              <w:topLinePunct w:val="0"/>
              <w:bidi w:val="0"/>
              <w:spacing w:line="350" w:lineRule="exact"/>
              <w:jc w:val="center"/>
              <w:textAlignment w:val="auto"/>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49</w:t>
            </w:r>
          </w:p>
        </w:tc>
        <w:tc>
          <w:tcPr>
            <w:tcW w:w="1721" w:type="dxa"/>
            <w:tcBorders>
              <w:top w:val="single" w:color="auto" w:sz="2" w:space="0"/>
              <w:left w:val="single" w:color="auto" w:sz="2" w:space="0"/>
              <w:bottom w:val="single" w:color="auto" w:sz="2" w:space="0"/>
              <w:right w:val="single" w:color="auto" w:sz="4" w:space="0"/>
            </w:tcBorders>
            <w:vAlign w:val="center"/>
          </w:tcPr>
          <w:p w14:paraId="454199FA">
            <w:pPr>
              <w:pStyle w:val="111"/>
              <w:keepNext w:val="0"/>
              <w:keepLines w:val="0"/>
              <w:pageBreakBefore w:val="0"/>
              <w:widowControl w:val="0"/>
              <w:shd w:val="clear" w:color="auto" w:fill="auto"/>
              <w:kinsoku/>
              <w:wordWrap/>
              <w:overflowPunct/>
              <w:topLinePunct w:val="0"/>
              <w:autoSpaceDE/>
              <w:autoSpaceDN/>
              <w:bidi w:val="0"/>
              <w:adjustRightInd/>
              <w:snapToGrid/>
              <w:spacing w:after="200" w:line="35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备注</w:t>
            </w:r>
          </w:p>
        </w:tc>
        <w:tc>
          <w:tcPr>
            <w:tcW w:w="6663" w:type="dxa"/>
            <w:tcBorders>
              <w:top w:val="single" w:color="auto" w:sz="2" w:space="0"/>
              <w:left w:val="single" w:color="auto" w:sz="4" w:space="0"/>
              <w:bottom w:val="single" w:color="auto" w:sz="2" w:space="0"/>
              <w:right w:val="single" w:color="auto" w:sz="2" w:space="0"/>
            </w:tcBorders>
            <w:vAlign w:val="center"/>
          </w:tcPr>
          <w:p w14:paraId="09AA7C71">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有下列情况之一的，采购响应无效:</w:t>
            </w:r>
          </w:p>
          <w:p w14:paraId="6273C0D6">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1.投标人不具备《中华人民共和国政府采购法》第二十二条规定：</w:t>
            </w:r>
          </w:p>
          <w:p w14:paraId="6D19AEBA">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2.采购响应文件没有按采购文件的要求盖章或签名：</w:t>
            </w:r>
          </w:p>
          <w:p w14:paraId="2C7B62AA">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3.投标人不符合资格条件：</w:t>
            </w:r>
          </w:p>
          <w:p w14:paraId="635407D6">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4.采购响应文件提供虚假材料：</w:t>
            </w:r>
          </w:p>
          <w:p w14:paraId="2282BA7C">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5.采购响应文件未完全满足采购文件中带“▲”号的实质性条款或指标:</w:t>
            </w:r>
          </w:p>
          <w:p w14:paraId="340F20D3">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6.投标人报价不确定或超过采购文件中列出的采购预算(最高限价):</w:t>
            </w:r>
          </w:p>
          <w:p w14:paraId="0E3E896F">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7.联合体的投标人未提交各方共同签署的协议:</w:t>
            </w:r>
          </w:p>
          <w:p w14:paraId="70A0506B">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8.投标人未按采购文件要求交纳投标保证金:</w:t>
            </w:r>
          </w:p>
          <w:p w14:paraId="6E43DD69">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9.评审期间，投标人没有按评标委员会的要求提交经授权代表签字的澄清、说明、补正或改变了采购响应文件的实质性内容：</w:t>
            </w:r>
          </w:p>
          <w:p w14:paraId="5524A611">
            <w:pPr>
              <w:pStyle w:val="95"/>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10.供应商对采购人、采购代理机构、评标委员会及其工作人员施加影响，有碍公平、公正：</w:t>
            </w:r>
          </w:p>
          <w:p w14:paraId="4151987F">
            <w:pPr>
              <w:pStyle w:val="112"/>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11.法律、法规、规章及招标文件中规定属于响应无效的其他情形。</w:t>
            </w:r>
          </w:p>
        </w:tc>
      </w:tr>
      <w:tr w14:paraId="1960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615" w:hRule="atLeast"/>
        </w:trPr>
        <w:tc>
          <w:tcPr>
            <w:tcW w:w="970" w:type="dxa"/>
            <w:tcBorders>
              <w:top w:val="single" w:color="auto" w:sz="2" w:space="0"/>
              <w:left w:val="single" w:color="auto" w:sz="2" w:space="0"/>
              <w:bottom w:val="single" w:color="auto" w:sz="2" w:space="0"/>
              <w:right w:val="single" w:color="auto" w:sz="4" w:space="0"/>
            </w:tcBorders>
            <w:vAlign w:val="center"/>
          </w:tcPr>
          <w:p w14:paraId="0268D455">
            <w:pPr>
              <w:pStyle w:val="48"/>
              <w:keepNext w:val="0"/>
              <w:keepLines w:val="0"/>
              <w:pageBreakBefore w:val="0"/>
              <w:kinsoku/>
              <w:wordWrap/>
              <w:overflowPunct/>
              <w:topLinePunct w:val="0"/>
              <w:bidi w:val="0"/>
              <w:spacing w:line="350" w:lineRule="exact"/>
              <w:jc w:val="center"/>
              <w:textAlignment w:val="auto"/>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50</w:t>
            </w:r>
          </w:p>
        </w:tc>
        <w:tc>
          <w:tcPr>
            <w:tcW w:w="1721" w:type="dxa"/>
            <w:tcBorders>
              <w:top w:val="single" w:color="auto" w:sz="2" w:space="0"/>
              <w:left w:val="single" w:color="auto" w:sz="2" w:space="0"/>
              <w:bottom w:val="single" w:color="auto" w:sz="2" w:space="0"/>
              <w:right w:val="single" w:color="auto" w:sz="4" w:space="0"/>
            </w:tcBorders>
            <w:vAlign w:val="center"/>
          </w:tcPr>
          <w:p w14:paraId="1E8048D5">
            <w:pPr>
              <w:pStyle w:val="112"/>
              <w:keepNext w:val="0"/>
              <w:keepLines w:val="0"/>
              <w:pageBreakBefore w:val="0"/>
              <w:widowControl w:val="0"/>
              <w:kinsoku/>
              <w:wordWrap/>
              <w:overflowPunct/>
              <w:topLinePunct w:val="0"/>
              <w:autoSpaceDE w:val="0"/>
              <w:autoSpaceDN w:val="0"/>
              <w:bidi w:val="0"/>
              <w:adjustRightInd w:val="0"/>
              <w:snapToGrid/>
              <w:spacing w:line="350" w:lineRule="exact"/>
              <w:ind w:left="0" w:leftChars="0"/>
              <w:jc w:val="center"/>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注意事项</w:t>
            </w:r>
          </w:p>
        </w:tc>
        <w:tc>
          <w:tcPr>
            <w:tcW w:w="6663" w:type="dxa"/>
            <w:tcBorders>
              <w:top w:val="single" w:color="auto" w:sz="2" w:space="0"/>
              <w:left w:val="single" w:color="auto" w:sz="4" w:space="0"/>
              <w:bottom w:val="single" w:color="auto" w:sz="2" w:space="0"/>
              <w:right w:val="single" w:color="auto" w:sz="2" w:space="0"/>
            </w:tcBorders>
            <w:vAlign w:val="center"/>
          </w:tcPr>
          <w:p w14:paraId="5BC04C4A">
            <w:pPr>
              <w:pStyle w:val="112"/>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本项目为涉密项目，工程量清单设置有密码，请符合公告申请人的资格要求的投标单位获取工程量清单时需准备以下资料到新疆天瑞工程造价咨询有限公司获取：</w:t>
            </w:r>
          </w:p>
          <w:p w14:paraId="5EBBDAF7">
            <w:pPr>
              <w:pStyle w:val="71"/>
              <w:keepNext w:val="0"/>
              <w:keepLines w:val="0"/>
              <w:pageBreakBefore w:val="0"/>
              <w:widowControl w:val="0"/>
              <w:numPr>
                <w:ilvl w:val="0"/>
                <w:numId w:val="2"/>
              </w:numPr>
              <w:kinsoku/>
              <w:wordWrap/>
              <w:overflowPunct/>
              <w:topLinePunct w:val="0"/>
              <w:bidi w:val="0"/>
              <w:spacing w:line="312" w:lineRule="auto"/>
              <w:textAlignment w:val="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按公告</w:t>
            </w:r>
            <w:r>
              <w:rPr>
                <w:rFonts w:hint="eastAsia" w:ascii="宋体" w:hAnsi="宋体" w:eastAsia="宋体" w:cs="宋体"/>
                <w:b/>
                <w:bCs/>
                <w:i w:val="0"/>
                <w:iCs w:val="0"/>
                <w:color w:val="auto"/>
                <w:kern w:val="2"/>
                <w:sz w:val="24"/>
                <w:szCs w:val="24"/>
                <w:highlight w:val="none"/>
                <w:lang w:val="en-US" w:eastAsia="zh-CN" w:bidi="ar-SA"/>
              </w:rPr>
              <w:t>申请人的资格要求</w:t>
            </w:r>
            <w:r>
              <w:rPr>
                <w:rFonts w:hint="eastAsia" w:ascii="宋体" w:hAnsi="宋体" w:cs="宋体"/>
                <w:b/>
                <w:bCs/>
                <w:i w:val="0"/>
                <w:iCs w:val="0"/>
                <w:color w:val="auto"/>
                <w:kern w:val="2"/>
                <w:sz w:val="24"/>
                <w:szCs w:val="24"/>
                <w:highlight w:val="none"/>
                <w:lang w:val="en-US" w:eastAsia="zh-CN" w:bidi="ar-SA"/>
              </w:rPr>
              <w:t>提供资料；</w:t>
            </w:r>
          </w:p>
          <w:p w14:paraId="53347219">
            <w:pPr>
              <w:pStyle w:val="71"/>
              <w:keepNext w:val="0"/>
              <w:keepLines w:val="0"/>
              <w:pageBreakBefore w:val="0"/>
              <w:widowControl w:val="0"/>
              <w:numPr>
                <w:ilvl w:val="0"/>
                <w:numId w:val="2"/>
              </w:numPr>
              <w:kinsoku/>
              <w:wordWrap/>
              <w:overflowPunct/>
              <w:topLinePunct w:val="0"/>
              <w:bidi w:val="0"/>
              <w:spacing w:line="312" w:lineRule="auto"/>
              <w:textAlignment w:val="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涉密信息系统集成资质（包含安防监控或总体集成）；</w:t>
            </w:r>
          </w:p>
          <w:p w14:paraId="7F0C9F05">
            <w:pPr>
              <w:pStyle w:val="71"/>
              <w:keepNext w:val="0"/>
              <w:keepLines w:val="0"/>
              <w:pageBreakBefore w:val="0"/>
              <w:widowControl w:val="0"/>
              <w:numPr>
                <w:ilvl w:val="0"/>
                <w:numId w:val="2"/>
              </w:numPr>
              <w:kinsoku/>
              <w:wordWrap/>
              <w:overflowPunct/>
              <w:topLinePunct w:val="0"/>
              <w:bidi w:val="0"/>
              <w:spacing w:line="312" w:lineRule="auto"/>
              <w:textAlignment w:val="auto"/>
              <w:rPr>
                <w:rFonts w:hint="default"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保密承诺书；</w:t>
            </w:r>
          </w:p>
          <w:p w14:paraId="127C4ABE">
            <w:pPr>
              <w:pStyle w:val="71"/>
              <w:keepNext w:val="0"/>
              <w:keepLines w:val="0"/>
              <w:pageBreakBefore w:val="0"/>
              <w:widowControl w:val="0"/>
              <w:numPr>
                <w:ilvl w:val="0"/>
                <w:numId w:val="2"/>
              </w:numPr>
              <w:kinsoku/>
              <w:wordWrap/>
              <w:overflowPunct/>
              <w:topLinePunct w:val="0"/>
              <w:bidi w:val="0"/>
              <w:spacing w:line="312" w:lineRule="auto"/>
              <w:textAlignment w:val="auto"/>
              <w:rPr>
                <w:rFonts w:hint="default"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法定代表人身份证明和授权委托书；</w:t>
            </w:r>
          </w:p>
          <w:p w14:paraId="079C2380">
            <w:pPr>
              <w:pStyle w:val="71"/>
              <w:keepNext w:val="0"/>
              <w:keepLines w:val="0"/>
              <w:pageBreakBefore w:val="0"/>
              <w:widowControl w:val="0"/>
              <w:numPr>
                <w:ilvl w:val="0"/>
                <w:numId w:val="0"/>
              </w:numPr>
              <w:kinsoku/>
              <w:wordWrap/>
              <w:overflowPunct/>
              <w:topLinePunct w:val="0"/>
              <w:bidi w:val="0"/>
              <w:spacing w:line="312" w:lineRule="auto"/>
              <w:textAlignment w:val="auto"/>
              <w:rPr>
                <w:rFonts w:hint="default"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以上资料必须提供原件和复印件加盖公章（2份），加密的工程量清单以其它方式获取视为无效，未提供以上资料或不符合要求的投标单位视为放弃本项目投标。</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54" w:type="dxa"/>
            <w:gridSpan w:val="3"/>
            <w:tcBorders>
              <w:top w:val="single" w:color="auto" w:sz="2" w:space="0"/>
              <w:left w:val="single" w:color="auto" w:sz="2" w:space="0"/>
              <w:bottom w:val="single" w:color="auto" w:sz="2" w:space="0"/>
              <w:right w:val="single" w:color="auto" w:sz="2" w:space="0"/>
            </w:tcBorders>
            <w:vAlign w:val="center"/>
          </w:tcPr>
          <w:p w14:paraId="45AC7FA3">
            <w:pPr>
              <w:pStyle w:val="48"/>
              <w:keepNext w:val="0"/>
              <w:keepLines w:val="0"/>
              <w:pageBreakBefore w:val="0"/>
              <w:kinsoku/>
              <w:wordWrap/>
              <w:overflowPunct/>
              <w:topLinePunct w:val="0"/>
              <w:bidi w:val="0"/>
              <w:spacing w:line="35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w:t>
            </w:r>
            <w:r>
              <w:rPr>
                <w:rFonts w:hint="eastAsia" w:cs="宋体"/>
                <w:i w:val="0"/>
                <w:iCs w:val="0"/>
                <w:color w:val="auto"/>
                <w:sz w:val="24"/>
                <w:szCs w:val="24"/>
                <w:highlight w:val="none"/>
                <w:lang w:val="en-US" w:eastAsia="zh-CN"/>
              </w:rPr>
              <w:t>2025</w:t>
            </w:r>
            <w:r>
              <w:rPr>
                <w:rFonts w:hint="eastAsia" w:ascii="宋体" w:hAnsi="宋体" w:eastAsia="宋体" w:cs="宋体"/>
                <w:i w:val="0"/>
                <w:iCs w:val="0"/>
                <w:color w:val="auto"/>
                <w:sz w:val="24"/>
                <w:szCs w:val="24"/>
                <w:highlight w:val="none"/>
              </w:rPr>
              <w:t>年</w:t>
            </w:r>
            <w:r>
              <w:rPr>
                <w:rFonts w:hint="eastAsia"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月</w:t>
            </w:r>
            <w:r>
              <w:rPr>
                <w:rFonts w:hint="eastAsia"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日，则“近三年”是指</w:t>
            </w:r>
            <w:r>
              <w:rPr>
                <w:rFonts w:hint="eastAsia" w:cs="宋体"/>
                <w:i w:val="0"/>
                <w:iCs w:val="0"/>
                <w:color w:val="auto"/>
                <w:sz w:val="24"/>
                <w:szCs w:val="24"/>
                <w:highlight w:val="none"/>
                <w:lang w:val="en-US" w:eastAsia="zh-CN"/>
              </w:rPr>
              <w:t>2022</w:t>
            </w:r>
            <w:r>
              <w:rPr>
                <w:rFonts w:hint="eastAsia" w:ascii="宋体" w:hAnsi="宋体" w:eastAsia="宋体" w:cs="宋体"/>
                <w:i w:val="0"/>
                <w:iCs w:val="0"/>
                <w:color w:val="auto"/>
                <w:sz w:val="24"/>
                <w:szCs w:val="24"/>
                <w:highlight w:val="none"/>
              </w:rPr>
              <w:t>年</w:t>
            </w:r>
            <w:r>
              <w:rPr>
                <w:rFonts w:hint="eastAsia"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月</w:t>
            </w:r>
            <w:r>
              <w:rPr>
                <w:rFonts w:hint="eastAsia"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日至</w:t>
            </w:r>
            <w:r>
              <w:rPr>
                <w:rFonts w:hint="eastAsia" w:cs="宋体"/>
                <w:i w:val="0"/>
                <w:iCs w:val="0"/>
                <w:color w:val="auto"/>
                <w:sz w:val="24"/>
                <w:szCs w:val="24"/>
                <w:highlight w:val="none"/>
                <w:lang w:val="en-US" w:eastAsia="zh-CN"/>
              </w:rPr>
              <w:t>2025</w:t>
            </w:r>
            <w:r>
              <w:rPr>
                <w:rFonts w:hint="eastAsia" w:ascii="宋体" w:hAnsi="宋体" w:eastAsia="宋体" w:cs="宋体"/>
                <w:i w:val="0"/>
                <w:iCs w:val="0"/>
                <w:color w:val="auto"/>
                <w:sz w:val="24"/>
                <w:szCs w:val="24"/>
                <w:highlight w:val="none"/>
              </w:rPr>
              <w:t xml:space="preserve">  年</w:t>
            </w:r>
            <w:r>
              <w:rPr>
                <w:rFonts w:hint="eastAsia"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月</w:t>
            </w:r>
            <w:r>
              <w:rPr>
                <w:rFonts w:hint="eastAsia"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日。</w:t>
            </w:r>
          </w:p>
          <w:p w14:paraId="49E71639">
            <w:pPr>
              <w:pStyle w:val="48"/>
              <w:keepNext w:val="0"/>
              <w:keepLines w:val="0"/>
              <w:pageBreakBefore w:val="0"/>
              <w:kinsoku/>
              <w:wordWrap/>
              <w:overflowPunct/>
              <w:topLinePunct w:val="0"/>
              <w:bidi w:val="0"/>
              <w:spacing w:line="350" w:lineRule="exact"/>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2. 本竞争性磋商文件所称的“以上”、“以下”、“内”、“以内”，包括本数；所称的“不足”，不包括本数。</w:t>
            </w:r>
          </w:p>
        </w:tc>
      </w:tr>
      <w:bookmarkEnd w:id="91"/>
    </w:tbl>
    <w:p w14:paraId="4CC80E09">
      <w:pPr>
        <w:rPr>
          <w:i w:val="0"/>
          <w:iCs w:val="0"/>
          <w:color w:val="auto"/>
          <w:highlight w:val="none"/>
        </w:rPr>
      </w:pPr>
      <w:r>
        <w:rPr>
          <w:i w:val="0"/>
          <w:iCs w:val="0"/>
          <w:color w:val="auto"/>
          <w:highlight w:val="none"/>
        </w:rPr>
        <w:br w:type="page"/>
      </w:r>
    </w:p>
    <w:p w14:paraId="1CF0D4F4">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3" w:name="_Toc28828"/>
      <w:r>
        <w:rPr>
          <w:rFonts w:hint="eastAsia" w:eastAsia="宋体" w:asciiTheme="majorHAnsi" w:hAnsiTheme="majorHAnsi" w:cstheme="majorBidi"/>
          <w:b/>
          <w:bCs/>
          <w:color w:val="auto"/>
          <w:kern w:val="2"/>
          <w:sz w:val="28"/>
          <w:szCs w:val="28"/>
          <w:highlight w:val="none"/>
          <w:lang w:val="en-US" w:eastAsia="zh-CN" w:bidi="ar-SA"/>
        </w:rPr>
        <w:t>二、供应商须知</w:t>
      </w:r>
      <w:bookmarkEnd w:id="93"/>
    </w:p>
    <w:p w14:paraId="04978FC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94" w:name="_Toc109899951"/>
      <w:bookmarkStart w:id="95" w:name="_Toc109897433"/>
      <w:bookmarkStart w:id="96" w:name="_Toc46771638"/>
      <w:bookmarkStart w:id="97" w:name="_Toc109900370"/>
      <w:bookmarkStart w:id="98" w:name="_Toc109899532"/>
      <w:bookmarkStart w:id="99" w:name="_Toc3921"/>
      <w:bookmarkStart w:id="100" w:name="_Toc163493611"/>
      <w:bookmarkStart w:id="101" w:name="_Toc470172694"/>
      <w:r>
        <w:rPr>
          <w:rFonts w:hint="eastAsia" w:ascii="宋体" w:hAnsi="宋体" w:eastAsia="宋体" w:cs="宋体"/>
          <w:b/>
          <w:bCs/>
          <w:color w:val="auto"/>
          <w:kern w:val="2"/>
          <w:sz w:val="24"/>
          <w:szCs w:val="24"/>
          <w:highlight w:val="none"/>
          <w:lang w:val="en-US" w:eastAsia="zh-CN" w:bidi="ar-SA"/>
        </w:rPr>
        <w:t>（一）总则</w:t>
      </w:r>
      <w:bookmarkEnd w:id="94"/>
      <w:bookmarkEnd w:id="95"/>
      <w:bookmarkEnd w:id="96"/>
      <w:bookmarkEnd w:id="97"/>
      <w:bookmarkEnd w:id="98"/>
      <w:bookmarkEnd w:id="99"/>
      <w:bookmarkEnd w:id="100"/>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2" w:name="_Toc46771639"/>
      <w:bookmarkStart w:id="103" w:name="_Toc109899952"/>
      <w:bookmarkStart w:id="104" w:name="_Toc470172664"/>
      <w:bookmarkStart w:id="105" w:name="_Toc46772240"/>
      <w:bookmarkStart w:id="106" w:name="_Toc48846108"/>
      <w:bookmarkStart w:id="107" w:name="_Toc109897434"/>
      <w:bookmarkStart w:id="108" w:name="_Toc48688788"/>
      <w:bookmarkStart w:id="109" w:name="_Toc52960552"/>
      <w:bookmarkStart w:id="110" w:name="_Toc109899533"/>
      <w:bookmarkStart w:id="111" w:name="_Toc51674210"/>
      <w:bookmarkStart w:id="112" w:name="_Toc27243"/>
      <w:bookmarkStart w:id="113" w:name="_Toc109900371"/>
      <w:bookmarkStart w:id="114" w:name="_Toc52962726"/>
      <w:r>
        <w:rPr>
          <w:rFonts w:hint="eastAsia" w:ascii="宋体" w:hAnsi="宋体" w:eastAsia="宋体" w:cs="宋体"/>
          <w:b/>
          <w:bCs/>
          <w:color w:val="auto"/>
          <w:kern w:val="2"/>
          <w:sz w:val="24"/>
          <w:szCs w:val="24"/>
          <w:highlight w:val="none"/>
          <w:lang w:val="en-US" w:eastAsia="zh-CN" w:bidi="ar-SA"/>
        </w:rPr>
        <w:t>1.适用范围</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FAC17DD">
      <w:pPr>
        <w:pStyle w:val="37"/>
        <w:keepNext w:val="0"/>
        <w:keepLines w:val="0"/>
        <w:pageBreakBefore w:val="0"/>
        <w:widowControl w:val="0"/>
        <w:kinsoku/>
        <w:overflowPunct/>
        <w:topLinePunct w:val="0"/>
        <w:bidi w:val="0"/>
        <w:ind w:firstLine="480"/>
        <w:textAlignment w:val="auto"/>
        <w:rPr>
          <w:i w:val="0"/>
          <w:iCs w:val="0"/>
          <w:snapToGrid w:val="0"/>
          <w:color w:val="auto"/>
          <w:highlight w:val="none"/>
        </w:rPr>
      </w:pPr>
      <w:r>
        <w:rPr>
          <w:rFonts w:hint="eastAsia"/>
          <w:i w:val="0"/>
          <w:iCs w:val="0"/>
          <w:snapToGrid w:val="0"/>
          <w:color w:val="auto"/>
          <w:highlight w:val="none"/>
        </w:rPr>
        <w:t>1.1本竞争性磋商文件</w:t>
      </w:r>
      <w:r>
        <w:rPr>
          <w:rFonts w:hint="eastAsia" w:cs="宋体"/>
          <w:i w:val="0"/>
          <w:iCs w:val="0"/>
          <w:snapToGrid w:val="0"/>
          <w:color w:val="auto"/>
          <w:highlight w:val="none"/>
        </w:rPr>
        <w:t>（也称磋商文件或采购文件）</w:t>
      </w:r>
      <w:r>
        <w:rPr>
          <w:rFonts w:hint="eastAsia"/>
          <w:i w:val="0"/>
          <w:iCs w:val="0"/>
          <w:snapToGrid w:val="0"/>
          <w:color w:val="auto"/>
          <w:highlight w:val="none"/>
        </w:rPr>
        <w:t>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5" w:name="_Toc163492824"/>
      <w:r>
        <w:rPr>
          <w:rFonts w:hint="eastAsia" w:ascii="宋体" w:hAnsi="宋体" w:eastAsia="宋体" w:cs="宋体"/>
          <w:b/>
          <w:bCs/>
          <w:color w:val="auto"/>
          <w:kern w:val="2"/>
          <w:sz w:val="24"/>
          <w:szCs w:val="24"/>
          <w:highlight w:val="none"/>
          <w:lang w:val="en-US" w:eastAsia="zh-CN" w:bidi="ar-SA"/>
        </w:rPr>
        <w:t>2.基本定义</w:t>
      </w:r>
      <w:bookmarkEnd w:id="115"/>
    </w:p>
    <w:p w14:paraId="768D70C2">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i w:val="0"/>
          <w:iCs w:val="0"/>
          <w:color w:val="auto"/>
          <w:highlight w:val="none"/>
        </w:rPr>
      </w:pPr>
      <w:r>
        <w:rPr>
          <w:rFonts w:hint="eastAsia"/>
          <w:i w:val="0"/>
          <w:iCs w:val="0"/>
          <w:color w:val="auto"/>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i w:val="0"/>
          <w:iCs w:val="0"/>
          <w:color w:val="auto"/>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i w:val="0"/>
          <w:iCs w:val="0"/>
          <w:color w:val="auto"/>
          <w:highlight w:val="none"/>
        </w:rPr>
      </w:pPr>
      <w:r>
        <w:rPr>
          <w:rFonts w:hint="eastAsia"/>
          <w:i w:val="0"/>
          <w:iCs w:val="0"/>
          <w:color w:val="auto"/>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i w:val="0"/>
          <w:iCs w:val="0"/>
          <w:color w:val="auto"/>
          <w:highlight w:val="none"/>
          <w:lang w:val="en-US" w:eastAsia="zh-CN"/>
        </w:rPr>
        <w:t>委托的采购代理机构</w:t>
      </w:r>
      <w:r>
        <w:rPr>
          <w:rFonts w:hint="eastAsia"/>
          <w:i w:val="0"/>
          <w:iCs w:val="0"/>
          <w:color w:val="auto"/>
          <w:highlight w:val="none"/>
        </w:rPr>
        <w:t>。</w:t>
      </w:r>
    </w:p>
    <w:p w14:paraId="26D50742">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41307B6">
      <w:pPr>
        <w:spacing w:line="360" w:lineRule="auto"/>
        <w:ind w:firstLine="480" w:firstLineChars="200"/>
        <w:rPr>
          <w:rFonts w:ascii="宋体" w:hAnsi="宋体" w:eastAsia="宋体"/>
          <w:i w:val="0"/>
          <w:iCs w:val="0"/>
          <w:color w:val="auto"/>
          <w:sz w:val="24"/>
          <w:highlight w:val="none"/>
        </w:rPr>
      </w:pPr>
      <w:r>
        <w:rPr>
          <w:rFonts w:hint="eastAsia"/>
          <w:i w:val="0"/>
          <w:iCs w:val="0"/>
          <w:color w:val="auto"/>
          <w:highlight w:val="none"/>
          <w:lang w:val="en-US" w:eastAsia="zh-CN"/>
        </w:rPr>
        <w:t>2.5供应商（也称“申请人”）：指向采购人提供货物、工程或者服务的法人、其他组织或者自然人。</w:t>
      </w:r>
      <w:r>
        <w:rPr>
          <w:rFonts w:hint="eastAsia" w:ascii="宋体" w:hAnsi="宋体" w:eastAsia="宋体"/>
          <w:i w:val="0"/>
          <w:iCs w:val="0"/>
          <w:color w:val="auto"/>
          <w:sz w:val="24"/>
          <w:highlight w:val="none"/>
        </w:rPr>
        <w:t>分支机构不得参加政府采购活动，</w:t>
      </w:r>
      <w:r>
        <w:rPr>
          <w:rFonts w:hint="eastAsia"/>
          <w:i w:val="0"/>
          <w:iCs w:val="0"/>
          <w:color w:val="auto"/>
          <w:highlight w:val="none"/>
        </w:rPr>
        <w:t>但银行、保险、石油石化、电力、电信等</w:t>
      </w:r>
      <w:r>
        <w:rPr>
          <w:rFonts w:hint="eastAsia"/>
          <w:i w:val="0"/>
          <w:iCs w:val="0"/>
          <w:color w:val="auto"/>
          <w:highlight w:val="none"/>
          <w:lang w:val="en-US" w:eastAsia="zh-CN"/>
        </w:rPr>
        <w:t>有</w:t>
      </w:r>
      <w:r>
        <w:rPr>
          <w:rFonts w:hint="eastAsia"/>
          <w:i w:val="0"/>
          <w:iCs w:val="0"/>
          <w:color w:val="auto"/>
          <w:highlight w:val="none"/>
        </w:rPr>
        <w:t>行业特殊</w:t>
      </w:r>
      <w:r>
        <w:rPr>
          <w:rFonts w:hint="eastAsia"/>
          <w:i w:val="0"/>
          <w:iCs w:val="0"/>
          <w:color w:val="auto"/>
          <w:highlight w:val="none"/>
          <w:lang w:val="en-US" w:eastAsia="zh-CN"/>
        </w:rPr>
        <w:t>情况的</w:t>
      </w:r>
      <w:r>
        <w:rPr>
          <w:rFonts w:hint="eastAsia"/>
          <w:i w:val="0"/>
          <w:iCs w:val="0"/>
          <w:color w:val="auto"/>
          <w:highlight w:val="none"/>
        </w:rPr>
        <w:t>除外。</w:t>
      </w:r>
      <w:r>
        <w:rPr>
          <w:rFonts w:ascii="宋体" w:hAnsi="宋体" w:eastAsia="宋体"/>
          <w:i w:val="0"/>
          <w:iCs w:val="0"/>
          <w:color w:val="auto"/>
          <w:sz w:val="24"/>
          <w:highlight w:val="none"/>
        </w:rPr>
        <w:t>本项目的</w:t>
      </w:r>
      <w:r>
        <w:rPr>
          <w:rFonts w:hint="eastAsia"/>
          <w:i w:val="0"/>
          <w:iCs w:val="0"/>
          <w:color w:val="auto"/>
          <w:sz w:val="24"/>
          <w:highlight w:val="none"/>
          <w:lang w:val="en-US" w:eastAsia="zh-CN"/>
        </w:rPr>
        <w:t>供应商</w:t>
      </w:r>
      <w:r>
        <w:rPr>
          <w:rFonts w:ascii="宋体" w:hAnsi="宋体" w:eastAsia="宋体"/>
          <w:i w:val="0"/>
          <w:iCs w:val="0"/>
          <w:color w:val="auto"/>
          <w:sz w:val="24"/>
          <w:highlight w:val="none"/>
        </w:rPr>
        <w:t>须满足以下条件：</w:t>
      </w:r>
    </w:p>
    <w:p w14:paraId="11EA4CC6">
      <w:pPr>
        <w:spacing w:line="360" w:lineRule="auto"/>
        <w:ind w:firstLine="480" w:firstLineChars="200"/>
        <w:rPr>
          <w:rFonts w:ascii="宋体" w:hAnsi="宋体" w:eastAsia="宋体"/>
          <w:i w:val="0"/>
          <w:iCs w:val="0"/>
          <w:color w:val="auto"/>
          <w:sz w:val="24"/>
          <w:highlight w:val="none"/>
        </w:rPr>
      </w:pPr>
      <w:r>
        <w:rPr>
          <w:rFonts w:hint="eastAsia"/>
          <w:i w:val="0"/>
          <w:iCs w:val="0"/>
          <w:color w:val="auto"/>
          <w:sz w:val="24"/>
          <w:highlight w:val="none"/>
          <w:lang w:val="en-US" w:eastAsia="zh-CN"/>
        </w:rPr>
        <w:t>2</w:t>
      </w:r>
      <w:r>
        <w:rPr>
          <w:rFonts w:hint="eastAsia" w:ascii="宋体" w:hAnsi="宋体" w:eastAsia="宋体"/>
          <w:i w:val="0"/>
          <w:iCs w:val="0"/>
          <w:color w:val="auto"/>
          <w:sz w:val="24"/>
          <w:highlight w:val="none"/>
          <w:lang w:eastAsia="zh-CN"/>
        </w:rPr>
        <w:t>.</w:t>
      </w:r>
      <w:r>
        <w:rPr>
          <w:rFonts w:hint="eastAsia"/>
          <w:i w:val="0"/>
          <w:iCs w:val="0"/>
          <w:color w:val="auto"/>
          <w:sz w:val="24"/>
          <w:highlight w:val="none"/>
          <w:lang w:val="en-US" w:eastAsia="zh-CN"/>
        </w:rPr>
        <w:t>5</w:t>
      </w:r>
      <w:r>
        <w:rPr>
          <w:rFonts w:ascii="宋体" w:hAnsi="宋体" w:eastAsia="宋体"/>
          <w:i w:val="0"/>
          <w:iCs w:val="0"/>
          <w:color w:val="auto"/>
          <w:sz w:val="24"/>
          <w:highlight w:val="none"/>
        </w:rPr>
        <w:t>.</w:t>
      </w:r>
      <w:r>
        <w:rPr>
          <w:rFonts w:hint="eastAsia" w:ascii="宋体" w:hAnsi="宋体" w:eastAsia="宋体"/>
          <w:i w:val="0"/>
          <w:iCs w:val="0"/>
          <w:color w:val="auto"/>
          <w:sz w:val="24"/>
          <w:highlight w:val="none"/>
          <w:lang w:val="en-US" w:eastAsia="zh-CN"/>
        </w:rPr>
        <w:t>1</w:t>
      </w:r>
      <w:r>
        <w:rPr>
          <w:rFonts w:ascii="宋体" w:hAnsi="宋体" w:eastAsia="宋体"/>
          <w:i w:val="0"/>
          <w:iCs w:val="0"/>
          <w:color w:val="auto"/>
          <w:sz w:val="24"/>
          <w:highlight w:val="none"/>
        </w:rPr>
        <w:t>具备《中华人民共和国政府采购法》第二十二条规定的</w:t>
      </w:r>
      <w:r>
        <w:rPr>
          <w:rFonts w:hint="eastAsia"/>
          <w:i w:val="0"/>
          <w:iCs w:val="0"/>
          <w:color w:val="auto"/>
          <w:sz w:val="24"/>
          <w:highlight w:val="none"/>
          <w:lang w:val="en-US" w:eastAsia="zh-CN"/>
        </w:rPr>
        <w:t>条件</w:t>
      </w:r>
      <w:r>
        <w:rPr>
          <w:rFonts w:ascii="宋体" w:hAnsi="宋体" w:eastAsia="宋体"/>
          <w:i w:val="0"/>
          <w:iCs w:val="0"/>
          <w:color w:val="auto"/>
          <w:sz w:val="24"/>
          <w:highlight w:val="none"/>
        </w:rPr>
        <w:t>，遵守本项目采购人本级和上级财政部门政府采购的有关规定。</w:t>
      </w:r>
    </w:p>
    <w:p w14:paraId="766B5509">
      <w:pPr>
        <w:pStyle w:val="37"/>
        <w:keepNext w:val="0"/>
        <w:keepLines w:val="0"/>
        <w:pageBreakBefore w:val="0"/>
        <w:widowControl w:val="0"/>
        <w:kinsoku/>
        <w:overflowPunct/>
        <w:topLinePunct w:val="0"/>
        <w:bidi w:val="0"/>
        <w:ind w:firstLine="480"/>
        <w:textAlignment w:val="auto"/>
        <w:rPr>
          <w:rFonts w:ascii="宋体" w:hAnsi="宋体" w:eastAsia="宋体"/>
          <w:i w:val="0"/>
          <w:iCs w:val="0"/>
          <w:color w:val="auto"/>
          <w:sz w:val="24"/>
          <w:highlight w:val="none"/>
        </w:rPr>
      </w:pPr>
      <w:r>
        <w:rPr>
          <w:rFonts w:hint="eastAsia"/>
          <w:i w:val="0"/>
          <w:iCs w:val="0"/>
          <w:color w:val="auto"/>
          <w:sz w:val="24"/>
          <w:highlight w:val="none"/>
          <w:lang w:val="en-US" w:eastAsia="zh-CN"/>
        </w:rPr>
        <w:t>2</w:t>
      </w:r>
      <w:r>
        <w:rPr>
          <w:rFonts w:hint="eastAsia" w:ascii="宋体" w:hAnsi="宋体" w:eastAsia="宋体"/>
          <w:i w:val="0"/>
          <w:iCs w:val="0"/>
          <w:color w:val="auto"/>
          <w:sz w:val="24"/>
          <w:highlight w:val="none"/>
          <w:lang w:eastAsia="zh-CN"/>
        </w:rPr>
        <w:t>.</w:t>
      </w:r>
      <w:r>
        <w:rPr>
          <w:rFonts w:hint="eastAsia"/>
          <w:i w:val="0"/>
          <w:iCs w:val="0"/>
          <w:color w:val="auto"/>
          <w:sz w:val="24"/>
          <w:highlight w:val="none"/>
          <w:lang w:val="en-US" w:eastAsia="zh-CN"/>
        </w:rPr>
        <w:t>5</w:t>
      </w:r>
      <w:r>
        <w:rPr>
          <w:rFonts w:ascii="宋体" w:hAnsi="宋体" w:eastAsia="宋体"/>
          <w:i w:val="0"/>
          <w:iCs w:val="0"/>
          <w:color w:val="auto"/>
          <w:sz w:val="24"/>
          <w:highlight w:val="none"/>
        </w:rPr>
        <w:t>.</w:t>
      </w:r>
      <w:r>
        <w:rPr>
          <w:rFonts w:hint="eastAsia" w:ascii="宋体" w:hAnsi="宋体" w:eastAsia="宋体"/>
          <w:i w:val="0"/>
          <w:iCs w:val="0"/>
          <w:color w:val="auto"/>
          <w:sz w:val="24"/>
          <w:highlight w:val="none"/>
          <w:lang w:val="en-US" w:eastAsia="zh-CN"/>
        </w:rPr>
        <w:t>2</w:t>
      </w:r>
      <w:r>
        <w:rPr>
          <w:rFonts w:ascii="宋体" w:hAnsi="宋体" w:eastAsia="宋体"/>
          <w:i w:val="0"/>
          <w:iCs w:val="0"/>
          <w:color w:val="auto"/>
          <w:sz w:val="24"/>
          <w:highlight w:val="none"/>
        </w:rPr>
        <w:t>以</w:t>
      </w:r>
      <w:r>
        <w:rPr>
          <w:rFonts w:hint="eastAsia"/>
          <w:i w:val="0"/>
          <w:iCs w:val="0"/>
          <w:color w:val="auto"/>
          <w:sz w:val="24"/>
          <w:highlight w:val="none"/>
          <w:lang w:val="en-US" w:eastAsia="zh-CN"/>
        </w:rPr>
        <w:t>竞争性磋商公告中发布</w:t>
      </w:r>
      <w:r>
        <w:rPr>
          <w:rFonts w:ascii="宋体" w:hAnsi="宋体" w:eastAsia="宋体"/>
          <w:i w:val="0"/>
          <w:iCs w:val="0"/>
          <w:color w:val="auto"/>
          <w:sz w:val="24"/>
          <w:highlight w:val="none"/>
        </w:rPr>
        <w:t>的方式</w:t>
      </w:r>
      <w:r>
        <w:rPr>
          <w:rFonts w:hint="eastAsia"/>
          <w:i w:val="0"/>
          <w:iCs w:val="0"/>
          <w:color w:val="auto"/>
          <w:sz w:val="24"/>
          <w:highlight w:val="none"/>
          <w:lang w:eastAsia="zh-CN"/>
        </w:rPr>
        <w:t>依法</w:t>
      </w:r>
      <w:r>
        <w:rPr>
          <w:rFonts w:ascii="宋体" w:hAnsi="宋体" w:eastAsia="宋体"/>
          <w:i w:val="0"/>
          <w:iCs w:val="0"/>
          <w:color w:val="auto"/>
          <w:sz w:val="24"/>
          <w:highlight w:val="none"/>
        </w:rPr>
        <w:t>获得了本项目的</w:t>
      </w:r>
      <w:r>
        <w:rPr>
          <w:rFonts w:hint="eastAsia"/>
          <w:i w:val="0"/>
          <w:iCs w:val="0"/>
          <w:color w:val="auto"/>
          <w:sz w:val="24"/>
          <w:highlight w:val="none"/>
          <w:lang w:val="en-US" w:eastAsia="zh-CN"/>
        </w:rPr>
        <w:t>竞争性磋商</w:t>
      </w:r>
      <w:r>
        <w:rPr>
          <w:rFonts w:ascii="宋体" w:hAnsi="宋体" w:eastAsia="宋体"/>
          <w:i w:val="0"/>
          <w:iCs w:val="0"/>
          <w:color w:val="auto"/>
          <w:sz w:val="24"/>
          <w:highlight w:val="none"/>
        </w:rPr>
        <w:t>文件。</w:t>
      </w:r>
    </w:p>
    <w:p w14:paraId="07B83632">
      <w:pPr>
        <w:ind w:firstLine="480" w:firstLineChars="200"/>
        <w:rPr>
          <w:rFonts w:hint="eastAsia"/>
          <w:i w:val="0"/>
          <w:iCs w:val="0"/>
          <w:color w:val="auto"/>
          <w:highlight w:val="none"/>
          <w:lang w:val="en-US" w:eastAsia="zh-CN"/>
        </w:rPr>
      </w:pPr>
      <w:r>
        <w:rPr>
          <w:rFonts w:hint="eastAsia"/>
          <w:i w:val="0"/>
          <w:iCs w:val="0"/>
          <w:color w:val="auto"/>
          <w:highlight w:val="none"/>
          <w:lang w:val="en-US" w:eastAsia="zh-CN"/>
        </w:rPr>
        <w:t>2.5.3符合本磋商文件规定并参加磋商的供应商。</w:t>
      </w:r>
    </w:p>
    <w:p w14:paraId="323DC0B9">
      <w:pPr>
        <w:pStyle w:val="37"/>
        <w:keepNext w:val="0"/>
        <w:keepLines w:val="0"/>
        <w:pageBreakBefore w:val="0"/>
        <w:widowControl w:val="0"/>
        <w:kinsoku/>
        <w:overflowPunct/>
        <w:topLinePunct w:val="0"/>
        <w:bidi w:val="0"/>
        <w:ind w:firstLine="480"/>
        <w:textAlignment w:val="auto"/>
        <w:rPr>
          <w:rFonts w:hint="default" w:eastAsia="宋体" w:cs="宋体"/>
          <w:i w:val="0"/>
          <w:iCs w:val="0"/>
          <w:snapToGrid w:val="0"/>
          <w:color w:val="auto"/>
          <w:highlight w:val="none"/>
          <w:lang w:val="en-US" w:eastAsia="zh-CN"/>
        </w:rPr>
      </w:pPr>
      <w:r>
        <w:rPr>
          <w:rFonts w:hint="eastAsia"/>
          <w:i w:val="0"/>
          <w:iCs w:val="0"/>
          <w:color w:val="auto"/>
          <w:highlight w:val="none"/>
          <w:lang w:val="en-US" w:eastAsia="zh-CN"/>
        </w:rPr>
        <w:t>2.6</w:t>
      </w:r>
      <w:r>
        <w:rPr>
          <w:rFonts w:hint="eastAsia"/>
          <w:i w:val="0"/>
          <w:iCs w:val="0"/>
          <w:color w:val="auto"/>
          <w:highlight w:val="none"/>
          <w:shd w:val="clear" w:color="auto" w:fill="FFFFFF" w:themeFill="background1"/>
        </w:rPr>
        <w:t>潜在供应商</w:t>
      </w:r>
      <w:r>
        <w:rPr>
          <w:rFonts w:hint="eastAsia"/>
          <w:i w:val="0"/>
          <w:iCs w:val="0"/>
          <w:color w:val="auto"/>
          <w:highlight w:val="none"/>
          <w:shd w:val="clear" w:color="auto" w:fill="FFFFFF" w:themeFill="background1"/>
          <w:lang w:eastAsia="zh-CN"/>
        </w:rPr>
        <w:t>：</w:t>
      </w:r>
      <w:r>
        <w:rPr>
          <w:rFonts w:hint="eastAsia"/>
          <w:i w:val="0"/>
          <w:iCs w:val="0"/>
          <w:color w:val="auto"/>
          <w:highlight w:val="none"/>
          <w:shd w:val="clear" w:color="auto" w:fill="FFFFFF" w:themeFill="background1"/>
          <w:lang w:val="en-US" w:eastAsia="zh-CN"/>
        </w:rPr>
        <w:t>指</w:t>
      </w:r>
      <w:r>
        <w:rPr>
          <w:rFonts w:hint="eastAsia"/>
          <w:i w:val="0"/>
          <w:iCs w:val="0"/>
          <w:color w:val="auto"/>
          <w:highlight w:val="none"/>
          <w:lang w:val="en-US" w:eastAsia="zh-CN"/>
        </w:rPr>
        <w:t>符合本磋商文件规定的供应商</w:t>
      </w:r>
      <w:r>
        <w:rPr>
          <w:rFonts w:ascii="宋体" w:hAnsi="宋体" w:eastAsia="宋体"/>
          <w:i w:val="0"/>
          <w:iCs w:val="0"/>
          <w:color w:val="auto"/>
          <w:sz w:val="24"/>
          <w:highlight w:val="none"/>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6" w:name="_Toc48688791"/>
      <w:bookmarkStart w:id="117" w:name="_Toc52962729"/>
      <w:bookmarkStart w:id="118" w:name="_Toc109899955"/>
      <w:bookmarkStart w:id="119" w:name="_Toc52960555"/>
      <w:bookmarkStart w:id="120" w:name="_Toc46771642"/>
      <w:bookmarkStart w:id="121" w:name="_Toc470172667"/>
      <w:bookmarkStart w:id="122" w:name="_Toc109897437"/>
      <w:bookmarkStart w:id="123" w:name="_Toc109900374"/>
      <w:bookmarkStart w:id="124" w:name="_Toc109899536"/>
      <w:bookmarkStart w:id="125" w:name="_Toc9974"/>
      <w:bookmarkStart w:id="126" w:name="_Toc51674213"/>
      <w:bookmarkStart w:id="127" w:name="_Toc48846111"/>
      <w:bookmarkStart w:id="128" w:name="_Toc46772243"/>
      <w:r>
        <w:rPr>
          <w:rFonts w:hint="eastAsia" w:ascii="宋体" w:hAnsi="宋体" w:eastAsia="宋体" w:cs="宋体"/>
          <w:b/>
          <w:bCs/>
          <w:color w:val="auto"/>
          <w:kern w:val="2"/>
          <w:sz w:val="24"/>
          <w:szCs w:val="24"/>
          <w:highlight w:val="none"/>
          <w:lang w:val="en-US" w:eastAsia="zh-CN" w:bidi="ar-SA"/>
        </w:rPr>
        <w:t>3.资金来源</w:t>
      </w:r>
    </w:p>
    <w:p w14:paraId="7E10FE0B">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3.1资金来源：</w:t>
      </w:r>
      <w:r>
        <w:rPr>
          <w:rFonts w:hint="eastAsia"/>
          <w:i w:val="0"/>
          <w:iCs w:val="0"/>
          <w:color w:val="auto"/>
          <w:highlight w:val="none"/>
          <w:lang w:val="en-US" w:eastAsia="zh-CN"/>
        </w:rPr>
        <w:t>为财政性资金即</w:t>
      </w:r>
      <w:r>
        <w:rPr>
          <w:rFonts w:hint="eastAsia"/>
          <w:i w:val="0"/>
          <w:iCs w:val="0"/>
          <w:color w:val="auto"/>
          <w:highlight w:val="none"/>
        </w:rPr>
        <w:t>纳入预算管理的资金</w:t>
      </w:r>
      <w:r>
        <w:rPr>
          <w:rFonts w:hint="eastAsia"/>
          <w:i w:val="0"/>
          <w:iCs w:val="0"/>
          <w:color w:val="auto"/>
          <w:highlight w:val="none"/>
          <w:lang w:eastAsia="zh-CN"/>
        </w:rPr>
        <w:t>。</w:t>
      </w:r>
      <w:r>
        <w:rPr>
          <w:rFonts w:hint="eastAsia"/>
          <w:i w:val="0"/>
          <w:iCs w:val="0"/>
          <w:color w:val="auto"/>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4.供应商资格要求</w:t>
      </w:r>
    </w:p>
    <w:p w14:paraId="13F68FEF">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4.1</w:t>
      </w:r>
      <w:r>
        <w:rPr>
          <w:rFonts w:hint="eastAsia"/>
          <w:i w:val="0"/>
          <w:iCs w:val="0"/>
          <w:color w:val="auto"/>
          <w:highlight w:val="none"/>
          <w:lang w:val="en-US" w:eastAsia="zh-CN"/>
        </w:rPr>
        <w:t>供应商</w:t>
      </w:r>
      <w:r>
        <w:rPr>
          <w:rFonts w:hint="eastAsia"/>
          <w:i w:val="0"/>
          <w:iCs w:val="0"/>
          <w:color w:val="auto"/>
          <w:highlight w:val="none"/>
        </w:rPr>
        <w:t>资格要求：见“</w:t>
      </w:r>
      <w:r>
        <w:rPr>
          <w:rFonts w:hint="eastAsia"/>
          <w:i w:val="0"/>
          <w:iCs w:val="0"/>
          <w:color w:val="auto"/>
          <w:highlight w:val="none"/>
          <w:lang w:val="en-US" w:eastAsia="zh-CN"/>
        </w:rPr>
        <w:t>第一章 竞争性磋商公告</w:t>
      </w:r>
      <w:r>
        <w:rPr>
          <w:rFonts w:hint="eastAsia"/>
          <w:i w:val="0"/>
          <w:iCs w:val="0"/>
          <w:color w:val="auto"/>
          <w:highlight w:val="none"/>
        </w:rPr>
        <w:t>”；</w:t>
      </w:r>
    </w:p>
    <w:p w14:paraId="3F55018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zh-CN" w:eastAsia="zh-CN"/>
        </w:rPr>
      </w:pPr>
      <w:r>
        <w:rPr>
          <w:rFonts w:hint="eastAsia"/>
          <w:i w:val="0"/>
          <w:iCs w:val="0"/>
          <w:color w:val="auto"/>
          <w:highlight w:val="none"/>
          <w:lang w:val="en-US" w:eastAsia="zh-CN"/>
        </w:rPr>
        <w:t>4</w:t>
      </w:r>
      <w:r>
        <w:rPr>
          <w:rFonts w:hint="eastAsia"/>
          <w:i w:val="0"/>
          <w:iCs w:val="0"/>
          <w:color w:val="auto"/>
          <w:highlight w:val="none"/>
          <w:lang w:val="zh-CN" w:eastAsia="zh-CN"/>
        </w:rPr>
        <w:t>.</w:t>
      </w:r>
      <w:r>
        <w:rPr>
          <w:rFonts w:hint="eastAsia"/>
          <w:i w:val="0"/>
          <w:iCs w:val="0"/>
          <w:color w:val="auto"/>
          <w:highlight w:val="none"/>
          <w:lang w:val="en-US" w:eastAsia="zh-CN"/>
        </w:rPr>
        <w:t>2</w:t>
      </w:r>
      <w:r>
        <w:rPr>
          <w:rFonts w:hint="eastAsia"/>
          <w:i w:val="0"/>
          <w:iCs w:val="0"/>
          <w:color w:val="auto"/>
          <w:highlight w:val="none"/>
          <w:lang w:val="zh-CN" w:eastAsia="zh-CN"/>
        </w:rPr>
        <w:t>“</w:t>
      </w:r>
      <w:r>
        <w:rPr>
          <w:rFonts w:hint="eastAsia"/>
          <w:i w:val="0"/>
          <w:iCs w:val="0"/>
          <w:color w:val="auto"/>
          <w:highlight w:val="none"/>
          <w:lang w:val="en-US" w:eastAsia="zh-CN"/>
        </w:rPr>
        <w:t>第一章 竞争性磋商公告</w:t>
      </w:r>
      <w:r>
        <w:rPr>
          <w:rFonts w:hint="eastAsia"/>
          <w:i w:val="0"/>
          <w:iCs w:val="0"/>
          <w:color w:val="auto"/>
          <w:highlight w:val="none"/>
          <w:lang w:val="zh-CN" w:eastAsia="zh-CN"/>
        </w:rPr>
        <w:t>”规定接受联合体</w:t>
      </w:r>
      <w:r>
        <w:rPr>
          <w:rFonts w:hint="eastAsia"/>
          <w:i w:val="0"/>
          <w:iCs w:val="0"/>
          <w:color w:val="auto"/>
          <w:highlight w:val="none"/>
          <w:lang w:val="en-US" w:eastAsia="zh-CN"/>
        </w:rPr>
        <w:t>磋商</w:t>
      </w:r>
      <w:r>
        <w:rPr>
          <w:rFonts w:hint="eastAsia"/>
          <w:i w:val="0"/>
          <w:iCs w:val="0"/>
          <w:color w:val="auto"/>
          <w:highlight w:val="none"/>
          <w:lang w:val="zh-CN" w:eastAsia="zh-CN"/>
        </w:rPr>
        <w:t>的，还应遵守以下规定：</w:t>
      </w:r>
    </w:p>
    <w:p w14:paraId="56632A0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i w:val="0"/>
          <w:iCs w:val="0"/>
          <w:color w:val="auto"/>
          <w:highlight w:val="none"/>
          <w:lang w:val="en-US" w:eastAsia="zh-CN"/>
        </w:rPr>
        <w:t>4</w:t>
      </w:r>
      <w:r>
        <w:rPr>
          <w:rFonts w:hint="eastAsia"/>
          <w:i w:val="0"/>
          <w:iCs w:val="0"/>
          <w:color w:val="auto"/>
          <w:highlight w:val="none"/>
          <w:lang w:val="zh-CN" w:eastAsia="zh-CN"/>
        </w:rPr>
        <w:t>.</w:t>
      </w:r>
      <w:r>
        <w:rPr>
          <w:rFonts w:hint="eastAsia"/>
          <w:i w:val="0"/>
          <w:iCs w:val="0"/>
          <w:color w:val="auto"/>
          <w:highlight w:val="none"/>
          <w:lang w:val="en-US" w:eastAsia="zh-CN"/>
        </w:rPr>
        <w:t>2.</w:t>
      </w:r>
      <w:r>
        <w:rPr>
          <w:rFonts w:hint="eastAsia"/>
          <w:i w:val="0"/>
          <w:iCs w:val="0"/>
          <w:color w:val="auto"/>
          <w:highlight w:val="none"/>
          <w:lang w:val="zh-CN" w:eastAsia="zh-CN"/>
        </w:rPr>
        <w:t>1两个以上的自然人、法人或者其他组织可以组成一个联合体，以一个供应商的身份共同参加政府采购。</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以联合体形式进行政府采购的，参加联合体的供应商均应当具备《政府采购法》第二十二条规定的条件。</w:t>
      </w:r>
    </w:p>
    <w:p w14:paraId="4A0EFAD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2.</w:t>
      </w:r>
      <w:r>
        <w:rPr>
          <w:rFonts w:hint="eastAsia" w:cstheme="minorBidi"/>
          <w:i w:val="0"/>
          <w:iCs w:val="0"/>
          <w:color w:val="auto"/>
          <w:kern w:val="2"/>
          <w:sz w:val="24"/>
          <w:szCs w:val="22"/>
          <w:highlight w:val="none"/>
          <w:shd w:val="clear" w:color="auto" w:fill="FFFFFF" w:themeFill="background1"/>
          <w:lang w:val="en-US" w:eastAsia="zh-CN" w:bidi="ar-SA"/>
        </w:rPr>
        <w:t>2</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联合体各方应按竞争性磋商文件提供的格式签订联合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作为</w:t>
      </w:r>
      <w:r>
        <w:rPr>
          <w:rFonts w:hint="eastAsia" w:cstheme="minorBidi"/>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文件的一部分提交，该协议书对联合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均具有法律约束力。</w:t>
      </w:r>
    </w:p>
    <w:p w14:paraId="078D2F2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4.2.</w:t>
      </w:r>
      <w:r>
        <w:rPr>
          <w:rFonts w:hint="eastAsia" w:cstheme="minorBidi"/>
          <w:i w:val="0"/>
          <w:iCs w:val="0"/>
          <w:color w:val="auto"/>
          <w:kern w:val="2"/>
          <w:sz w:val="24"/>
          <w:szCs w:val="22"/>
          <w:highlight w:val="none"/>
          <w:shd w:val="clear" w:color="auto" w:fill="FFFFFF" w:themeFill="background1"/>
          <w:lang w:val="en-US" w:eastAsia="zh-CN" w:bidi="ar-SA"/>
        </w:rPr>
        <w:t>3</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5FA7C08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r>
        <w:rPr>
          <w:rFonts w:hint="eastAsia" w:cstheme="minorBidi"/>
          <w:i w:val="0"/>
          <w:iCs w:val="0"/>
          <w:color w:val="auto"/>
          <w:kern w:val="2"/>
          <w:sz w:val="24"/>
          <w:szCs w:val="22"/>
          <w:highlight w:val="none"/>
          <w:shd w:val="clear" w:color="auto" w:fill="FFFFFF" w:themeFill="background1"/>
          <w:lang w:val="en-US" w:eastAsia="zh-CN" w:bidi="ar-SA"/>
        </w:rPr>
        <w:t>4</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cstheme="minorBidi"/>
          <w:i w:val="0"/>
          <w:iCs w:val="0"/>
          <w:color w:val="auto"/>
          <w:kern w:val="2"/>
          <w:sz w:val="24"/>
          <w:szCs w:val="22"/>
          <w:highlight w:val="none"/>
          <w:shd w:val="clear" w:color="auto" w:fill="FFFFFF" w:themeFill="background1"/>
          <w:lang w:val="en-US" w:eastAsia="zh-CN" w:bidi="ar-SA"/>
        </w:rPr>
        <w:t>同一合同项下的磋商</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，否则相关</w:t>
      </w:r>
      <w:r>
        <w:rPr>
          <w:rFonts w:hint="eastAsia" w:cstheme="minorBidi"/>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将被认定为</w:t>
      </w:r>
      <w:r>
        <w:rPr>
          <w:rFonts w:hint="eastAsia" w:cstheme="minorBidi"/>
          <w:b/>
          <w:bCs/>
          <w:i w:val="0"/>
          <w:iCs w:val="0"/>
          <w:color w:val="auto"/>
          <w:kern w:val="2"/>
          <w:sz w:val="24"/>
          <w:szCs w:val="22"/>
          <w:highlight w:val="none"/>
          <w:shd w:val="clear" w:color="auto" w:fill="FFFFFF" w:themeFill="background1"/>
          <w:lang w:val="en-US" w:eastAsia="zh-CN" w:bidi="ar-SA"/>
        </w:rPr>
        <w:t>响应</w:t>
      </w:r>
      <w:r>
        <w:rPr>
          <w:rFonts w:hint="eastAsia" w:ascii="宋体" w:hAnsi="宋体" w:eastAsia="宋体" w:cstheme="minorBidi"/>
          <w:b/>
          <w:bCs/>
          <w:i w:val="0"/>
          <w:iCs w:val="0"/>
          <w:color w:val="auto"/>
          <w:kern w:val="2"/>
          <w:sz w:val="24"/>
          <w:szCs w:val="22"/>
          <w:highlight w:val="none"/>
          <w:shd w:val="clear" w:color="auto" w:fill="FFFFFF" w:themeFill="background1"/>
          <w:lang w:val="zh-CN" w:eastAsia="zh-CN" w:bidi="ar-SA"/>
        </w:rPr>
        <w:t>无效</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p>
    <w:p w14:paraId="6F80539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w:t>
      </w:r>
      <w:r>
        <w:rPr>
          <w:rFonts w:hint="eastAsia" w:cstheme="minorBidi"/>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体</w:t>
      </w:r>
      <w:r>
        <w:rPr>
          <w:rFonts w:hint="eastAsia" w:cstheme="minorBidi"/>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总金额的比例。</w:t>
      </w:r>
    </w:p>
    <w:p w14:paraId="4BC56E5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4.2</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eastAsia" w:cstheme="minorBidi"/>
          <w:i w:val="0"/>
          <w:iCs w:val="0"/>
          <w:color w:val="auto"/>
          <w:kern w:val="2"/>
          <w:sz w:val="24"/>
          <w:szCs w:val="22"/>
          <w:highlight w:val="none"/>
          <w:shd w:val="clear" w:color="auto" w:fill="FFFFFF" w:themeFill="background1"/>
          <w:lang w:val="en-US" w:eastAsia="zh-CN" w:bidi="ar-SA"/>
        </w:rPr>
        <w:t>6</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联合体</w:t>
      </w:r>
      <w:r>
        <w:rPr>
          <w:rFonts w:hint="eastAsia" w:cstheme="minorBidi"/>
          <w:i w:val="0"/>
          <w:iCs w:val="0"/>
          <w:color w:val="auto"/>
          <w:kern w:val="2"/>
          <w:sz w:val="24"/>
          <w:szCs w:val="22"/>
          <w:highlight w:val="none"/>
          <w:shd w:val="clear" w:color="auto" w:fill="FFFFFF" w:themeFill="background1"/>
          <w:lang w:val="en-US" w:eastAsia="zh-CN" w:bidi="ar-SA"/>
        </w:rPr>
        <w:t>成交的</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各成员的合法授权代表签字</w:t>
      </w:r>
      <w:r>
        <w:rPr>
          <w:rFonts w:hint="eastAsia" w:cstheme="minorBidi"/>
          <w:i w:val="0"/>
          <w:iCs w:val="0"/>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各成员公章，</w:t>
      </w:r>
      <w:r>
        <w:rPr>
          <w:rFonts w:hint="eastAsia" w:cstheme="minorBidi"/>
          <w:i w:val="0"/>
          <w:iCs w:val="0"/>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6EEFD99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4.2</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.7</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书面同意并且须遵守相关法律、法规、本次</w:t>
      </w:r>
      <w:r>
        <w:rPr>
          <w:rFonts w:hint="eastAsia" w:cstheme="minorBidi"/>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的全部相关规定。</w:t>
      </w:r>
    </w:p>
    <w:p w14:paraId="1C0E489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4.2</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8</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对联合体</w:t>
      </w:r>
      <w:r>
        <w:rPr>
          <w:rFonts w:hint="eastAsia" w:cstheme="minorBidi"/>
          <w:i w:val="0"/>
          <w:iCs w:val="0"/>
          <w:color w:val="auto"/>
          <w:kern w:val="2"/>
          <w:sz w:val="24"/>
          <w:szCs w:val="22"/>
          <w:highlight w:val="none"/>
          <w:shd w:val="clear" w:color="auto" w:fill="FFFFFF" w:themeFill="background1"/>
          <w:lang w:val="en-US" w:eastAsia="zh-CN" w:bidi="ar-SA"/>
        </w:rPr>
        <w:t>磋商</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的其他资格要求见“</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第一章 竞争性磋商公告</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中的“二、</w:t>
      </w:r>
      <w:r>
        <w:rPr>
          <w:rFonts w:hint="eastAsia" w:cstheme="minorBidi"/>
          <w:i w:val="0"/>
          <w:iCs w:val="0"/>
          <w:color w:val="auto"/>
          <w:kern w:val="2"/>
          <w:sz w:val="24"/>
          <w:szCs w:val="22"/>
          <w:highlight w:val="none"/>
          <w:shd w:val="clear" w:color="auto" w:fill="FFFFFF" w:themeFill="background1"/>
          <w:lang w:val="en-US" w:eastAsia="zh-CN" w:bidi="ar-SA"/>
        </w:rPr>
        <w:t>供应商</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要求”</w:t>
      </w:r>
      <w:r>
        <w:rPr>
          <w:rFonts w:hint="eastAsia" w:ascii="宋体" w:hAnsi="宋体" w:eastAsia="宋体" w:cstheme="minorBidi"/>
          <w:i w:val="0"/>
          <w:iCs w:val="0"/>
          <w:color w:val="auto"/>
          <w:kern w:val="2"/>
          <w:sz w:val="24"/>
          <w:szCs w:val="22"/>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5.费用</w:t>
      </w:r>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eastAsia="宋体" w:cs="宋体"/>
          <w:b/>
          <w:bCs/>
          <w:color w:val="auto"/>
          <w:kern w:val="2"/>
          <w:sz w:val="24"/>
          <w:szCs w:val="24"/>
          <w:highlight w:val="none"/>
          <w:lang w:val="en-US" w:eastAsia="zh-CN" w:bidi="ar-SA"/>
        </w:rPr>
        <w:t>承担</w:t>
      </w:r>
    </w:p>
    <w:p w14:paraId="3C6741ED">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rFonts w:hint="eastAsia"/>
          <w:i w:val="0"/>
          <w:iCs w:val="0"/>
          <w:snapToGrid w:val="0"/>
          <w:color w:val="auto"/>
          <w:highlight w:val="none"/>
          <w:lang w:val="zh-CN"/>
        </w:rPr>
        <w:t>5.1</w:t>
      </w:r>
      <w:r>
        <w:rPr>
          <w:rFonts w:hint="eastAsia"/>
          <w:i w:val="0"/>
          <w:iCs w:val="0"/>
          <w:snapToGrid w:val="0"/>
          <w:color w:val="auto"/>
          <w:highlight w:val="none"/>
          <w:lang w:val="zh-CN" w:eastAsia="zh-CN"/>
        </w:rPr>
        <w:t>不论</w:t>
      </w:r>
      <w:r>
        <w:rPr>
          <w:rFonts w:hint="eastAsia"/>
          <w:i w:val="0"/>
          <w:iCs w:val="0"/>
          <w:snapToGrid w:val="0"/>
          <w:color w:val="auto"/>
          <w:highlight w:val="none"/>
          <w:lang w:val="en-US" w:eastAsia="zh-CN"/>
        </w:rPr>
        <w:t>磋商</w:t>
      </w:r>
      <w:r>
        <w:rPr>
          <w:rFonts w:hint="eastAsia"/>
          <w:i w:val="0"/>
          <w:iCs w:val="0"/>
          <w:snapToGrid w:val="0"/>
          <w:color w:val="auto"/>
          <w:highlight w:val="none"/>
          <w:lang w:val="zh-CN" w:eastAsia="zh-CN"/>
        </w:rPr>
        <w:t>的结果如何，</w:t>
      </w:r>
      <w:r>
        <w:rPr>
          <w:rFonts w:hint="eastAsia"/>
          <w:i w:val="0"/>
          <w:iCs w:val="0"/>
          <w:snapToGrid w:val="0"/>
          <w:color w:val="auto"/>
          <w:highlight w:val="none"/>
          <w:lang w:val="en-US" w:eastAsia="zh-CN"/>
        </w:rPr>
        <w:t>供应商</w:t>
      </w:r>
      <w:r>
        <w:rPr>
          <w:rFonts w:hint="eastAsia"/>
          <w:i w:val="0"/>
          <w:iCs w:val="0"/>
          <w:snapToGrid w:val="0"/>
          <w:color w:val="auto"/>
          <w:highlight w:val="none"/>
          <w:lang w:val="zh-CN" w:eastAsia="zh-CN"/>
        </w:rPr>
        <w:t>应承担所有与准备和参加</w:t>
      </w:r>
      <w:r>
        <w:rPr>
          <w:rFonts w:hint="eastAsia"/>
          <w:i w:val="0"/>
          <w:iCs w:val="0"/>
          <w:snapToGrid w:val="0"/>
          <w:color w:val="auto"/>
          <w:highlight w:val="none"/>
          <w:lang w:val="en-US" w:eastAsia="zh-CN"/>
        </w:rPr>
        <w:t>磋商</w:t>
      </w:r>
      <w:r>
        <w:rPr>
          <w:rFonts w:hint="eastAsia"/>
          <w:i w:val="0"/>
          <w:iCs w:val="0"/>
          <w:snapToGrid w:val="0"/>
          <w:color w:val="auto"/>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9" w:name="_Toc140132761"/>
      <w:bookmarkStart w:id="130" w:name="_Toc161600293"/>
      <w:r>
        <w:rPr>
          <w:rFonts w:hint="eastAsia" w:ascii="宋体" w:hAnsi="宋体" w:eastAsia="宋体" w:cs="宋体"/>
          <w:b/>
          <w:bCs/>
          <w:color w:val="auto"/>
          <w:kern w:val="2"/>
          <w:sz w:val="24"/>
          <w:szCs w:val="24"/>
          <w:highlight w:val="none"/>
          <w:lang w:val="en-US" w:eastAsia="zh-CN" w:bidi="ar-SA"/>
        </w:rPr>
        <w:t>6.保密</w:t>
      </w:r>
      <w:bookmarkEnd w:id="129"/>
      <w:bookmarkEnd w:id="130"/>
    </w:p>
    <w:p w14:paraId="6F561E2B">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rFonts w:hint="eastAsia"/>
          <w:i w:val="0"/>
          <w:iCs w:val="0"/>
          <w:color w:val="auto"/>
          <w:highlight w:val="none"/>
        </w:rPr>
        <w:t>6.1</w:t>
      </w:r>
      <w:r>
        <w:rPr>
          <w:rFonts w:hint="eastAsia"/>
          <w:i w:val="0"/>
          <w:iCs w:val="0"/>
          <w:color w:val="auto"/>
          <w:highlight w:val="none"/>
          <w:lang w:val="en-US" w:eastAsia="zh-CN"/>
        </w:rPr>
        <w:t xml:space="preserve"> </w:t>
      </w:r>
      <w:r>
        <w:rPr>
          <w:rFonts w:hint="eastAsia"/>
          <w:i w:val="0"/>
          <w:iCs w:val="0"/>
          <w:color w:val="auto"/>
          <w:highlight w:val="none"/>
        </w:rPr>
        <w:t>参与磋商活动的各方应对竞争</w:t>
      </w:r>
      <w:r>
        <w:rPr>
          <w:rFonts w:hint="eastAsia"/>
          <w:i w:val="0"/>
          <w:iCs w:val="0"/>
          <w:color w:val="auto"/>
          <w:highlight w:val="none"/>
          <w:lang w:val="en-US" w:eastAsia="zh-CN"/>
        </w:rPr>
        <w:t>性</w:t>
      </w:r>
      <w:r>
        <w:rPr>
          <w:rFonts w:hint="eastAsia"/>
          <w:i w:val="0"/>
          <w:iCs w:val="0"/>
          <w:color w:val="auto"/>
          <w:highlight w:val="none"/>
        </w:rPr>
        <w:t>磋商文件和响应文件中的商业和技术等秘密保密，否则应承担相应的法律责任。</w:t>
      </w:r>
    </w:p>
    <w:p w14:paraId="577DB7C4">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2 供应商</w:t>
      </w:r>
      <w:r>
        <w:rPr>
          <w:rFonts w:hint="eastAsia" w:ascii="宋体" w:hAnsi="宋体" w:eastAsia="宋体" w:cs="宋体"/>
          <w:i w:val="0"/>
          <w:iCs w:val="0"/>
          <w:color w:val="auto"/>
          <w:kern w:val="2"/>
          <w:sz w:val="24"/>
          <w:szCs w:val="22"/>
          <w:highlight w:val="none"/>
        </w:rPr>
        <w:t>自领取竞争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磋商文件之日起，须承担本竞争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磋商项目保密义务，不得将因本次竞争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磋商获得的信息向第三人外传。由采购人向</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磋商结束后，应采购人要求，</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应归还所有从采购人处获得的保密资料。</w:t>
      </w:r>
    </w:p>
    <w:p w14:paraId="108AE9C4">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 xml:space="preserve">3 </w:t>
      </w:r>
      <w:r>
        <w:rPr>
          <w:rFonts w:hint="eastAsia" w:ascii="宋体" w:hAnsi="宋体" w:eastAsia="宋体" w:cs="宋体"/>
          <w:i w:val="0"/>
          <w:iCs w:val="0"/>
          <w:color w:val="auto"/>
          <w:kern w:val="2"/>
          <w:sz w:val="24"/>
          <w:szCs w:val="22"/>
          <w:highlight w:val="none"/>
        </w:rPr>
        <w:t>采购代理机构有权将</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提供的所有资料向有关政府部门或竞争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磋商的有关人员披露。</w:t>
      </w:r>
    </w:p>
    <w:p w14:paraId="232A1AD6">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2"/>
          <w:highlight w:val="none"/>
        </w:rPr>
        <w:t>。</w:t>
      </w:r>
      <w:r>
        <w:rPr>
          <w:rFonts w:hint="eastAsia"/>
          <w:i w:val="0"/>
          <w:iCs w:val="0"/>
          <w:color w:val="auto"/>
          <w:highlight w:val="none"/>
        </w:rPr>
        <w:t xml:space="preserve"> </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1" w:name="_Toc161600294"/>
      <w:bookmarkStart w:id="132" w:name="_Toc140132762"/>
      <w:r>
        <w:rPr>
          <w:rFonts w:hint="eastAsia" w:ascii="宋体" w:hAnsi="宋体" w:eastAsia="宋体" w:cs="宋体"/>
          <w:b/>
          <w:bCs/>
          <w:color w:val="auto"/>
          <w:kern w:val="2"/>
          <w:sz w:val="24"/>
          <w:szCs w:val="24"/>
          <w:highlight w:val="none"/>
          <w:lang w:val="en-US" w:eastAsia="zh-CN" w:bidi="ar-SA"/>
        </w:rPr>
        <w:t>7.语言文字</w:t>
      </w:r>
      <w:bookmarkEnd w:id="131"/>
      <w:bookmarkEnd w:id="132"/>
    </w:p>
    <w:p w14:paraId="3121AAFC">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7.1竞争</w:t>
      </w:r>
      <w:r>
        <w:rPr>
          <w:rFonts w:hint="eastAsia"/>
          <w:i w:val="0"/>
          <w:iCs w:val="0"/>
          <w:color w:val="auto"/>
          <w:highlight w:val="none"/>
          <w:lang w:val="en-US" w:eastAsia="zh-CN"/>
        </w:rPr>
        <w:t>性</w:t>
      </w:r>
      <w:r>
        <w:rPr>
          <w:rFonts w:hint="eastAsia"/>
          <w:i w:val="0"/>
          <w:iCs w:val="0"/>
          <w:color w:val="auto"/>
          <w:highlight w:val="none"/>
        </w:rPr>
        <w:t>磋商</w:t>
      </w:r>
      <w:r>
        <w:rPr>
          <w:rFonts w:hint="eastAsia"/>
          <w:i w:val="0"/>
          <w:iCs w:val="0"/>
          <w:color w:val="auto"/>
          <w:highlight w:val="none"/>
          <w:lang w:val="en-US" w:eastAsia="zh-CN"/>
        </w:rPr>
        <w:t>文件及响应</w:t>
      </w:r>
      <w:r>
        <w:rPr>
          <w:rFonts w:hint="eastAsia"/>
          <w:i w:val="0"/>
          <w:iCs w:val="0"/>
          <w:color w:val="auto"/>
          <w:highlight w:val="none"/>
        </w:rPr>
        <w:t>文件使用的语言文字为中文。专用术语使用外文的，应附有中文注释。</w:t>
      </w:r>
      <w:r>
        <w:rPr>
          <w:rFonts w:hint="eastAsia"/>
          <w:i w:val="0"/>
          <w:iCs w:val="0"/>
          <w:color w:val="auto"/>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3" w:name="_Toc161600295"/>
      <w:bookmarkStart w:id="134" w:name="_Toc140132763"/>
      <w:r>
        <w:rPr>
          <w:rFonts w:hint="eastAsia" w:ascii="宋体" w:hAnsi="宋体" w:eastAsia="宋体" w:cs="宋体"/>
          <w:b/>
          <w:bCs/>
          <w:color w:val="auto"/>
          <w:kern w:val="2"/>
          <w:sz w:val="24"/>
          <w:szCs w:val="24"/>
          <w:highlight w:val="none"/>
          <w:lang w:val="en-US" w:eastAsia="zh-CN" w:bidi="ar-SA"/>
        </w:rPr>
        <w:t>8.计量单位</w:t>
      </w:r>
      <w:bookmarkEnd w:id="133"/>
      <w:bookmarkEnd w:id="134"/>
    </w:p>
    <w:p w14:paraId="0DC441D4">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5" w:name="_Toc140132764"/>
      <w:bookmarkStart w:id="136" w:name="_Toc161600296"/>
      <w:r>
        <w:rPr>
          <w:rFonts w:hint="eastAsia" w:ascii="宋体" w:hAnsi="宋体" w:eastAsia="宋体" w:cs="宋体"/>
          <w:b/>
          <w:bCs/>
          <w:color w:val="auto"/>
          <w:kern w:val="2"/>
          <w:sz w:val="24"/>
          <w:szCs w:val="24"/>
          <w:highlight w:val="none"/>
          <w:lang w:val="en-US" w:eastAsia="zh-CN" w:bidi="ar-SA"/>
        </w:rPr>
        <w:t>9.现场考察和答疑会</w:t>
      </w:r>
      <w:bookmarkEnd w:id="135"/>
      <w:bookmarkEnd w:id="136"/>
    </w:p>
    <w:p w14:paraId="70E7733A">
      <w:pPr>
        <w:pStyle w:val="37"/>
        <w:keepNext w:val="0"/>
        <w:keepLines w:val="0"/>
        <w:pageBreakBefore w:val="0"/>
        <w:widowControl w:val="0"/>
        <w:kinsoku/>
        <w:overflowPunct/>
        <w:topLinePunct w:val="0"/>
        <w:bidi w:val="0"/>
        <w:ind w:firstLine="480"/>
        <w:textAlignment w:val="auto"/>
        <w:rPr>
          <w:i w:val="0"/>
          <w:iCs w:val="0"/>
          <w:color w:val="auto"/>
          <w:highlight w:val="none"/>
        </w:rPr>
      </w:pPr>
      <w:bookmarkStart w:id="137" w:name="_Hlk143529198"/>
      <w:r>
        <w:rPr>
          <w:rFonts w:hint="eastAsia"/>
          <w:i w:val="0"/>
          <w:iCs w:val="0"/>
          <w:color w:val="auto"/>
          <w:highlight w:val="none"/>
        </w:rPr>
        <w:t xml:space="preserve">9.1 “供应商须知前附表”规定组织现场考察的，采购代理机构按“供应商须知前附表”规定的时间、地点组织供应商项目现场考察。 </w:t>
      </w:r>
    </w:p>
    <w:p w14:paraId="473C15DA">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9.2 供应商现场考察发生的费用自理。</w:t>
      </w:r>
    </w:p>
    <w:p w14:paraId="417B1E0B">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9.3 在现场考察中，因供应商自身原因发生的人员伤亡和财产损失，由供应商自行负责。</w:t>
      </w:r>
    </w:p>
    <w:p w14:paraId="2BF7B5CD">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rFonts w:hint="eastAsia"/>
          <w:i w:val="0"/>
          <w:iCs w:val="0"/>
          <w:color w:val="auto"/>
          <w:highlight w:val="none"/>
        </w:rPr>
        <w:t>9.5 “供应商须知前附表”规定召开答疑会的，采购代理机构按“供应商须知前附表”规定的时间和地点召开答疑会，澄清供应商提出的问题。</w:t>
      </w:r>
    </w:p>
    <w:p w14:paraId="7BC8ED9F">
      <w:pPr>
        <w:pStyle w:val="37"/>
        <w:keepNext w:val="0"/>
        <w:keepLines w:val="0"/>
        <w:pageBreakBefore w:val="0"/>
        <w:widowControl w:val="0"/>
        <w:kinsoku/>
        <w:overflowPunct/>
        <w:topLinePunct w:val="0"/>
        <w:autoSpaceDE/>
        <w:autoSpaceDN/>
        <w:bidi w:val="0"/>
        <w:adjustRightInd/>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37"/>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8" w:name="_Toc161600298"/>
      <w:bookmarkStart w:id="139" w:name="_Toc155185858"/>
      <w:r>
        <w:rPr>
          <w:rFonts w:hint="eastAsia" w:ascii="宋体" w:hAnsi="宋体" w:eastAsia="宋体" w:cs="宋体"/>
          <w:b/>
          <w:bCs/>
          <w:color w:val="auto"/>
          <w:kern w:val="2"/>
          <w:sz w:val="24"/>
          <w:szCs w:val="24"/>
          <w:highlight w:val="none"/>
          <w:lang w:val="en-US" w:eastAsia="zh-CN" w:bidi="ar-SA"/>
        </w:rPr>
        <w:t>10.电子标说明</w:t>
      </w:r>
      <w:bookmarkEnd w:id="138"/>
      <w:bookmarkEnd w:id="139"/>
    </w:p>
    <w:p w14:paraId="24EABCAC">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10.1 本次采购采用电子交易方式，电子交易平台为兵团政府采购电子交易云平台（网址：https://www.zcygov.cn/）。</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参与本项目电子交易活动前，</w:t>
      </w:r>
      <w:r>
        <w:rPr>
          <w:rFonts w:hint="eastAsia" w:ascii="宋体" w:hAnsi="宋体" w:eastAsia="宋体"/>
          <w:i w:val="0"/>
          <w:iCs w:val="0"/>
          <w:color w:val="auto"/>
          <w:highlight w:val="none"/>
        </w:rPr>
        <w:t>应</w:t>
      </w:r>
      <w:r>
        <w:rPr>
          <w:rFonts w:hint="eastAsia"/>
          <w:i w:val="0"/>
          <w:iCs w:val="0"/>
          <w:color w:val="auto"/>
          <w:highlight w:val="none"/>
          <w:lang w:val="en-US" w:eastAsia="zh-CN"/>
        </w:rPr>
        <w:t>在</w:t>
      </w:r>
      <w:r>
        <w:rPr>
          <w:rFonts w:hint="eastAsia" w:ascii="宋体" w:hAnsi="宋体" w:eastAsia="宋体"/>
          <w:i w:val="0"/>
          <w:iCs w:val="0"/>
          <w:color w:val="auto"/>
          <w:highlight w:val="none"/>
        </w:rPr>
        <w:t>政</w:t>
      </w:r>
      <w:r>
        <w:rPr>
          <w:rFonts w:hint="eastAsia"/>
          <w:i w:val="0"/>
          <w:iCs w:val="0"/>
          <w:color w:val="auto"/>
          <w:highlight w:val="none"/>
          <w:lang w:val="en-US" w:eastAsia="zh-CN"/>
        </w:rPr>
        <w:t>采</w:t>
      </w:r>
      <w:r>
        <w:rPr>
          <w:rFonts w:hint="eastAsia" w:ascii="宋体" w:hAnsi="宋体" w:eastAsia="宋体"/>
          <w:i w:val="0"/>
          <w:iCs w:val="0"/>
          <w:color w:val="auto"/>
          <w:highlight w:val="none"/>
          <w:lang w:val="en-US"/>
        </w:rPr>
        <w:t>云</w:t>
      </w:r>
      <w:r>
        <w:rPr>
          <w:rFonts w:hint="eastAsia" w:ascii="宋体" w:hAnsi="宋体" w:eastAsia="宋体"/>
          <w:i w:val="0"/>
          <w:iCs w:val="0"/>
          <w:color w:val="auto"/>
          <w:highlight w:val="none"/>
        </w:rPr>
        <w:t>平台</w:t>
      </w:r>
      <w:r>
        <w:rPr>
          <w:rFonts w:hint="eastAsia"/>
          <w:i w:val="0"/>
          <w:iCs w:val="0"/>
          <w:color w:val="auto"/>
          <w:highlight w:val="none"/>
          <w:lang w:val="en-US" w:eastAsia="zh-CN"/>
        </w:rPr>
        <w:t>上</w:t>
      </w:r>
      <w:r>
        <w:rPr>
          <w:rFonts w:hint="eastAsia" w:ascii="宋体" w:hAnsi="宋体" w:eastAsia="宋体"/>
          <w:i w:val="0"/>
          <w:iCs w:val="0"/>
          <w:color w:val="auto"/>
          <w:highlight w:val="none"/>
        </w:rPr>
        <w:t>注册</w:t>
      </w:r>
      <w:r>
        <w:rPr>
          <w:rFonts w:hint="eastAsia"/>
          <w:i w:val="0"/>
          <w:iCs w:val="0"/>
          <w:color w:val="auto"/>
          <w:highlight w:val="none"/>
          <w:lang w:val="en-US" w:eastAsia="zh-CN"/>
        </w:rPr>
        <w:t>供应商账号</w:t>
      </w:r>
      <w:r>
        <w:rPr>
          <w:rFonts w:hint="eastAsia" w:ascii="宋体" w:hAnsi="宋体" w:eastAsia="宋体"/>
          <w:i w:val="0"/>
          <w:iCs w:val="0"/>
          <w:color w:val="auto"/>
          <w:highlight w:val="none"/>
        </w:rPr>
        <w:t>。</w:t>
      </w:r>
      <w:r>
        <w:rPr>
          <w:rFonts w:hint="eastAsia" w:ascii="宋体" w:hAnsi="宋体" w:eastAsia="宋体"/>
          <w:i w:val="0"/>
          <w:iCs w:val="0"/>
          <w:color w:val="auto"/>
          <w:highlight w:val="none"/>
          <w:lang w:val="en-US" w:eastAsia="zh-CN"/>
        </w:rPr>
        <w:t>编制电子</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文件前还需申领CA证书并绑定帐号。</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应充分考虑完成平台注册、申领CA证书等所需的时间。潜在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领取文件须提前完成注册、CA证书和电子签章申领和绑定、下载投标客户端。因未办理CA数字证书、CA证书故障、操作不当等原因造成无法</w:t>
      </w:r>
      <w:r>
        <w:rPr>
          <w:rFonts w:hint="eastAsia"/>
          <w:i w:val="0"/>
          <w:iCs w:val="0"/>
          <w:color w:val="auto"/>
          <w:highlight w:val="none"/>
          <w:lang w:val="en-US" w:eastAsia="zh-CN"/>
        </w:rPr>
        <w:t>磋商</w:t>
      </w:r>
      <w:r>
        <w:rPr>
          <w:rFonts w:hint="eastAsia" w:ascii="宋体" w:hAnsi="宋体" w:eastAsia="宋体"/>
          <w:i w:val="0"/>
          <w:iCs w:val="0"/>
          <w:color w:val="auto"/>
          <w:highlight w:val="none"/>
          <w:lang w:val="en-US" w:eastAsia="zh-CN"/>
        </w:rPr>
        <w:t>或</w:t>
      </w:r>
      <w:r>
        <w:rPr>
          <w:rFonts w:hint="eastAsia"/>
          <w:i w:val="0"/>
          <w:iCs w:val="0"/>
          <w:color w:val="auto"/>
          <w:highlight w:val="none"/>
          <w:lang w:val="en-US" w:eastAsia="zh-CN"/>
        </w:rPr>
        <w:t>磋商</w:t>
      </w:r>
      <w:r>
        <w:rPr>
          <w:rFonts w:hint="eastAsia" w:ascii="宋体" w:hAnsi="宋体" w:eastAsia="宋体"/>
          <w:i w:val="0"/>
          <w:iCs w:val="0"/>
          <w:color w:val="auto"/>
          <w:highlight w:val="none"/>
          <w:lang w:val="en-US" w:eastAsia="zh-CN"/>
        </w:rPr>
        <w:t>失败等后果由</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自行承担。供应商登录兵团政府采购网“供应商注册”—“新疆生产建设兵团政府采购供应商入驻登记”—“立即登记”进行自助注册绑定。</w:t>
      </w:r>
    </w:p>
    <w:p w14:paraId="1D724A82">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 xml:space="preserve">10.2 </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将兵团政府采购电子交易云平台电子交易客户端下载、安装完成后，可通过账号密码或CA登录客户端进行</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文件制作。在使用政采云投标客户端时，建议使用WIN7及以上操作系统。供应商登录兵团政府采购网“下载专区”—“电子招投标客户端下载”下载相关客户端，如有问题可拨打政采云客户服务热线95763进行咨询。</w:t>
      </w:r>
    </w:p>
    <w:p w14:paraId="39742A0A">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10.3 加密的电子</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文件应在</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文件递交截止时间前通过政采云平台上传完成。逾期上传或者未上传指定地点的</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文件，不予受理。</w:t>
      </w:r>
    </w:p>
    <w:p w14:paraId="03850AD3">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 xml:space="preserve">10.4 </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在</w:t>
      </w:r>
      <w:r>
        <w:rPr>
          <w:rFonts w:hint="eastAsia"/>
          <w:i w:val="0"/>
          <w:iCs w:val="0"/>
          <w:color w:val="auto"/>
          <w:highlight w:val="none"/>
          <w:lang w:val="en-US" w:eastAsia="zh-CN"/>
        </w:rPr>
        <w:t>磋商</w:t>
      </w:r>
      <w:r>
        <w:rPr>
          <w:rFonts w:hint="eastAsia" w:ascii="宋体" w:hAnsi="宋体" w:eastAsia="宋体"/>
          <w:i w:val="0"/>
          <w:iCs w:val="0"/>
          <w:color w:val="auto"/>
          <w:highlight w:val="none"/>
          <w:lang w:val="en-US" w:eastAsia="zh-CN"/>
        </w:rPr>
        <w:t>前须提前配置好电脑</w:t>
      </w:r>
      <w:r>
        <w:rPr>
          <w:rFonts w:hint="eastAsia"/>
          <w:i w:val="0"/>
          <w:iCs w:val="0"/>
          <w:color w:val="auto"/>
          <w:highlight w:val="none"/>
          <w:lang w:val="en-US" w:eastAsia="zh-CN"/>
        </w:rPr>
        <w:t>及</w:t>
      </w:r>
      <w:r>
        <w:rPr>
          <w:rFonts w:hint="eastAsia" w:ascii="宋体" w:hAnsi="宋体" w:eastAsia="宋体"/>
          <w:i w:val="0"/>
          <w:iCs w:val="0"/>
          <w:color w:val="auto"/>
          <w:highlight w:val="none"/>
          <w:lang w:val="en-US" w:eastAsia="zh-CN"/>
        </w:rPr>
        <w:t>浏览器，</w:t>
      </w:r>
      <w:r>
        <w:rPr>
          <w:rFonts w:hint="eastAsia"/>
          <w:i w:val="0"/>
          <w:iCs w:val="0"/>
          <w:color w:val="auto"/>
          <w:highlight w:val="none"/>
          <w:lang w:val="en-US" w:eastAsia="zh-CN"/>
        </w:rPr>
        <w:t>磋商</w:t>
      </w:r>
      <w:r>
        <w:rPr>
          <w:rFonts w:hint="eastAsia" w:ascii="宋体" w:hAnsi="宋体" w:eastAsia="宋体"/>
          <w:i w:val="0"/>
          <w:iCs w:val="0"/>
          <w:color w:val="auto"/>
          <w:highlight w:val="none"/>
          <w:lang w:val="en-US" w:eastAsia="zh-CN"/>
        </w:rPr>
        <w:t>时请使用制作加密电子</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文件的CA锁进行解密及报价确认。本项目</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文件解密时间详“</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须知前附表”，如因自身原因导致无法正常解密，后果由</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自行承担。</w:t>
      </w:r>
    </w:p>
    <w:p w14:paraId="13D1898E">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10.5 如遇“兵团政府采购电子交易云平台（网址：https://www.zcygov.cn/）”电子交易规则调整，以最新要求为准。</w:t>
      </w:r>
    </w:p>
    <w:p w14:paraId="287E4256">
      <w:pPr>
        <w:pStyle w:val="37"/>
        <w:keepNext w:val="0"/>
        <w:keepLines w:val="0"/>
        <w:pageBreakBefore w:val="0"/>
        <w:widowControl w:val="0"/>
        <w:kinsoku/>
        <w:overflowPunct/>
        <w:topLinePunct w:val="0"/>
        <w:bidi w:val="0"/>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10.6 电子交易系统咨询：</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应当充分考虑到电子</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可能会发生的各种问题和风险，特别是</w:t>
      </w:r>
      <w:r>
        <w:rPr>
          <w:rFonts w:hint="eastAsia"/>
          <w:i w:val="0"/>
          <w:iCs w:val="0"/>
          <w:color w:val="auto"/>
          <w:highlight w:val="none"/>
          <w:lang w:val="en-US" w:eastAsia="zh-CN"/>
        </w:rPr>
        <w:t>响应</w:t>
      </w:r>
      <w:r>
        <w:rPr>
          <w:rFonts w:hint="eastAsia" w:ascii="宋体" w:hAnsi="宋体" w:eastAsia="宋体"/>
          <w:i w:val="0"/>
          <w:iCs w:val="0"/>
          <w:color w:val="auto"/>
          <w:highlight w:val="none"/>
          <w:lang w:val="en-US" w:eastAsia="zh-CN"/>
        </w:rPr>
        <w:t xml:space="preserve">文件签署、提交等问题，可按照“第一章 </w:t>
      </w:r>
      <w:r>
        <w:rPr>
          <w:rFonts w:hint="eastAsia"/>
          <w:i w:val="0"/>
          <w:iCs w:val="0"/>
          <w:color w:val="auto"/>
          <w:highlight w:val="none"/>
          <w:lang w:val="en-US" w:eastAsia="zh-CN"/>
        </w:rPr>
        <w:t>竞争性磋商</w:t>
      </w:r>
      <w:r>
        <w:rPr>
          <w:rFonts w:hint="eastAsia" w:ascii="宋体" w:hAnsi="宋体" w:eastAsia="宋体"/>
          <w:i w:val="0"/>
          <w:iCs w:val="0"/>
          <w:color w:val="auto"/>
          <w:highlight w:val="none"/>
          <w:lang w:val="en-US" w:eastAsia="zh-CN"/>
        </w:rPr>
        <w:t>公告”的联系方式咨询相关人员。</w:t>
      </w:r>
    </w:p>
    <w:p w14:paraId="2B30589C">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rFonts w:hint="eastAsia" w:ascii="宋体" w:hAnsi="宋体" w:eastAsia="宋体"/>
          <w:i w:val="0"/>
          <w:iCs w:val="0"/>
          <w:color w:val="auto"/>
          <w:highlight w:val="none"/>
          <w:lang w:val="en-US" w:eastAsia="zh-CN"/>
        </w:rPr>
        <w:t>10.7 由于本项目采用电子</w:t>
      </w:r>
      <w:r>
        <w:rPr>
          <w:rFonts w:hint="eastAsia"/>
          <w:i w:val="0"/>
          <w:iCs w:val="0"/>
          <w:color w:val="auto"/>
          <w:highlight w:val="none"/>
          <w:lang w:val="en-US" w:eastAsia="zh-CN"/>
        </w:rPr>
        <w:t>磋商</w:t>
      </w:r>
      <w:r>
        <w:rPr>
          <w:rFonts w:hint="eastAsia" w:ascii="宋体" w:hAnsi="宋体" w:eastAsia="宋体"/>
          <w:i w:val="0"/>
          <w:iCs w:val="0"/>
          <w:color w:val="auto"/>
          <w:highlight w:val="none"/>
          <w:lang w:val="en-US" w:eastAsia="zh-CN"/>
        </w:rPr>
        <w:t>方式，潜在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的名单将在</w:t>
      </w:r>
      <w:r>
        <w:rPr>
          <w:rFonts w:hint="eastAsia"/>
          <w:i w:val="0"/>
          <w:iCs w:val="0"/>
          <w:color w:val="auto"/>
          <w:highlight w:val="none"/>
          <w:lang w:val="en-US" w:eastAsia="zh-CN"/>
        </w:rPr>
        <w:t>递交响应</w:t>
      </w:r>
      <w:r>
        <w:rPr>
          <w:rFonts w:hint="eastAsia" w:ascii="宋体" w:hAnsi="宋体" w:eastAsia="宋体"/>
          <w:i w:val="0"/>
          <w:iCs w:val="0"/>
          <w:color w:val="auto"/>
          <w:highlight w:val="none"/>
          <w:lang w:val="en-US" w:eastAsia="zh-CN"/>
        </w:rPr>
        <w:t>文件截止时间后才会解密。因此，采购人或采购代理机构无法通过传统的传真或邮件方式，将</w:t>
      </w:r>
      <w:r>
        <w:rPr>
          <w:rFonts w:hint="eastAsia"/>
          <w:i w:val="0"/>
          <w:iCs w:val="0"/>
          <w:color w:val="auto"/>
          <w:highlight w:val="none"/>
          <w:lang w:val="en-US" w:eastAsia="zh-CN"/>
        </w:rPr>
        <w:t>竞争性磋商</w:t>
      </w:r>
      <w:r>
        <w:rPr>
          <w:rFonts w:hint="eastAsia" w:ascii="宋体" w:hAnsi="宋体" w:eastAsia="宋体"/>
          <w:i w:val="0"/>
          <w:iCs w:val="0"/>
          <w:color w:val="auto"/>
          <w:highlight w:val="none"/>
          <w:lang w:val="en-US" w:eastAsia="zh-CN"/>
        </w:rPr>
        <w:t>文件的澄清或修改内容逐一通知到每位已获取</w:t>
      </w:r>
      <w:r>
        <w:rPr>
          <w:rFonts w:hint="eastAsia"/>
          <w:i w:val="0"/>
          <w:iCs w:val="0"/>
          <w:color w:val="auto"/>
          <w:highlight w:val="none"/>
          <w:lang w:val="en-US" w:eastAsia="zh-CN"/>
        </w:rPr>
        <w:t>竞争性磋商</w:t>
      </w:r>
      <w:r>
        <w:rPr>
          <w:rFonts w:hint="eastAsia" w:ascii="宋体" w:hAnsi="宋体" w:eastAsia="宋体"/>
          <w:i w:val="0"/>
          <w:iCs w:val="0"/>
          <w:color w:val="auto"/>
          <w:highlight w:val="none"/>
          <w:lang w:val="en-US" w:eastAsia="zh-CN"/>
        </w:rPr>
        <w:t>文件的潜在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。为确保信息的及时性和准确性，澄清或修改的内容将仅在政采云平台以更正公告的形式发布。潜在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需密切关注该网站，及时查看并下载相关更正公告。若因潜在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未能及时查看或下载相关更正公告，而导致的一切后果，将由潜在</w:t>
      </w:r>
      <w:r>
        <w:rPr>
          <w:rFonts w:hint="eastAsia"/>
          <w:i w:val="0"/>
          <w:iCs w:val="0"/>
          <w:color w:val="auto"/>
          <w:highlight w:val="none"/>
          <w:lang w:val="en-US" w:eastAsia="zh-CN"/>
        </w:rPr>
        <w:t>供应商</w:t>
      </w:r>
      <w:r>
        <w:rPr>
          <w:rFonts w:hint="eastAsia" w:ascii="宋体" w:hAnsi="宋体" w:eastAsia="宋体"/>
          <w:i w:val="0"/>
          <w:iCs w:val="0"/>
          <w:color w:val="auto"/>
          <w:highlight w:val="none"/>
          <w:lang w:val="en-US" w:eastAsia="zh-CN"/>
        </w:rPr>
        <w:t>自行承担。</w:t>
      </w:r>
    </w:p>
    <w:p w14:paraId="17FBA29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0" w:name="_Toc163493612"/>
      <w:bookmarkStart w:id="141" w:name="_Toc109900375"/>
      <w:bookmarkStart w:id="142" w:name="_Toc21248"/>
      <w:bookmarkStart w:id="143" w:name="_Toc109899956"/>
      <w:bookmarkStart w:id="144" w:name="_Toc470172668"/>
      <w:bookmarkStart w:id="145" w:name="_Toc109899537"/>
      <w:bookmarkStart w:id="146" w:name="_Toc109897438"/>
      <w:bookmarkStart w:id="147" w:name="_Toc46771643"/>
      <w:r>
        <w:rPr>
          <w:rFonts w:hint="eastAsia" w:ascii="宋体" w:hAnsi="宋体" w:eastAsia="宋体" w:cs="宋体"/>
          <w:b/>
          <w:bCs/>
          <w:color w:val="auto"/>
          <w:kern w:val="2"/>
          <w:sz w:val="24"/>
          <w:szCs w:val="24"/>
          <w:highlight w:val="none"/>
          <w:lang w:val="en-US" w:eastAsia="zh-CN" w:bidi="ar-SA"/>
        </w:rPr>
        <w:t>（二）磋商文件</w:t>
      </w:r>
      <w:bookmarkEnd w:id="140"/>
      <w:bookmarkEnd w:id="141"/>
      <w:bookmarkEnd w:id="142"/>
      <w:bookmarkEnd w:id="143"/>
      <w:bookmarkEnd w:id="144"/>
      <w:bookmarkEnd w:id="145"/>
      <w:bookmarkEnd w:id="146"/>
      <w:bookmarkEnd w:id="147"/>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8" w:name="_Toc48846113"/>
      <w:bookmarkStart w:id="149" w:name="_Toc109899538"/>
      <w:bookmarkStart w:id="150" w:name="_Toc109899957"/>
      <w:bookmarkStart w:id="151" w:name="_Toc46771644"/>
      <w:bookmarkStart w:id="152" w:name="_Toc46772245"/>
      <w:bookmarkStart w:id="153" w:name="_Toc52960557"/>
      <w:bookmarkStart w:id="154" w:name="_Toc52962731"/>
      <w:bookmarkStart w:id="155" w:name="_Toc4547"/>
      <w:bookmarkStart w:id="156" w:name="_Toc470172669"/>
      <w:bookmarkStart w:id="157" w:name="_Toc48688793"/>
      <w:bookmarkStart w:id="158" w:name="_Toc109900376"/>
      <w:bookmarkStart w:id="159" w:name="_Toc51674215"/>
      <w:bookmarkStart w:id="160" w:name="_Toc109897439"/>
      <w:r>
        <w:rPr>
          <w:rFonts w:hint="eastAsia" w:ascii="宋体" w:hAnsi="宋体" w:eastAsia="宋体" w:cs="宋体"/>
          <w:b/>
          <w:bCs/>
          <w:color w:val="auto"/>
          <w:kern w:val="2"/>
          <w:sz w:val="24"/>
          <w:szCs w:val="24"/>
          <w:highlight w:val="none"/>
          <w:lang w:val="en-US" w:eastAsia="zh-CN" w:bidi="ar-SA"/>
        </w:rPr>
        <w:t>11.磋商文件的构成</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54909DE4">
      <w:pPr>
        <w:keepNext w:val="0"/>
        <w:keepLines w:val="0"/>
        <w:pageBreakBefore w:val="0"/>
        <w:widowControl w:val="0"/>
        <w:kinsoku/>
        <w:overflowPunct/>
        <w:topLinePunct w:val="0"/>
        <w:bidi w:val="0"/>
        <w:ind w:firstLine="480" w:firstLineChars="200"/>
        <w:textAlignment w:val="auto"/>
        <w:rPr>
          <w:rFonts w:hint="eastAsia" w:eastAsia="宋体" w:cs="仿宋_GB2312"/>
          <w:i w:val="0"/>
          <w:iCs w:val="0"/>
          <w:color w:val="auto"/>
          <w:szCs w:val="24"/>
          <w:highlight w:val="none"/>
          <w:lang w:eastAsia="zh-CN"/>
        </w:rPr>
      </w:pPr>
      <w:bookmarkStart w:id="161" w:name="_Toc52960558"/>
      <w:bookmarkStart w:id="162" w:name="_Toc46772246"/>
      <w:bookmarkStart w:id="163" w:name="_Toc478415174"/>
      <w:bookmarkStart w:id="164" w:name="_Toc52962732"/>
      <w:bookmarkStart w:id="165" w:name="_Toc109899958"/>
      <w:bookmarkStart w:id="166" w:name="_Toc109899539"/>
      <w:bookmarkStart w:id="167" w:name="_Toc109897440"/>
      <w:bookmarkStart w:id="168" w:name="_Toc51674216"/>
      <w:bookmarkStart w:id="169" w:name="_Toc48688794"/>
      <w:bookmarkStart w:id="170" w:name="_Toc46771645"/>
      <w:bookmarkStart w:id="171" w:name="_Toc48846114"/>
      <w:bookmarkStart w:id="172" w:name="_Toc109900377"/>
      <w:r>
        <w:rPr>
          <w:rFonts w:hint="eastAsia" w:cs="仿宋_GB2312"/>
          <w:i w:val="0"/>
          <w:iCs w:val="0"/>
          <w:color w:val="auto"/>
          <w:szCs w:val="24"/>
          <w:highlight w:val="none"/>
        </w:rPr>
        <w:t>第一章 竞争性磋商</w:t>
      </w:r>
      <w:r>
        <w:rPr>
          <w:rFonts w:hint="eastAsia" w:cs="仿宋_GB2312"/>
          <w:i w:val="0"/>
          <w:iCs w:val="0"/>
          <w:color w:val="auto"/>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 xml:space="preserve">第三章 </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第四章 评审</w:t>
      </w:r>
      <w:r>
        <w:rPr>
          <w:rFonts w:hint="eastAsia" w:cs="仿宋_GB2312"/>
          <w:i w:val="0"/>
          <w:iCs w:val="0"/>
          <w:color w:val="auto"/>
          <w:szCs w:val="24"/>
          <w:highlight w:val="none"/>
          <w:lang w:val="en-US" w:eastAsia="zh-CN"/>
        </w:rPr>
        <w:t>方</w:t>
      </w:r>
      <w:r>
        <w:rPr>
          <w:rFonts w:hint="eastAsia" w:cs="仿宋_GB2312"/>
          <w:i w:val="0"/>
          <w:iCs w:val="0"/>
          <w:color w:val="auto"/>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第六章 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12.磋商文件的澄清或修改</w:t>
      </w:r>
      <w:bookmarkEnd w:id="161"/>
      <w:bookmarkEnd w:id="162"/>
      <w:bookmarkEnd w:id="163"/>
      <w:bookmarkEnd w:id="164"/>
      <w:bookmarkEnd w:id="165"/>
      <w:bookmarkEnd w:id="166"/>
      <w:bookmarkEnd w:id="167"/>
      <w:bookmarkEnd w:id="168"/>
      <w:bookmarkEnd w:id="169"/>
      <w:bookmarkEnd w:id="170"/>
      <w:bookmarkEnd w:id="171"/>
      <w:bookmarkEnd w:id="172"/>
    </w:p>
    <w:p w14:paraId="2DDD06DE">
      <w:pPr>
        <w:keepNext w:val="0"/>
        <w:keepLines w:val="0"/>
        <w:pageBreakBefore w:val="0"/>
        <w:widowControl w:val="0"/>
        <w:kinsoku/>
        <w:overflowPunct/>
        <w:topLinePunct w:val="0"/>
        <w:autoSpaceDE/>
        <w:autoSpaceDN/>
        <w:bidi w:val="0"/>
        <w:adjustRightInd/>
        <w:ind w:firstLine="480" w:firstLineChars="200"/>
        <w:textAlignment w:val="auto"/>
        <w:rPr>
          <w:rFonts w:hint="eastAsia" w:cs="仿宋_GB2312"/>
          <w:i w:val="0"/>
          <w:iCs w:val="0"/>
          <w:color w:val="auto"/>
          <w:szCs w:val="24"/>
          <w:highlight w:val="none"/>
        </w:rPr>
      </w:pPr>
      <w:r>
        <w:rPr>
          <w:rFonts w:cs="仿宋_GB2312"/>
          <w:i w:val="0"/>
          <w:iCs w:val="0"/>
          <w:color w:val="auto"/>
          <w:szCs w:val="24"/>
          <w:highlight w:val="none"/>
        </w:rPr>
        <w:t>1</w:t>
      </w:r>
      <w:r>
        <w:rPr>
          <w:rFonts w:hint="eastAsia" w:cs="仿宋_GB2312"/>
          <w:i w:val="0"/>
          <w:iCs w:val="0"/>
          <w:color w:val="auto"/>
          <w:szCs w:val="24"/>
          <w:highlight w:val="none"/>
          <w:lang w:val="en-US" w:eastAsia="zh-CN"/>
        </w:rPr>
        <w:t>2</w:t>
      </w:r>
      <w:r>
        <w:rPr>
          <w:rFonts w:hint="eastAsia" w:cs="仿宋_GB2312"/>
          <w:i w:val="0"/>
          <w:iCs w:val="0"/>
          <w:color w:val="auto"/>
          <w:szCs w:val="24"/>
          <w:highlight w:val="none"/>
        </w:rPr>
        <w:t>.</w:t>
      </w:r>
      <w:r>
        <w:rPr>
          <w:rFonts w:cs="仿宋_GB2312"/>
          <w:i w:val="0"/>
          <w:iCs w:val="0"/>
          <w:color w:val="auto"/>
          <w:szCs w:val="24"/>
          <w:highlight w:val="none"/>
        </w:rPr>
        <w:t>1</w:t>
      </w:r>
      <w:r>
        <w:rPr>
          <w:rFonts w:hint="eastAsia" w:cs="仿宋_GB2312"/>
          <w:i w:val="0"/>
          <w:iCs w:val="0"/>
          <w:color w:val="auto"/>
          <w:szCs w:val="24"/>
          <w:highlight w:val="none"/>
        </w:rPr>
        <w:t xml:space="preserve">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cs="仿宋_GB2312"/>
          <w:i w:val="0"/>
          <w:iCs w:val="0"/>
          <w:color w:val="auto"/>
          <w:szCs w:val="24"/>
          <w:highlight w:val="none"/>
          <w:lang w:val="en-US" w:eastAsia="zh-CN"/>
        </w:rPr>
        <w:t>磋商</w:t>
      </w:r>
      <w:r>
        <w:rPr>
          <w:rFonts w:hint="eastAsia" w:cs="仿宋_GB2312"/>
          <w:i w:val="0"/>
          <w:iCs w:val="0"/>
          <w:color w:val="auto"/>
          <w:szCs w:val="24"/>
          <w:highlight w:val="none"/>
        </w:rPr>
        <w:t>文件询问的答复，在必要时将以澄清形式推送给每个获取竞争性</w:t>
      </w:r>
      <w:r>
        <w:rPr>
          <w:rFonts w:hint="eastAsia" w:cs="仿宋_GB2312"/>
          <w:i w:val="0"/>
          <w:iCs w:val="0"/>
          <w:color w:val="auto"/>
          <w:szCs w:val="24"/>
          <w:highlight w:val="none"/>
          <w:lang w:val="en-US" w:eastAsia="zh-CN"/>
        </w:rPr>
        <w:t>磋商</w:t>
      </w:r>
      <w:r>
        <w:rPr>
          <w:rFonts w:hint="eastAsia" w:cs="仿宋_GB2312"/>
          <w:i w:val="0"/>
          <w:iCs w:val="0"/>
          <w:color w:val="auto"/>
          <w:szCs w:val="24"/>
          <w:highlight w:val="none"/>
        </w:rPr>
        <w:t>文件的潜在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(答复中不包括问题的来源)。</w:t>
      </w:r>
    </w:p>
    <w:p w14:paraId="79F14C28">
      <w:pPr>
        <w:keepNext w:val="0"/>
        <w:keepLines w:val="0"/>
        <w:pageBreakBefore w:val="0"/>
        <w:widowControl w:val="0"/>
        <w:kinsoku/>
        <w:overflowPunct/>
        <w:topLinePunct w:val="0"/>
        <w:autoSpaceDE/>
        <w:autoSpaceDN/>
        <w:bidi w:val="0"/>
        <w:adjustRightInd/>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供应商在规定的时间内未对竞争性</w:t>
      </w:r>
      <w:r>
        <w:rPr>
          <w:rFonts w:hint="eastAsia" w:cs="仿宋_GB2312"/>
          <w:i w:val="0"/>
          <w:iCs w:val="0"/>
          <w:color w:val="auto"/>
          <w:szCs w:val="24"/>
          <w:highlight w:val="none"/>
          <w:lang w:val="en-US" w:eastAsia="zh-CN"/>
        </w:rPr>
        <w:t>磋商</w:t>
      </w:r>
      <w:r>
        <w:rPr>
          <w:rFonts w:hint="eastAsia" w:cs="仿宋_GB2312"/>
          <w:i w:val="0"/>
          <w:iCs w:val="0"/>
          <w:color w:val="auto"/>
          <w:szCs w:val="24"/>
          <w:highlight w:val="none"/>
        </w:rPr>
        <w:t>文件提出疑问或要求澄清的，采购代理机构将视其为同意，对在“供应商须知前附表”中“</w:t>
      </w:r>
      <w:r>
        <w:rPr>
          <w:rFonts w:hint="eastAsia" w:cs="仿宋_GB2312"/>
          <w:i w:val="0"/>
          <w:iCs w:val="0"/>
          <w:color w:val="auto"/>
          <w:szCs w:val="24"/>
          <w:highlight w:val="none"/>
          <w:lang w:val="en-US" w:eastAsia="zh-CN"/>
        </w:rPr>
        <w:t>提出询问的</w:t>
      </w:r>
      <w:r>
        <w:rPr>
          <w:rFonts w:hint="eastAsia" w:cs="仿宋_GB2312"/>
          <w:i w:val="0"/>
          <w:iCs w:val="0"/>
          <w:color w:val="auto"/>
          <w:szCs w:val="24"/>
          <w:highlight w:val="none"/>
        </w:rPr>
        <w:t>时间</w:t>
      </w:r>
      <w:r>
        <w:rPr>
          <w:rFonts w:hint="eastAsia" w:cs="仿宋_GB2312"/>
          <w:i w:val="0"/>
          <w:iCs w:val="0"/>
          <w:color w:val="auto"/>
          <w:szCs w:val="24"/>
          <w:highlight w:val="none"/>
          <w:lang w:val="en-US" w:eastAsia="zh-CN"/>
        </w:rPr>
        <w:t>要求</w:t>
      </w:r>
      <w:r>
        <w:rPr>
          <w:rFonts w:hint="eastAsia" w:cs="仿宋_GB2312"/>
          <w:i w:val="0"/>
          <w:iCs w:val="0"/>
          <w:color w:val="auto"/>
          <w:szCs w:val="24"/>
          <w:highlight w:val="none"/>
        </w:rPr>
        <w:t>”</w:t>
      </w:r>
      <w:r>
        <w:rPr>
          <w:rFonts w:hint="eastAsia" w:cs="仿宋_GB2312"/>
          <w:i w:val="0"/>
          <w:iCs w:val="0"/>
          <w:color w:val="auto"/>
          <w:szCs w:val="24"/>
          <w:highlight w:val="none"/>
          <w:lang w:val="en-US" w:eastAsia="zh-CN"/>
        </w:rPr>
        <w:t>之</w:t>
      </w:r>
      <w:r>
        <w:rPr>
          <w:rFonts w:hint="eastAsia" w:cs="仿宋_GB2312"/>
          <w:i w:val="0"/>
          <w:iCs w:val="0"/>
          <w:color w:val="auto"/>
          <w:szCs w:val="24"/>
          <w:highlight w:val="none"/>
        </w:rPr>
        <w:t>后就竞争性</w:t>
      </w:r>
      <w:r>
        <w:rPr>
          <w:rFonts w:hint="eastAsia" w:cs="仿宋_GB2312"/>
          <w:i w:val="0"/>
          <w:iCs w:val="0"/>
          <w:color w:val="auto"/>
          <w:szCs w:val="24"/>
          <w:highlight w:val="none"/>
          <w:lang w:val="en-US" w:eastAsia="zh-CN"/>
        </w:rPr>
        <w:t>磋商</w:t>
      </w:r>
      <w:r>
        <w:rPr>
          <w:rFonts w:hint="eastAsia" w:cs="仿宋_GB2312"/>
          <w:i w:val="0"/>
          <w:iCs w:val="0"/>
          <w:color w:val="auto"/>
          <w:szCs w:val="24"/>
          <w:highlight w:val="none"/>
        </w:rPr>
        <w:t>文件内容提出的疑问及澄清要求将不予受理。</w:t>
      </w:r>
    </w:p>
    <w:p w14:paraId="56DEAB23">
      <w:pPr>
        <w:keepNext w:val="0"/>
        <w:keepLines w:val="0"/>
        <w:pageBreakBefore w:val="0"/>
        <w:widowControl w:val="0"/>
        <w:kinsoku/>
        <w:overflowPunct/>
        <w:topLinePunct w:val="0"/>
        <w:autoSpaceDE/>
        <w:autoSpaceDN/>
        <w:bidi w:val="0"/>
        <w:adjustRightInd/>
        <w:ind w:firstLine="480" w:firstLineChars="200"/>
        <w:textAlignment w:val="auto"/>
        <w:rPr>
          <w:rFonts w:hint="eastAsia"/>
          <w:i w:val="0"/>
          <w:iCs w:val="0"/>
          <w:color w:val="auto"/>
          <w:highlight w:val="none"/>
        </w:rPr>
      </w:pPr>
      <w:r>
        <w:rPr>
          <w:rFonts w:cs="仿宋_GB2312"/>
          <w:i w:val="0"/>
          <w:iCs w:val="0"/>
          <w:color w:val="auto"/>
          <w:szCs w:val="24"/>
          <w:highlight w:val="none"/>
        </w:rPr>
        <w:t>1</w:t>
      </w:r>
      <w:r>
        <w:rPr>
          <w:rFonts w:hint="eastAsia" w:cs="仿宋_GB2312"/>
          <w:i w:val="0"/>
          <w:iCs w:val="0"/>
          <w:color w:val="auto"/>
          <w:szCs w:val="24"/>
          <w:highlight w:val="none"/>
          <w:lang w:val="en-US" w:eastAsia="zh-CN"/>
        </w:rPr>
        <w:t>2</w:t>
      </w:r>
      <w:r>
        <w:rPr>
          <w:rFonts w:hint="eastAsia" w:cs="仿宋_GB2312"/>
          <w:i w:val="0"/>
          <w:iCs w:val="0"/>
          <w:color w:val="auto"/>
          <w:szCs w:val="24"/>
          <w:highlight w:val="none"/>
        </w:rPr>
        <w:t>.2 采购人或者采购代理机构可以对已发出的竞争性</w:t>
      </w:r>
      <w:r>
        <w:rPr>
          <w:rFonts w:hint="eastAsia" w:cs="仿宋_GB2312"/>
          <w:i w:val="0"/>
          <w:iCs w:val="0"/>
          <w:color w:val="auto"/>
          <w:szCs w:val="24"/>
          <w:highlight w:val="none"/>
          <w:lang w:val="en-US" w:eastAsia="zh-CN"/>
        </w:rPr>
        <w:t>磋商</w:t>
      </w:r>
      <w:r>
        <w:rPr>
          <w:rFonts w:hint="eastAsia" w:cs="仿宋_GB2312"/>
          <w:i w:val="0"/>
          <w:iCs w:val="0"/>
          <w:color w:val="auto"/>
          <w:szCs w:val="24"/>
          <w:highlight w:val="none"/>
        </w:rPr>
        <w:t>文件进行必要的澄清或者修改。</w:t>
      </w:r>
      <w:r>
        <w:rPr>
          <w:rFonts w:hint="eastAsia"/>
          <w:i w:val="0"/>
          <w:iCs w:val="0"/>
          <w:color w:val="auto"/>
          <w:highlight w:val="none"/>
        </w:rPr>
        <w:t>澄清或修改的内容为</w:t>
      </w:r>
      <w:r>
        <w:rPr>
          <w:rFonts w:hint="eastAsia" w:cs="仿宋_GB2312"/>
          <w:i w:val="0"/>
          <w:iCs w:val="0"/>
          <w:color w:val="auto"/>
          <w:szCs w:val="24"/>
          <w:highlight w:val="none"/>
        </w:rPr>
        <w:t>竞争性</w:t>
      </w:r>
      <w:r>
        <w:rPr>
          <w:rFonts w:hint="eastAsia"/>
          <w:i w:val="0"/>
          <w:iCs w:val="0"/>
          <w:color w:val="auto"/>
          <w:highlight w:val="none"/>
          <w:lang w:val="en-US" w:eastAsia="zh-CN"/>
        </w:rPr>
        <w:t>磋商</w:t>
      </w:r>
      <w:r>
        <w:rPr>
          <w:rFonts w:hint="eastAsia"/>
          <w:i w:val="0"/>
          <w:iCs w:val="0"/>
          <w:color w:val="auto"/>
          <w:highlight w:val="none"/>
        </w:rPr>
        <w:t>文件的组成部分，并对所有获取</w:t>
      </w:r>
      <w:r>
        <w:rPr>
          <w:rFonts w:hint="eastAsia" w:cs="仿宋_GB2312"/>
          <w:i w:val="0"/>
          <w:iCs w:val="0"/>
          <w:color w:val="auto"/>
          <w:szCs w:val="24"/>
          <w:highlight w:val="none"/>
        </w:rPr>
        <w:t>竞争性</w:t>
      </w:r>
      <w:r>
        <w:rPr>
          <w:rFonts w:hint="eastAsia"/>
          <w:i w:val="0"/>
          <w:iCs w:val="0"/>
          <w:color w:val="auto"/>
          <w:highlight w:val="none"/>
          <w:lang w:val="en-US" w:eastAsia="zh-CN"/>
        </w:rPr>
        <w:t>磋商</w:t>
      </w:r>
      <w:r>
        <w:rPr>
          <w:rFonts w:hint="eastAsia"/>
          <w:i w:val="0"/>
          <w:iCs w:val="0"/>
          <w:color w:val="auto"/>
          <w:highlight w:val="none"/>
        </w:rPr>
        <w:t>文件的潜在</w:t>
      </w:r>
      <w:r>
        <w:rPr>
          <w:rFonts w:hint="eastAsia" w:cs="仿宋_GB2312"/>
          <w:i w:val="0"/>
          <w:iCs w:val="0"/>
          <w:color w:val="auto"/>
          <w:szCs w:val="24"/>
          <w:highlight w:val="none"/>
        </w:rPr>
        <w:t>供应商</w:t>
      </w:r>
      <w:r>
        <w:rPr>
          <w:rFonts w:hint="eastAsia"/>
          <w:i w:val="0"/>
          <w:iCs w:val="0"/>
          <w:color w:val="auto"/>
          <w:highlight w:val="none"/>
        </w:rPr>
        <w:t>具有约束力。</w:t>
      </w:r>
    </w:p>
    <w:p w14:paraId="2EE78435">
      <w:pPr>
        <w:keepNext w:val="0"/>
        <w:keepLines w:val="0"/>
        <w:pageBreakBefore w:val="0"/>
        <w:widowControl w:val="0"/>
        <w:kinsoku/>
        <w:overflowPunct/>
        <w:topLinePunct w:val="0"/>
        <w:bidi w:val="0"/>
        <w:ind w:firstLine="480" w:firstLineChars="200"/>
        <w:textAlignment w:val="auto"/>
        <w:rPr>
          <w:rFonts w:hint="eastAsia" w:cs="仿宋_GB2312"/>
          <w:i w:val="0"/>
          <w:iCs w:val="0"/>
          <w:color w:val="auto"/>
          <w:szCs w:val="24"/>
          <w:highlight w:val="none"/>
        </w:rPr>
      </w:pP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2</w:t>
      </w:r>
      <w:r>
        <w:rPr>
          <w:rFonts w:hint="eastAsia" w:cs="仿宋_GB2312"/>
          <w:i w:val="0"/>
          <w:iCs w:val="0"/>
          <w:color w:val="auto"/>
          <w:szCs w:val="24"/>
          <w:highlight w:val="none"/>
        </w:rPr>
        <w:t>.3 竞争性磋商文件的澄清或者修</w:t>
      </w:r>
      <w:r>
        <w:rPr>
          <w:rFonts w:hint="eastAsia"/>
          <w:i w:val="0"/>
          <w:iCs w:val="0"/>
          <w:snapToGrid w:val="0"/>
          <w:color w:val="auto"/>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cs="仿宋_GB2312"/>
          <w:i w:val="0"/>
          <w:iCs w:val="0"/>
          <w:color w:val="auto"/>
          <w:szCs w:val="24"/>
          <w:highlight w:val="none"/>
        </w:rPr>
        <w:t>竞争性</w:t>
      </w:r>
      <w:r>
        <w:rPr>
          <w:rFonts w:hint="eastAsia"/>
          <w:i w:val="0"/>
          <w:iCs w:val="0"/>
          <w:snapToGrid w:val="0"/>
          <w:color w:val="auto"/>
          <w:highlight w:val="none"/>
          <w:lang w:val="zh-CN"/>
        </w:rPr>
        <w:t>磋商文件的供应商，不足5日的，应当顺延提交首次响应文件</w:t>
      </w:r>
      <w:r>
        <w:rPr>
          <w:rFonts w:hint="eastAsia"/>
          <w:i w:val="0"/>
          <w:iCs w:val="0"/>
          <w:snapToGrid w:val="0"/>
          <w:color w:val="auto"/>
          <w:highlight w:val="none"/>
          <w:lang w:val="en-US" w:eastAsia="zh-CN"/>
        </w:rPr>
        <w:t>的</w:t>
      </w:r>
      <w:r>
        <w:rPr>
          <w:rFonts w:hint="eastAsia"/>
          <w:i w:val="0"/>
          <w:iCs w:val="0"/>
          <w:snapToGrid w:val="0"/>
          <w:color w:val="auto"/>
          <w:highlight w:val="none"/>
          <w:lang w:val="zh-CN"/>
        </w:rPr>
        <w:t>截止时间</w:t>
      </w:r>
      <w:r>
        <w:rPr>
          <w:rFonts w:hint="eastAsia" w:cs="仿宋_GB2312"/>
          <w:i w:val="0"/>
          <w:iCs w:val="0"/>
          <w:color w:val="auto"/>
          <w:szCs w:val="24"/>
          <w:highlight w:val="none"/>
        </w:rPr>
        <w:t>。</w:t>
      </w:r>
    </w:p>
    <w:p w14:paraId="30FE311B">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i w:val="0"/>
          <w:iCs w:val="0"/>
          <w:color w:val="auto"/>
          <w:highlight w:val="none"/>
        </w:rPr>
        <w:t>1</w:t>
      </w:r>
      <w:r>
        <w:rPr>
          <w:rFonts w:hint="eastAsia"/>
          <w:i w:val="0"/>
          <w:iCs w:val="0"/>
          <w:color w:val="auto"/>
          <w:highlight w:val="none"/>
          <w:lang w:val="en-US" w:eastAsia="zh-CN"/>
        </w:rPr>
        <w:t>2</w:t>
      </w:r>
      <w:r>
        <w:rPr>
          <w:i w:val="0"/>
          <w:iCs w:val="0"/>
          <w:color w:val="auto"/>
          <w:highlight w:val="none"/>
        </w:rPr>
        <w:t>.</w:t>
      </w:r>
      <w:r>
        <w:rPr>
          <w:rFonts w:hint="eastAsia"/>
          <w:i w:val="0"/>
          <w:iCs w:val="0"/>
          <w:color w:val="auto"/>
          <w:highlight w:val="none"/>
        </w:rPr>
        <w:t xml:space="preserve">4 </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须知”所称“</w:t>
      </w:r>
      <w:r>
        <w:rPr>
          <w:rFonts w:hint="eastAsia"/>
          <w:i w:val="0"/>
          <w:iCs w:val="0"/>
          <w:color w:val="auto"/>
          <w:highlight w:val="none"/>
        </w:rPr>
        <w:t>书面形式</w:t>
      </w:r>
      <w:r>
        <w:rPr>
          <w:rFonts w:hint="eastAsia" w:cs="仿宋_GB2312"/>
          <w:i w:val="0"/>
          <w:iCs w:val="0"/>
          <w:color w:val="auto"/>
          <w:szCs w:val="24"/>
          <w:highlight w:val="none"/>
        </w:rPr>
        <w:t>”</w:t>
      </w:r>
      <w:r>
        <w:rPr>
          <w:rFonts w:hint="eastAsia"/>
          <w:i w:val="0"/>
          <w:iCs w:val="0"/>
          <w:color w:val="auto"/>
          <w:highlight w:val="none"/>
        </w:rPr>
        <w:t>包括系统消息、政府采购</w:t>
      </w:r>
      <w:r>
        <w:rPr>
          <w:rFonts w:hint="eastAsia"/>
          <w:i w:val="0"/>
          <w:iCs w:val="0"/>
          <w:color w:val="auto"/>
          <w:highlight w:val="none"/>
          <w:lang w:val="en-US" w:eastAsia="zh-CN"/>
        </w:rPr>
        <w:t>云平台</w:t>
      </w:r>
      <w:r>
        <w:rPr>
          <w:rFonts w:hint="eastAsia"/>
          <w:i w:val="0"/>
          <w:iCs w:val="0"/>
          <w:color w:val="auto"/>
          <w:highlight w:val="none"/>
        </w:rPr>
        <w:t>发布的公告。</w:t>
      </w:r>
    </w:p>
    <w:p w14:paraId="028E5469">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5</w:t>
      </w:r>
      <w:r>
        <w:rPr>
          <w:rFonts w:hint="eastAsia" w:ascii="宋体" w:hAnsi="宋体" w:eastAsia="宋体" w:cs="宋体"/>
          <w:i w:val="0"/>
          <w:iCs w:val="0"/>
          <w:color w:val="auto"/>
          <w:kern w:val="2"/>
          <w:sz w:val="24"/>
          <w:szCs w:val="22"/>
          <w:highlight w:val="none"/>
        </w:rPr>
        <w:t>采购代理机构一旦对竞争性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文件的组成部分，对所有现实的或潜在的</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均具有约束力，而无论是否已经实际收到上述文件。同时，采购代理机构和</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采购代理机构对竞争性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文件作出的澄清、修改在平台内进行披露，请</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及时关注并获取相关资料。因登记有误、线路故障或其它任何意外情形，导致</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未及时获取的，采购代理机构不因此承担任何责任，且有关的</w:t>
      </w:r>
      <w:r>
        <w:rPr>
          <w:rFonts w:hint="eastAsia" w:ascii="宋体" w:hAnsi="宋体" w:eastAsia="宋体" w:cs="宋体"/>
          <w:i w:val="0"/>
          <w:iCs w:val="0"/>
          <w:color w:val="auto"/>
          <w:kern w:val="2"/>
          <w:sz w:val="24"/>
          <w:szCs w:val="22"/>
          <w:highlight w:val="none"/>
          <w:lang w:val="en-US" w:eastAsia="zh-CN"/>
        </w:rPr>
        <w:t>磋商</w:t>
      </w:r>
      <w:r>
        <w:rPr>
          <w:rFonts w:hint="eastAsia" w:ascii="宋体" w:hAnsi="宋体" w:eastAsia="宋体" w:cs="宋体"/>
          <w:i w:val="0"/>
          <w:iCs w:val="0"/>
          <w:color w:val="auto"/>
          <w:kern w:val="2"/>
          <w:sz w:val="24"/>
          <w:szCs w:val="22"/>
          <w:highlight w:val="none"/>
        </w:rPr>
        <w:t>活动继续有效地进行。当竞争性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文件的澄清、修改及进行其他答复等就同一内容的表述不一致时，以最后发布的内容为准。</w:t>
      </w:r>
    </w:p>
    <w:p w14:paraId="7D17D0F6">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3" w:name="_Toc470172672"/>
      <w:bookmarkStart w:id="174" w:name="_Toc32059"/>
      <w:bookmarkStart w:id="175" w:name="_Toc109897442"/>
      <w:bookmarkStart w:id="176" w:name="_Toc163493613"/>
      <w:bookmarkStart w:id="177" w:name="_Toc46771647"/>
      <w:bookmarkStart w:id="178" w:name="_Toc109900379"/>
      <w:bookmarkStart w:id="179" w:name="_Toc109899960"/>
      <w:bookmarkStart w:id="180" w:name="_Toc109899541"/>
      <w:r>
        <w:rPr>
          <w:rFonts w:hint="eastAsia" w:ascii="宋体" w:hAnsi="宋体" w:eastAsia="宋体" w:cs="宋体"/>
          <w:b/>
          <w:bCs/>
          <w:color w:val="auto"/>
          <w:kern w:val="2"/>
          <w:sz w:val="24"/>
          <w:szCs w:val="24"/>
          <w:highlight w:val="none"/>
          <w:lang w:val="en-US" w:eastAsia="zh-CN" w:bidi="ar-SA"/>
        </w:rPr>
        <w:t>（三）响应文件</w:t>
      </w:r>
      <w:bookmarkEnd w:id="173"/>
      <w:bookmarkEnd w:id="174"/>
      <w:bookmarkEnd w:id="175"/>
      <w:bookmarkEnd w:id="176"/>
      <w:bookmarkEnd w:id="177"/>
      <w:bookmarkEnd w:id="178"/>
      <w:bookmarkEnd w:id="179"/>
      <w:bookmarkEnd w:id="180"/>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1" w:name="_Toc48688798"/>
      <w:bookmarkStart w:id="182" w:name="_Toc46771649"/>
      <w:bookmarkStart w:id="183" w:name="_Toc109899962"/>
      <w:bookmarkStart w:id="184" w:name="_Toc109897444"/>
      <w:bookmarkStart w:id="185" w:name="_Toc51674220"/>
      <w:bookmarkStart w:id="186" w:name="_Toc109899543"/>
      <w:bookmarkStart w:id="187" w:name="_Toc48846118"/>
      <w:bookmarkStart w:id="188" w:name="_Toc46772250"/>
      <w:bookmarkStart w:id="189" w:name="_Toc52960562"/>
      <w:bookmarkStart w:id="190" w:name="_Toc470172674"/>
      <w:bookmarkStart w:id="191" w:name="_Toc32272"/>
      <w:bookmarkStart w:id="192" w:name="_Toc109900381"/>
      <w:bookmarkStart w:id="193" w:name="_Toc52962736"/>
      <w:r>
        <w:rPr>
          <w:rFonts w:hint="eastAsia" w:ascii="宋体" w:hAnsi="宋体" w:eastAsia="宋体" w:cs="宋体"/>
          <w:b/>
          <w:bCs/>
          <w:color w:val="auto"/>
          <w:kern w:val="2"/>
          <w:sz w:val="24"/>
          <w:szCs w:val="24"/>
          <w:highlight w:val="none"/>
          <w:lang w:val="en-US" w:eastAsia="zh-CN" w:bidi="ar-SA"/>
        </w:rPr>
        <w:t>13.响应文件的</w:t>
      </w:r>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b/>
          <w:bCs/>
          <w:color w:val="auto"/>
          <w:kern w:val="2"/>
          <w:sz w:val="24"/>
          <w:szCs w:val="24"/>
          <w:highlight w:val="none"/>
          <w:lang w:val="en-US" w:eastAsia="zh-CN" w:bidi="ar-SA"/>
        </w:rPr>
        <w:t>组成</w:t>
      </w:r>
    </w:p>
    <w:p w14:paraId="174A0A3D">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13</w:t>
      </w: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应完整地按竞争性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文件提供的</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文件格式及要求编写</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文件，具体内容详见</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lang w:val="en-US" w:eastAsia="zh-CN"/>
        </w:rPr>
        <w:t>第六章 响应</w:t>
      </w:r>
      <w:r>
        <w:rPr>
          <w:rFonts w:hint="eastAsia" w:ascii="宋体" w:hAnsi="宋体" w:eastAsia="宋体" w:cs="宋体"/>
          <w:i w:val="0"/>
          <w:iCs w:val="0"/>
          <w:color w:val="auto"/>
          <w:kern w:val="2"/>
          <w:sz w:val="24"/>
          <w:szCs w:val="22"/>
          <w:highlight w:val="none"/>
        </w:rPr>
        <w:t>文件</w:t>
      </w:r>
      <w:r>
        <w:rPr>
          <w:rFonts w:hint="eastAsia" w:ascii="宋体" w:hAnsi="宋体" w:eastAsia="宋体" w:cs="宋体"/>
          <w:i w:val="0"/>
          <w:iCs w:val="0"/>
          <w:color w:val="auto"/>
          <w:kern w:val="2"/>
          <w:sz w:val="24"/>
          <w:szCs w:val="22"/>
          <w:highlight w:val="none"/>
          <w:lang w:val="en-US" w:eastAsia="zh-CN"/>
        </w:rPr>
        <w:t>的</w:t>
      </w:r>
      <w:r>
        <w:rPr>
          <w:rFonts w:hint="eastAsia" w:ascii="宋体" w:hAnsi="宋体" w:eastAsia="宋体" w:cs="宋体"/>
          <w:i w:val="0"/>
          <w:iCs w:val="0"/>
          <w:color w:val="auto"/>
          <w:kern w:val="2"/>
          <w:sz w:val="24"/>
          <w:szCs w:val="22"/>
          <w:highlight w:val="none"/>
        </w:rPr>
        <w:t>格式</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的相关内容。</w:t>
      </w:r>
    </w:p>
    <w:p w14:paraId="3BB3A0B7">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13.2供应商</w:t>
      </w:r>
      <w:r>
        <w:rPr>
          <w:rFonts w:hint="eastAsia" w:ascii="宋体" w:hAnsi="宋体" w:eastAsia="宋体" w:cs="宋体"/>
          <w:i w:val="0"/>
          <w:iCs w:val="0"/>
          <w:color w:val="auto"/>
          <w:kern w:val="2"/>
          <w:sz w:val="24"/>
          <w:szCs w:val="22"/>
          <w:highlight w:val="none"/>
        </w:rPr>
        <w:t>应提交竞争性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文件要求的证明文件，证明其</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内容符合竞争性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文件规定</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该证明文件是</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文件的一部分</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证明文件</w:t>
      </w:r>
      <w:r>
        <w:rPr>
          <w:rFonts w:hint="eastAsia" w:ascii="宋体" w:hAnsi="宋体" w:eastAsia="宋体" w:cs="宋体"/>
          <w:i w:val="0"/>
          <w:iCs w:val="0"/>
          <w:color w:val="auto"/>
          <w:kern w:val="2"/>
          <w:sz w:val="24"/>
          <w:szCs w:val="22"/>
          <w:highlight w:val="none"/>
          <w:lang w:val="en-US" w:eastAsia="zh-CN"/>
        </w:rPr>
        <w:t>形式</w:t>
      </w:r>
      <w:r>
        <w:rPr>
          <w:rFonts w:hint="eastAsia" w:ascii="宋体" w:hAnsi="宋体" w:eastAsia="宋体" w:cs="宋体"/>
          <w:i w:val="0"/>
          <w:iCs w:val="0"/>
          <w:color w:val="auto"/>
          <w:kern w:val="2"/>
          <w:sz w:val="24"/>
          <w:szCs w:val="22"/>
          <w:highlight w:val="none"/>
        </w:rPr>
        <w:t>可以是文字资料、图纸和数据</w:t>
      </w:r>
      <w:bookmarkStart w:id="194" w:name="_Hlk11703583"/>
      <w:r>
        <w:rPr>
          <w:rFonts w:hint="eastAsia" w:ascii="宋体" w:hAnsi="宋体" w:eastAsia="宋体" w:cs="宋体"/>
          <w:i w:val="0"/>
          <w:iCs w:val="0"/>
          <w:color w:val="auto"/>
          <w:kern w:val="2"/>
          <w:sz w:val="24"/>
          <w:szCs w:val="22"/>
          <w:highlight w:val="none"/>
          <w:lang w:val="en-US" w:eastAsia="zh-CN"/>
        </w:rPr>
        <w:t>等。</w:t>
      </w:r>
    </w:p>
    <w:bookmarkEnd w:id="194"/>
    <w:p w14:paraId="781BBAEB">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13.3</w:t>
      </w:r>
      <w:r>
        <w:rPr>
          <w:rFonts w:hint="eastAsia" w:ascii="宋体" w:hAnsi="宋体" w:eastAsia="宋体" w:cs="宋体"/>
          <w:i w:val="0"/>
          <w:iCs w:val="0"/>
          <w:color w:val="auto"/>
          <w:kern w:val="2"/>
          <w:sz w:val="24"/>
          <w:szCs w:val="22"/>
          <w:highlight w:val="none"/>
        </w:rPr>
        <w:t>为保证公平公正，除非</w:t>
      </w:r>
      <w:r>
        <w:rPr>
          <w:rFonts w:hint="eastAsia" w:ascii="宋体" w:hAnsi="宋体" w:eastAsia="宋体" w:cs="宋体"/>
          <w:i w:val="0"/>
          <w:iCs w:val="0"/>
          <w:color w:val="auto"/>
          <w:kern w:val="2"/>
          <w:sz w:val="24"/>
          <w:szCs w:val="22"/>
          <w:highlight w:val="none"/>
          <w:lang w:val="en-US" w:eastAsia="zh-CN"/>
        </w:rPr>
        <w:t>本磋商文件</w:t>
      </w:r>
      <w:r>
        <w:rPr>
          <w:rFonts w:hint="eastAsia" w:ascii="宋体" w:hAnsi="宋体" w:eastAsia="宋体" w:cs="宋体"/>
          <w:i w:val="0"/>
          <w:iCs w:val="0"/>
          <w:color w:val="auto"/>
          <w:kern w:val="2"/>
          <w:sz w:val="24"/>
          <w:szCs w:val="22"/>
          <w:highlight w:val="none"/>
        </w:rPr>
        <w:t>另有规定或说明，</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对同一项目</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时，不得同时提供备选</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5" w:name="_Toc109897446"/>
      <w:bookmarkStart w:id="196" w:name="_Toc24544"/>
      <w:bookmarkStart w:id="197" w:name="_Toc52960564"/>
      <w:bookmarkStart w:id="198" w:name="_Toc109900383"/>
      <w:bookmarkStart w:id="199" w:name="_Toc46772252"/>
      <w:bookmarkStart w:id="200" w:name="_Toc109899964"/>
      <w:bookmarkStart w:id="201" w:name="_Toc46771651"/>
      <w:bookmarkStart w:id="202" w:name="_Toc52962738"/>
      <w:bookmarkStart w:id="203" w:name="_Toc470172676"/>
      <w:bookmarkStart w:id="204" w:name="_Toc51674222"/>
      <w:bookmarkStart w:id="205" w:name="_Toc48846120"/>
      <w:bookmarkStart w:id="206" w:name="_Toc48688800"/>
      <w:bookmarkStart w:id="207" w:name="_Toc109899545"/>
      <w:bookmarkStart w:id="208" w:name="_Toc470172675"/>
      <w:bookmarkStart w:id="209" w:name="_Toc48846119"/>
      <w:bookmarkStart w:id="210" w:name="_Toc109897445"/>
      <w:bookmarkStart w:id="211" w:name="_Toc25217"/>
      <w:bookmarkStart w:id="212" w:name="_Toc46772251"/>
      <w:bookmarkStart w:id="213" w:name="_Toc52962737"/>
      <w:bookmarkStart w:id="214" w:name="_Toc51674221"/>
      <w:bookmarkStart w:id="215" w:name="_Toc52960563"/>
      <w:bookmarkStart w:id="216" w:name="_Toc48688799"/>
      <w:bookmarkStart w:id="217" w:name="_Toc109900382"/>
      <w:bookmarkStart w:id="218" w:name="_Toc109899963"/>
      <w:bookmarkStart w:id="219" w:name="_Toc46771650"/>
      <w:bookmarkStart w:id="220" w:name="_Toc109899544"/>
      <w:r>
        <w:rPr>
          <w:rFonts w:hint="eastAsia" w:ascii="宋体" w:hAnsi="宋体" w:eastAsia="宋体" w:cs="宋体"/>
          <w:b/>
          <w:bCs/>
          <w:color w:val="auto"/>
          <w:kern w:val="2"/>
          <w:sz w:val="24"/>
          <w:szCs w:val="24"/>
          <w:highlight w:val="none"/>
          <w:lang w:val="en-US" w:eastAsia="zh-CN" w:bidi="ar-SA"/>
        </w:rPr>
        <w:t>14.磋商报价</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0640D6E7">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i w:val="0"/>
          <w:iCs w:val="0"/>
          <w:snapToGrid w:val="0"/>
          <w:color w:val="auto"/>
          <w:highlight w:val="none"/>
          <w:lang w:val="zh-CN"/>
        </w:rPr>
        <w:t>1</w:t>
      </w:r>
      <w:r>
        <w:rPr>
          <w:rFonts w:hint="eastAsia"/>
          <w:i w:val="0"/>
          <w:iCs w:val="0"/>
          <w:snapToGrid w:val="0"/>
          <w:color w:val="auto"/>
          <w:highlight w:val="none"/>
          <w:lang w:val="en-US" w:eastAsia="zh-CN"/>
        </w:rPr>
        <w:t>4</w:t>
      </w:r>
      <w:r>
        <w:rPr>
          <w:rFonts w:hint="eastAsia"/>
          <w:i w:val="0"/>
          <w:iCs w:val="0"/>
          <w:snapToGrid w:val="0"/>
          <w:color w:val="auto"/>
          <w:highlight w:val="none"/>
          <w:lang w:val="zh-CN"/>
        </w:rPr>
        <w:t>.1磋商供应商的报价均应以人民币报价。磋商报价包括磋商供应商在首次提交的响应文件中的报价、磋商过程中的报价和最后报价，</w:t>
      </w:r>
      <w:r>
        <w:rPr>
          <w:rFonts w:hint="eastAsia"/>
          <w:i w:val="0"/>
          <w:iCs w:val="0"/>
          <w:snapToGrid w:val="0"/>
          <w:color w:val="auto"/>
          <w:highlight w:val="none"/>
          <w:lang w:val="en-US" w:eastAsia="zh-CN"/>
        </w:rPr>
        <w:t>且均</w:t>
      </w:r>
      <w:r>
        <w:rPr>
          <w:rFonts w:hint="eastAsia"/>
          <w:i w:val="0"/>
          <w:iCs w:val="0"/>
          <w:snapToGrid w:val="0"/>
          <w:color w:val="auto"/>
          <w:highlight w:val="none"/>
          <w:lang w:val="zh-CN"/>
        </w:rPr>
        <w:t>不得超过</w:t>
      </w:r>
      <w:bookmarkStart w:id="221" w:name="_Hlk161703672"/>
      <w:r>
        <w:rPr>
          <w:rFonts w:hint="eastAsia"/>
          <w:i w:val="0"/>
          <w:iCs w:val="0"/>
          <w:snapToGrid w:val="0"/>
          <w:color w:val="auto"/>
          <w:highlight w:val="none"/>
          <w:lang w:val="zh-CN"/>
        </w:rPr>
        <w:t>“</w:t>
      </w:r>
      <w:r>
        <w:rPr>
          <w:rFonts w:hint="eastAsia"/>
          <w:i w:val="0"/>
          <w:iCs w:val="0"/>
          <w:snapToGrid w:val="0"/>
          <w:color w:val="auto"/>
          <w:highlight w:val="none"/>
          <w:lang w:val="en-US" w:eastAsia="zh-CN"/>
        </w:rPr>
        <w:t>第一章 竞争性磋商公告</w:t>
      </w:r>
      <w:r>
        <w:rPr>
          <w:rFonts w:hint="eastAsia"/>
          <w:i w:val="0"/>
          <w:iCs w:val="0"/>
          <w:snapToGrid w:val="0"/>
          <w:color w:val="auto"/>
          <w:highlight w:val="none"/>
          <w:lang w:val="zh-CN"/>
        </w:rPr>
        <w:t>”中规定</w:t>
      </w:r>
      <w:bookmarkEnd w:id="221"/>
      <w:r>
        <w:rPr>
          <w:rFonts w:hint="eastAsia"/>
          <w:i w:val="0"/>
          <w:iCs w:val="0"/>
          <w:snapToGrid w:val="0"/>
          <w:color w:val="auto"/>
          <w:highlight w:val="none"/>
          <w:lang w:val="zh-CN"/>
        </w:rPr>
        <w:t>的</w:t>
      </w:r>
      <w:r>
        <w:rPr>
          <w:rFonts w:hint="eastAsia"/>
          <w:i w:val="0"/>
          <w:iCs w:val="0"/>
          <w:snapToGrid w:val="0"/>
          <w:color w:val="auto"/>
          <w:highlight w:val="none"/>
          <w:lang w:val="zh-CN" w:eastAsia="zh-CN"/>
        </w:rPr>
        <w:t>最高限价或者预算金额</w:t>
      </w:r>
      <w:r>
        <w:rPr>
          <w:rFonts w:hint="eastAsia"/>
          <w:i w:val="0"/>
          <w:iCs w:val="0"/>
          <w:snapToGrid w:val="0"/>
          <w:color w:val="auto"/>
          <w:highlight w:val="none"/>
          <w:lang w:val="zh-CN"/>
        </w:rPr>
        <w:t>，否则其响应文件将被视为</w:t>
      </w:r>
      <w:r>
        <w:rPr>
          <w:rFonts w:hint="eastAsia"/>
          <w:b/>
          <w:bCs/>
          <w:i w:val="0"/>
          <w:iCs w:val="0"/>
          <w:snapToGrid w:val="0"/>
          <w:color w:val="auto"/>
          <w:highlight w:val="none"/>
          <w:lang w:val="zh-CN"/>
        </w:rPr>
        <w:t>无效文件</w:t>
      </w:r>
      <w:r>
        <w:rPr>
          <w:rFonts w:hint="eastAsia"/>
          <w:i w:val="0"/>
          <w:iCs w:val="0"/>
          <w:snapToGrid w:val="0"/>
          <w:color w:val="auto"/>
          <w:highlight w:val="none"/>
          <w:lang w:val="zh-CN"/>
        </w:rPr>
        <w:t>。</w:t>
      </w:r>
    </w:p>
    <w:p w14:paraId="300639DC">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i w:val="0"/>
          <w:iCs w:val="0"/>
          <w:snapToGrid w:val="0"/>
          <w:color w:val="auto"/>
          <w:highlight w:val="none"/>
          <w:lang w:val="zh-CN"/>
        </w:rPr>
        <w:t>1</w:t>
      </w:r>
      <w:r>
        <w:rPr>
          <w:rFonts w:hint="eastAsia"/>
          <w:i w:val="0"/>
          <w:iCs w:val="0"/>
          <w:snapToGrid w:val="0"/>
          <w:color w:val="auto"/>
          <w:highlight w:val="none"/>
          <w:lang w:val="en-US" w:eastAsia="zh-CN"/>
        </w:rPr>
        <w:t>4</w:t>
      </w:r>
      <w:r>
        <w:rPr>
          <w:rFonts w:hint="eastAsia"/>
          <w:i w:val="0"/>
          <w:iCs w:val="0"/>
          <w:snapToGrid w:val="0"/>
          <w:color w:val="auto"/>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b/>
          <w:bCs/>
          <w:i w:val="0"/>
          <w:iCs w:val="0"/>
          <w:snapToGrid w:val="0"/>
          <w:color w:val="auto"/>
          <w:highlight w:val="none"/>
          <w:lang w:val="zh-CN"/>
        </w:rPr>
        <w:t>无效文件</w:t>
      </w:r>
      <w:r>
        <w:rPr>
          <w:rFonts w:hint="eastAsia"/>
          <w:i w:val="0"/>
          <w:iCs w:val="0"/>
          <w:snapToGrid w:val="0"/>
          <w:color w:val="auto"/>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theme="minorBidi"/>
          <w:i w:val="0"/>
          <w:iCs w:val="0"/>
          <w:snapToGrid w:val="0"/>
          <w:color w:val="auto"/>
          <w:kern w:val="2"/>
          <w:sz w:val="24"/>
          <w:szCs w:val="22"/>
          <w:highlight w:val="none"/>
          <w:lang w:val="zh-CN" w:eastAsia="zh-CN" w:bidi="ar-SA"/>
        </w:rPr>
      </w:pP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的报价应包括为完成本项目所发生的一切费用和税费，采购人将不再支付报价以外的任何费用。</w:t>
      </w:r>
      <w:r>
        <w:rPr>
          <w:rFonts w:hint="eastAsia" w:ascii="宋体" w:hAnsi="宋体" w:eastAsia="宋体" w:cstheme="minorBidi"/>
          <w:i w:val="0"/>
          <w:iCs w:val="0"/>
          <w:snapToGrid w:val="0"/>
          <w:color w:val="auto"/>
          <w:kern w:val="2"/>
          <w:sz w:val="24"/>
          <w:szCs w:val="22"/>
          <w:highlight w:val="none"/>
          <w:lang w:val="zh-CN" w:eastAsia="zh-CN" w:bidi="ar-SA"/>
        </w:rPr>
        <w:t>只要投报了一个确定数额的总价，无论分项价格是否全部填报了相应的金额或免费字样，报价应被视为已经包含了但并不限于各</w:t>
      </w:r>
      <w:r>
        <w:rPr>
          <w:rFonts w:hint="eastAsia" w:ascii="宋体" w:hAnsi="宋体" w:eastAsia="宋体" w:cstheme="minorBidi"/>
          <w:i w:val="0"/>
          <w:iCs w:val="0"/>
          <w:snapToGrid w:val="0"/>
          <w:color w:val="auto"/>
          <w:kern w:val="2"/>
          <w:sz w:val="24"/>
          <w:szCs w:val="22"/>
          <w:highlight w:val="none"/>
          <w:lang w:val="en-US" w:eastAsia="zh-CN" w:bidi="ar-SA"/>
        </w:rPr>
        <w:t>分</w:t>
      </w:r>
      <w:r>
        <w:rPr>
          <w:rFonts w:hint="eastAsia" w:ascii="宋体" w:hAnsi="宋体" w:eastAsia="宋体" w:cstheme="minorBidi"/>
          <w:i w:val="0"/>
          <w:iCs w:val="0"/>
          <w:snapToGrid w:val="0"/>
          <w:color w:val="auto"/>
          <w:kern w:val="2"/>
          <w:sz w:val="24"/>
          <w:szCs w:val="22"/>
          <w:highlight w:val="none"/>
          <w:lang w:val="zh-CN" w:eastAsia="zh-CN" w:bidi="ar-SA"/>
        </w:rPr>
        <w:t>项</w:t>
      </w:r>
      <w:r>
        <w:rPr>
          <w:rFonts w:hint="eastAsia" w:ascii="宋体" w:hAnsi="宋体" w:eastAsia="宋体" w:cstheme="minorBidi"/>
          <w:i w:val="0"/>
          <w:iCs w:val="0"/>
          <w:snapToGrid w:val="0"/>
          <w:color w:val="auto"/>
          <w:kern w:val="2"/>
          <w:sz w:val="24"/>
          <w:szCs w:val="22"/>
          <w:highlight w:val="none"/>
          <w:lang w:val="en-US" w:eastAsia="zh-CN" w:bidi="ar-SA"/>
        </w:rPr>
        <w:t>工程费用及</w:t>
      </w:r>
      <w:r>
        <w:rPr>
          <w:rFonts w:hint="eastAsia" w:ascii="宋体" w:hAnsi="宋体" w:eastAsia="宋体" w:cstheme="minorBidi"/>
          <w:i w:val="0"/>
          <w:iCs w:val="0"/>
          <w:snapToGrid w:val="0"/>
          <w:color w:val="auto"/>
          <w:kern w:val="2"/>
          <w:sz w:val="24"/>
          <w:szCs w:val="22"/>
          <w:highlight w:val="none"/>
          <w:lang w:val="zh-CN" w:eastAsia="zh-CN" w:bidi="ar-SA"/>
        </w:rPr>
        <w:t>购买货物及其运送、安装、调试、验收、保险和相关服务等的费用和所需缴纳的所有价格、税、费。在其他情况下，由于</w:t>
      </w:r>
      <w:r>
        <w:rPr>
          <w:rFonts w:hint="eastAsia" w:cstheme="minorBidi"/>
          <w:i w:val="0"/>
          <w:iCs w:val="0"/>
          <w:snapToGrid w:val="0"/>
          <w:color w:val="auto"/>
          <w:kern w:val="2"/>
          <w:sz w:val="24"/>
          <w:szCs w:val="22"/>
          <w:highlight w:val="none"/>
          <w:lang w:val="en-US" w:eastAsia="zh-CN" w:bidi="ar-SA"/>
        </w:rPr>
        <w:t>已标价工程量清单</w:t>
      </w:r>
      <w:r>
        <w:rPr>
          <w:rFonts w:hint="eastAsia" w:ascii="宋体" w:hAnsi="宋体" w:eastAsia="宋体" w:cstheme="minorBidi"/>
          <w:i w:val="0"/>
          <w:iCs w:val="0"/>
          <w:snapToGrid w:val="0"/>
          <w:color w:val="auto"/>
          <w:kern w:val="2"/>
          <w:sz w:val="24"/>
          <w:szCs w:val="22"/>
          <w:highlight w:val="none"/>
          <w:lang w:val="zh-CN" w:eastAsia="zh-CN" w:bidi="ar-SA"/>
        </w:rPr>
        <w:t>填报不完整、不清楚或存在其他任何失误，所导致的任何不利后果均应当由供应商自行承担。</w:t>
      </w:r>
    </w:p>
    <w:p w14:paraId="009FDB1D">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 xml:space="preserve">的报价应包括但不限于下列内容： </w:t>
      </w:r>
    </w:p>
    <w:p w14:paraId="058AFCD3">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 xml:space="preserve">14.2.1 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ACD190C">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zh-CN"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14.2.2 按照磋商文件要求完成本项目的全部相关费用。</w:t>
      </w:r>
    </w:p>
    <w:p w14:paraId="11C9B78F">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i w:val="0"/>
          <w:iCs w:val="0"/>
          <w:snapToGrid w:val="0"/>
          <w:color w:val="auto"/>
          <w:highlight w:val="none"/>
          <w:lang w:val="zh-CN"/>
        </w:rPr>
        <w:t>1</w:t>
      </w:r>
      <w:r>
        <w:rPr>
          <w:rFonts w:hint="eastAsia"/>
          <w:i w:val="0"/>
          <w:iCs w:val="0"/>
          <w:snapToGrid w:val="0"/>
          <w:color w:val="auto"/>
          <w:highlight w:val="none"/>
          <w:lang w:val="en-US" w:eastAsia="zh-CN"/>
        </w:rPr>
        <w:t>4</w:t>
      </w:r>
      <w:r>
        <w:rPr>
          <w:rFonts w:hint="eastAsia"/>
          <w:i w:val="0"/>
          <w:iCs w:val="0"/>
          <w:snapToGrid w:val="0"/>
          <w:color w:val="auto"/>
          <w:highlight w:val="none"/>
          <w:lang w:val="zh-CN"/>
        </w:rPr>
        <w:t>.3</w:t>
      </w:r>
      <w:r>
        <w:rPr>
          <w:rFonts w:hint="eastAsia"/>
          <w:i w:val="0"/>
          <w:iCs w:val="0"/>
          <w:snapToGrid w:val="0"/>
          <w:color w:val="auto"/>
          <w:highlight w:val="none"/>
          <w:lang w:val="en-US" w:eastAsia="zh-CN"/>
        </w:rPr>
        <w:t>供应商</w:t>
      </w:r>
      <w:r>
        <w:rPr>
          <w:rFonts w:hint="eastAsia"/>
          <w:i w:val="0"/>
          <w:iCs w:val="0"/>
          <w:snapToGrid w:val="0"/>
          <w:color w:val="auto"/>
          <w:highlight w:val="none"/>
          <w:lang w:val="zh-CN"/>
        </w:rPr>
        <w:t>须严格按照</w:t>
      </w:r>
      <w:r>
        <w:rPr>
          <w:rFonts w:hint="eastAsia"/>
          <w:i w:val="0"/>
          <w:iCs w:val="0"/>
          <w:snapToGrid w:val="0"/>
          <w:color w:val="auto"/>
          <w:highlight w:val="none"/>
          <w:lang w:val="en-US" w:eastAsia="zh-CN"/>
        </w:rPr>
        <w:t>工程量清单</w:t>
      </w:r>
      <w:r>
        <w:rPr>
          <w:rFonts w:hint="eastAsia"/>
          <w:i w:val="0"/>
          <w:iCs w:val="0"/>
          <w:snapToGrid w:val="0"/>
          <w:color w:val="auto"/>
          <w:highlight w:val="none"/>
          <w:lang w:val="zh-CN"/>
        </w:rPr>
        <w:t>规定的内容填写单价、</w:t>
      </w:r>
      <w:r>
        <w:rPr>
          <w:rFonts w:hint="eastAsia"/>
          <w:i w:val="0"/>
          <w:iCs w:val="0"/>
          <w:snapToGrid w:val="0"/>
          <w:color w:val="auto"/>
          <w:highlight w:val="none"/>
          <w:lang w:val="en-US" w:eastAsia="zh-CN"/>
        </w:rPr>
        <w:t>合价</w:t>
      </w:r>
      <w:r>
        <w:rPr>
          <w:rFonts w:hint="eastAsia"/>
          <w:i w:val="0"/>
          <w:iCs w:val="0"/>
          <w:snapToGrid w:val="0"/>
          <w:color w:val="auto"/>
          <w:highlight w:val="none"/>
          <w:lang w:val="zh-CN"/>
        </w:rPr>
        <w:t>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其他应交纳的费用都应包括在报价中。</w:t>
      </w:r>
    </w:p>
    <w:p w14:paraId="3DB7F190">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zh-CN" w:eastAsia="zh-CN" w:bidi="ar-SA"/>
        </w:rPr>
      </w:pPr>
      <w:r>
        <w:rPr>
          <w:rFonts w:hint="eastAsia" w:ascii="宋体" w:hAnsi="宋体" w:eastAsia="宋体" w:cstheme="minorBidi"/>
          <w:i w:val="0"/>
          <w:iCs w:val="0"/>
          <w:snapToGrid w:val="0"/>
          <w:color w:val="auto"/>
          <w:kern w:val="2"/>
          <w:sz w:val="24"/>
          <w:szCs w:val="22"/>
          <w:highlight w:val="none"/>
          <w:lang w:val="zh-CN" w:eastAsia="zh-CN" w:bidi="ar-SA"/>
        </w:rPr>
        <w:t>1</w:t>
      </w:r>
      <w:r>
        <w:rPr>
          <w:rFonts w:hint="eastAsia" w:ascii="宋体" w:hAnsi="宋体" w:eastAsia="宋体" w:cstheme="minorBidi"/>
          <w:i w:val="0"/>
          <w:iCs w:val="0"/>
          <w:snapToGrid w:val="0"/>
          <w:color w:val="auto"/>
          <w:kern w:val="2"/>
          <w:sz w:val="24"/>
          <w:szCs w:val="22"/>
          <w:highlight w:val="none"/>
          <w:lang w:val="en-US" w:eastAsia="zh-CN" w:bidi="ar-SA"/>
        </w:rPr>
        <w:t>4</w:t>
      </w:r>
      <w:r>
        <w:rPr>
          <w:rFonts w:hint="eastAsia" w:ascii="宋体" w:hAnsi="宋体" w:eastAsia="宋体" w:cstheme="minorBidi"/>
          <w:i w:val="0"/>
          <w:iCs w:val="0"/>
          <w:snapToGrid w:val="0"/>
          <w:color w:val="auto"/>
          <w:kern w:val="2"/>
          <w:sz w:val="24"/>
          <w:szCs w:val="22"/>
          <w:highlight w:val="none"/>
          <w:lang w:val="zh-CN" w:eastAsia="zh-CN" w:bidi="ar-SA"/>
        </w:rPr>
        <w:t>.4供应商在响应文件中注明免费的项目将视为包含在报价中。</w:t>
      </w:r>
    </w:p>
    <w:p w14:paraId="5A2E805F">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zh-CN" w:eastAsia="zh-CN" w:bidi="ar-SA"/>
        </w:rPr>
      </w:pPr>
      <w:r>
        <w:rPr>
          <w:rFonts w:hint="eastAsia" w:ascii="宋体" w:hAnsi="宋体" w:eastAsia="宋体" w:cstheme="minorBidi"/>
          <w:i w:val="0"/>
          <w:iCs w:val="0"/>
          <w:snapToGrid w:val="0"/>
          <w:color w:val="auto"/>
          <w:kern w:val="2"/>
          <w:sz w:val="24"/>
          <w:szCs w:val="22"/>
          <w:highlight w:val="none"/>
          <w:lang w:val="zh-CN" w:eastAsia="zh-CN" w:bidi="ar-SA"/>
        </w:rPr>
        <w:t>1</w:t>
      </w:r>
      <w:r>
        <w:rPr>
          <w:rFonts w:hint="eastAsia" w:ascii="宋体" w:hAnsi="宋体" w:eastAsia="宋体" w:cstheme="minorBidi"/>
          <w:i w:val="0"/>
          <w:iCs w:val="0"/>
          <w:snapToGrid w:val="0"/>
          <w:color w:val="auto"/>
          <w:kern w:val="2"/>
          <w:sz w:val="24"/>
          <w:szCs w:val="22"/>
          <w:highlight w:val="none"/>
          <w:lang w:val="en-US" w:eastAsia="zh-CN" w:bidi="ar-SA"/>
        </w:rPr>
        <w:t>4</w:t>
      </w:r>
      <w:r>
        <w:rPr>
          <w:rFonts w:hint="eastAsia" w:ascii="宋体" w:hAnsi="宋体" w:eastAsia="宋体" w:cstheme="minorBidi"/>
          <w:i w:val="0"/>
          <w:iCs w:val="0"/>
          <w:snapToGrid w:val="0"/>
          <w:color w:val="auto"/>
          <w:kern w:val="2"/>
          <w:sz w:val="24"/>
          <w:szCs w:val="22"/>
          <w:highlight w:val="none"/>
          <w:lang w:val="zh-CN" w:eastAsia="zh-CN" w:bidi="ar-SA"/>
        </w:rPr>
        <w:t>.5每一种采购内容只允许有一个报价，否则其响应文件将被视为</w:t>
      </w:r>
      <w:r>
        <w:rPr>
          <w:rFonts w:hint="eastAsia" w:ascii="宋体" w:hAnsi="宋体" w:eastAsia="宋体" w:cstheme="minorBidi"/>
          <w:b/>
          <w:bCs/>
          <w:i w:val="0"/>
          <w:iCs w:val="0"/>
          <w:snapToGrid w:val="0"/>
          <w:color w:val="auto"/>
          <w:kern w:val="2"/>
          <w:sz w:val="24"/>
          <w:szCs w:val="22"/>
          <w:highlight w:val="none"/>
          <w:lang w:val="zh-CN" w:eastAsia="zh-CN" w:bidi="ar-SA"/>
        </w:rPr>
        <w:t>无效文件</w:t>
      </w:r>
      <w:r>
        <w:rPr>
          <w:rFonts w:hint="eastAsia" w:ascii="宋体" w:hAnsi="宋体" w:eastAsia="宋体" w:cstheme="minorBidi"/>
          <w:i w:val="0"/>
          <w:iCs w:val="0"/>
          <w:snapToGrid w:val="0"/>
          <w:color w:val="auto"/>
          <w:kern w:val="2"/>
          <w:sz w:val="24"/>
          <w:szCs w:val="22"/>
          <w:highlight w:val="none"/>
          <w:lang w:val="zh-CN" w:eastAsia="zh-CN" w:bidi="ar-SA"/>
        </w:rPr>
        <w:t>。</w:t>
      </w:r>
      <w:r>
        <w:rPr>
          <w:rFonts w:hint="eastAsia" w:ascii="宋体" w:hAnsi="宋体" w:eastAsia="宋体" w:cstheme="minorBidi"/>
          <w:i w:val="0"/>
          <w:iCs w:val="0"/>
          <w:snapToGrid w:val="0"/>
          <w:color w:val="auto"/>
          <w:kern w:val="2"/>
          <w:sz w:val="24"/>
          <w:szCs w:val="22"/>
          <w:highlight w:val="none"/>
          <w:lang w:val="en-US" w:eastAsia="zh-CN" w:bidi="ar-SA"/>
        </w:rPr>
        <w:t>除非磋商文件另有规定，不接受可选择或可调整的磋商方案和报价，任何有选择的或可调整的磋商方案和报价将</w:t>
      </w:r>
      <w:r>
        <w:rPr>
          <w:rFonts w:hint="eastAsia" w:ascii="宋体" w:hAnsi="宋体" w:eastAsia="宋体" w:cstheme="minorBidi"/>
          <w:b/>
          <w:bCs/>
          <w:i w:val="0"/>
          <w:iCs w:val="0"/>
          <w:snapToGrid w:val="0"/>
          <w:color w:val="auto"/>
          <w:kern w:val="2"/>
          <w:sz w:val="24"/>
          <w:szCs w:val="22"/>
          <w:highlight w:val="none"/>
          <w:lang w:val="en-US" w:eastAsia="zh-CN" w:bidi="ar-SA"/>
        </w:rPr>
        <w:t>被视为非响应性磋商而被拒绝</w:t>
      </w:r>
      <w:r>
        <w:rPr>
          <w:rFonts w:hint="eastAsia" w:ascii="宋体" w:hAnsi="宋体" w:eastAsia="宋体" w:cstheme="minorBidi"/>
          <w:i w:val="0"/>
          <w:iCs w:val="0"/>
          <w:snapToGrid w:val="0"/>
          <w:color w:val="auto"/>
          <w:kern w:val="2"/>
          <w:sz w:val="24"/>
          <w:szCs w:val="22"/>
          <w:highlight w:val="none"/>
          <w:lang w:val="en-US" w:eastAsia="zh-CN" w:bidi="ar-SA"/>
        </w:rPr>
        <w:t>。</w:t>
      </w:r>
    </w:p>
    <w:p w14:paraId="2D8474D4">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 xml:space="preserve">14.6 </w:t>
      </w: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对磋商报价若有说明应在响应文件中显著处注明。</w:t>
      </w:r>
    </w:p>
    <w:p w14:paraId="1719007D">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除政策性文件规定以外，</w:t>
      </w: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所报价格在合同实施期间不因市场变化因素而变动。</w:t>
      </w:r>
    </w:p>
    <w:p w14:paraId="749D37C5">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14.7 对于有配件、耗材、选件、备件和特殊工具的货物，还应填报磋商货物配件、耗材、选件表和备件及特殊工具清单，注明品牌、型号、产地、功能、单价、批量折扣等内容，该表格格式由</w:t>
      </w: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自行设计。</w:t>
      </w:r>
      <w:r>
        <w:rPr>
          <w:rFonts w:hint="eastAsia" w:ascii="宋体" w:hAnsi="宋体" w:eastAsia="宋体" w:cstheme="minorBidi"/>
          <w:i w:val="0"/>
          <w:iCs w:val="0"/>
          <w:snapToGrid w:val="0"/>
          <w:color w:val="auto"/>
          <w:kern w:val="2"/>
          <w:sz w:val="24"/>
          <w:szCs w:val="22"/>
          <w:highlight w:val="none"/>
          <w:lang w:val="zh-CN" w:eastAsia="zh-CN" w:bidi="ar-SA"/>
        </w:rPr>
        <w:t>供应商</w:t>
      </w:r>
      <w:r>
        <w:rPr>
          <w:rFonts w:hint="eastAsia" w:ascii="宋体" w:hAnsi="宋体" w:eastAsia="宋体" w:cstheme="minorBidi"/>
          <w:i w:val="0"/>
          <w:iCs w:val="0"/>
          <w:snapToGrid w:val="0"/>
          <w:color w:val="auto"/>
          <w:kern w:val="2"/>
          <w:sz w:val="24"/>
          <w:szCs w:val="22"/>
          <w:highlight w:val="none"/>
          <w:lang w:val="en-US" w:eastAsia="zh-CN" w:bidi="ar-SA"/>
        </w:rPr>
        <w:t>按照上述要求分类报价，其目的是便于评审，但在任何情况下并不限制采购人以其他条款签订合同的权利。</w:t>
      </w:r>
    </w:p>
    <w:p w14:paraId="0B64FFBB">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14.8 最低报价不能作为成交的保证。</w:t>
      </w:r>
    </w:p>
    <w:p w14:paraId="0A894227">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cs="宋体"/>
          <w:i w:val="0"/>
          <w:iCs w:val="0"/>
          <w:color w:val="auto"/>
          <w:kern w:val="0"/>
          <w:sz w:val="24"/>
          <w:szCs w:val="24"/>
          <w:highlight w:val="none"/>
          <w:lang w:val="en-US" w:eastAsia="zh-CN" w:bidi="ar"/>
        </w:rPr>
        <w:t>14.9供应商</w:t>
      </w:r>
      <w:r>
        <w:rPr>
          <w:rFonts w:hint="eastAsia" w:ascii="宋体" w:hAnsi="宋体" w:eastAsia="宋体" w:cs="宋体"/>
          <w:i w:val="0"/>
          <w:iCs w:val="0"/>
          <w:color w:val="auto"/>
          <w:kern w:val="0"/>
          <w:sz w:val="24"/>
          <w:szCs w:val="24"/>
          <w:highlight w:val="none"/>
          <w:lang w:val="en-US" w:eastAsia="zh-CN" w:bidi="ar"/>
        </w:rPr>
        <w:t>不能提供任何有选择性或可调整的报价（</w:t>
      </w:r>
      <w:r>
        <w:rPr>
          <w:rFonts w:hint="eastAsia" w:cs="宋体"/>
          <w:i w:val="0"/>
          <w:iCs w:val="0"/>
          <w:color w:val="auto"/>
          <w:kern w:val="0"/>
          <w:sz w:val="24"/>
          <w:szCs w:val="24"/>
          <w:highlight w:val="none"/>
          <w:lang w:val="en-US" w:eastAsia="zh-CN" w:bidi="ar"/>
        </w:rPr>
        <w:t>磋商</w:t>
      </w:r>
      <w:r>
        <w:rPr>
          <w:rFonts w:hint="eastAsia" w:ascii="宋体" w:hAnsi="宋体" w:eastAsia="宋体" w:cs="宋体"/>
          <w:i w:val="0"/>
          <w:iCs w:val="0"/>
          <w:color w:val="auto"/>
          <w:kern w:val="0"/>
          <w:sz w:val="24"/>
          <w:szCs w:val="24"/>
          <w:highlight w:val="none"/>
          <w:lang w:val="en-US" w:eastAsia="zh-CN" w:bidi="ar"/>
        </w:rPr>
        <w:t>文件另有规定的除外），否则其</w:t>
      </w:r>
      <w:r>
        <w:rPr>
          <w:rFonts w:hint="eastAsia" w:cs="宋体"/>
          <w:b/>
          <w:bCs/>
          <w:i w:val="0"/>
          <w:iCs w:val="0"/>
          <w:color w:val="auto"/>
          <w:kern w:val="0"/>
          <w:sz w:val="24"/>
          <w:szCs w:val="24"/>
          <w:highlight w:val="none"/>
          <w:lang w:val="en-US" w:eastAsia="zh-CN" w:bidi="ar"/>
        </w:rPr>
        <w:t>响应</w:t>
      </w:r>
      <w:r>
        <w:rPr>
          <w:rFonts w:hint="eastAsia" w:ascii="宋体" w:hAnsi="宋体" w:eastAsia="宋体" w:cs="宋体"/>
          <w:b/>
          <w:bCs/>
          <w:i w:val="0"/>
          <w:iCs w:val="0"/>
          <w:color w:val="auto"/>
          <w:kern w:val="0"/>
          <w:sz w:val="24"/>
          <w:szCs w:val="24"/>
          <w:highlight w:val="none"/>
          <w:lang w:val="en-US" w:eastAsia="zh-CN" w:bidi="ar"/>
        </w:rPr>
        <w:t>无效</w:t>
      </w:r>
      <w:r>
        <w:rPr>
          <w:rFonts w:hint="eastAsia" w:ascii="宋体" w:hAnsi="宋体" w:eastAsia="宋体" w:cs="宋体"/>
          <w:i w:val="0"/>
          <w:iCs w:val="0"/>
          <w:color w:val="auto"/>
          <w:kern w:val="0"/>
          <w:sz w:val="24"/>
          <w:szCs w:val="24"/>
          <w:highlight w:val="none"/>
          <w:lang w:val="en-US" w:eastAsia="zh-CN" w:bidi="ar"/>
        </w:rPr>
        <w:t>。</w:t>
      </w:r>
    </w:p>
    <w:p w14:paraId="2AA144BC">
      <w:pPr>
        <w:pStyle w:val="37"/>
        <w:keepNext w:val="0"/>
        <w:keepLines w:val="0"/>
        <w:pageBreakBefore w:val="0"/>
        <w:widowControl w:val="0"/>
        <w:kinsoku/>
        <w:overflowPunct/>
        <w:topLinePunct w:val="0"/>
        <w:bidi w:val="0"/>
        <w:ind w:firstLine="480"/>
        <w:textAlignment w:val="auto"/>
        <w:rPr>
          <w:rFonts w:hint="eastAsia"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14.10采购人不得向供应商索要或者接受其给予的赠品、回扣或者与采购无关的其他商品、服务。</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2" w:name="_Toc52962744"/>
      <w:bookmarkStart w:id="223" w:name="_Toc48688806"/>
      <w:bookmarkStart w:id="224" w:name="_Toc109899969"/>
      <w:bookmarkStart w:id="225" w:name="_Toc48846126"/>
      <w:bookmarkStart w:id="226" w:name="_Toc109899550"/>
      <w:bookmarkStart w:id="227" w:name="_Toc470172682"/>
      <w:bookmarkStart w:id="228" w:name="_Toc5668"/>
      <w:bookmarkStart w:id="229" w:name="_Toc52960570"/>
      <w:bookmarkStart w:id="230" w:name="_Toc109900388"/>
      <w:bookmarkStart w:id="231" w:name="_Toc109897451"/>
      <w:bookmarkStart w:id="232" w:name="_Toc46772258"/>
      <w:bookmarkStart w:id="233" w:name="_Toc51674228"/>
      <w:bookmarkStart w:id="234" w:name="_Toc46771657"/>
      <w:bookmarkStart w:id="235" w:name="_Toc46772254"/>
      <w:bookmarkStart w:id="236" w:name="_Toc48688802"/>
      <w:bookmarkStart w:id="237" w:name="_Toc470172678"/>
      <w:bookmarkStart w:id="238" w:name="_Toc46771653"/>
      <w:bookmarkStart w:id="239" w:name="_Toc52962740"/>
      <w:bookmarkStart w:id="240" w:name="_Toc3324"/>
      <w:bookmarkStart w:id="241" w:name="_Toc109900385"/>
      <w:bookmarkStart w:id="242" w:name="_Toc48846122"/>
      <w:bookmarkStart w:id="243" w:name="_Toc52960566"/>
      <w:bookmarkStart w:id="244" w:name="_Toc109897448"/>
      <w:bookmarkStart w:id="245" w:name="_Toc51674224"/>
      <w:bookmarkStart w:id="246" w:name="_Toc109899966"/>
      <w:bookmarkStart w:id="247" w:name="_Toc109899547"/>
      <w:r>
        <w:rPr>
          <w:rFonts w:hint="eastAsia" w:ascii="宋体" w:hAnsi="宋体" w:eastAsia="宋体" w:cs="宋体"/>
          <w:b/>
          <w:bCs/>
          <w:color w:val="auto"/>
          <w:kern w:val="2"/>
          <w:sz w:val="24"/>
          <w:szCs w:val="24"/>
          <w:highlight w:val="none"/>
          <w:lang w:val="en-US" w:eastAsia="zh-CN" w:bidi="ar-SA"/>
        </w:rPr>
        <w:t>15.响应文件有效期</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6C3E470C">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i w:val="0"/>
          <w:iCs w:val="0"/>
          <w:snapToGrid w:val="0"/>
          <w:color w:val="auto"/>
          <w:highlight w:val="none"/>
          <w:lang w:val="zh-CN"/>
        </w:rPr>
        <w:t>1</w:t>
      </w:r>
      <w:r>
        <w:rPr>
          <w:rFonts w:hint="eastAsia"/>
          <w:i w:val="0"/>
          <w:iCs w:val="0"/>
          <w:snapToGrid w:val="0"/>
          <w:color w:val="auto"/>
          <w:highlight w:val="none"/>
          <w:lang w:val="en-US" w:eastAsia="zh-CN"/>
        </w:rPr>
        <w:t>5</w:t>
      </w:r>
      <w:r>
        <w:rPr>
          <w:rFonts w:hint="eastAsia"/>
          <w:i w:val="0"/>
          <w:iCs w:val="0"/>
          <w:snapToGrid w:val="0"/>
          <w:color w:val="auto"/>
          <w:highlight w:val="none"/>
          <w:lang w:val="zh-CN"/>
        </w:rPr>
        <w:t>.1</w:t>
      </w:r>
      <w:r>
        <w:rPr>
          <w:rFonts w:hint="eastAsia"/>
          <w:i w:val="0"/>
          <w:iCs w:val="0"/>
          <w:snapToGrid w:val="0"/>
          <w:color w:val="auto"/>
          <w:highlight w:val="none"/>
          <w:lang w:val="en-US" w:eastAsia="zh-CN"/>
        </w:rPr>
        <w:t>供应商提交的</w:t>
      </w:r>
      <w:r>
        <w:rPr>
          <w:rFonts w:hint="eastAsia"/>
          <w:i w:val="0"/>
          <w:iCs w:val="0"/>
          <w:snapToGrid w:val="0"/>
          <w:color w:val="auto"/>
          <w:highlight w:val="none"/>
          <w:lang w:val="zh-CN"/>
        </w:rPr>
        <w:t>响应文件有效期见“供应商须知前附表”，磋商供应商承诺的响应文件</w:t>
      </w:r>
      <w:r>
        <w:rPr>
          <w:rFonts w:hint="eastAsia"/>
          <w:i w:val="0"/>
          <w:iCs w:val="0"/>
          <w:snapToGrid w:val="0"/>
          <w:color w:val="auto"/>
          <w:highlight w:val="none"/>
          <w:lang w:val="zh-CN" w:eastAsia="zh-CN"/>
        </w:rPr>
        <w:t>有效期少于</w:t>
      </w:r>
      <w:r>
        <w:rPr>
          <w:rFonts w:hint="eastAsia"/>
          <w:i w:val="0"/>
          <w:iCs w:val="0"/>
          <w:snapToGrid w:val="0"/>
          <w:color w:val="auto"/>
          <w:highlight w:val="none"/>
          <w:lang w:val="en-US" w:eastAsia="zh-CN"/>
        </w:rPr>
        <w:t>磋商</w:t>
      </w:r>
      <w:r>
        <w:rPr>
          <w:rFonts w:hint="eastAsia"/>
          <w:i w:val="0"/>
          <w:iCs w:val="0"/>
          <w:snapToGrid w:val="0"/>
          <w:color w:val="auto"/>
          <w:highlight w:val="none"/>
          <w:lang w:val="zh-CN" w:eastAsia="zh-CN"/>
        </w:rPr>
        <w:t>文件规定期限的，其</w:t>
      </w:r>
      <w:r>
        <w:rPr>
          <w:rFonts w:hint="eastAsia"/>
          <w:b/>
          <w:bCs/>
          <w:i w:val="0"/>
          <w:iCs w:val="0"/>
          <w:snapToGrid w:val="0"/>
          <w:color w:val="auto"/>
          <w:highlight w:val="none"/>
          <w:lang w:val="en-US" w:eastAsia="zh-CN"/>
        </w:rPr>
        <w:t>响应</w:t>
      </w:r>
      <w:r>
        <w:rPr>
          <w:rFonts w:hint="eastAsia"/>
          <w:b/>
          <w:bCs/>
          <w:i w:val="0"/>
          <w:iCs w:val="0"/>
          <w:snapToGrid w:val="0"/>
          <w:color w:val="auto"/>
          <w:highlight w:val="none"/>
          <w:lang w:val="zh-CN" w:eastAsia="zh-CN"/>
        </w:rPr>
        <w:t>无效</w:t>
      </w:r>
      <w:r>
        <w:rPr>
          <w:rFonts w:hint="eastAsia"/>
          <w:i w:val="0"/>
          <w:iCs w:val="0"/>
          <w:snapToGrid w:val="0"/>
          <w:color w:val="auto"/>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default" w:ascii="宋体" w:hAnsi="宋体" w:eastAsia="宋体" w:cstheme="minorBidi"/>
          <w:i w:val="0"/>
          <w:iCs w:val="0"/>
          <w:snapToGrid w:val="0"/>
          <w:color w:val="auto"/>
          <w:kern w:val="2"/>
          <w:sz w:val="24"/>
          <w:szCs w:val="22"/>
          <w:highlight w:val="none"/>
          <w:lang w:val="en-US" w:eastAsia="zh-CN" w:bidi="ar-SA"/>
        </w:rPr>
      </w:pPr>
      <w:r>
        <w:rPr>
          <w:rFonts w:hint="eastAsia" w:ascii="宋体" w:hAnsi="宋体" w:eastAsia="宋体" w:cstheme="minorBidi"/>
          <w:i w:val="0"/>
          <w:iCs w:val="0"/>
          <w:snapToGrid w:val="0"/>
          <w:color w:val="auto"/>
          <w:kern w:val="2"/>
          <w:sz w:val="24"/>
          <w:szCs w:val="22"/>
          <w:highlight w:val="none"/>
          <w:lang w:val="en-US" w:eastAsia="zh-CN" w:bidi="ar-SA"/>
        </w:rPr>
        <w:t>15.2 响应文件有效期从</w:t>
      </w:r>
      <w:r>
        <w:rPr>
          <w:rFonts w:hint="eastAsia" w:cstheme="minorBidi"/>
          <w:i w:val="0"/>
          <w:iCs w:val="0"/>
          <w:snapToGrid w:val="0"/>
          <w:color w:val="auto"/>
          <w:kern w:val="2"/>
          <w:sz w:val="24"/>
          <w:szCs w:val="22"/>
          <w:highlight w:val="none"/>
          <w:lang w:val="en-US" w:eastAsia="zh-CN" w:bidi="ar-SA"/>
        </w:rPr>
        <w:t>递交</w:t>
      </w:r>
      <w:r>
        <w:rPr>
          <w:rFonts w:hint="eastAsia" w:ascii="宋体" w:hAnsi="宋体" w:eastAsia="宋体" w:cstheme="minorBidi"/>
          <w:i w:val="0"/>
          <w:iCs w:val="0"/>
          <w:snapToGrid w:val="0"/>
          <w:color w:val="auto"/>
          <w:kern w:val="2"/>
          <w:sz w:val="24"/>
          <w:szCs w:val="22"/>
          <w:highlight w:val="none"/>
          <w:lang w:val="en-US" w:eastAsia="zh-CN" w:bidi="ar-SA"/>
        </w:rPr>
        <w:t>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rFonts w:hint="eastAsia" w:ascii="宋体" w:hAnsi="宋体" w:eastAsia="宋体" w:cstheme="minorBidi"/>
          <w:i w:val="0"/>
          <w:iCs w:val="0"/>
          <w:snapToGrid w:val="0"/>
          <w:color w:val="auto"/>
          <w:kern w:val="2"/>
          <w:sz w:val="24"/>
          <w:szCs w:val="22"/>
          <w:highlight w:val="none"/>
          <w:lang w:val="zh-CN" w:eastAsia="zh-CN" w:bidi="ar-SA"/>
        </w:rPr>
        <w:t>1</w:t>
      </w:r>
      <w:r>
        <w:rPr>
          <w:rFonts w:hint="eastAsia" w:ascii="宋体" w:hAnsi="宋体" w:eastAsia="宋体" w:cstheme="minorBidi"/>
          <w:i w:val="0"/>
          <w:iCs w:val="0"/>
          <w:snapToGrid w:val="0"/>
          <w:color w:val="auto"/>
          <w:kern w:val="2"/>
          <w:sz w:val="24"/>
          <w:szCs w:val="22"/>
          <w:highlight w:val="none"/>
          <w:lang w:val="en-US" w:eastAsia="zh-CN" w:bidi="ar-SA"/>
        </w:rPr>
        <w:t>5</w:t>
      </w:r>
      <w:r>
        <w:rPr>
          <w:rFonts w:hint="eastAsia" w:ascii="宋体" w:hAnsi="宋体" w:eastAsia="宋体" w:cstheme="minorBidi"/>
          <w:i w:val="0"/>
          <w:iCs w:val="0"/>
          <w:snapToGrid w:val="0"/>
          <w:color w:val="auto"/>
          <w:kern w:val="2"/>
          <w:sz w:val="24"/>
          <w:szCs w:val="22"/>
          <w:highlight w:val="none"/>
          <w:lang w:val="zh-CN" w:eastAsia="zh-CN" w:bidi="ar-SA"/>
        </w:rPr>
        <w:t>.</w:t>
      </w:r>
      <w:r>
        <w:rPr>
          <w:rFonts w:hint="eastAsia" w:ascii="宋体" w:hAnsi="宋体" w:eastAsia="宋体" w:cstheme="minorBidi"/>
          <w:i w:val="0"/>
          <w:iCs w:val="0"/>
          <w:snapToGrid w:val="0"/>
          <w:color w:val="auto"/>
          <w:kern w:val="2"/>
          <w:sz w:val="24"/>
          <w:szCs w:val="22"/>
          <w:highlight w:val="none"/>
          <w:lang w:val="en-US" w:eastAsia="zh-CN" w:bidi="ar-SA"/>
        </w:rPr>
        <w:t>3</w:t>
      </w:r>
      <w:r>
        <w:rPr>
          <w:rFonts w:hint="eastAsia" w:ascii="宋体" w:hAnsi="宋体" w:eastAsia="宋体" w:cstheme="minorBidi"/>
          <w:i w:val="0"/>
          <w:iCs w:val="0"/>
          <w:snapToGrid w:val="0"/>
          <w:color w:val="auto"/>
          <w:kern w:val="2"/>
          <w:sz w:val="24"/>
          <w:szCs w:val="22"/>
          <w:highlight w:val="none"/>
          <w:lang w:val="zh-CN" w:eastAsia="zh-CN" w:bidi="ar-SA"/>
        </w:rPr>
        <w:t>特殊情况下，在原响应文件有效期截止之前，采购代理机构或采购人</w:t>
      </w:r>
      <w:r>
        <w:rPr>
          <w:rFonts w:hint="eastAsia"/>
          <w:i w:val="0"/>
          <w:iCs w:val="0"/>
          <w:snapToGrid w:val="0"/>
          <w:color w:val="auto"/>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cs="宋体"/>
          <w:i w:val="0"/>
          <w:iCs w:val="0"/>
          <w:snapToGrid w:val="0"/>
          <w:color w:val="auto"/>
          <w:szCs w:val="24"/>
          <w:highlight w:val="none"/>
          <w:lang w:val="zh-CN"/>
        </w:rPr>
      </w:pPr>
      <w:r>
        <w:rPr>
          <w:rFonts w:hint="eastAsia" w:ascii="宋体" w:hAnsi="宋体" w:eastAsia="宋体" w:cstheme="minorBidi"/>
          <w:i w:val="0"/>
          <w:iCs w:val="0"/>
          <w:snapToGrid w:val="0"/>
          <w:color w:val="auto"/>
          <w:kern w:val="2"/>
          <w:sz w:val="24"/>
          <w:szCs w:val="22"/>
          <w:highlight w:val="none"/>
          <w:lang w:val="zh-CN" w:eastAsia="zh-CN" w:bidi="ar-SA"/>
        </w:rPr>
        <w:t>1</w:t>
      </w:r>
      <w:r>
        <w:rPr>
          <w:rFonts w:hint="eastAsia" w:ascii="宋体" w:hAnsi="宋体" w:eastAsia="宋体" w:cstheme="minorBidi"/>
          <w:i w:val="0"/>
          <w:iCs w:val="0"/>
          <w:snapToGrid w:val="0"/>
          <w:color w:val="auto"/>
          <w:kern w:val="2"/>
          <w:sz w:val="24"/>
          <w:szCs w:val="22"/>
          <w:highlight w:val="none"/>
          <w:lang w:val="en-US" w:eastAsia="zh-CN" w:bidi="ar-SA"/>
        </w:rPr>
        <w:t>5</w:t>
      </w:r>
      <w:r>
        <w:rPr>
          <w:rFonts w:hint="eastAsia" w:ascii="宋体" w:hAnsi="宋体" w:eastAsia="宋体" w:cstheme="minorBidi"/>
          <w:i w:val="0"/>
          <w:iCs w:val="0"/>
          <w:snapToGrid w:val="0"/>
          <w:color w:val="auto"/>
          <w:kern w:val="2"/>
          <w:sz w:val="24"/>
          <w:szCs w:val="22"/>
          <w:highlight w:val="none"/>
          <w:lang w:val="zh-CN" w:eastAsia="zh-CN" w:bidi="ar-SA"/>
        </w:rPr>
        <w:t>.</w:t>
      </w:r>
      <w:r>
        <w:rPr>
          <w:rFonts w:hint="eastAsia" w:ascii="宋体" w:hAnsi="宋体" w:eastAsia="宋体" w:cstheme="minorBidi"/>
          <w:i w:val="0"/>
          <w:iCs w:val="0"/>
          <w:snapToGrid w:val="0"/>
          <w:color w:val="auto"/>
          <w:kern w:val="2"/>
          <w:sz w:val="24"/>
          <w:szCs w:val="22"/>
          <w:highlight w:val="none"/>
          <w:lang w:val="en-US" w:eastAsia="zh-CN" w:bidi="ar-SA"/>
        </w:rPr>
        <w:t>4</w:t>
      </w:r>
      <w:r>
        <w:rPr>
          <w:rFonts w:hint="eastAsia" w:ascii="宋体" w:hAnsi="宋体" w:eastAsia="宋体" w:cstheme="minorBidi"/>
          <w:i w:val="0"/>
          <w:iCs w:val="0"/>
          <w:snapToGrid w:val="0"/>
          <w:color w:val="auto"/>
          <w:kern w:val="2"/>
          <w:sz w:val="24"/>
          <w:szCs w:val="22"/>
          <w:highlight w:val="none"/>
          <w:lang w:val="zh-CN" w:eastAsia="zh-CN" w:bidi="ar-SA"/>
        </w:rPr>
        <w:t>供应商同意延长的，</w:t>
      </w:r>
      <w:r>
        <w:rPr>
          <w:rFonts w:hint="eastAsia" w:ascii="宋体" w:hAnsi="宋体" w:eastAsia="宋体" w:cstheme="minorBidi"/>
          <w:i w:val="0"/>
          <w:iCs w:val="0"/>
          <w:snapToGrid w:val="0"/>
          <w:color w:val="auto"/>
          <w:kern w:val="2"/>
          <w:sz w:val="24"/>
          <w:szCs w:val="22"/>
          <w:highlight w:val="none"/>
          <w:lang w:val="en-US" w:eastAsia="zh-CN" w:bidi="ar-SA"/>
        </w:rPr>
        <w:t>其磋商</w:t>
      </w:r>
      <w:r>
        <w:rPr>
          <w:rFonts w:hint="eastAsia" w:ascii="宋体" w:hAnsi="宋体" w:eastAsia="宋体" w:cs="宋体"/>
          <w:i w:val="0"/>
          <w:iCs w:val="0"/>
          <w:snapToGrid w:val="0"/>
          <w:color w:val="auto"/>
          <w:szCs w:val="24"/>
          <w:highlight w:val="none"/>
          <w:lang w:val="zh-CN"/>
        </w:rPr>
        <w:t>保证金的有效期也相应延长</w:t>
      </w:r>
      <w:r>
        <w:rPr>
          <w:rFonts w:hint="eastAsia" w:ascii="宋体" w:hAnsi="宋体" w:eastAsia="宋体" w:cs="宋体"/>
          <w:i w:val="0"/>
          <w:iCs w:val="0"/>
          <w:snapToGrid w:val="0"/>
          <w:color w:val="auto"/>
          <w:szCs w:val="24"/>
          <w:highlight w:val="none"/>
          <w:lang w:val="zh-CN" w:eastAsia="zh-CN"/>
        </w:rPr>
        <w:t>，</w:t>
      </w:r>
      <w:r>
        <w:rPr>
          <w:rFonts w:hint="eastAsia" w:cs="宋体"/>
          <w:i w:val="0"/>
          <w:iCs w:val="0"/>
          <w:snapToGrid w:val="0"/>
          <w:color w:val="auto"/>
          <w:szCs w:val="24"/>
          <w:highlight w:val="none"/>
          <w:lang w:val="zh-CN"/>
        </w:rPr>
        <w:t>不得要求或被允许修改或撤销其响应文件；供应商拒绝延长的，其响应文件在原响应文件有效期满后将不再有效</w:t>
      </w:r>
      <w:r>
        <w:rPr>
          <w:rFonts w:hint="eastAsia" w:cs="仿宋_GB2312"/>
          <w:i w:val="0"/>
          <w:iCs w:val="0"/>
          <w:color w:val="auto"/>
          <w:szCs w:val="24"/>
          <w:highlight w:val="none"/>
          <w:lang w:eastAsia="zh-CN"/>
        </w:rPr>
        <w:t>，</w:t>
      </w:r>
      <w:r>
        <w:rPr>
          <w:rFonts w:hint="eastAsia" w:cs="仿宋_GB2312"/>
          <w:i w:val="0"/>
          <w:iCs w:val="0"/>
          <w:color w:val="auto"/>
          <w:szCs w:val="24"/>
          <w:highlight w:val="none"/>
          <w:lang w:val="en-US" w:eastAsia="zh-CN"/>
        </w:rPr>
        <w:t>但其提交的磋商保证金可予以退还</w:t>
      </w:r>
      <w:r>
        <w:rPr>
          <w:rFonts w:hint="eastAsia" w:cs="宋体"/>
          <w:i w:val="0"/>
          <w:iCs w:val="0"/>
          <w:snapToGrid w:val="0"/>
          <w:color w:val="auto"/>
          <w:szCs w:val="24"/>
          <w:highlight w:val="none"/>
          <w:lang w:val="zh-CN"/>
        </w:rPr>
        <w:t>。</w:t>
      </w:r>
    </w:p>
    <w:bookmarkEnd w:id="235"/>
    <w:bookmarkEnd w:id="236"/>
    <w:bookmarkEnd w:id="237"/>
    <w:bookmarkEnd w:id="238"/>
    <w:bookmarkEnd w:id="239"/>
    <w:bookmarkEnd w:id="240"/>
    <w:bookmarkEnd w:id="241"/>
    <w:bookmarkEnd w:id="242"/>
    <w:bookmarkEnd w:id="243"/>
    <w:bookmarkEnd w:id="244"/>
    <w:bookmarkEnd w:id="245"/>
    <w:bookmarkEnd w:id="246"/>
    <w:bookmarkEnd w:id="247"/>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16.响应文件的编制</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cs="仿宋_GB2312"/>
          <w:i w:val="0"/>
          <w:iCs w:val="0"/>
          <w:color w:val="auto"/>
          <w:szCs w:val="24"/>
          <w:highlight w:val="none"/>
        </w:rPr>
      </w:pPr>
      <w:r>
        <w:rPr>
          <w:rFonts w:cs="仿宋_GB2312"/>
          <w:i w:val="0"/>
          <w:iCs w:val="0"/>
          <w:color w:val="auto"/>
          <w:szCs w:val="24"/>
          <w:highlight w:val="none"/>
        </w:rPr>
        <w:t>1</w:t>
      </w:r>
      <w:r>
        <w:rPr>
          <w:rFonts w:hint="eastAsia" w:cs="仿宋_GB2312"/>
          <w:i w:val="0"/>
          <w:iCs w:val="0"/>
          <w:color w:val="auto"/>
          <w:szCs w:val="24"/>
          <w:highlight w:val="none"/>
          <w:lang w:val="en-US" w:eastAsia="zh-CN"/>
        </w:rPr>
        <w:t>6</w:t>
      </w: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文件应在供应商客户端中进行编制，在</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文件中要求加盖印章的，除有特殊说明之外，</w:t>
      </w:r>
      <w:r>
        <w:rPr>
          <w:rFonts w:hint="eastAsia" w:cs="仿宋_GB2312"/>
          <w:i w:val="0"/>
          <w:iCs w:val="0"/>
          <w:color w:val="auto"/>
          <w:szCs w:val="24"/>
          <w:highlight w:val="none"/>
          <w:lang w:val="en-US" w:eastAsia="zh-CN"/>
        </w:rPr>
        <w:t>可</w:t>
      </w:r>
      <w:r>
        <w:rPr>
          <w:rFonts w:hint="eastAsia" w:cs="仿宋_GB2312"/>
          <w:i w:val="0"/>
          <w:iCs w:val="0"/>
          <w:color w:val="auto"/>
          <w:szCs w:val="24"/>
          <w:highlight w:val="none"/>
        </w:rPr>
        <w:t>使用电子签章签署。</w:t>
      </w:r>
    </w:p>
    <w:p w14:paraId="6FD5FFC6">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i w:val="0"/>
          <w:iCs w:val="0"/>
          <w:color w:val="auto"/>
          <w:highlight w:val="none"/>
        </w:rPr>
        <w:t>1</w:t>
      </w:r>
      <w:r>
        <w:rPr>
          <w:rFonts w:hint="eastAsia"/>
          <w:i w:val="0"/>
          <w:iCs w:val="0"/>
          <w:color w:val="auto"/>
          <w:highlight w:val="none"/>
          <w:lang w:val="en-US" w:eastAsia="zh-CN"/>
        </w:rPr>
        <w:t>6</w:t>
      </w:r>
      <w:r>
        <w:rPr>
          <w:rFonts w:hint="eastAsia"/>
          <w:i w:val="0"/>
          <w:iCs w:val="0"/>
          <w:color w:val="auto"/>
          <w:highlight w:val="none"/>
        </w:rPr>
        <w:t>.</w:t>
      </w:r>
      <w:r>
        <w:rPr>
          <w:i w:val="0"/>
          <w:iCs w:val="0"/>
          <w:color w:val="auto"/>
          <w:highlight w:val="none"/>
        </w:rPr>
        <w:t>2</w:t>
      </w:r>
      <w:r>
        <w:rPr>
          <w:rFonts w:hint="eastAsia"/>
          <w:i w:val="0"/>
          <w:iCs w:val="0"/>
          <w:color w:val="auto"/>
          <w:highlight w:val="none"/>
          <w:lang w:val="en-US" w:eastAsia="zh-CN"/>
        </w:rPr>
        <w:t>供应商</w:t>
      </w:r>
      <w:r>
        <w:rPr>
          <w:rFonts w:hint="eastAsia"/>
          <w:i w:val="0"/>
          <w:iCs w:val="0"/>
          <w:color w:val="auto"/>
          <w:highlight w:val="none"/>
        </w:rPr>
        <w:t>在供应商客户端中按照供应商客户端中的格式要求填写响应内容后，生成</w:t>
      </w:r>
      <w:r>
        <w:rPr>
          <w:rFonts w:hint="eastAsia" w:cs="仿宋_GB2312"/>
          <w:i w:val="0"/>
          <w:iCs w:val="0"/>
          <w:color w:val="auto"/>
          <w:szCs w:val="24"/>
          <w:highlight w:val="none"/>
          <w:lang w:val="en-US" w:eastAsia="zh-CN"/>
        </w:rPr>
        <w:t>响应</w:t>
      </w:r>
      <w:r>
        <w:rPr>
          <w:rFonts w:hint="eastAsia"/>
          <w:i w:val="0"/>
          <w:iCs w:val="0"/>
          <w:color w:val="auto"/>
          <w:highlight w:val="none"/>
        </w:rPr>
        <w:t>文件。</w:t>
      </w:r>
      <w:r>
        <w:rPr>
          <w:rFonts w:hint="eastAsia"/>
          <w:i w:val="0"/>
          <w:iCs w:val="0"/>
          <w:color w:val="auto"/>
          <w:highlight w:val="none"/>
          <w:lang w:val="en-US" w:eastAsia="zh-CN"/>
        </w:rPr>
        <w:t>供应商</w:t>
      </w:r>
      <w:r>
        <w:rPr>
          <w:rFonts w:hint="eastAsia"/>
          <w:i w:val="0"/>
          <w:iCs w:val="0"/>
          <w:color w:val="auto"/>
          <w:highlight w:val="none"/>
        </w:rPr>
        <w:t>须按照</w:t>
      </w:r>
      <w:r>
        <w:rPr>
          <w:rFonts w:hint="eastAsia"/>
          <w:i w:val="0"/>
          <w:iCs w:val="0"/>
          <w:color w:val="auto"/>
          <w:highlight w:val="none"/>
          <w:lang w:val="en-US" w:eastAsia="zh-CN"/>
        </w:rPr>
        <w:t>竞争性磋商</w:t>
      </w:r>
      <w:r>
        <w:rPr>
          <w:rFonts w:hint="eastAsia"/>
          <w:i w:val="0"/>
          <w:iCs w:val="0"/>
          <w:color w:val="auto"/>
          <w:highlight w:val="none"/>
        </w:rPr>
        <w:t>文件的要求对要求加盖印章的部分逐一进行签章。</w:t>
      </w:r>
    </w:p>
    <w:p w14:paraId="4BB9824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rPr>
        <w:t>.</w:t>
      </w:r>
      <w:r>
        <w:rPr>
          <w:rFonts w:hint="eastAsia" w:ascii="宋体" w:hAnsi="宋体" w:eastAsia="宋体"/>
          <w:i w:val="0"/>
          <w:iCs w:val="0"/>
          <w:color w:val="auto"/>
          <w:highlight w:val="none"/>
          <w:lang w:val="en-US" w:eastAsia="zh-CN"/>
        </w:rPr>
        <w:t>3供应商</w:t>
      </w:r>
      <w:r>
        <w:rPr>
          <w:rFonts w:hint="eastAsia" w:ascii="宋体" w:hAnsi="宋体" w:eastAsia="宋体"/>
          <w:i w:val="0"/>
          <w:iCs w:val="0"/>
          <w:color w:val="auto"/>
          <w:highlight w:val="none"/>
        </w:rPr>
        <w:t>应详细阅读</w:t>
      </w:r>
      <w:r>
        <w:rPr>
          <w:rFonts w:hint="eastAsia"/>
          <w:i w:val="0"/>
          <w:iCs w:val="0"/>
          <w:color w:val="auto"/>
          <w:highlight w:val="none"/>
          <w:lang w:val="en-US" w:eastAsia="zh-CN"/>
        </w:rPr>
        <w:t>竞争性磋商</w:t>
      </w:r>
      <w:r>
        <w:rPr>
          <w:rFonts w:hint="eastAsia" w:ascii="宋体" w:hAnsi="宋体" w:eastAsia="宋体"/>
          <w:i w:val="0"/>
          <w:iCs w:val="0"/>
          <w:color w:val="auto"/>
          <w:highlight w:val="none"/>
        </w:rPr>
        <w:t>文件的全部内容。</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文件须对</w:t>
      </w:r>
      <w:r>
        <w:rPr>
          <w:rFonts w:hint="eastAsia"/>
          <w:i w:val="0"/>
          <w:iCs w:val="0"/>
          <w:color w:val="auto"/>
          <w:highlight w:val="none"/>
          <w:lang w:val="en-US" w:eastAsia="zh-CN"/>
        </w:rPr>
        <w:t>竞争性磋商</w:t>
      </w:r>
      <w:r>
        <w:rPr>
          <w:rFonts w:hint="eastAsia" w:ascii="宋体" w:hAnsi="宋体" w:eastAsia="宋体"/>
          <w:i w:val="0"/>
          <w:iCs w:val="0"/>
          <w:color w:val="auto"/>
          <w:highlight w:val="none"/>
        </w:rPr>
        <w:t>文件中的内容作出实质性和完整的响应，如果</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文件填报的内容不详，或没有提供</w:t>
      </w:r>
      <w:r>
        <w:rPr>
          <w:rFonts w:hint="eastAsia"/>
          <w:i w:val="0"/>
          <w:iCs w:val="0"/>
          <w:color w:val="auto"/>
          <w:highlight w:val="none"/>
          <w:lang w:val="en-US" w:eastAsia="zh-CN"/>
        </w:rPr>
        <w:t>竞争性磋商</w:t>
      </w:r>
      <w:r>
        <w:rPr>
          <w:rFonts w:hint="eastAsia" w:ascii="宋体" w:hAnsi="宋体" w:eastAsia="宋体"/>
          <w:i w:val="0"/>
          <w:iCs w:val="0"/>
          <w:color w:val="auto"/>
          <w:highlight w:val="none"/>
        </w:rPr>
        <w:t>文件中所要求的全部资料及数据，</w:t>
      </w:r>
      <w:r>
        <w:rPr>
          <w:rFonts w:hint="eastAsia" w:ascii="宋体" w:hAnsi="宋体" w:eastAsia="宋体"/>
          <w:b w:val="0"/>
          <w:bCs w:val="0"/>
          <w:i w:val="0"/>
          <w:iCs w:val="0"/>
          <w:color w:val="auto"/>
          <w:highlight w:val="none"/>
        </w:rPr>
        <w:t>将可能</w:t>
      </w:r>
      <w:r>
        <w:rPr>
          <w:rFonts w:hint="eastAsia" w:ascii="宋体" w:hAnsi="宋体" w:eastAsia="宋体"/>
          <w:b/>
          <w:bCs/>
          <w:i w:val="0"/>
          <w:iCs w:val="0"/>
          <w:color w:val="auto"/>
          <w:highlight w:val="none"/>
        </w:rPr>
        <w:t>导致</w:t>
      </w:r>
      <w:r>
        <w:rPr>
          <w:rFonts w:hint="eastAsia"/>
          <w:b/>
          <w:bCs/>
          <w:i w:val="0"/>
          <w:iCs w:val="0"/>
          <w:color w:val="auto"/>
          <w:highlight w:val="none"/>
          <w:lang w:val="en-US" w:eastAsia="zh-CN"/>
        </w:rPr>
        <w:t>其</w:t>
      </w:r>
      <w:r>
        <w:rPr>
          <w:rFonts w:hint="eastAsia"/>
          <w:b/>
          <w:bCs/>
          <w:i w:val="0"/>
          <w:iCs w:val="0"/>
          <w:color w:val="auto"/>
          <w:highlight w:val="none"/>
          <w:lang w:eastAsia="zh-CN"/>
        </w:rPr>
        <w:t>响应</w:t>
      </w:r>
      <w:r>
        <w:rPr>
          <w:rFonts w:hint="eastAsia"/>
          <w:b/>
          <w:bCs/>
          <w:i w:val="0"/>
          <w:iCs w:val="0"/>
          <w:color w:val="auto"/>
          <w:highlight w:val="none"/>
          <w:lang w:val="en-US" w:eastAsia="zh-CN"/>
        </w:rPr>
        <w:t>无效</w:t>
      </w:r>
      <w:r>
        <w:rPr>
          <w:rFonts w:hint="eastAsia" w:ascii="宋体" w:hAnsi="宋体" w:eastAsia="宋体"/>
          <w:i w:val="0"/>
          <w:iCs w:val="0"/>
          <w:color w:val="auto"/>
          <w:highlight w:val="none"/>
        </w:rPr>
        <w:t>。</w:t>
      </w:r>
    </w:p>
    <w:p w14:paraId="2084E86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rPr>
        <w:t>.</w:t>
      </w:r>
      <w:r>
        <w:rPr>
          <w:rFonts w:hint="eastAsia" w:ascii="宋体" w:hAnsi="宋体" w:eastAsia="宋体"/>
          <w:i w:val="0"/>
          <w:iCs w:val="0"/>
          <w:color w:val="auto"/>
          <w:highlight w:val="none"/>
          <w:lang w:val="en-US" w:eastAsia="zh-CN"/>
        </w:rPr>
        <w:t>4响应</w:t>
      </w:r>
      <w:r>
        <w:rPr>
          <w:rFonts w:hint="eastAsia" w:ascii="宋体" w:hAnsi="宋体" w:eastAsia="宋体"/>
          <w:i w:val="0"/>
          <w:iCs w:val="0"/>
          <w:color w:val="auto"/>
          <w:highlight w:val="none"/>
        </w:rPr>
        <w:t>文件须严格按照</w:t>
      </w:r>
      <w:r>
        <w:rPr>
          <w:rFonts w:hint="eastAsia" w:ascii="宋体" w:hAnsi="宋体" w:eastAsia="宋体"/>
          <w:i w:val="0"/>
          <w:iCs w:val="0"/>
          <w:color w:val="auto"/>
          <w:highlight w:val="none"/>
          <w:lang w:val="en-US" w:eastAsia="zh-CN"/>
        </w:rPr>
        <w:t>本竞争性磋商</w:t>
      </w:r>
      <w:r>
        <w:rPr>
          <w:rFonts w:hint="eastAsia" w:ascii="宋体" w:hAnsi="宋体" w:eastAsia="宋体"/>
          <w:i w:val="0"/>
          <w:iCs w:val="0"/>
          <w:color w:val="auto"/>
          <w:highlight w:val="none"/>
        </w:rPr>
        <w:t>文件第</w:t>
      </w:r>
      <w:r>
        <w:rPr>
          <w:rFonts w:hint="eastAsia" w:ascii="宋体" w:hAnsi="宋体" w:eastAsia="宋体"/>
          <w:i w:val="0"/>
          <w:iCs w:val="0"/>
          <w:color w:val="auto"/>
          <w:highlight w:val="none"/>
          <w:lang w:val="en-US" w:eastAsia="zh-CN"/>
        </w:rPr>
        <w:t>六章</w:t>
      </w:r>
      <w:r>
        <w:rPr>
          <w:rFonts w:hint="eastAsia" w:ascii="宋体" w:hAnsi="宋体" w:eastAsia="宋体"/>
          <w:i w:val="0"/>
          <w:iCs w:val="0"/>
          <w:color w:val="auto"/>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文件被误读或查找不到，其责任由</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承担。</w:t>
      </w:r>
    </w:p>
    <w:p w14:paraId="71265CA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rPr>
        <w:t>.</w:t>
      </w:r>
      <w:r>
        <w:rPr>
          <w:rFonts w:hint="eastAsia" w:ascii="宋体" w:hAnsi="宋体" w:eastAsia="宋体"/>
          <w:i w:val="0"/>
          <w:iCs w:val="0"/>
          <w:color w:val="auto"/>
          <w:highlight w:val="none"/>
          <w:lang w:val="en-US" w:eastAsia="zh-CN"/>
        </w:rPr>
        <w:t>5供应商</w:t>
      </w:r>
      <w:r>
        <w:rPr>
          <w:rFonts w:hint="eastAsia" w:ascii="宋体" w:hAnsi="宋体" w:eastAsia="宋体"/>
          <w:i w:val="0"/>
          <w:iCs w:val="0"/>
          <w:color w:val="auto"/>
          <w:highlight w:val="none"/>
        </w:rPr>
        <w:t>须注意：为合理节约政府采购评审成本，提倡诚实信用的</w:t>
      </w:r>
      <w:r>
        <w:rPr>
          <w:rFonts w:hint="eastAsia" w:ascii="宋体" w:hAnsi="宋体" w:eastAsia="宋体"/>
          <w:i w:val="0"/>
          <w:iCs w:val="0"/>
          <w:color w:val="auto"/>
          <w:highlight w:val="none"/>
          <w:lang w:val="en-US" w:eastAsia="zh-CN"/>
        </w:rPr>
        <w:t>磋商</w:t>
      </w:r>
      <w:r>
        <w:rPr>
          <w:rFonts w:hint="eastAsia" w:ascii="宋体" w:hAnsi="宋体" w:eastAsia="宋体"/>
          <w:i w:val="0"/>
          <w:iCs w:val="0"/>
          <w:color w:val="auto"/>
          <w:highlight w:val="none"/>
        </w:rPr>
        <w:t>行为，特别要求</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应本着诚信精神，在本次</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文件的偏离表中，均以审慎的态度明确、清楚地披露各项偏离。若</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对某一事项是否存在或是否属于偏离不能确定，亦必须在偏离表中清楚地表明该偏离事项，并可以注明不能确定的字样。任何情况下，对于</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没有在偏离表中明确、清楚地披露的事项，包括可能属于被</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在偏离表中遗漏披露的事项，一旦在评审中被发现存在偏离或被认定为属于偏离，则评</w:t>
      </w:r>
      <w:r>
        <w:rPr>
          <w:rFonts w:hint="eastAsia" w:ascii="宋体" w:hAnsi="宋体" w:eastAsia="宋体"/>
          <w:i w:val="0"/>
          <w:iCs w:val="0"/>
          <w:color w:val="auto"/>
          <w:highlight w:val="none"/>
          <w:lang w:val="en-US" w:eastAsia="zh-CN"/>
        </w:rPr>
        <w:t>审</w:t>
      </w:r>
      <w:r>
        <w:rPr>
          <w:rFonts w:hint="eastAsia" w:ascii="宋体" w:hAnsi="宋体" w:eastAsia="宋体"/>
          <w:i w:val="0"/>
          <w:iCs w:val="0"/>
          <w:color w:val="auto"/>
          <w:highlight w:val="none"/>
        </w:rPr>
        <w:t>委员会有权视具体情形评审时予以处理，</w:t>
      </w:r>
      <w:r>
        <w:rPr>
          <w:rFonts w:hint="eastAsia" w:ascii="宋体" w:hAnsi="宋体" w:eastAsia="宋体"/>
          <w:b/>
          <w:bCs/>
          <w:i w:val="0"/>
          <w:iCs w:val="0"/>
          <w:color w:val="auto"/>
          <w:highlight w:val="none"/>
        </w:rPr>
        <w:t>将可能导致</w:t>
      </w:r>
      <w:r>
        <w:rPr>
          <w:rFonts w:hint="eastAsia"/>
          <w:b/>
          <w:bCs/>
          <w:i w:val="0"/>
          <w:iCs w:val="0"/>
          <w:color w:val="auto"/>
          <w:highlight w:val="none"/>
          <w:lang w:eastAsia="zh-CN"/>
        </w:rPr>
        <w:t>响应</w:t>
      </w:r>
      <w:r>
        <w:rPr>
          <w:rFonts w:hint="eastAsia"/>
          <w:b/>
          <w:bCs/>
          <w:i w:val="0"/>
          <w:iCs w:val="0"/>
          <w:color w:val="auto"/>
          <w:highlight w:val="none"/>
          <w:lang w:val="en-US" w:eastAsia="zh-CN"/>
        </w:rPr>
        <w:t>无效</w:t>
      </w:r>
      <w:r>
        <w:rPr>
          <w:rFonts w:hint="eastAsia" w:ascii="宋体" w:hAnsi="宋体" w:eastAsia="宋体"/>
          <w:i w:val="0"/>
          <w:iCs w:val="0"/>
          <w:color w:val="auto"/>
          <w:highlight w:val="none"/>
        </w:rPr>
        <w:t>。</w:t>
      </w:r>
    </w:p>
    <w:p w14:paraId="76CE475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rPr>
        <w:t>.</w:t>
      </w:r>
      <w:r>
        <w:rPr>
          <w:rFonts w:hint="eastAsia"/>
          <w:i w:val="0"/>
          <w:iCs w:val="0"/>
          <w:color w:val="auto"/>
          <w:highlight w:val="none"/>
          <w:lang w:val="en-US" w:eastAsia="zh-CN"/>
        </w:rPr>
        <w:t>6</w:t>
      </w:r>
      <w:r>
        <w:rPr>
          <w:rFonts w:hint="eastAsia" w:ascii="宋体" w:hAnsi="宋体" w:eastAsia="宋体"/>
          <w:i w:val="0"/>
          <w:iCs w:val="0"/>
          <w:color w:val="auto"/>
          <w:highlight w:val="none"/>
          <w:lang w:val="en-US" w:eastAsia="zh-CN"/>
        </w:rPr>
        <w:t>供应商</w:t>
      </w:r>
      <w:r>
        <w:rPr>
          <w:rFonts w:hint="eastAsia" w:ascii="宋体" w:hAnsi="宋体" w:eastAsia="宋体"/>
          <w:i w:val="0"/>
          <w:iCs w:val="0"/>
          <w:color w:val="auto"/>
          <w:highlight w:val="none"/>
        </w:rPr>
        <w:t>必须保证</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文件所提供的全部资料</w:t>
      </w:r>
      <w:r>
        <w:rPr>
          <w:rFonts w:hint="eastAsia"/>
          <w:i w:val="0"/>
          <w:iCs w:val="0"/>
          <w:color w:val="auto"/>
          <w:highlight w:val="none"/>
          <w:lang w:eastAsia="zh-CN"/>
        </w:rPr>
        <w:t>合法、</w:t>
      </w:r>
      <w:r>
        <w:rPr>
          <w:rFonts w:hint="eastAsia" w:ascii="宋体" w:hAnsi="宋体" w:eastAsia="宋体"/>
          <w:i w:val="0"/>
          <w:iCs w:val="0"/>
          <w:color w:val="auto"/>
          <w:highlight w:val="none"/>
        </w:rPr>
        <w:t>真实可靠，并接受采购</w:t>
      </w:r>
      <w:r>
        <w:rPr>
          <w:rFonts w:hint="eastAsia" w:ascii="宋体" w:hAnsi="宋体" w:eastAsia="宋体"/>
          <w:i w:val="0"/>
          <w:iCs w:val="0"/>
          <w:color w:val="auto"/>
          <w:highlight w:val="none"/>
          <w:lang w:val="en-US" w:eastAsia="zh-CN"/>
        </w:rPr>
        <w:t>人、采购</w:t>
      </w:r>
      <w:r>
        <w:rPr>
          <w:rFonts w:hint="eastAsia" w:ascii="宋体" w:hAnsi="宋体" w:eastAsia="宋体"/>
          <w:i w:val="0"/>
          <w:iCs w:val="0"/>
          <w:color w:val="auto"/>
          <w:highlight w:val="none"/>
        </w:rPr>
        <w:t>代理机构或评</w:t>
      </w:r>
      <w:r>
        <w:rPr>
          <w:rFonts w:hint="eastAsia" w:ascii="宋体" w:hAnsi="宋体" w:eastAsia="宋体"/>
          <w:i w:val="0"/>
          <w:iCs w:val="0"/>
          <w:color w:val="auto"/>
          <w:highlight w:val="none"/>
          <w:lang w:val="en-US" w:eastAsia="zh-CN"/>
        </w:rPr>
        <w:t>审</w:t>
      </w:r>
      <w:r>
        <w:rPr>
          <w:rFonts w:hint="eastAsia" w:ascii="宋体" w:hAnsi="宋体" w:eastAsia="宋体"/>
          <w:i w:val="0"/>
          <w:iCs w:val="0"/>
          <w:color w:val="auto"/>
          <w:highlight w:val="none"/>
        </w:rPr>
        <w:t>委员会对其中任何资料进一步审查的要求。</w:t>
      </w:r>
    </w:p>
    <w:p w14:paraId="4AA7F60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rPr>
        <w:t>.</w:t>
      </w:r>
      <w:r>
        <w:rPr>
          <w:rFonts w:hint="eastAsia" w:ascii="宋体" w:hAnsi="宋体" w:eastAsia="宋体"/>
          <w:i w:val="0"/>
          <w:iCs w:val="0"/>
          <w:color w:val="auto"/>
          <w:highlight w:val="none"/>
          <w:lang w:val="en-US" w:eastAsia="zh-CN"/>
        </w:rPr>
        <w:t>7供应商</w:t>
      </w:r>
      <w:r>
        <w:rPr>
          <w:rFonts w:hint="eastAsia" w:ascii="宋体" w:hAnsi="宋体" w:eastAsia="宋体"/>
          <w:i w:val="0"/>
          <w:iCs w:val="0"/>
          <w:color w:val="auto"/>
          <w:highlight w:val="none"/>
        </w:rPr>
        <w:t>在</w:t>
      </w:r>
      <w:r>
        <w:rPr>
          <w:rFonts w:hint="eastAsia" w:ascii="宋体" w:hAnsi="宋体" w:eastAsia="宋体"/>
          <w:i w:val="0"/>
          <w:iCs w:val="0"/>
          <w:color w:val="auto"/>
          <w:highlight w:val="none"/>
          <w:lang w:val="en-US" w:eastAsia="zh-CN"/>
        </w:rPr>
        <w:t>响应</w:t>
      </w:r>
      <w:r>
        <w:rPr>
          <w:rFonts w:hint="eastAsia" w:ascii="宋体" w:hAnsi="宋体" w:eastAsia="宋体"/>
          <w:i w:val="0"/>
          <w:iCs w:val="0"/>
          <w:color w:val="auto"/>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i w:val="0"/>
          <w:iCs w:val="0"/>
          <w:color w:val="auto"/>
          <w:highlight w:val="none"/>
        </w:rPr>
        <w:t>无效</w:t>
      </w:r>
      <w:r>
        <w:rPr>
          <w:rFonts w:hint="eastAsia" w:ascii="宋体" w:hAnsi="宋体" w:eastAsia="宋体"/>
          <w:b/>
          <w:bCs/>
          <w:i w:val="0"/>
          <w:iCs w:val="0"/>
          <w:color w:val="auto"/>
          <w:highlight w:val="none"/>
          <w:lang w:val="en-US" w:eastAsia="zh-CN"/>
        </w:rPr>
        <w:t>响应</w:t>
      </w:r>
      <w:r>
        <w:rPr>
          <w:rFonts w:hint="eastAsia" w:ascii="宋体" w:hAnsi="宋体" w:eastAsia="宋体"/>
          <w:i w:val="0"/>
          <w:iCs w:val="0"/>
          <w:color w:val="auto"/>
          <w:highlight w:val="none"/>
        </w:rPr>
        <w:t>处理。</w:t>
      </w:r>
    </w:p>
    <w:p w14:paraId="1479B75C">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16.8电子响应文件的编制</w:t>
      </w:r>
    </w:p>
    <w:p w14:paraId="4E46BA5E">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16.</w:t>
      </w:r>
      <w:r>
        <w:rPr>
          <w:rFonts w:hint="eastAsia" w:cstheme="minorBidi"/>
          <w:i w:val="0"/>
          <w:iCs w:val="0"/>
          <w:color w:val="auto"/>
          <w:kern w:val="2"/>
          <w:sz w:val="24"/>
          <w:szCs w:val="22"/>
          <w:highlight w:val="none"/>
          <w:shd w:val="clear" w:color="auto" w:fill="FFFFFF" w:themeFill="background1"/>
          <w:lang w:val="en-US" w:eastAsia="zh-CN" w:bidi="ar-SA"/>
        </w:rPr>
        <w:t>8</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w:t>
      </w:r>
      <w:r>
        <w:rPr>
          <w:rFonts w:hint="eastAsia" w:cstheme="minorBidi"/>
          <w:i w:val="0"/>
          <w:iCs w:val="0"/>
          <w:color w:val="auto"/>
          <w:kern w:val="2"/>
          <w:sz w:val="24"/>
          <w:szCs w:val="22"/>
          <w:highlight w:val="none"/>
          <w:shd w:val="clear" w:color="auto" w:fill="FFFFFF" w:themeFill="background1"/>
          <w:lang w:val="en-US" w:eastAsia="zh-CN" w:bidi="ar-SA"/>
        </w:rPr>
        <w:t>被</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视为无效响应文件，</w:t>
      </w:r>
      <w:r>
        <w:rPr>
          <w:rFonts w:hint="eastAsia" w:ascii="宋体" w:hAnsi="宋体" w:eastAsia="宋体" w:cstheme="minorBidi"/>
          <w:b/>
          <w:bCs/>
          <w:i w:val="0"/>
          <w:iCs w:val="0"/>
          <w:color w:val="auto"/>
          <w:kern w:val="2"/>
          <w:sz w:val="24"/>
          <w:szCs w:val="22"/>
          <w:highlight w:val="none"/>
          <w:shd w:val="clear" w:color="auto" w:fill="FFFFFF" w:themeFill="background1"/>
          <w:lang w:val="en-US" w:eastAsia="zh-CN" w:bidi="ar-SA"/>
        </w:rPr>
        <w:t>其响应无效</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w:t>
      </w:r>
    </w:p>
    <w:p w14:paraId="7285275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8" w:name="_Toc470172684"/>
      <w:bookmarkStart w:id="249" w:name="_Toc46771659"/>
      <w:bookmarkStart w:id="250" w:name="_Toc109900390"/>
      <w:bookmarkStart w:id="251" w:name="_Toc109897453"/>
      <w:bookmarkStart w:id="252" w:name="_Toc109899552"/>
      <w:bookmarkStart w:id="253" w:name="_Toc109899971"/>
      <w:bookmarkStart w:id="254" w:name="_Toc24738"/>
      <w:bookmarkStart w:id="255" w:name="_Toc163493614"/>
      <w:r>
        <w:rPr>
          <w:rFonts w:hint="eastAsia" w:ascii="宋体" w:hAnsi="宋体" w:eastAsia="宋体" w:cs="宋体"/>
          <w:b/>
          <w:bCs/>
          <w:color w:val="auto"/>
          <w:kern w:val="2"/>
          <w:sz w:val="24"/>
          <w:szCs w:val="24"/>
          <w:highlight w:val="none"/>
          <w:lang w:val="en-US" w:eastAsia="zh-CN" w:bidi="ar-SA"/>
        </w:rPr>
        <w:t>（四）响应文件的</w:t>
      </w:r>
      <w:bookmarkEnd w:id="248"/>
      <w:bookmarkEnd w:id="249"/>
      <w:bookmarkEnd w:id="250"/>
      <w:bookmarkEnd w:id="251"/>
      <w:bookmarkEnd w:id="252"/>
      <w:bookmarkEnd w:id="253"/>
      <w:r>
        <w:rPr>
          <w:rFonts w:hint="eastAsia" w:ascii="宋体" w:hAnsi="宋体" w:eastAsia="宋体" w:cs="宋体"/>
          <w:b/>
          <w:bCs/>
          <w:color w:val="auto"/>
          <w:kern w:val="2"/>
          <w:sz w:val="24"/>
          <w:szCs w:val="24"/>
          <w:highlight w:val="none"/>
          <w:lang w:val="en-US" w:eastAsia="zh-CN" w:bidi="ar-SA"/>
        </w:rPr>
        <w:t>递交</w:t>
      </w:r>
      <w:bookmarkEnd w:id="254"/>
      <w:bookmarkEnd w:id="255"/>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6" w:name="_Toc109900070"/>
      <w:bookmarkStart w:id="257" w:name="_Toc109899651"/>
      <w:bookmarkStart w:id="258" w:name="_Toc109900489"/>
      <w:bookmarkStart w:id="259" w:name="_Toc109897552"/>
      <w:bookmarkStart w:id="260" w:name="_Toc156490296"/>
      <w:bookmarkStart w:id="261" w:name="_Toc155095707"/>
      <w:bookmarkStart w:id="262" w:name="_Toc109899652"/>
      <w:bookmarkStart w:id="263" w:name="_Toc109900071"/>
      <w:bookmarkStart w:id="264" w:name="_Toc109897553"/>
      <w:bookmarkStart w:id="265" w:name="_Toc109900490"/>
      <w:bookmarkStart w:id="266" w:name="_Toc156490297"/>
      <w:bookmarkStart w:id="267" w:name="_Toc155095708"/>
      <w:r>
        <w:rPr>
          <w:rFonts w:hint="eastAsia" w:ascii="宋体" w:hAnsi="宋体" w:eastAsia="宋体" w:cs="宋体"/>
          <w:b/>
          <w:bCs/>
          <w:color w:val="auto"/>
          <w:kern w:val="2"/>
          <w:sz w:val="24"/>
          <w:szCs w:val="24"/>
          <w:highlight w:val="none"/>
          <w:lang w:val="en-US" w:eastAsia="zh-CN" w:bidi="ar-SA"/>
        </w:rPr>
        <w:t>17.磋商保证金</w:t>
      </w:r>
    </w:p>
    <w:p w14:paraId="73827BBE">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597B8774">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theme="minorBidi"/>
          <w:b/>
          <w:bCs/>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w:t>
      </w:r>
      <w:r>
        <w:rPr>
          <w:rFonts w:hint="eastAsia" w:cstheme="minorBidi"/>
          <w:i w:val="0"/>
          <w:iCs w:val="0"/>
          <w:color w:val="auto"/>
          <w:kern w:val="2"/>
          <w:sz w:val="24"/>
          <w:szCs w:val="22"/>
          <w:highlight w:val="none"/>
          <w:shd w:val="clear" w:color="auto" w:fill="FFFFFF" w:themeFill="background1"/>
          <w:lang w:val="en-US" w:eastAsia="zh-CN" w:bidi="ar-SA"/>
        </w:rPr>
        <w:t>磋商文件</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要求提交磋商保证金的，</w:t>
      </w:r>
      <w:r>
        <w:rPr>
          <w:rFonts w:hint="eastAsia" w:cstheme="minorBidi"/>
          <w:i w:val="0"/>
          <w:iCs w:val="0"/>
          <w:color w:val="auto"/>
          <w:kern w:val="2"/>
          <w:sz w:val="24"/>
          <w:szCs w:val="22"/>
          <w:highlight w:val="none"/>
          <w:shd w:val="clear" w:color="auto" w:fill="FFFFFF" w:themeFill="background1"/>
          <w:lang w:val="en-US" w:eastAsia="zh-CN" w:bidi="ar-SA"/>
        </w:rPr>
        <w:t>其</w:t>
      </w:r>
      <w:r>
        <w:rPr>
          <w:rFonts w:hint="eastAsia" w:ascii="宋体" w:hAnsi="宋体" w:eastAsia="宋体" w:cstheme="minorBidi"/>
          <w:b/>
          <w:bCs/>
          <w:i w:val="0"/>
          <w:iCs w:val="0"/>
          <w:color w:val="auto"/>
          <w:kern w:val="2"/>
          <w:sz w:val="24"/>
          <w:szCs w:val="22"/>
          <w:highlight w:val="none"/>
          <w:shd w:val="clear" w:color="auto" w:fill="FFFFFF" w:themeFill="background1"/>
          <w:lang w:val="en-US" w:eastAsia="zh-CN" w:bidi="ar-SA"/>
        </w:rPr>
        <w:t>响应无效。</w:t>
      </w:r>
      <w:r>
        <w:rPr>
          <w:rFonts w:hint="eastAsia"/>
          <w:i w:val="0"/>
          <w:iCs w:val="0"/>
          <w:color w:val="auto"/>
          <w:highlight w:val="none"/>
          <w:lang w:val="en-US" w:eastAsia="zh-CN"/>
        </w:rPr>
        <w:t>磋商保证金有效期同响应文件有效期。</w:t>
      </w:r>
    </w:p>
    <w:p w14:paraId="2C5506AD">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宋体" w:hAnsi="宋体" w:eastAsia="宋体" w:cstheme="minorBidi"/>
          <w:b w:val="0"/>
          <w:bCs w:val="0"/>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theme="minorBidi"/>
          <w:b/>
          <w:bCs/>
          <w:i w:val="0"/>
          <w:iCs w:val="0"/>
          <w:color w:val="auto"/>
          <w:kern w:val="2"/>
          <w:sz w:val="24"/>
          <w:szCs w:val="22"/>
          <w:highlight w:val="none"/>
          <w:shd w:val="clear" w:color="auto" w:fill="FFFFFF" w:themeFill="background1"/>
          <w:lang w:val="en-US" w:eastAsia="zh-CN" w:bidi="ar-SA"/>
        </w:rPr>
        <w:t>其响应无效。</w:t>
      </w:r>
    </w:p>
    <w:p w14:paraId="4AA52D7E">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1</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7</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4</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 </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供应商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为联合体的，可以由联合体中的一方或者多方共同交纳</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保证金，其交纳的</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保证金对联合体各方均具有约束力。</w:t>
      </w:r>
    </w:p>
    <w:p w14:paraId="25D6B141">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17.5</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采购人或者采购代理机构应当在采购活动结束后及时退还供应商的磋商保证金，采用银行保函、担保机构担保函等形式递交的</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供应商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同意后采购人、采购代理机构可以不再退还，但因供应商自身原因导致无法及时退还的除外。未成交供应商的磋商保证金应当自</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成交</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通知书发出之日起 5 个工作日内退还，成交供应商的磋商保证金应当自采购合同签订之日起 5 个工作日内退还。 </w:t>
      </w:r>
    </w:p>
    <w:p w14:paraId="48C6EAF6">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1</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7</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6</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 </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供应商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在</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响应文件递交</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截止时间前撤回已</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提</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交的</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响应</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文件的，自收到</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供应商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书面撤回通知之日起 5 个工作日内，退还已收取的</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保证金，但因</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供应商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自身原因导致无法及时退还的除外</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 </w:t>
      </w:r>
    </w:p>
    <w:p w14:paraId="6C0BF0B3">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1</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7</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7</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 终止</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磋商的</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项目已经收取</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保证金的，自终止采购活动后5个工作日内退还已收取的</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磋商</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保证金及其在银行产生的孳息。</w:t>
      </w:r>
    </w:p>
    <w:p w14:paraId="4DB32745">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有下列情形之一的，磋商保证金不予退还</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w:t>
      </w:r>
      <w:r>
        <w:rPr>
          <w:rFonts w:hint="eastAsia" w:ascii="宋体" w:hAnsi="宋体" w:eastAsia="宋体" w:cs="宋体"/>
          <w:i w:val="0"/>
          <w:iCs w:val="0"/>
          <w:color w:val="auto"/>
          <w:kern w:val="2"/>
          <w:sz w:val="24"/>
          <w:szCs w:val="22"/>
          <w:highlight w:val="none"/>
        </w:rPr>
        <w:t>情节严重的将其列入不良记录名单</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 </w:t>
      </w:r>
    </w:p>
    <w:p w14:paraId="5C9DB4AF">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17.8.1</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供应商在提交响应文件截止时间后撤回响应文件的； </w:t>
      </w:r>
    </w:p>
    <w:p w14:paraId="6F6CEDEA">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17.8.2</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供应商在响应文件中提供虚假材料的； </w:t>
      </w:r>
    </w:p>
    <w:p w14:paraId="5E5A9216">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17.8.3</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除因不可抗力或磋商文件认可的情形以外，成交供应商不与采购人签订合同的； </w:t>
      </w:r>
    </w:p>
    <w:p w14:paraId="32224D53">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17.8.4</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 xml:space="preserve">供应商与采购人、其他供应商或者采购代理机构恶意串通的； </w:t>
      </w:r>
    </w:p>
    <w:p w14:paraId="224A39E4">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17.8.5</w:t>
      </w:r>
      <w:r>
        <w:rPr>
          <w:rFonts w:hint="default" w:ascii="宋体" w:hAnsi="宋体" w:eastAsia="宋体" w:cstheme="minorBidi"/>
          <w:i w:val="0"/>
          <w:iCs w:val="0"/>
          <w:color w:val="auto"/>
          <w:kern w:val="2"/>
          <w:sz w:val="24"/>
          <w:szCs w:val="22"/>
          <w:highlight w:val="none"/>
          <w:shd w:val="clear" w:color="auto" w:fill="FFFFFF" w:themeFill="background1"/>
          <w:lang w:val="en-US" w:eastAsia="zh-CN" w:bidi="ar-SA"/>
        </w:rPr>
        <w:t>磋商文件规定的其他</w:t>
      </w: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情形。</w:t>
      </w:r>
    </w:p>
    <w:p w14:paraId="69CC8DC7">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7018BCE4">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1F3A8C5E">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直达链接（电子保函）：</w:t>
      </w:r>
    </w:p>
    <w:p w14:paraId="15E30E92">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9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pPr>
      <w:r>
        <w:rPr>
          <w:rFonts w:hint="eastAsia" w:ascii="宋体" w:hAnsi="宋体" w:eastAsia="宋体" w:cstheme="minorBidi"/>
          <w:i w:val="0"/>
          <w:iCs w:val="0"/>
          <w:color w:val="auto"/>
          <w:kern w:val="2"/>
          <w:sz w:val="24"/>
          <w:szCs w:val="22"/>
          <w:highlight w:val="none"/>
          <w:shd w:val="clear" w:color="auto" w:fill="FFFFFF" w:themeFill="background1"/>
          <w:lang w:val="en-US" w:eastAsia="zh-CN" w:bidi="ar-SA"/>
        </w:rPr>
        <w:t xml:space="preserve">金融服务支撑热线：0991-2661159     </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18.响应文件的</w:t>
      </w:r>
      <w:bookmarkEnd w:id="256"/>
      <w:bookmarkEnd w:id="257"/>
      <w:bookmarkEnd w:id="258"/>
      <w:bookmarkEnd w:id="259"/>
      <w:r>
        <w:rPr>
          <w:rFonts w:hint="eastAsia" w:ascii="宋体" w:hAnsi="宋体" w:eastAsia="宋体" w:cs="宋体"/>
          <w:b/>
          <w:bCs/>
          <w:color w:val="auto"/>
          <w:kern w:val="2"/>
          <w:sz w:val="24"/>
          <w:szCs w:val="24"/>
          <w:highlight w:val="none"/>
          <w:lang w:val="en-US" w:eastAsia="zh-CN" w:bidi="ar-SA"/>
        </w:rPr>
        <w:t>加密</w:t>
      </w:r>
      <w:bookmarkEnd w:id="260"/>
      <w:bookmarkEnd w:id="261"/>
    </w:p>
    <w:p w14:paraId="105C769D">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i w:val="0"/>
          <w:iCs w:val="0"/>
          <w:snapToGrid w:val="0"/>
          <w:color w:val="auto"/>
          <w:highlight w:val="none"/>
          <w:lang w:val="zh-CN"/>
        </w:rPr>
        <w:t xml:space="preserve">18.1 </w:t>
      </w:r>
      <w:r>
        <w:rPr>
          <w:rFonts w:hint="eastAsia"/>
          <w:i w:val="0"/>
          <w:iCs w:val="0"/>
          <w:snapToGrid w:val="0"/>
          <w:color w:val="auto"/>
          <w:highlight w:val="none"/>
          <w:lang w:val="zh-CN"/>
        </w:rPr>
        <w:t>供应商在供应商客户端中生成响应文件并完成签章之后，使用CA证书在供应商客户端中对响应文件进行加密。</w:t>
      </w:r>
    </w:p>
    <w:p w14:paraId="0AE412D5">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i w:val="0"/>
          <w:iCs w:val="0"/>
          <w:snapToGrid w:val="0"/>
          <w:color w:val="auto"/>
          <w:highlight w:val="none"/>
          <w:lang w:val="zh-CN"/>
        </w:rPr>
        <w:t xml:space="preserve">18.2 </w:t>
      </w:r>
      <w:r>
        <w:rPr>
          <w:rFonts w:hint="eastAsia"/>
          <w:i w:val="0"/>
          <w:iCs w:val="0"/>
          <w:snapToGrid w:val="0"/>
          <w:color w:val="auto"/>
          <w:highlight w:val="none"/>
          <w:lang w:val="zh-CN"/>
        </w:rPr>
        <w:t>供应商应在供应商客户端中对加密的响应文件进行解密验证，以防止响应文件加密异常，在开启时无法解密。</w:t>
      </w:r>
    </w:p>
    <w:p w14:paraId="79A877BA">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i w:val="0"/>
          <w:iCs w:val="0"/>
          <w:snapToGrid w:val="0"/>
          <w:color w:val="auto"/>
          <w:highlight w:val="none"/>
          <w:lang w:val="zh-CN"/>
        </w:rPr>
        <w:t xml:space="preserve">18.3 </w:t>
      </w:r>
      <w:r>
        <w:rPr>
          <w:rFonts w:hint="eastAsia"/>
          <w:i w:val="0"/>
          <w:iCs w:val="0"/>
          <w:snapToGrid w:val="0"/>
          <w:color w:val="auto"/>
          <w:highlight w:val="none"/>
          <w:lang w:val="zh-CN"/>
        </w:rPr>
        <w:t>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cs="仿宋_GB2312"/>
          <w:i w:val="0"/>
          <w:iCs w:val="0"/>
          <w:color w:val="auto"/>
          <w:szCs w:val="24"/>
          <w:highlight w:val="none"/>
        </w:rPr>
      </w:pP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8</w:t>
      </w:r>
      <w:r>
        <w:rPr>
          <w:rFonts w:hint="eastAsia" w:cs="仿宋_GB2312"/>
          <w:i w:val="0"/>
          <w:iCs w:val="0"/>
          <w:color w:val="auto"/>
          <w:szCs w:val="24"/>
          <w:highlight w:val="none"/>
        </w:rPr>
        <w:t>.</w:t>
      </w:r>
      <w:r>
        <w:rPr>
          <w:rFonts w:hint="eastAsia" w:cs="仿宋_GB2312"/>
          <w:i w:val="0"/>
          <w:iCs w:val="0"/>
          <w:color w:val="auto"/>
          <w:szCs w:val="24"/>
          <w:highlight w:val="none"/>
          <w:lang w:val="en-US" w:eastAsia="zh-CN"/>
        </w:rPr>
        <w:t>4</w:t>
      </w:r>
      <w:r>
        <w:rPr>
          <w:rFonts w:hint="eastAsia"/>
          <w:i w:val="0"/>
          <w:iCs w:val="0"/>
          <w:snapToGrid w:val="0"/>
          <w:color w:val="auto"/>
          <w:highlight w:val="none"/>
          <w:lang w:val="zh-CN"/>
        </w:rPr>
        <w:t>供应商</w:t>
      </w:r>
      <w:r>
        <w:rPr>
          <w:rFonts w:hint="eastAsia" w:cs="仿宋_GB2312"/>
          <w:i w:val="0"/>
          <w:iCs w:val="0"/>
          <w:color w:val="auto"/>
          <w:szCs w:val="24"/>
          <w:highlight w:val="none"/>
        </w:rPr>
        <w:t>在</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lang w:eastAsia="zh-CN"/>
        </w:rPr>
        <w:t>文件</w:t>
      </w:r>
      <w:r>
        <w:rPr>
          <w:rFonts w:hint="eastAsia" w:cs="仿宋_GB2312"/>
          <w:i w:val="0"/>
          <w:iCs w:val="0"/>
          <w:color w:val="auto"/>
          <w:szCs w:val="24"/>
          <w:highlight w:val="none"/>
        </w:rPr>
        <w:t>递交截</w:t>
      </w:r>
      <w:r>
        <w:rPr>
          <w:rFonts w:hint="eastAsia" w:cs="仿宋_GB2312"/>
          <w:i w:val="0"/>
          <w:iCs w:val="0"/>
          <w:color w:val="auto"/>
          <w:szCs w:val="24"/>
          <w:highlight w:val="none"/>
          <w:lang w:val="en-US" w:eastAsia="zh-CN"/>
        </w:rPr>
        <w:t>止</w:t>
      </w:r>
      <w:r>
        <w:rPr>
          <w:rFonts w:hint="eastAsia" w:cs="仿宋_GB2312"/>
          <w:i w:val="0"/>
          <w:iCs w:val="0"/>
          <w:color w:val="auto"/>
          <w:szCs w:val="24"/>
          <w:highlight w:val="none"/>
        </w:rPr>
        <w:t>时间前通过</w:t>
      </w:r>
      <w:r>
        <w:rPr>
          <w:rFonts w:hint="eastAsia" w:cs="仿宋_GB2312"/>
          <w:i w:val="0"/>
          <w:iCs w:val="0"/>
          <w:color w:val="auto"/>
          <w:szCs w:val="24"/>
          <w:highlight w:val="none"/>
          <w:lang w:val="en-US" w:eastAsia="zh-CN"/>
        </w:rPr>
        <w:t>兵团</w:t>
      </w:r>
      <w:r>
        <w:rPr>
          <w:rFonts w:hint="eastAsia" w:cs="仿宋_GB2312"/>
          <w:i w:val="0"/>
          <w:iCs w:val="0"/>
          <w:color w:val="auto"/>
          <w:szCs w:val="24"/>
          <w:highlight w:val="none"/>
        </w:rPr>
        <w:t>政府采购网（http://ccgp-bingtuan.gov.cn/）的”政采云登录入口”登录后，将加密电子</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lang w:eastAsia="zh-CN"/>
        </w:rPr>
        <w:t>文件</w:t>
      </w:r>
      <w:r>
        <w:rPr>
          <w:rFonts w:hint="eastAsia" w:ascii="宋体" w:hAnsi="宋体" w:eastAsia="宋体" w:cs="仿宋_GB2312"/>
          <w:i w:val="0"/>
          <w:iCs w:val="0"/>
          <w:color w:val="auto"/>
          <w:szCs w:val="24"/>
          <w:highlight w:val="none"/>
        </w:rPr>
        <w:t>（为.jmbs后缀格式）</w:t>
      </w:r>
      <w:r>
        <w:rPr>
          <w:rFonts w:hint="eastAsia" w:cs="仿宋_GB2312"/>
          <w:i w:val="0"/>
          <w:iCs w:val="0"/>
          <w:color w:val="auto"/>
          <w:szCs w:val="24"/>
          <w:highlight w:val="none"/>
        </w:rPr>
        <w:t>上传到对应项目的指定位置</w:t>
      </w:r>
      <w:r>
        <w:rPr>
          <w:rFonts w:hint="eastAsia" w:cs="仿宋_GB2312"/>
          <w:i w:val="0"/>
          <w:iCs w:val="0"/>
          <w:color w:val="auto"/>
          <w:szCs w:val="24"/>
          <w:highlight w:val="none"/>
          <w:lang w:eastAsia="zh-CN"/>
        </w:rPr>
        <w:t>，</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认为有必要提交的其他资料请于</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lang w:eastAsia="zh-CN"/>
        </w:rPr>
        <w:t>文件</w:t>
      </w:r>
      <w:r>
        <w:rPr>
          <w:rFonts w:hint="eastAsia" w:cs="仿宋_GB2312"/>
          <w:i w:val="0"/>
          <w:iCs w:val="0"/>
          <w:color w:val="auto"/>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cs="仿宋_GB2312"/>
          <w:i w:val="0"/>
          <w:iCs w:val="0"/>
          <w:color w:val="auto"/>
          <w:szCs w:val="24"/>
          <w:highlight w:val="none"/>
        </w:rPr>
      </w:pP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8</w:t>
      </w:r>
      <w:r>
        <w:rPr>
          <w:rFonts w:hint="eastAsia" w:cs="仿宋_GB2312"/>
          <w:i w:val="0"/>
          <w:iCs w:val="0"/>
          <w:color w:val="auto"/>
          <w:szCs w:val="24"/>
          <w:highlight w:val="none"/>
        </w:rPr>
        <w:t>.</w:t>
      </w:r>
      <w:r>
        <w:rPr>
          <w:rFonts w:hint="eastAsia" w:cs="仿宋_GB2312"/>
          <w:i w:val="0"/>
          <w:iCs w:val="0"/>
          <w:color w:val="auto"/>
          <w:szCs w:val="24"/>
          <w:highlight w:val="none"/>
          <w:lang w:val="en-US" w:eastAsia="zh-CN"/>
        </w:rPr>
        <w:t>5</w:t>
      </w:r>
      <w:r>
        <w:rPr>
          <w:rFonts w:hint="eastAsia" w:cs="仿宋_GB2312"/>
          <w:i w:val="0"/>
          <w:iCs w:val="0"/>
          <w:color w:val="auto"/>
          <w:szCs w:val="24"/>
          <w:highlight w:val="none"/>
        </w:rPr>
        <w:t>如果</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未按上述要求</w:t>
      </w:r>
      <w:r>
        <w:rPr>
          <w:rFonts w:hint="eastAsia" w:cs="仿宋_GB2312"/>
          <w:i w:val="0"/>
          <w:iCs w:val="0"/>
          <w:color w:val="auto"/>
          <w:szCs w:val="24"/>
          <w:highlight w:val="none"/>
          <w:lang w:val="en-US" w:eastAsia="zh-CN"/>
        </w:rPr>
        <w:t>加密并上传</w:t>
      </w:r>
      <w:r>
        <w:rPr>
          <w:rFonts w:hint="eastAsia" w:cs="仿宋_GB2312"/>
          <w:i w:val="0"/>
          <w:iCs w:val="0"/>
          <w:color w:val="auto"/>
          <w:szCs w:val="24"/>
          <w:highlight w:val="none"/>
        </w:rPr>
        <w:t>，采购代理机构对</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文件的误投</w:t>
      </w:r>
      <w:r>
        <w:rPr>
          <w:rFonts w:hint="eastAsia" w:cs="仿宋_GB2312"/>
          <w:i w:val="0"/>
          <w:iCs w:val="0"/>
          <w:color w:val="auto"/>
          <w:szCs w:val="24"/>
          <w:highlight w:val="none"/>
          <w:lang w:eastAsia="zh-CN"/>
        </w:rPr>
        <w:t>、</w:t>
      </w:r>
      <w:r>
        <w:rPr>
          <w:rFonts w:hint="eastAsia" w:cs="仿宋_GB2312"/>
          <w:i w:val="0"/>
          <w:iCs w:val="0"/>
          <w:color w:val="auto"/>
          <w:szCs w:val="24"/>
          <w:highlight w:val="none"/>
          <w:lang w:val="en-US" w:eastAsia="zh-CN"/>
        </w:rPr>
        <w:t>无法解密、传输错误等问题</w:t>
      </w:r>
      <w:r>
        <w:rPr>
          <w:rFonts w:hint="eastAsia" w:cs="仿宋_GB2312"/>
          <w:i w:val="0"/>
          <w:iCs w:val="0"/>
          <w:color w:val="auto"/>
          <w:szCs w:val="24"/>
          <w:highlight w:val="none"/>
        </w:rPr>
        <w:t>概不负责。对由此造成</w:t>
      </w:r>
      <w:r>
        <w:rPr>
          <w:rFonts w:hint="eastAsia" w:cs="仿宋_GB2312"/>
          <w:i w:val="0"/>
          <w:iCs w:val="0"/>
          <w:color w:val="auto"/>
          <w:szCs w:val="24"/>
          <w:highlight w:val="none"/>
          <w:lang w:val="en-US" w:eastAsia="zh-CN"/>
        </w:rPr>
        <w:t>无法正常开启</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文件，采购代理机构有权予以拒绝，并退回</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w:t>
      </w:r>
    </w:p>
    <w:p w14:paraId="54A49319">
      <w:pPr>
        <w:pStyle w:val="37"/>
        <w:keepNext w:val="0"/>
        <w:keepLines w:val="0"/>
        <w:pageBreakBefore w:val="0"/>
        <w:widowControl w:val="0"/>
        <w:kinsoku/>
        <w:overflowPunct/>
        <w:topLinePunct w:val="0"/>
        <w:bidi w:val="0"/>
        <w:ind w:firstLine="480"/>
        <w:textAlignment w:val="auto"/>
        <w:rPr>
          <w:rFonts w:hint="eastAsia" w:cs="仿宋_GB2312"/>
          <w:i w:val="0"/>
          <w:iCs w:val="0"/>
          <w:color w:val="auto"/>
          <w:szCs w:val="24"/>
          <w:highlight w:val="none"/>
        </w:rPr>
      </w:pP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8</w:t>
      </w:r>
      <w:r>
        <w:rPr>
          <w:rFonts w:hint="eastAsia" w:cs="仿宋_GB2312"/>
          <w:i w:val="0"/>
          <w:iCs w:val="0"/>
          <w:color w:val="auto"/>
          <w:szCs w:val="24"/>
          <w:highlight w:val="none"/>
        </w:rPr>
        <w:t>.</w:t>
      </w:r>
      <w:r>
        <w:rPr>
          <w:rFonts w:hint="eastAsia" w:cs="仿宋_GB2312"/>
          <w:i w:val="0"/>
          <w:iCs w:val="0"/>
          <w:color w:val="auto"/>
          <w:szCs w:val="24"/>
          <w:highlight w:val="none"/>
          <w:lang w:val="en-US" w:eastAsia="zh-CN"/>
        </w:rPr>
        <w:t>6</w:t>
      </w:r>
      <w:r>
        <w:rPr>
          <w:rFonts w:hint="eastAsia" w:cs="仿宋_GB2312"/>
          <w:i w:val="0"/>
          <w:iCs w:val="0"/>
          <w:color w:val="auto"/>
          <w:szCs w:val="24"/>
          <w:highlight w:val="none"/>
        </w:rPr>
        <w:t>本项目采用不见面开</w:t>
      </w:r>
      <w:r>
        <w:rPr>
          <w:rFonts w:hint="eastAsia" w:cs="仿宋_GB2312"/>
          <w:i w:val="0"/>
          <w:iCs w:val="0"/>
          <w:color w:val="auto"/>
          <w:szCs w:val="24"/>
          <w:highlight w:val="none"/>
          <w:lang w:val="en-US" w:eastAsia="zh-CN"/>
        </w:rPr>
        <w:t>启</w:t>
      </w:r>
      <w:r>
        <w:rPr>
          <w:rFonts w:hint="eastAsia" w:cs="仿宋_GB2312"/>
          <w:i w:val="0"/>
          <w:iCs w:val="0"/>
          <w:color w:val="auto"/>
          <w:szCs w:val="24"/>
          <w:highlight w:val="none"/>
        </w:rPr>
        <w:t>方式，无需提供电子</w:t>
      </w:r>
      <w:r>
        <w:rPr>
          <w:rFonts w:hint="eastAsia" w:ascii="宋体" w:hAnsi="宋体" w:eastAsia="宋体" w:cs="仿宋_GB2312"/>
          <w:i w:val="0"/>
          <w:iCs w:val="0"/>
          <w:color w:val="auto"/>
          <w:szCs w:val="24"/>
          <w:highlight w:val="none"/>
          <w:lang w:val="en-US" w:eastAsia="zh-CN"/>
        </w:rPr>
        <w:t>响应</w:t>
      </w:r>
      <w:r>
        <w:rPr>
          <w:rFonts w:hint="eastAsia" w:ascii="宋体" w:hAnsi="宋体" w:eastAsia="宋体" w:cs="仿宋_GB2312"/>
          <w:i w:val="0"/>
          <w:iCs w:val="0"/>
          <w:color w:val="auto"/>
          <w:szCs w:val="24"/>
          <w:highlight w:val="none"/>
        </w:rPr>
        <w:t>文件U盘</w:t>
      </w:r>
      <w:r>
        <w:rPr>
          <w:rFonts w:hint="eastAsia" w:cs="仿宋_GB2312"/>
          <w:i w:val="0"/>
          <w:iCs w:val="0"/>
          <w:color w:val="auto"/>
          <w:szCs w:val="24"/>
          <w:highlight w:val="none"/>
        </w:rPr>
        <w:t>。</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19.响应文件的</w:t>
      </w:r>
      <w:bookmarkEnd w:id="262"/>
      <w:bookmarkEnd w:id="263"/>
      <w:bookmarkEnd w:id="264"/>
      <w:bookmarkEnd w:id="265"/>
      <w:r>
        <w:rPr>
          <w:rFonts w:hint="eastAsia" w:ascii="宋体" w:hAnsi="宋体" w:eastAsia="宋体" w:cs="宋体"/>
          <w:b/>
          <w:bCs/>
          <w:color w:val="auto"/>
          <w:kern w:val="2"/>
          <w:sz w:val="24"/>
          <w:szCs w:val="24"/>
          <w:highlight w:val="none"/>
          <w:lang w:val="en-US" w:eastAsia="zh-CN" w:bidi="ar-SA"/>
        </w:rPr>
        <w:t>递交</w:t>
      </w:r>
      <w:bookmarkEnd w:id="266"/>
      <w:bookmarkEnd w:id="267"/>
      <w:r>
        <w:rPr>
          <w:rFonts w:hint="eastAsia" w:ascii="宋体" w:hAnsi="宋体" w:eastAsia="宋体" w:cs="宋体"/>
          <w:b/>
          <w:bCs/>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19.1 供应商应在“</w:t>
      </w:r>
      <w:r>
        <w:rPr>
          <w:rFonts w:hint="eastAsia" w:cs="仿宋_GB2312"/>
          <w:i w:val="0"/>
          <w:iCs w:val="0"/>
          <w:color w:val="auto"/>
          <w:szCs w:val="24"/>
          <w:highlight w:val="none"/>
          <w:lang w:val="en-US" w:eastAsia="zh-CN"/>
        </w:rPr>
        <w:t>第一章 竞争性磋商公告</w:t>
      </w:r>
      <w:r>
        <w:rPr>
          <w:rFonts w:hint="eastAsia" w:cs="仿宋_GB2312"/>
          <w:i w:val="0"/>
          <w:iCs w:val="0"/>
          <w:color w:val="auto"/>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19.2 供应商递交（上传）响应文件的地点见“</w:t>
      </w:r>
      <w:r>
        <w:rPr>
          <w:rFonts w:hint="eastAsia" w:cs="仿宋_GB2312"/>
          <w:i w:val="0"/>
          <w:iCs w:val="0"/>
          <w:color w:val="auto"/>
          <w:szCs w:val="24"/>
          <w:highlight w:val="none"/>
          <w:lang w:val="en-US" w:eastAsia="zh-CN"/>
        </w:rPr>
        <w:t>第一章 竞争性磋商公告</w:t>
      </w:r>
      <w:r>
        <w:rPr>
          <w:rFonts w:hint="eastAsia" w:cs="仿宋_GB2312"/>
          <w:i w:val="0"/>
          <w:iCs w:val="0"/>
          <w:color w:val="auto"/>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cs="仿宋_GB2312"/>
          <w:i w:val="0"/>
          <w:iCs w:val="0"/>
          <w:color w:val="auto"/>
          <w:szCs w:val="24"/>
          <w:highlight w:val="none"/>
          <w:lang w:eastAsia="zh-CN"/>
        </w:rPr>
        <w:t>—</w:t>
      </w:r>
      <w:r>
        <w:rPr>
          <w:rFonts w:hint="eastAsia" w:cs="仿宋_GB2312"/>
          <w:i w:val="0"/>
          <w:iCs w:val="0"/>
          <w:color w:val="auto"/>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cs="仿宋_GB2312"/>
          <w:i w:val="0"/>
          <w:iCs w:val="0"/>
          <w:color w:val="auto"/>
          <w:szCs w:val="24"/>
          <w:highlight w:val="none"/>
        </w:rPr>
      </w:pPr>
      <w:r>
        <w:rPr>
          <w:rFonts w:hint="eastAsia" w:cs="仿宋_GB2312"/>
          <w:i w:val="0"/>
          <w:iCs w:val="0"/>
          <w:color w:val="auto"/>
          <w:szCs w:val="24"/>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8" w:name="_Toc155095709"/>
      <w:bookmarkStart w:id="269" w:name="_Toc156490298"/>
      <w:r>
        <w:rPr>
          <w:rFonts w:hint="eastAsia" w:ascii="宋体" w:hAnsi="宋体" w:eastAsia="宋体" w:cs="宋体"/>
          <w:b/>
          <w:bCs/>
          <w:color w:val="auto"/>
          <w:kern w:val="2"/>
          <w:sz w:val="24"/>
          <w:szCs w:val="24"/>
          <w:highlight w:val="none"/>
          <w:lang w:val="en-US" w:eastAsia="zh-CN" w:bidi="ar-SA"/>
        </w:rPr>
        <w:t>20.拒收</w:t>
      </w:r>
      <w:bookmarkEnd w:id="268"/>
      <w:bookmarkEnd w:id="269"/>
    </w:p>
    <w:p w14:paraId="6764A5C0">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i w:val="0"/>
          <w:iCs w:val="0"/>
          <w:snapToGrid w:val="0"/>
          <w:color w:val="auto"/>
          <w:highlight w:val="none"/>
          <w:lang w:val="zh-CN"/>
        </w:rPr>
        <w:t>20</w:t>
      </w:r>
      <w:r>
        <w:rPr>
          <w:rFonts w:hint="eastAsia"/>
          <w:i w:val="0"/>
          <w:iCs w:val="0"/>
          <w:snapToGrid w:val="0"/>
          <w:color w:val="auto"/>
          <w:highlight w:val="none"/>
          <w:lang w:val="zh-CN"/>
        </w:rPr>
        <w:t>.1超过递交响应文件的</w:t>
      </w:r>
      <w:r>
        <w:rPr>
          <w:i w:val="0"/>
          <w:iCs w:val="0"/>
          <w:snapToGrid w:val="0"/>
          <w:color w:val="auto"/>
          <w:highlight w:val="none"/>
          <w:lang w:val="zh-CN"/>
        </w:rPr>
        <w:t>截止时间</w:t>
      </w:r>
      <w:r>
        <w:rPr>
          <w:rFonts w:hint="eastAsia"/>
          <w:i w:val="0"/>
          <w:iCs w:val="0"/>
          <w:snapToGrid w:val="0"/>
          <w:color w:val="auto"/>
          <w:highlight w:val="none"/>
          <w:lang w:val="zh-CN"/>
        </w:rPr>
        <w:t>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0" w:name="_Toc109899654"/>
      <w:bookmarkStart w:id="271" w:name="_Toc109900073"/>
      <w:bookmarkStart w:id="272" w:name="_Toc155095710"/>
      <w:bookmarkStart w:id="273" w:name="_Toc109900492"/>
      <w:bookmarkStart w:id="274" w:name="_Toc156490299"/>
      <w:bookmarkStart w:id="275" w:name="_Toc109897555"/>
      <w:r>
        <w:rPr>
          <w:rFonts w:hint="eastAsia" w:ascii="宋体" w:hAnsi="宋体" w:eastAsia="宋体" w:cs="宋体"/>
          <w:b/>
          <w:bCs/>
          <w:color w:val="auto"/>
          <w:kern w:val="2"/>
          <w:sz w:val="24"/>
          <w:szCs w:val="24"/>
          <w:highlight w:val="none"/>
          <w:lang w:val="en-US" w:eastAsia="zh-CN" w:bidi="ar-SA"/>
        </w:rPr>
        <w:t>21.响应文件的修改与撤回</w:t>
      </w:r>
      <w:bookmarkEnd w:id="270"/>
      <w:bookmarkEnd w:id="271"/>
      <w:bookmarkEnd w:id="272"/>
      <w:bookmarkEnd w:id="273"/>
      <w:bookmarkEnd w:id="274"/>
      <w:bookmarkEnd w:id="275"/>
    </w:p>
    <w:p w14:paraId="059E1BF2">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zh-CN"/>
        </w:rPr>
      </w:pPr>
      <w:r>
        <w:rPr>
          <w:rFonts w:hint="eastAsia"/>
          <w:i w:val="0"/>
          <w:iCs w:val="0"/>
          <w:snapToGrid w:val="0"/>
          <w:color w:val="auto"/>
          <w:highlight w:val="none"/>
          <w:lang w:val="zh-CN"/>
        </w:rPr>
        <w:t>2</w:t>
      </w:r>
      <w:r>
        <w:rPr>
          <w:rFonts w:hint="eastAsia"/>
          <w:i w:val="0"/>
          <w:iCs w:val="0"/>
          <w:snapToGrid w:val="0"/>
          <w:color w:val="auto"/>
          <w:highlight w:val="none"/>
          <w:lang w:val="zh-CN" w:eastAsia="zh-CN"/>
        </w:rPr>
        <w:t>1</w:t>
      </w:r>
      <w:r>
        <w:rPr>
          <w:rFonts w:hint="eastAsia"/>
          <w:i w:val="0"/>
          <w:iCs w:val="0"/>
          <w:snapToGrid w:val="0"/>
          <w:color w:val="auto"/>
          <w:highlight w:val="none"/>
          <w:lang w:val="zh-CN"/>
        </w:rPr>
        <w:t>.1</w:t>
      </w:r>
      <w:bookmarkStart w:id="276" w:name="_Hlk143532466"/>
      <w:r>
        <w:rPr>
          <w:rFonts w:hint="eastAsia"/>
          <w:i w:val="0"/>
          <w:iCs w:val="0"/>
          <w:snapToGrid w:val="0"/>
          <w:color w:val="auto"/>
          <w:highlight w:val="none"/>
          <w:lang w:val="zh-CN" w:eastAsia="zh-CN"/>
        </w:rPr>
        <w:t>供应商</w:t>
      </w:r>
      <w:r>
        <w:rPr>
          <w:rFonts w:hint="eastAsia"/>
          <w:i w:val="0"/>
          <w:iCs w:val="0"/>
          <w:snapToGrid w:val="0"/>
          <w:color w:val="auto"/>
          <w:highlight w:val="none"/>
          <w:lang w:val="zh-CN"/>
        </w:rPr>
        <w:t>在</w:t>
      </w:r>
      <w:r>
        <w:rPr>
          <w:rFonts w:hint="eastAsia"/>
          <w:i w:val="0"/>
          <w:iCs w:val="0"/>
          <w:snapToGrid w:val="0"/>
          <w:color w:val="auto"/>
          <w:highlight w:val="none"/>
          <w:lang w:val="zh-CN" w:eastAsia="zh-CN"/>
        </w:rPr>
        <w:t>“</w:t>
      </w:r>
      <w:r>
        <w:rPr>
          <w:rFonts w:hint="eastAsia" w:cs="仿宋_GB2312"/>
          <w:i w:val="0"/>
          <w:iCs w:val="0"/>
          <w:color w:val="auto"/>
          <w:szCs w:val="24"/>
          <w:highlight w:val="none"/>
          <w:lang w:val="en-US" w:eastAsia="zh-CN"/>
        </w:rPr>
        <w:t>第一章 竞争性磋商公告</w:t>
      </w:r>
      <w:r>
        <w:rPr>
          <w:rFonts w:hint="eastAsia"/>
          <w:i w:val="0"/>
          <w:iCs w:val="0"/>
          <w:snapToGrid w:val="0"/>
          <w:color w:val="auto"/>
          <w:highlight w:val="none"/>
          <w:lang w:val="zh-CN" w:eastAsia="zh-CN"/>
        </w:rPr>
        <w:t>”</w:t>
      </w:r>
      <w:r>
        <w:rPr>
          <w:rFonts w:hint="eastAsia"/>
          <w:i w:val="0"/>
          <w:iCs w:val="0"/>
          <w:snapToGrid w:val="0"/>
          <w:color w:val="auto"/>
          <w:highlight w:val="none"/>
          <w:lang w:val="zh-CN"/>
        </w:rPr>
        <w:t>规定的</w:t>
      </w:r>
      <w:r>
        <w:rPr>
          <w:rFonts w:hint="eastAsia"/>
          <w:i w:val="0"/>
          <w:iCs w:val="0"/>
          <w:snapToGrid w:val="0"/>
          <w:color w:val="auto"/>
          <w:highlight w:val="none"/>
          <w:lang w:val="en-US" w:eastAsia="zh-CN"/>
        </w:rPr>
        <w:t>响应</w:t>
      </w:r>
      <w:r>
        <w:rPr>
          <w:rFonts w:hint="eastAsia"/>
          <w:i w:val="0"/>
          <w:iCs w:val="0"/>
          <w:snapToGrid w:val="0"/>
          <w:color w:val="auto"/>
          <w:highlight w:val="none"/>
          <w:lang w:val="zh-CN" w:eastAsia="zh-CN"/>
        </w:rPr>
        <w:t>文件</w:t>
      </w:r>
      <w:r>
        <w:rPr>
          <w:rFonts w:hint="eastAsia"/>
          <w:i w:val="0"/>
          <w:iCs w:val="0"/>
          <w:snapToGrid w:val="0"/>
          <w:color w:val="auto"/>
          <w:highlight w:val="none"/>
          <w:lang w:val="zh-CN"/>
        </w:rPr>
        <w:t>递交截止时间之前，可在兵团政府采购电子交易云平台上随时撤回已上传的电子</w:t>
      </w:r>
      <w:r>
        <w:rPr>
          <w:rFonts w:hint="eastAsia"/>
          <w:i w:val="0"/>
          <w:iCs w:val="0"/>
          <w:snapToGrid w:val="0"/>
          <w:color w:val="auto"/>
          <w:highlight w:val="none"/>
          <w:lang w:val="en-US" w:eastAsia="zh-CN"/>
        </w:rPr>
        <w:t>响应</w:t>
      </w:r>
      <w:r>
        <w:rPr>
          <w:rFonts w:hint="eastAsia"/>
          <w:i w:val="0"/>
          <w:iCs w:val="0"/>
          <w:snapToGrid w:val="0"/>
          <w:color w:val="auto"/>
          <w:highlight w:val="none"/>
          <w:lang w:val="zh-CN" w:eastAsia="zh-CN"/>
        </w:rPr>
        <w:t>文件</w:t>
      </w:r>
      <w:r>
        <w:rPr>
          <w:rFonts w:hint="eastAsia"/>
          <w:i w:val="0"/>
          <w:iCs w:val="0"/>
          <w:snapToGrid w:val="0"/>
          <w:color w:val="auto"/>
          <w:highlight w:val="none"/>
          <w:lang w:val="zh-CN"/>
        </w:rPr>
        <w:t>，将修改好的电子</w:t>
      </w:r>
      <w:r>
        <w:rPr>
          <w:rFonts w:hint="eastAsia"/>
          <w:i w:val="0"/>
          <w:iCs w:val="0"/>
          <w:snapToGrid w:val="0"/>
          <w:color w:val="auto"/>
          <w:highlight w:val="none"/>
          <w:lang w:val="en-US" w:eastAsia="zh-CN"/>
        </w:rPr>
        <w:t>响应</w:t>
      </w:r>
      <w:r>
        <w:rPr>
          <w:rFonts w:hint="eastAsia"/>
          <w:i w:val="0"/>
          <w:iCs w:val="0"/>
          <w:snapToGrid w:val="0"/>
          <w:color w:val="auto"/>
          <w:highlight w:val="none"/>
          <w:lang w:val="zh-CN" w:eastAsia="zh-CN"/>
        </w:rPr>
        <w:t>文件</w:t>
      </w:r>
      <w:r>
        <w:rPr>
          <w:rFonts w:hint="eastAsia"/>
          <w:i w:val="0"/>
          <w:iCs w:val="0"/>
          <w:snapToGrid w:val="0"/>
          <w:color w:val="auto"/>
          <w:highlight w:val="none"/>
          <w:lang w:val="zh-CN"/>
        </w:rPr>
        <w:t>在</w:t>
      </w:r>
      <w:r>
        <w:rPr>
          <w:rFonts w:hint="eastAsia"/>
          <w:i w:val="0"/>
          <w:iCs w:val="0"/>
          <w:snapToGrid w:val="0"/>
          <w:color w:val="auto"/>
          <w:highlight w:val="none"/>
          <w:lang w:val="en-US" w:eastAsia="zh-CN"/>
        </w:rPr>
        <w:t>响应</w:t>
      </w:r>
      <w:r>
        <w:rPr>
          <w:rFonts w:hint="eastAsia"/>
          <w:i w:val="0"/>
          <w:iCs w:val="0"/>
          <w:snapToGrid w:val="0"/>
          <w:color w:val="auto"/>
          <w:highlight w:val="none"/>
          <w:lang w:val="zh-CN" w:eastAsia="zh-CN"/>
        </w:rPr>
        <w:t>文件</w:t>
      </w:r>
      <w:r>
        <w:rPr>
          <w:rFonts w:hint="eastAsia"/>
          <w:i w:val="0"/>
          <w:iCs w:val="0"/>
          <w:snapToGrid w:val="0"/>
          <w:color w:val="auto"/>
          <w:highlight w:val="none"/>
          <w:lang w:val="zh-CN"/>
        </w:rPr>
        <w:t>递交截止时间前重新上传到兵团政府采购电子交易云平台的</w:t>
      </w:r>
      <w:r>
        <w:rPr>
          <w:rFonts w:hint="eastAsia"/>
          <w:i w:val="0"/>
          <w:iCs w:val="0"/>
          <w:snapToGrid w:val="0"/>
          <w:color w:val="auto"/>
          <w:highlight w:val="none"/>
          <w:lang w:val="zh-CN" w:eastAsia="zh-CN"/>
        </w:rPr>
        <w:t>指</w:t>
      </w:r>
      <w:r>
        <w:rPr>
          <w:rFonts w:hint="eastAsia"/>
          <w:i w:val="0"/>
          <w:iCs w:val="0"/>
          <w:snapToGrid w:val="0"/>
          <w:color w:val="auto"/>
          <w:highlight w:val="none"/>
          <w:lang w:val="zh-CN"/>
        </w:rPr>
        <w:t>定位置。</w:t>
      </w:r>
    </w:p>
    <w:bookmarkEnd w:id="276"/>
    <w:p w14:paraId="6B46A24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default" w:ascii="宋体" w:hAnsi="宋体" w:eastAsia="宋体" w:cs="宋体"/>
          <w:b/>
          <w:bCs/>
          <w:color w:val="auto"/>
          <w:kern w:val="2"/>
          <w:sz w:val="24"/>
          <w:szCs w:val="24"/>
          <w:highlight w:val="none"/>
          <w:lang w:val="en-US" w:eastAsia="zh-CN" w:bidi="ar-SA"/>
        </w:rPr>
      </w:pPr>
      <w:bookmarkStart w:id="277" w:name="_Toc163493615"/>
      <w:bookmarkStart w:id="278" w:name="_Toc2643"/>
      <w:bookmarkStart w:id="279" w:name="_Toc109897458"/>
      <w:bookmarkStart w:id="280" w:name="_Toc46771664"/>
      <w:bookmarkStart w:id="281" w:name="_Toc109899557"/>
      <w:bookmarkStart w:id="282" w:name="_Toc470172689"/>
      <w:bookmarkStart w:id="283" w:name="_Toc109899976"/>
      <w:bookmarkStart w:id="284" w:name="_Toc109900395"/>
      <w:r>
        <w:rPr>
          <w:rFonts w:hint="eastAsia" w:ascii="宋体" w:hAnsi="宋体" w:eastAsia="宋体" w:cs="宋体"/>
          <w:b/>
          <w:bCs/>
          <w:color w:val="auto"/>
          <w:kern w:val="2"/>
          <w:sz w:val="24"/>
          <w:szCs w:val="24"/>
          <w:highlight w:val="none"/>
          <w:lang w:val="en-US" w:eastAsia="zh-CN" w:bidi="ar-SA"/>
        </w:rPr>
        <w:t>（五）</w:t>
      </w:r>
      <w:bookmarkEnd w:id="277"/>
      <w:r>
        <w:rPr>
          <w:rFonts w:hint="eastAsia" w:ascii="宋体" w:hAnsi="宋体" w:eastAsia="宋体" w:cs="宋体"/>
          <w:b/>
          <w:bCs/>
          <w:color w:val="auto"/>
          <w:kern w:val="2"/>
          <w:sz w:val="24"/>
          <w:szCs w:val="24"/>
          <w:highlight w:val="none"/>
          <w:lang w:val="en-US" w:eastAsia="zh-CN" w:bidi="ar-SA"/>
        </w:rPr>
        <w:t>响应文件开启</w:t>
      </w:r>
      <w:bookmarkEnd w:id="278"/>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5" w:name="_Hlk161704700"/>
      <w:r>
        <w:rPr>
          <w:rFonts w:hint="eastAsia" w:ascii="宋体" w:hAnsi="宋体" w:eastAsia="宋体" w:cs="宋体"/>
          <w:b/>
          <w:bCs/>
          <w:color w:val="auto"/>
          <w:kern w:val="2"/>
          <w:sz w:val="24"/>
          <w:szCs w:val="24"/>
          <w:highlight w:val="none"/>
          <w:lang w:val="en-US" w:eastAsia="zh-CN" w:bidi="ar-SA"/>
        </w:rPr>
        <w:t>22.响应文件开启</w:t>
      </w:r>
    </w:p>
    <w:p w14:paraId="30320CCC">
      <w:pPr>
        <w:keepNext w:val="0"/>
        <w:keepLines w:val="0"/>
        <w:pageBreakBefore w:val="0"/>
        <w:widowControl w:val="0"/>
        <w:kinsoku/>
        <w:overflowPunct/>
        <w:topLinePunct w:val="0"/>
        <w:bidi w:val="0"/>
        <w:ind w:firstLine="480" w:firstLineChars="200"/>
        <w:textAlignment w:val="auto"/>
        <w:rPr>
          <w:rFonts w:cs="仿宋_GB2312"/>
          <w:bCs/>
          <w:i w:val="0"/>
          <w:iCs w:val="0"/>
          <w:color w:val="auto"/>
          <w:szCs w:val="24"/>
          <w:highlight w:val="none"/>
        </w:rPr>
      </w:pPr>
      <w:bookmarkStart w:id="286" w:name="_Toc140132781"/>
      <w:r>
        <w:rPr>
          <w:rFonts w:hint="eastAsia" w:cs="仿宋_GB2312"/>
          <w:i w:val="0"/>
          <w:iCs w:val="0"/>
          <w:color w:val="auto"/>
          <w:szCs w:val="24"/>
          <w:highlight w:val="none"/>
        </w:rPr>
        <w:t>2</w:t>
      </w:r>
      <w:r>
        <w:rPr>
          <w:rFonts w:hint="eastAsia" w:cs="仿宋_GB2312"/>
          <w:i w:val="0"/>
          <w:iCs w:val="0"/>
          <w:color w:val="auto"/>
          <w:szCs w:val="24"/>
          <w:highlight w:val="none"/>
          <w:lang w:val="en-US" w:eastAsia="zh-CN"/>
        </w:rPr>
        <w:t>2</w:t>
      </w:r>
      <w:r>
        <w:rPr>
          <w:rFonts w:hint="eastAsia" w:cs="仿宋_GB2312"/>
          <w:i w:val="0"/>
          <w:iCs w:val="0"/>
          <w:color w:val="auto"/>
          <w:szCs w:val="24"/>
          <w:highlight w:val="none"/>
        </w:rPr>
        <w:t>.1供应商应按照“</w:t>
      </w:r>
      <w:r>
        <w:rPr>
          <w:rFonts w:hint="eastAsia" w:cs="仿宋_GB2312"/>
          <w:i w:val="0"/>
          <w:iCs w:val="0"/>
          <w:color w:val="auto"/>
          <w:szCs w:val="24"/>
          <w:highlight w:val="none"/>
          <w:lang w:val="en-US" w:eastAsia="zh-CN"/>
        </w:rPr>
        <w:t>第一章 竞争性磋商公告</w:t>
      </w:r>
      <w:r>
        <w:rPr>
          <w:rFonts w:hint="eastAsia" w:cs="仿宋_GB2312"/>
          <w:i w:val="0"/>
          <w:iCs w:val="0"/>
          <w:color w:val="auto"/>
          <w:szCs w:val="24"/>
          <w:highlight w:val="none"/>
        </w:rPr>
        <w:t>”中的要求参与开启。</w:t>
      </w:r>
      <w:bookmarkEnd w:id="286"/>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7" w:name="_Toc140132782"/>
      <w:bookmarkStart w:id="288" w:name="_Toc161600316"/>
      <w:r>
        <w:rPr>
          <w:rFonts w:hint="eastAsia" w:ascii="宋体" w:hAnsi="宋体" w:eastAsia="宋体" w:cs="宋体"/>
          <w:b/>
          <w:bCs/>
          <w:color w:val="auto"/>
          <w:kern w:val="2"/>
          <w:sz w:val="24"/>
          <w:szCs w:val="24"/>
          <w:highlight w:val="none"/>
          <w:lang w:val="en-US" w:eastAsia="zh-CN" w:bidi="ar-SA"/>
        </w:rPr>
        <w:t>23.开启时间和地点</w:t>
      </w:r>
      <w:bookmarkEnd w:id="287"/>
      <w:bookmarkEnd w:id="288"/>
    </w:p>
    <w:p w14:paraId="19FC62D6">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2</w:t>
      </w:r>
      <w:r>
        <w:rPr>
          <w:rFonts w:hint="eastAsia" w:cs="仿宋_GB2312"/>
          <w:i w:val="0"/>
          <w:iCs w:val="0"/>
          <w:color w:val="auto"/>
          <w:szCs w:val="24"/>
          <w:highlight w:val="none"/>
          <w:lang w:val="en-US" w:eastAsia="zh-CN"/>
        </w:rPr>
        <w:t>3</w:t>
      </w:r>
      <w:r>
        <w:rPr>
          <w:rFonts w:hint="eastAsia" w:cs="仿宋_GB2312"/>
          <w:i w:val="0"/>
          <w:iCs w:val="0"/>
          <w:color w:val="auto"/>
          <w:szCs w:val="24"/>
          <w:highlight w:val="none"/>
        </w:rPr>
        <w:t>.1开启时间和地点</w:t>
      </w:r>
    </w:p>
    <w:p w14:paraId="74263C6D">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cs="仿宋_GB2312"/>
          <w:i w:val="0"/>
          <w:iCs w:val="0"/>
          <w:color w:val="auto"/>
          <w:szCs w:val="24"/>
          <w:highlight w:val="none"/>
        </w:rPr>
        <w:t>（1）</w:t>
      </w:r>
      <w:r>
        <w:rPr>
          <w:rFonts w:hint="eastAsia" w:cs="仿宋_GB2312"/>
          <w:i w:val="0"/>
          <w:iCs w:val="0"/>
          <w:color w:val="auto"/>
          <w:szCs w:val="24"/>
          <w:highlight w:val="none"/>
          <w:lang w:val="en-US" w:eastAsia="zh-CN"/>
        </w:rPr>
        <w:t>递交</w:t>
      </w:r>
      <w:r>
        <w:rPr>
          <w:rFonts w:hint="eastAsia" w:cs="仿宋_GB2312"/>
          <w:i w:val="0"/>
          <w:iCs w:val="0"/>
          <w:color w:val="auto"/>
          <w:szCs w:val="24"/>
          <w:highlight w:val="none"/>
        </w:rPr>
        <w:t>响应文件截止时间前，供应商登录供应商客户端，</w:t>
      </w:r>
      <w:r>
        <w:rPr>
          <w:rFonts w:cs="仿宋_GB2312"/>
          <w:i w:val="0"/>
          <w:iCs w:val="0"/>
          <w:snapToGrid w:val="0"/>
          <w:color w:val="auto"/>
          <w:highlight w:val="none"/>
          <w:lang w:val="zh-CN"/>
        </w:rPr>
        <w:t>通过</w:t>
      </w:r>
      <w:r>
        <w:rPr>
          <w:rFonts w:hint="eastAsia" w:cs="仿宋_GB2312"/>
          <w:i w:val="0"/>
          <w:iCs w:val="0"/>
          <w:snapToGrid w:val="0"/>
          <w:color w:val="auto"/>
          <w:highlight w:val="none"/>
          <w:lang w:val="zh-CN"/>
        </w:rPr>
        <w:t>供应商客户端</w:t>
      </w:r>
      <w:r>
        <w:rPr>
          <w:rFonts w:cs="仿宋_GB2312"/>
          <w:i w:val="0"/>
          <w:iCs w:val="0"/>
          <w:snapToGrid w:val="0"/>
          <w:color w:val="auto"/>
          <w:highlight w:val="none"/>
          <w:lang w:val="zh-CN"/>
        </w:rPr>
        <w:t>进入</w:t>
      </w:r>
      <w:r>
        <w:rPr>
          <w:rFonts w:hint="eastAsia" w:cs="仿宋_GB2312"/>
          <w:i w:val="0"/>
          <w:iCs w:val="0"/>
          <w:snapToGrid w:val="0"/>
          <w:color w:val="auto"/>
          <w:highlight w:val="none"/>
          <w:lang w:val="zh-CN"/>
        </w:rPr>
        <w:t>交易系统</w:t>
      </w:r>
      <w:r>
        <w:rPr>
          <w:rFonts w:cs="仿宋_GB2312"/>
          <w:i w:val="0"/>
          <w:iCs w:val="0"/>
          <w:color w:val="auto"/>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cs="仿宋_GB2312"/>
          <w:i w:val="0"/>
          <w:iCs w:val="0"/>
          <w:color w:val="auto"/>
          <w:szCs w:val="24"/>
          <w:highlight w:val="none"/>
        </w:rPr>
      </w:pPr>
      <w:r>
        <w:rPr>
          <w:rFonts w:hint="eastAsia"/>
          <w:i w:val="0"/>
          <w:iCs w:val="0"/>
          <w:color w:val="auto"/>
          <w:szCs w:val="24"/>
          <w:highlight w:val="none"/>
          <w:lang w:val="zh-CN"/>
        </w:rPr>
        <w:t>（2）在</w:t>
      </w:r>
      <w:r>
        <w:rPr>
          <w:rFonts w:hint="eastAsia" w:cs="仿宋_GB2312"/>
          <w:i w:val="0"/>
          <w:iCs w:val="0"/>
          <w:color w:val="auto"/>
          <w:szCs w:val="24"/>
          <w:highlight w:val="none"/>
        </w:rPr>
        <w:t>“</w:t>
      </w:r>
      <w:r>
        <w:rPr>
          <w:rFonts w:hint="eastAsia" w:cs="仿宋_GB2312"/>
          <w:i w:val="0"/>
          <w:iCs w:val="0"/>
          <w:color w:val="auto"/>
          <w:szCs w:val="24"/>
          <w:highlight w:val="none"/>
          <w:lang w:val="en-US" w:eastAsia="zh-CN"/>
        </w:rPr>
        <w:t>第一章 竞争性磋商公告</w:t>
      </w:r>
      <w:r>
        <w:rPr>
          <w:rFonts w:hint="eastAsia" w:cs="仿宋_GB2312"/>
          <w:i w:val="0"/>
          <w:iCs w:val="0"/>
          <w:color w:val="auto"/>
          <w:szCs w:val="24"/>
          <w:highlight w:val="none"/>
        </w:rPr>
        <w:t>”</w:t>
      </w:r>
      <w:r>
        <w:rPr>
          <w:rFonts w:hint="eastAsia"/>
          <w:i w:val="0"/>
          <w:iCs w:val="0"/>
          <w:color w:val="auto"/>
          <w:szCs w:val="24"/>
          <w:highlight w:val="none"/>
          <w:lang w:val="en-US" w:eastAsia="zh-CN"/>
        </w:rPr>
        <w:t>规</w:t>
      </w:r>
      <w:r>
        <w:rPr>
          <w:rFonts w:hint="eastAsia"/>
          <w:i w:val="0"/>
          <w:iCs w:val="0"/>
          <w:color w:val="auto"/>
          <w:szCs w:val="24"/>
          <w:highlight w:val="none"/>
          <w:lang w:val="zh-CN"/>
        </w:rPr>
        <w:t>定的</w:t>
      </w:r>
      <w:r>
        <w:rPr>
          <w:rFonts w:hint="eastAsia"/>
          <w:i w:val="0"/>
          <w:iCs w:val="0"/>
          <w:color w:val="auto"/>
          <w:szCs w:val="24"/>
          <w:highlight w:val="none"/>
          <w:lang w:val="en-US" w:eastAsia="zh-CN"/>
        </w:rPr>
        <w:t>递交</w:t>
      </w:r>
      <w:r>
        <w:rPr>
          <w:rFonts w:hint="eastAsia"/>
          <w:i w:val="0"/>
          <w:iCs w:val="0"/>
          <w:color w:val="auto"/>
          <w:szCs w:val="24"/>
          <w:highlight w:val="none"/>
          <w:lang w:val="zh-CN"/>
        </w:rPr>
        <w:t>响应文件截止时间、开启时间及地点，采购代理机构</w:t>
      </w:r>
      <w:r>
        <w:rPr>
          <w:rFonts w:hint="eastAsia" w:ascii="宋体" w:hAnsi="宋体" w:eastAsia="宋体"/>
          <w:i w:val="0"/>
          <w:iCs w:val="0"/>
          <w:color w:val="auto"/>
          <w:szCs w:val="24"/>
          <w:highlight w:val="none"/>
          <w:lang w:val="zh-CN"/>
        </w:rPr>
        <w:t>通过</w:t>
      </w:r>
      <w:r>
        <w:rPr>
          <w:rFonts w:hint="eastAsia" w:ascii="宋体" w:hAnsi="宋体" w:eastAsia="宋体"/>
          <w:i w:val="0"/>
          <w:iCs w:val="0"/>
          <w:color w:val="auto"/>
          <w:szCs w:val="24"/>
          <w:highlight w:val="none"/>
          <w:lang w:val="zh-CN" w:eastAsia="zh-CN"/>
        </w:rPr>
        <w:t>兵团政府采购电子交易云平台</w:t>
      </w:r>
      <w:r>
        <w:rPr>
          <w:rFonts w:hint="eastAsia" w:ascii="宋体" w:hAnsi="宋体" w:eastAsia="宋体" w:cs="宋体"/>
          <w:i w:val="0"/>
          <w:iCs w:val="0"/>
          <w:color w:val="auto"/>
          <w:kern w:val="2"/>
          <w:sz w:val="24"/>
          <w:szCs w:val="22"/>
          <w:highlight w:val="none"/>
        </w:rPr>
        <w:t>的“政采云远程开标大厅”</w:t>
      </w:r>
      <w:r>
        <w:rPr>
          <w:rFonts w:hint="eastAsia"/>
          <w:i w:val="0"/>
          <w:iCs w:val="0"/>
          <w:color w:val="auto"/>
          <w:szCs w:val="24"/>
          <w:highlight w:val="none"/>
          <w:lang w:val="zh-CN"/>
        </w:rPr>
        <w:t>组织响应文件开启工作。</w:t>
      </w:r>
    </w:p>
    <w:p w14:paraId="66534CB4">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2</w:t>
      </w:r>
      <w:r>
        <w:rPr>
          <w:rFonts w:hint="eastAsia"/>
          <w:i w:val="0"/>
          <w:iCs w:val="0"/>
          <w:color w:val="auto"/>
          <w:highlight w:val="none"/>
          <w:lang w:val="en-US" w:eastAsia="zh-CN"/>
        </w:rPr>
        <w:t>3</w:t>
      </w:r>
      <w:r>
        <w:rPr>
          <w:i w:val="0"/>
          <w:iCs w:val="0"/>
          <w:color w:val="auto"/>
          <w:highlight w:val="none"/>
        </w:rPr>
        <w:t>.2响应文件开启：</w:t>
      </w:r>
      <w:r>
        <w:rPr>
          <w:rFonts w:hint="eastAsia"/>
          <w:i w:val="0"/>
          <w:iCs w:val="0"/>
          <w:color w:val="auto"/>
          <w:highlight w:val="none"/>
          <w:lang w:val="en-US" w:eastAsia="zh-CN"/>
        </w:rPr>
        <w:t>递交</w:t>
      </w:r>
      <w:r>
        <w:rPr>
          <w:i w:val="0"/>
          <w:iCs w:val="0"/>
          <w:color w:val="auto"/>
          <w:highlight w:val="none"/>
        </w:rPr>
        <w:t>响应文件截止时间到后，工作人员启动开始解密指令，供应商应当按照“供应商须知前附表”规定及时进行响应文件解密，完成响应文件开启工作。</w:t>
      </w:r>
    </w:p>
    <w:p w14:paraId="77684B06">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2</w:t>
      </w:r>
      <w:r>
        <w:rPr>
          <w:rFonts w:hint="eastAsia"/>
          <w:i w:val="0"/>
          <w:iCs w:val="0"/>
          <w:color w:val="auto"/>
          <w:highlight w:val="none"/>
          <w:lang w:val="en-US" w:eastAsia="zh-CN"/>
        </w:rPr>
        <w:t>3</w:t>
      </w:r>
      <w:r>
        <w:rPr>
          <w:i w:val="0"/>
          <w:iCs w:val="0"/>
          <w:color w:val="auto"/>
          <w:highlight w:val="none"/>
        </w:rPr>
        <w:t>.3规定的时间内，非因</w:t>
      </w:r>
      <w:r>
        <w:rPr>
          <w:rFonts w:hint="eastAsia"/>
          <w:i w:val="0"/>
          <w:iCs w:val="0"/>
          <w:color w:val="auto"/>
          <w:highlight w:val="none"/>
          <w:lang w:val="zh-CN" w:eastAsia="zh-CN"/>
        </w:rPr>
        <w:t>兵团政府采购电子交易云平台</w:t>
      </w:r>
      <w:r>
        <w:rPr>
          <w:i w:val="0"/>
          <w:iCs w:val="0"/>
          <w:color w:val="auto"/>
          <w:highlight w:val="none"/>
        </w:rPr>
        <w:t>原因造成响应文件未解密的，视为供应商撤回响应文件。停止解密后，已解密开启的响应文件不足3家的，应当终止采购活动。</w:t>
      </w:r>
    </w:p>
    <w:p w14:paraId="46075363">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i w:val="0"/>
          <w:iCs w:val="0"/>
          <w:color w:val="auto"/>
          <w:highlight w:val="none"/>
        </w:rPr>
        <w:t>2</w:t>
      </w:r>
      <w:r>
        <w:rPr>
          <w:rFonts w:hint="eastAsia"/>
          <w:i w:val="0"/>
          <w:iCs w:val="0"/>
          <w:color w:val="auto"/>
          <w:highlight w:val="none"/>
          <w:lang w:val="en-US" w:eastAsia="zh-CN"/>
        </w:rPr>
        <w:t>3</w:t>
      </w:r>
      <w:r>
        <w:rPr>
          <w:i w:val="0"/>
          <w:iCs w:val="0"/>
          <w:color w:val="auto"/>
          <w:highlight w:val="none"/>
        </w:rPr>
        <w:t>.4供应商或其授权代表对响应文件开启过程有疑义的，以及认为采购人、</w:t>
      </w:r>
      <w:r>
        <w:rPr>
          <w:rFonts w:hint="eastAsia"/>
          <w:i w:val="0"/>
          <w:iCs w:val="0"/>
          <w:color w:val="auto"/>
          <w:highlight w:val="none"/>
        </w:rPr>
        <w:t>采购代理机构</w:t>
      </w:r>
      <w:r>
        <w:rPr>
          <w:i w:val="0"/>
          <w:iCs w:val="0"/>
          <w:color w:val="auto"/>
          <w:highlight w:val="none"/>
        </w:rPr>
        <w:t>相关工作人员有需要回避的情形的，</w:t>
      </w:r>
      <w:r>
        <w:rPr>
          <w:rFonts w:hint="eastAsia"/>
          <w:i w:val="0"/>
          <w:iCs w:val="0"/>
          <w:color w:val="auto"/>
          <w:highlight w:val="none"/>
        </w:rPr>
        <w:t>应在开</w:t>
      </w:r>
      <w:r>
        <w:rPr>
          <w:rFonts w:hint="eastAsia"/>
          <w:i w:val="0"/>
          <w:iCs w:val="0"/>
          <w:color w:val="auto"/>
          <w:highlight w:val="none"/>
          <w:lang w:val="en-US" w:eastAsia="zh-CN"/>
        </w:rPr>
        <w:t>启</w:t>
      </w:r>
      <w:r>
        <w:rPr>
          <w:rFonts w:hint="eastAsia"/>
          <w:i w:val="0"/>
          <w:iCs w:val="0"/>
          <w:color w:val="auto"/>
          <w:highlight w:val="none"/>
        </w:rPr>
        <w:t>会议中提出询问或者回避申请。采购人、采购代理机构对</w:t>
      </w:r>
      <w:r>
        <w:rPr>
          <w:rFonts w:hint="eastAsia"/>
          <w:i w:val="0"/>
          <w:iCs w:val="0"/>
          <w:color w:val="auto"/>
          <w:highlight w:val="none"/>
          <w:lang w:val="en-US" w:eastAsia="zh-CN"/>
        </w:rPr>
        <w:t>供应商</w:t>
      </w:r>
      <w:r>
        <w:rPr>
          <w:rFonts w:hint="eastAsia"/>
          <w:i w:val="0"/>
          <w:iCs w:val="0"/>
          <w:color w:val="auto"/>
          <w:highlight w:val="none"/>
        </w:rPr>
        <w:t>授权代表提出的询问或者回避申请应当及时处理。</w:t>
      </w:r>
    </w:p>
    <w:p w14:paraId="0486AA50">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2</w:t>
      </w:r>
      <w:r>
        <w:rPr>
          <w:rFonts w:hint="eastAsia"/>
          <w:i w:val="0"/>
          <w:iCs w:val="0"/>
          <w:color w:val="auto"/>
          <w:highlight w:val="none"/>
          <w:lang w:val="en-US" w:eastAsia="zh-CN"/>
        </w:rPr>
        <w:t>3</w:t>
      </w:r>
      <w:r>
        <w:rPr>
          <w:i w:val="0"/>
          <w:iCs w:val="0"/>
          <w:color w:val="auto"/>
          <w:highlight w:val="none"/>
        </w:rPr>
        <w:t>.</w:t>
      </w:r>
      <w:r>
        <w:rPr>
          <w:rFonts w:hint="eastAsia"/>
          <w:i w:val="0"/>
          <w:iCs w:val="0"/>
          <w:color w:val="auto"/>
          <w:highlight w:val="none"/>
          <w:lang w:val="en-US" w:eastAsia="zh-CN"/>
        </w:rPr>
        <w:t>5供应商</w:t>
      </w:r>
      <w:r>
        <w:rPr>
          <w:rFonts w:hint="eastAsia"/>
          <w:i w:val="0"/>
          <w:iCs w:val="0"/>
          <w:color w:val="auto"/>
          <w:highlight w:val="none"/>
        </w:rPr>
        <w:t>未参加开</w:t>
      </w:r>
      <w:r>
        <w:rPr>
          <w:rFonts w:hint="eastAsia"/>
          <w:i w:val="0"/>
          <w:iCs w:val="0"/>
          <w:color w:val="auto"/>
          <w:highlight w:val="none"/>
          <w:lang w:val="en-US" w:eastAsia="zh-CN"/>
        </w:rPr>
        <w:t>启</w:t>
      </w:r>
      <w:r>
        <w:rPr>
          <w:rFonts w:hint="eastAsia"/>
          <w:i w:val="0"/>
          <w:iCs w:val="0"/>
          <w:color w:val="auto"/>
          <w:highlight w:val="none"/>
        </w:rPr>
        <w:t>的，视同认可开</w:t>
      </w:r>
      <w:r>
        <w:rPr>
          <w:rFonts w:hint="eastAsia"/>
          <w:i w:val="0"/>
          <w:iCs w:val="0"/>
          <w:color w:val="auto"/>
          <w:highlight w:val="none"/>
          <w:lang w:val="en-US" w:eastAsia="zh-CN"/>
        </w:rPr>
        <w:t>启</w:t>
      </w:r>
      <w:r>
        <w:rPr>
          <w:rFonts w:hint="eastAsia"/>
          <w:i w:val="0"/>
          <w:iCs w:val="0"/>
          <w:color w:val="auto"/>
          <w:highlight w:val="none"/>
        </w:rPr>
        <w:t>结果。</w:t>
      </w:r>
    </w:p>
    <w:bookmarkEnd w:id="279"/>
    <w:bookmarkEnd w:id="280"/>
    <w:bookmarkEnd w:id="281"/>
    <w:bookmarkEnd w:id="282"/>
    <w:bookmarkEnd w:id="283"/>
    <w:bookmarkEnd w:id="284"/>
    <w:bookmarkEnd w:id="285"/>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9" w:name="_Toc25345"/>
      <w:bookmarkStart w:id="290" w:name="_Toc140132785"/>
      <w:bookmarkStart w:id="291" w:name="_Toc155185877"/>
      <w:bookmarkStart w:id="292" w:name="_Toc163492854"/>
      <w:r>
        <w:rPr>
          <w:rFonts w:hint="eastAsia" w:ascii="宋体" w:hAnsi="宋体" w:eastAsia="宋体" w:cs="宋体"/>
          <w:b/>
          <w:bCs/>
          <w:color w:val="auto"/>
          <w:kern w:val="2"/>
          <w:sz w:val="24"/>
          <w:szCs w:val="24"/>
          <w:highlight w:val="none"/>
          <w:lang w:val="en-US" w:eastAsia="zh-CN" w:bidi="ar-SA"/>
        </w:rPr>
        <w:t>（六）资格审查</w:t>
      </w:r>
      <w:bookmarkEnd w:id="289"/>
      <w:bookmarkEnd w:id="290"/>
      <w:bookmarkEnd w:id="291"/>
      <w:bookmarkEnd w:id="292"/>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3" w:name="_Toc163492855"/>
      <w:r>
        <w:rPr>
          <w:rFonts w:hint="eastAsia" w:ascii="宋体" w:hAnsi="宋体" w:eastAsia="宋体" w:cs="宋体"/>
          <w:b/>
          <w:bCs/>
          <w:color w:val="auto"/>
          <w:kern w:val="2"/>
          <w:sz w:val="24"/>
          <w:szCs w:val="24"/>
          <w:highlight w:val="none"/>
          <w:lang w:val="en-US" w:eastAsia="zh-CN" w:bidi="ar-SA"/>
        </w:rPr>
        <w:t>24.资格审查及审查主体</w:t>
      </w:r>
      <w:bookmarkEnd w:id="293"/>
    </w:p>
    <w:p w14:paraId="0D27F8C1">
      <w:pPr>
        <w:pStyle w:val="37"/>
        <w:keepNext w:val="0"/>
        <w:keepLines w:val="0"/>
        <w:pageBreakBefore w:val="0"/>
        <w:widowControl w:val="0"/>
        <w:kinsoku/>
        <w:overflowPunct/>
        <w:topLinePunct w:val="0"/>
        <w:bidi w:val="0"/>
        <w:ind w:firstLine="480"/>
        <w:textAlignment w:val="auto"/>
        <w:rPr>
          <w:i w:val="0"/>
          <w:iCs w:val="0"/>
          <w:color w:val="auto"/>
          <w:highlight w:val="none"/>
        </w:rPr>
      </w:pPr>
      <w:bookmarkStart w:id="294" w:name="_Toc140132786"/>
      <w:r>
        <w:rPr>
          <w:rFonts w:hint="eastAsia"/>
          <w:i w:val="0"/>
          <w:iCs w:val="0"/>
          <w:color w:val="auto"/>
          <w:highlight w:val="none"/>
        </w:rPr>
        <w:t>2</w:t>
      </w:r>
      <w:r>
        <w:rPr>
          <w:rFonts w:hint="eastAsia"/>
          <w:i w:val="0"/>
          <w:iCs w:val="0"/>
          <w:color w:val="auto"/>
          <w:highlight w:val="none"/>
          <w:lang w:val="en-US" w:eastAsia="zh-CN"/>
        </w:rPr>
        <w:t>4</w:t>
      </w:r>
      <w:r>
        <w:rPr>
          <w:rFonts w:hint="eastAsia"/>
          <w:i w:val="0"/>
          <w:iCs w:val="0"/>
          <w:color w:val="auto"/>
          <w:highlight w:val="none"/>
        </w:rPr>
        <w:t>.1</w:t>
      </w:r>
      <w:r>
        <w:rPr>
          <w:i w:val="0"/>
          <w:iCs w:val="0"/>
          <w:color w:val="auto"/>
          <w:highlight w:val="none"/>
        </w:rPr>
        <w:t>开</w:t>
      </w:r>
      <w:r>
        <w:rPr>
          <w:rFonts w:hint="eastAsia"/>
          <w:i w:val="0"/>
          <w:iCs w:val="0"/>
          <w:color w:val="auto"/>
          <w:highlight w:val="none"/>
          <w:lang w:val="en-US" w:eastAsia="zh-CN"/>
        </w:rPr>
        <w:t>启</w:t>
      </w:r>
      <w:r>
        <w:rPr>
          <w:i w:val="0"/>
          <w:iCs w:val="0"/>
          <w:color w:val="auto"/>
          <w:highlight w:val="none"/>
        </w:rPr>
        <w:t>结束后，</w:t>
      </w:r>
      <w:r>
        <w:rPr>
          <w:rFonts w:hint="eastAsia"/>
          <w:i w:val="0"/>
          <w:iCs w:val="0"/>
          <w:color w:val="auto"/>
          <w:highlight w:val="none"/>
          <w:lang w:val="en-US" w:eastAsia="zh-CN"/>
        </w:rPr>
        <w:t>磋商小组</w:t>
      </w:r>
      <w:r>
        <w:rPr>
          <w:i w:val="0"/>
          <w:iCs w:val="0"/>
          <w:color w:val="auto"/>
          <w:highlight w:val="none"/>
        </w:rPr>
        <w:t>依据法律法规和本</w:t>
      </w:r>
      <w:r>
        <w:rPr>
          <w:rFonts w:hint="eastAsia"/>
          <w:i w:val="0"/>
          <w:iCs w:val="0"/>
          <w:color w:val="auto"/>
          <w:highlight w:val="none"/>
          <w:lang w:val="en-US" w:eastAsia="zh-CN"/>
        </w:rPr>
        <w:t>竞争性磋商</w:t>
      </w:r>
      <w:r>
        <w:rPr>
          <w:i w:val="0"/>
          <w:iCs w:val="0"/>
          <w:color w:val="auto"/>
          <w:highlight w:val="none"/>
        </w:rPr>
        <w:t>文件的规定，依法对</w:t>
      </w:r>
      <w:r>
        <w:rPr>
          <w:rFonts w:hint="eastAsia"/>
          <w:i w:val="0"/>
          <w:iCs w:val="0"/>
          <w:color w:val="auto"/>
          <w:highlight w:val="none"/>
          <w:lang w:val="en-US" w:eastAsia="zh-CN"/>
        </w:rPr>
        <w:t>供应商</w:t>
      </w:r>
      <w:r>
        <w:rPr>
          <w:i w:val="0"/>
          <w:iCs w:val="0"/>
          <w:color w:val="auto"/>
          <w:highlight w:val="none"/>
        </w:rPr>
        <w:t>资格进行审查，以确定</w:t>
      </w:r>
      <w:r>
        <w:rPr>
          <w:rFonts w:hint="eastAsia"/>
          <w:i w:val="0"/>
          <w:iCs w:val="0"/>
          <w:color w:val="auto"/>
          <w:highlight w:val="none"/>
          <w:lang w:val="en-US" w:eastAsia="zh-CN"/>
        </w:rPr>
        <w:t>供应商</w:t>
      </w:r>
      <w:r>
        <w:rPr>
          <w:i w:val="0"/>
          <w:iCs w:val="0"/>
          <w:color w:val="auto"/>
          <w:highlight w:val="none"/>
        </w:rPr>
        <w:t>是否具备</w:t>
      </w:r>
      <w:r>
        <w:rPr>
          <w:rFonts w:hint="eastAsia"/>
          <w:i w:val="0"/>
          <w:iCs w:val="0"/>
          <w:color w:val="auto"/>
          <w:highlight w:val="none"/>
          <w:lang w:val="en-US" w:eastAsia="zh-CN"/>
        </w:rPr>
        <w:t>磋商</w:t>
      </w:r>
      <w:r>
        <w:rPr>
          <w:i w:val="0"/>
          <w:iCs w:val="0"/>
          <w:color w:val="auto"/>
          <w:highlight w:val="none"/>
        </w:rPr>
        <w:t>资格。</w:t>
      </w:r>
      <w:bookmarkEnd w:id="294"/>
    </w:p>
    <w:p w14:paraId="77AFBA72">
      <w:pPr>
        <w:pStyle w:val="37"/>
        <w:keepNext w:val="0"/>
        <w:keepLines w:val="0"/>
        <w:pageBreakBefore w:val="0"/>
        <w:widowControl w:val="0"/>
        <w:kinsoku/>
        <w:overflowPunct/>
        <w:topLinePunct w:val="0"/>
        <w:bidi w:val="0"/>
        <w:ind w:firstLine="480"/>
        <w:textAlignment w:val="auto"/>
        <w:rPr>
          <w:i w:val="0"/>
          <w:iCs w:val="0"/>
          <w:color w:val="auto"/>
          <w:highlight w:val="none"/>
        </w:rPr>
      </w:pPr>
      <w:bookmarkStart w:id="295" w:name="_Toc140132787"/>
      <w:r>
        <w:rPr>
          <w:i w:val="0"/>
          <w:iCs w:val="0"/>
          <w:color w:val="auto"/>
          <w:highlight w:val="none"/>
        </w:rPr>
        <w:t>2</w:t>
      </w:r>
      <w:r>
        <w:rPr>
          <w:rFonts w:hint="eastAsia"/>
          <w:i w:val="0"/>
          <w:iCs w:val="0"/>
          <w:color w:val="auto"/>
          <w:highlight w:val="none"/>
          <w:lang w:val="en-US" w:eastAsia="zh-CN"/>
        </w:rPr>
        <w:t>4</w:t>
      </w:r>
      <w:r>
        <w:rPr>
          <w:rFonts w:hint="eastAsia"/>
          <w:i w:val="0"/>
          <w:iCs w:val="0"/>
          <w:color w:val="auto"/>
          <w:highlight w:val="none"/>
        </w:rPr>
        <w:t>.2</w:t>
      </w:r>
      <w:r>
        <w:rPr>
          <w:i w:val="0"/>
          <w:iCs w:val="0"/>
          <w:color w:val="auto"/>
          <w:highlight w:val="none"/>
        </w:rPr>
        <w:t>资格审查</w:t>
      </w:r>
      <w:r>
        <w:rPr>
          <w:rFonts w:hint="eastAsia"/>
          <w:i w:val="0"/>
          <w:iCs w:val="0"/>
          <w:color w:val="auto"/>
          <w:highlight w:val="none"/>
        </w:rPr>
        <w:t>按“第四章</w:t>
      </w:r>
      <w:r>
        <w:rPr>
          <w:rFonts w:hint="eastAsia"/>
          <w:i w:val="0"/>
          <w:iCs w:val="0"/>
          <w:color w:val="auto"/>
          <w:highlight w:val="none"/>
          <w:lang w:val="en-US" w:eastAsia="zh-CN"/>
        </w:rPr>
        <w:t xml:space="preserve"> </w:t>
      </w:r>
      <w:r>
        <w:rPr>
          <w:rFonts w:cs="仿宋_GB2312"/>
          <w:i w:val="0"/>
          <w:iCs w:val="0"/>
          <w:snapToGrid w:val="0"/>
          <w:color w:val="auto"/>
          <w:highlight w:val="none"/>
          <w:lang w:val="zh-CN"/>
        </w:rPr>
        <w:t>评审</w:t>
      </w:r>
      <w:r>
        <w:rPr>
          <w:rFonts w:hint="eastAsia" w:cs="仿宋_GB2312"/>
          <w:i w:val="0"/>
          <w:iCs w:val="0"/>
          <w:snapToGrid w:val="0"/>
          <w:color w:val="auto"/>
          <w:highlight w:val="none"/>
          <w:lang w:val="en-US" w:eastAsia="zh-CN"/>
        </w:rPr>
        <w:t>方</w:t>
      </w:r>
      <w:r>
        <w:rPr>
          <w:rFonts w:cs="仿宋_GB2312"/>
          <w:i w:val="0"/>
          <w:iCs w:val="0"/>
          <w:snapToGrid w:val="0"/>
          <w:color w:val="auto"/>
          <w:highlight w:val="none"/>
          <w:lang w:val="zh-CN"/>
        </w:rPr>
        <w:t>法</w:t>
      </w:r>
      <w:r>
        <w:rPr>
          <w:rFonts w:hint="eastAsia" w:cs="仿宋_GB2312"/>
          <w:i w:val="0"/>
          <w:iCs w:val="0"/>
          <w:snapToGrid w:val="0"/>
          <w:color w:val="auto"/>
          <w:highlight w:val="none"/>
          <w:lang w:val="zh-CN"/>
        </w:rPr>
        <w:t>及标准</w:t>
      </w:r>
      <w:r>
        <w:rPr>
          <w:rFonts w:hint="eastAsia"/>
          <w:i w:val="0"/>
          <w:iCs w:val="0"/>
          <w:color w:val="auto"/>
          <w:highlight w:val="none"/>
        </w:rPr>
        <w:t>”的规定进行。</w:t>
      </w:r>
      <w:bookmarkEnd w:id="295"/>
    </w:p>
    <w:p w14:paraId="0706620E">
      <w:pPr>
        <w:pStyle w:val="37"/>
        <w:keepNext w:val="0"/>
        <w:keepLines w:val="0"/>
        <w:pageBreakBefore w:val="0"/>
        <w:widowControl w:val="0"/>
        <w:kinsoku/>
        <w:overflowPunct/>
        <w:topLinePunct w:val="0"/>
        <w:bidi w:val="0"/>
        <w:ind w:firstLine="480"/>
        <w:textAlignment w:val="auto"/>
        <w:rPr>
          <w:i w:val="0"/>
          <w:iCs w:val="0"/>
          <w:color w:val="auto"/>
          <w:highlight w:val="none"/>
        </w:rPr>
      </w:pPr>
      <w:bookmarkStart w:id="296" w:name="_Toc140132788"/>
      <w:r>
        <w:rPr>
          <w:i w:val="0"/>
          <w:iCs w:val="0"/>
          <w:color w:val="auto"/>
          <w:highlight w:val="none"/>
        </w:rPr>
        <w:t>2</w:t>
      </w:r>
      <w:r>
        <w:rPr>
          <w:rFonts w:hint="eastAsia"/>
          <w:i w:val="0"/>
          <w:iCs w:val="0"/>
          <w:color w:val="auto"/>
          <w:highlight w:val="none"/>
          <w:lang w:val="en-US" w:eastAsia="zh-CN"/>
        </w:rPr>
        <w:t>4</w:t>
      </w:r>
      <w:r>
        <w:rPr>
          <w:rFonts w:hint="eastAsia"/>
          <w:i w:val="0"/>
          <w:iCs w:val="0"/>
          <w:color w:val="auto"/>
          <w:highlight w:val="none"/>
        </w:rPr>
        <w:t>.3</w:t>
      </w:r>
      <w:r>
        <w:rPr>
          <w:i w:val="0"/>
          <w:iCs w:val="0"/>
          <w:color w:val="auto"/>
          <w:highlight w:val="none"/>
        </w:rPr>
        <w:t>资格审查结束后，应及时对资格审查结果进行复核，对资格审查错误进行及时纠正并记录。</w:t>
      </w:r>
      <w:bookmarkEnd w:id="296"/>
    </w:p>
    <w:p w14:paraId="450772BF">
      <w:pPr>
        <w:pStyle w:val="37"/>
        <w:keepNext w:val="0"/>
        <w:keepLines w:val="0"/>
        <w:pageBreakBefore w:val="0"/>
        <w:widowControl w:val="0"/>
        <w:kinsoku/>
        <w:overflowPunct/>
        <w:topLinePunct w:val="0"/>
        <w:bidi w:val="0"/>
        <w:ind w:firstLine="480"/>
        <w:textAlignment w:val="auto"/>
        <w:rPr>
          <w:rFonts w:hint="default"/>
          <w:i w:val="0"/>
          <w:iCs w:val="0"/>
          <w:color w:val="auto"/>
          <w:highlight w:val="none"/>
          <w:lang w:val="en-US" w:eastAsia="zh-CN"/>
        </w:rPr>
      </w:pPr>
      <w:r>
        <w:rPr>
          <w:rFonts w:hint="eastAsia"/>
          <w:i w:val="0"/>
          <w:iCs w:val="0"/>
          <w:color w:val="auto"/>
          <w:highlight w:val="none"/>
          <w:lang w:val="en-US" w:eastAsia="zh-CN"/>
        </w:rPr>
        <w:t>24.4</w:t>
      </w:r>
      <w:r>
        <w:rPr>
          <w:i w:val="0"/>
          <w:iCs w:val="0"/>
          <w:color w:val="auto"/>
          <w:highlight w:val="none"/>
        </w:rPr>
        <w:t>资格审查</w:t>
      </w:r>
      <w:r>
        <w:rPr>
          <w:rFonts w:hint="eastAsia"/>
          <w:i w:val="0"/>
          <w:iCs w:val="0"/>
          <w:color w:val="auto"/>
          <w:highlight w:val="none"/>
        </w:rPr>
        <w:t>合格</w:t>
      </w:r>
      <w:r>
        <w:rPr>
          <w:rFonts w:hint="eastAsia"/>
          <w:i w:val="0"/>
          <w:iCs w:val="0"/>
          <w:color w:val="auto"/>
          <w:highlight w:val="none"/>
          <w:lang w:val="en-US" w:eastAsia="zh-CN"/>
        </w:rPr>
        <w:t>供应商</w:t>
      </w:r>
      <w:r>
        <w:rPr>
          <w:rFonts w:hint="eastAsia"/>
          <w:i w:val="0"/>
          <w:iCs w:val="0"/>
          <w:color w:val="auto"/>
          <w:highlight w:val="none"/>
        </w:rPr>
        <w:t>不足3家的，不得评</w:t>
      </w:r>
      <w:r>
        <w:rPr>
          <w:rFonts w:hint="eastAsia"/>
          <w:i w:val="0"/>
          <w:iCs w:val="0"/>
          <w:color w:val="auto"/>
          <w:highlight w:val="none"/>
          <w:lang w:val="en-US" w:eastAsia="zh-CN"/>
        </w:rPr>
        <w:t>审</w:t>
      </w:r>
      <w:r>
        <w:rPr>
          <w:rFonts w:hint="eastAsia"/>
          <w:i w:val="0"/>
          <w:iCs w:val="0"/>
          <w:color w:val="auto"/>
          <w:highlight w:val="none"/>
        </w:rPr>
        <w:t>。</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7" w:name="_Toc140132789"/>
      <w:bookmarkStart w:id="298" w:name="_Toc163492856"/>
      <w:bookmarkStart w:id="299" w:name="_Toc155185878"/>
      <w:bookmarkStart w:id="300" w:name="_Toc9064"/>
      <w:r>
        <w:rPr>
          <w:rFonts w:hint="eastAsia" w:ascii="宋体" w:hAnsi="宋体" w:eastAsia="宋体" w:cs="宋体"/>
          <w:b/>
          <w:bCs/>
          <w:color w:val="auto"/>
          <w:kern w:val="2"/>
          <w:sz w:val="24"/>
          <w:szCs w:val="24"/>
          <w:highlight w:val="none"/>
          <w:lang w:val="en-US" w:eastAsia="zh-CN" w:bidi="ar-SA"/>
        </w:rPr>
        <w:t>（七）项目评</w:t>
      </w:r>
      <w:bookmarkEnd w:id="297"/>
      <w:bookmarkEnd w:id="298"/>
      <w:bookmarkEnd w:id="299"/>
      <w:r>
        <w:rPr>
          <w:rFonts w:hint="eastAsia" w:ascii="宋体" w:hAnsi="宋体" w:eastAsia="宋体" w:cs="宋体"/>
          <w:b/>
          <w:bCs/>
          <w:color w:val="auto"/>
          <w:kern w:val="2"/>
          <w:sz w:val="24"/>
          <w:szCs w:val="24"/>
          <w:highlight w:val="none"/>
          <w:lang w:val="en-US" w:eastAsia="zh-CN" w:bidi="ar-SA"/>
        </w:rPr>
        <w:t>审</w:t>
      </w:r>
      <w:bookmarkEnd w:id="300"/>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25.评审方法、程序及标准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cs="仿宋_GB2312"/>
          <w:i w:val="0"/>
          <w:iCs w:val="0"/>
          <w:snapToGrid w:val="0"/>
          <w:color w:val="auto"/>
          <w:highlight w:val="none"/>
          <w:lang w:val="en-US" w:eastAsia="zh-CN"/>
        </w:rPr>
      </w:pPr>
      <w:r>
        <w:rPr>
          <w:rFonts w:cs="仿宋_GB2312"/>
          <w:i w:val="0"/>
          <w:iCs w:val="0"/>
          <w:snapToGrid w:val="0"/>
          <w:color w:val="auto"/>
          <w:highlight w:val="none"/>
          <w:lang w:val="zh-CN"/>
        </w:rPr>
        <w:t>2</w:t>
      </w:r>
      <w:r>
        <w:rPr>
          <w:rFonts w:hint="eastAsia" w:cs="仿宋_GB2312"/>
          <w:i w:val="0"/>
          <w:iCs w:val="0"/>
          <w:snapToGrid w:val="0"/>
          <w:color w:val="auto"/>
          <w:highlight w:val="none"/>
          <w:lang w:val="en-US" w:eastAsia="zh-CN"/>
        </w:rPr>
        <w:t>5</w:t>
      </w:r>
      <w:r>
        <w:rPr>
          <w:rFonts w:cs="仿宋_GB2312"/>
          <w:i w:val="0"/>
          <w:iCs w:val="0"/>
          <w:snapToGrid w:val="0"/>
          <w:color w:val="auto"/>
          <w:highlight w:val="none"/>
          <w:lang w:val="zh-CN"/>
        </w:rPr>
        <w:t>.1</w:t>
      </w:r>
      <w:r>
        <w:rPr>
          <w:rFonts w:hint="eastAsia" w:cs="仿宋_GB2312"/>
          <w:i w:val="0"/>
          <w:iCs w:val="0"/>
          <w:snapToGrid w:val="0"/>
          <w:color w:val="auto"/>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cs="仿宋_GB2312"/>
          <w:i w:val="0"/>
          <w:iCs w:val="0"/>
          <w:snapToGrid w:val="0"/>
          <w:color w:val="auto"/>
          <w:highlight w:val="none"/>
          <w:lang w:val="zh-CN"/>
        </w:rPr>
      </w:pPr>
      <w:r>
        <w:rPr>
          <w:rFonts w:cs="仿宋_GB2312"/>
          <w:i w:val="0"/>
          <w:iCs w:val="0"/>
          <w:snapToGrid w:val="0"/>
          <w:color w:val="auto"/>
          <w:highlight w:val="none"/>
          <w:lang w:val="zh-CN" w:eastAsia="zh-CN"/>
        </w:rPr>
        <w:t>综合评分法，是指响应文件满足磋商文件全部实质性要求且按评审因素的量化</w:t>
      </w:r>
      <w:r>
        <w:rPr>
          <w:rFonts w:hint="eastAsia" w:cs="仿宋_GB2312"/>
          <w:i w:val="0"/>
          <w:iCs w:val="0"/>
          <w:snapToGrid w:val="0"/>
          <w:color w:val="auto"/>
          <w:highlight w:val="none"/>
          <w:lang w:val="zh-CN" w:eastAsia="zh-CN"/>
        </w:rPr>
        <w:t>指标评审得分最高的供应商为成交候选供应商的评审方法。</w:t>
      </w:r>
    </w:p>
    <w:p w14:paraId="22FC5B5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cs="仿宋_GB2312"/>
          <w:i w:val="0"/>
          <w:iCs w:val="0"/>
          <w:snapToGrid w:val="0"/>
          <w:color w:val="auto"/>
          <w:highlight w:val="none"/>
          <w:lang w:val="zh-CN"/>
        </w:rPr>
      </w:pPr>
      <w:r>
        <w:rPr>
          <w:rFonts w:hint="eastAsia" w:cs="仿宋_GB2312"/>
          <w:i w:val="0"/>
          <w:iCs w:val="0"/>
          <w:snapToGrid w:val="0"/>
          <w:color w:val="auto"/>
          <w:highlight w:val="none"/>
          <w:lang w:val="en-US" w:eastAsia="zh-CN"/>
        </w:rPr>
        <w:t>本</w:t>
      </w:r>
      <w:r>
        <w:rPr>
          <w:rFonts w:cs="仿宋_GB2312"/>
          <w:i w:val="0"/>
          <w:iCs w:val="0"/>
          <w:snapToGrid w:val="0"/>
          <w:color w:val="auto"/>
          <w:highlight w:val="none"/>
          <w:lang w:val="zh-CN"/>
        </w:rPr>
        <w:t>项目评审方法、程序及标准详见“第</w:t>
      </w:r>
      <w:r>
        <w:rPr>
          <w:rFonts w:hint="eastAsia" w:cs="仿宋_GB2312"/>
          <w:i w:val="0"/>
          <w:iCs w:val="0"/>
          <w:snapToGrid w:val="0"/>
          <w:color w:val="auto"/>
          <w:highlight w:val="none"/>
          <w:lang w:val="en-US" w:eastAsia="zh-CN"/>
        </w:rPr>
        <w:t>四</w:t>
      </w:r>
      <w:r>
        <w:rPr>
          <w:rFonts w:cs="仿宋_GB2312"/>
          <w:i w:val="0"/>
          <w:iCs w:val="0"/>
          <w:snapToGrid w:val="0"/>
          <w:color w:val="auto"/>
          <w:highlight w:val="none"/>
          <w:lang w:val="zh-CN"/>
        </w:rPr>
        <w:t>章 评审</w:t>
      </w:r>
      <w:r>
        <w:rPr>
          <w:rFonts w:hint="eastAsia" w:cs="仿宋_GB2312"/>
          <w:i w:val="0"/>
          <w:iCs w:val="0"/>
          <w:snapToGrid w:val="0"/>
          <w:color w:val="auto"/>
          <w:highlight w:val="none"/>
          <w:lang w:val="en-US" w:eastAsia="zh-CN"/>
        </w:rPr>
        <w:t>方</w:t>
      </w:r>
      <w:r>
        <w:rPr>
          <w:rFonts w:cs="仿宋_GB2312"/>
          <w:i w:val="0"/>
          <w:iCs w:val="0"/>
          <w:snapToGrid w:val="0"/>
          <w:color w:val="auto"/>
          <w:highlight w:val="none"/>
          <w:lang w:val="zh-CN"/>
        </w:rPr>
        <w:t>法</w:t>
      </w:r>
      <w:r>
        <w:rPr>
          <w:rFonts w:hint="eastAsia" w:cs="仿宋_GB2312"/>
          <w:i w:val="0"/>
          <w:iCs w:val="0"/>
          <w:snapToGrid w:val="0"/>
          <w:color w:val="auto"/>
          <w:highlight w:val="none"/>
          <w:lang w:val="zh-CN"/>
        </w:rPr>
        <w:t>及标准</w:t>
      </w:r>
      <w:r>
        <w:rPr>
          <w:rFonts w:cs="仿宋_GB2312"/>
          <w:i w:val="0"/>
          <w:iCs w:val="0"/>
          <w:snapToGrid w:val="0"/>
          <w:color w:val="auto"/>
          <w:highlight w:val="none"/>
          <w:lang w:val="zh-CN"/>
        </w:rPr>
        <w:t>”。</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ascii="宋体" w:hAnsi="宋体" w:eastAsia="宋体" w:cs="仿宋_GB2312"/>
          <w:i w:val="0"/>
          <w:iCs w:val="0"/>
          <w:snapToGrid w:val="0"/>
          <w:color w:val="auto"/>
          <w:highlight w:val="none"/>
          <w:lang w:val="zh-CN"/>
        </w:rPr>
      </w:pPr>
      <w:r>
        <w:rPr>
          <w:rFonts w:cs="仿宋_GB2312"/>
          <w:i w:val="0"/>
          <w:iCs w:val="0"/>
          <w:snapToGrid w:val="0"/>
          <w:color w:val="auto"/>
          <w:highlight w:val="none"/>
          <w:lang w:val="zh-CN"/>
        </w:rPr>
        <w:t>2</w:t>
      </w:r>
      <w:r>
        <w:rPr>
          <w:rFonts w:hint="eastAsia" w:cs="仿宋_GB2312"/>
          <w:i w:val="0"/>
          <w:iCs w:val="0"/>
          <w:snapToGrid w:val="0"/>
          <w:color w:val="auto"/>
          <w:highlight w:val="none"/>
          <w:lang w:val="en-US" w:eastAsia="zh-CN"/>
        </w:rPr>
        <w:t>5</w:t>
      </w:r>
      <w:r>
        <w:rPr>
          <w:rFonts w:cs="仿宋_GB2312"/>
          <w:i w:val="0"/>
          <w:iCs w:val="0"/>
          <w:snapToGrid w:val="0"/>
          <w:color w:val="auto"/>
          <w:highlight w:val="none"/>
          <w:lang w:val="zh-CN"/>
        </w:rPr>
        <w:t>.2磋商准备：供应商应当按照“</w:t>
      </w:r>
      <w:r>
        <w:rPr>
          <w:rFonts w:hint="eastAsia" w:cs="仿宋_GB2312"/>
          <w:i w:val="0"/>
          <w:iCs w:val="0"/>
          <w:snapToGrid w:val="0"/>
          <w:color w:val="auto"/>
          <w:highlight w:val="none"/>
          <w:lang w:val="zh-CN" w:eastAsia="zh-CN"/>
        </w:rPr>
        <w:t>第</w:t>
      </w:r>
      <w:r>
        <w:rPr>
          <w:rFonts w:hint="eastAsia" w:cs="仿宋_GB2312"/>
          <w:i w:val="0"/>
          <w:iCs w:val="0"/>
          <w:snapToGrid w:val="0"/>
          <w:color w:val="auto"/>
          <w:highlight w:val="none"/>
          <w:lang w:val="en-US" w:eastAsia="zh-CN"/>
        </w:rPr>
        <w:t>二</w:t>
      </w:r>
      <w:r>
        <w:rPr>
          <w:rFonts w:hint="eastAsia" w:cs="仿宋_GB2312"/>
          <w:i w:val="0"/>
          <w:iCs w:val="0"/>
          <w:snapToGrid w:val="0"/>
          <w:color w:val="auto"/>
          <w:highlight w:val="none"/>
          <w:lang w:val="zh-CN" w:eastAsia="zh-CN"/>
        </w:rPr>
        <w:t xml:space="preserve">章 </w:t>
      </w:r>
      <w:r>
        <w:rPr>
          <w:rFonts w:hint="eastAsia" w:cs="仿宋_GB2312"/>
          <w:i w:val="0"/>
          <w:iCs w:val="0"/>
          <w:snapToGrid w:val="0"/>
          <w:color w:val="auto"/>
          <w:highlight w:val="none"/>
          <w:lang w:val="en-US" w:eastAsia="zh-CN"/>
        </w:rPr>
        <w:t>供应商须知</w:t>
      </w:r>
      <w:r>
        <w:rPr>
          <w:rFonts w:cs="仿宋_GB2312"/>
          <w:i w:val="0"/>
          <w:iCs w:val="0"/>
          <w:snapToGrid w:val="0"/>
          <w:color w:val="auto"/>
          <w:highlight w:val="none"/>
          <w:lang w:val="zh-CN"/>
        </w:rPr>
        <w:t>”</w:t>
      </w:r>
      <w:r>
        <w:rPr>
          <w:rFonts w:hint="eastAsia" w:cs="仿宋_GB2312"/>
          <w:i w:val="0"/>
          <w:iCs w:val="0"/>
          <w:snapToGrid w:val="0"/>
          <w:color w:val="auto"/>
          <w:highlight w:val="none"/>
          <w:lang w:val="en-US" w:eastAsia="zh-CN"/>
        </w:rPr>
        <w:t>的</w:t>
      </w:r>
      <w:r>
        <w:rPr>
          <w:rFonts w:cs="仿宋_GB2312"/>
          <w:i w:val="0"/>
          <w:iCs w:val="0"/>
          <w:snapToGrid w:val="0"/>
          <w:color w:val="auto"/>
          <w:highlight w:val="none"/>
          <w:lang w:val="zh-CN"/>
        </w:rPr>
        <w:t>要求提前准备好磋商所需的设备，确保设备稳定可靠、互联网畅通</w:t>
      </w:r>
      <w:r>
        <w:rPr>
          <w:rFonts w:hint="eastAsia" w:cs="仿宋_GB2312"/>
          <w:i w:val="0"/>
          <w:iCs w:val="0"/>
          <w:snapToGrid w:val="0"/>
          <w:color w:val="auto"/>
          <w:highlight w:val="none"/>
          <w:lang w:val="zh-CN"/>
        </w:rPr>
        <w:t>。</w:t>
      </w:r>
      <w:r>
        <w:rPr>
          <w:rFonts w:hint="eastAsia" w:cs="仿宋_GB2312"/>
          <w:i w:val="0"/>
          <w:iCs w:val="0"/>
          <w:color w:val="auto"/>
          <w:szCs w:val="24"/>
          <w:highlight w:val="none"/>
        </w:rPr>
        <w:t>供应商登录供应商客户端，</w:t>
      </w:r>
      <w:r>
        <w:rPr>
          <w:rFonts w:cs="仿宋_GB2312"/>
          <w:i w:val="0"/>
          <w:iCs w:val="0"/>
          <w:snapToGrid w:val="0"/>
          <w:color w:val="auto"/>
          <w:highlight w:val="none"/>
          <w:lang w:val="zh-CN"/>
        </w:rPr>
        <w:t>通过</w:t>
      </w:r>
      <w:r>
        <w:rPr>
          <w:rFonts w:hint="eastAsia" w:cs="仿宋_GB2312"/>
          <w:i w:val="0"/>
          <w:iCs w:val="0"/>
          <w:snapToGrid w:val="0"/>
          <w:color w:val="auto"/>
          <w:highlight w:val="none"/>
          <w:lang w:val="zh-CN"/>
        </w:rPr>
        <w:t>供应商客户端</w:t>
      </w:r>
      <w:r>
        <w:rPr>
          <w:rFonts w:cs="仿宋_GB2312"/>
          <w:i w:val="0"/>
          <w:iCs w:val="0"/>
          <w:snapToGrid w:val="0"/>
          <w:color w:val="auto"/>
          <w:highlight w:val="none"/>
          <w:lang w:val="zh-CN"/>
        </w:rPr>
        <w:t>进入</w:t>
      </w:r>
      <w:r>
        <w:rPr>
          <w:rFonts w:hint="eastAsia" w:cs="仿宋_GB2312"/>
          <w:i w:val="0"/>
          <w:iCs w:val="0"/>
          <w:snapToGrid w:val="0"/>
          <w:color w:val="auto"/>
          <w:highlight w:val="none"/>
          <w:lang w:val="zh-CN"/>
        </w:rPr>
        <w:t>交易系统</w:t>
      </w:r>
      <w:r>
        <w:rPr>
          <w:rFonts w:cs="仿宋_GB2312"/>
          <w:i w:val="0"/>
          <w:iCs w:val="0"/>
          <w:snapToGrid w:val="0"/>
          <w:color w:val="auto"/>
          <w:highlight w:val="none"/>
          <w:lang w:val="zh-CN"/>
        </w:rPr>
        <w:t>“</w:t>
      </w:r>
      <w:r>
        <w:rPr>
          <w:rFonts w:hint="eastAsia" w:cs="仿宋_GB2312"/>
          <w:i w:val="0"/>
          <w:iCs w:val="0"/>
          <w:snapToGrid w:val="0"/>
          <w:color w:val="auto"/>
          <w:highlight w:val="none"/>
          <w:lang w:val="en-US" w:eastAsia="zh-CN"/>
        </w:rPr>
        <w:t>开</w:t>
      </w:r>
      <w:r>
        <w:rPr>
          <w:rFonts w:hint="eastAsia" w:cs="仿宋_GB2312"/>
          <w:i w:val="0"/>
          <w:iCs w:val="0"/>
          <w:snapToGrid w:val="0"/>
          <w:color w:val="auto"/>
          <w:highlight w:val="none"/>
          <w:lang w:val="zh-CN"/>
        </w:rPr>
        <w:t>标</w:t>
      </w:r>
      <w:r>
        <w:rPr>
          <w:rFonts w:cs="仿宋_GB2312"/>
          <w:i w:val="0"/>
          <w:iCs w:val="0"/>
          <w:snapToGrid w:val="0"/>
          <w:color w:val="auto"/>
          <w:highlight w:val="none"/>
          <w:lang w:val="zh-CN"/>
        </w:rPr>
        <w:t>大厅”，准时参加在线磋商，按照工作人员提示进行相关操作。未按上述要求进行的，导致的后果由供应</w:t>
      </w:r>
      <w:r>
        <w:rPr>
          <w:rFonts w:ascii="宋体" w:hAnsi="宋体" w:eastAsia="宋体" w:cs="仿宋_GB2312"/>
          <w:i w:val="0"/>
          <w:iCs w:val="0"/>
          <w:snapToGrid w:val="0"/>
          <w:color w:val="auto"/>
          <w:highlight w:val="none"/>
          <w:lang w:val="zh-CN"/>
        </w:rPr>
        <w:t>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default" w:ascii="宋体" w:hAnsi="宋体" w:eastAsia="宋体" w:cs="宋体"/>
          <w:b/>
          <w:bCs/>
          <w:color w:val="auto"/>
          <w:kern w:val="2"/>
          <w:sz w:val="24"/>
          <w:szCs w:val="24"/>
          <w:highlight w:val="none"/>
          <w:lang w:val="en-US" w:eastAsia="zh-CN" w:bidi="ar-SA"/>
        </w:rPr>
      </w:pPr>
      <w:bookmarkStart w:id="301" w:name="_Toc163492857"/>
      <w:bookmarkStart w:id="302" w:name="_Toc140132790"/>
      <w:r>
        <w:rPr>
          <w:rFonts w:hint="eastAsia" w:ascii="宋体" w:hAnsi="宋体" w:eastAsia="宋体" w:cs="宋体"/>
          <w:b/>
          <w:bCs/>
          <w:color w:val="auto"/>
          <w:kern w:val="2"/>
          <w:sz w:val="24"/>
          <w:szCs w:val="24"/>
          <w:highlight w:val="none"/>
          <w:lang w:val="en-US" w:eastAsia="zh-CN" w:bidi="ar-SA"/>
        </w:rPr>
        <w:t>26.</w:t>
      </w:r>
      <w:bookmarkEnd w:id="301"/>
      <w:bookmarkEnd w:id="302"/>
      <w:r>
        <w:rPr>
          <w:rFonts w:hint="eastAsia" w:ascii="宋体" w:hAnsi="宋体" w:eastAsia="宋体" w:cs="宋体"/>
          <w:b/>
          <w:bCs/>
          <w:color w:val="auto"/>
          <w:kern w:val="2"/>
          <w:sz w:val="24"/>
          <w:szCs w:val="24"/>
          <w:highlight w:val="none"/>
          <w:lang w:val="en-US" w:eastAsia="zh-CN" w:bidi="ar-SA"/>
        </w:rPr>
        <w:t>磋商小组</w:t>
      </w:r>
    </w:p>
    <w:p w14:paraId="13BA3C1A">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i w:val="0"/>
          <w:iCs w:val="0"/>
          <w:color w:val="auto"/>
          <w:highlight w:val="none"/>
        </w:rPr>
        <w:t>2</w:t>
      </w:r>
      <w:r>
        <w:rPr>
          <w:rFonts w:hint="eastAsia"/>
          <w:i w:val="0"/>
          <w:iCs w:val="0"/>
          <w:color w:val="auto"/>
          <w:highlight w:val="none"/>
          <w:lang w:val="en-US" w:eastAsia="zh-CN"/>
        </w:rPr>
        <w:t>6</w:t>
      </w:r>
      <w:r>
        <w:rPr>
          <w:rFonts w:hint="eastAsia"/>
          <w:i w:val="0"/>
          <w:iCs w:val="0"/>
          <w:color w:val="auto"/>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CA6B57">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i w:val="0"/>
          <w:iCs w:val="0"/>
          <w:color w:val="auto"/>
          <w:highlight w:val="none"/>
        </w:rPr>
        <w:t>2</w:t>
      </w:r>
      <w:r>
        <w:rPr>
          <w:rFonts w:hint="eastAsia"/>
          <w:i w:val="0"/>
          <w:iCs w:val="0"/>
          <w:color w:val="auto"/>
          <w:highlight w:val="none"/>
          <w:lang w:val="en-US" w:eastAsia="zh-CN"/>
        </w:rPr>
        <w:t>6</w:t>
      </w:r>
      <w:r>
        <w:rPr>
          <w:rFonts w:hint="eastAsia"/>
          <w:i w:val="0"/>
          <w:iCs w:val="0"/>
          <w:color w:val="auto"/>
          <w:highlight w:val="none"/>
        </w:rPr>
        <w:t>.2 磋商小组成员有下列情形之一的，应当回避：</w:t>
      </w:r>
    </w:p>
    <w:p w14:paraId="6184A7ED">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（1）参加采购活动前3年内与</w:t>
      </w:r>
      <w:r>
        <w:rPr>
          <w:rFonts w:hint="eastAsia"/>
          <w:i w:val="0"/>
          <w:iCs w:val="0"/>
          <w:color w:val="auto"/>
          <w:highlight w:val="none"/>
          <w:lang w:val="en-US" w:eastAsia="zh-CN"/>
        </w:rPr>
        <w:t>磋商供应商</w:t>
      </w:r>
      <w:r>
        <w:rPr>
          <w:rFonts w:hint="eastAsia"/>
          <w:i w:val="0"/>
          <w:iCs w:val="0"/>
          <w:color w:val="auto"/>
          <w:highlight w:val="none"/>
        </w:rPr>
        <w:t>存在劳动关系；</w:t>
      </w:r>
    </w:p>
    <w:p w14:paraId="655F14B3">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（2）参加采购活动前3年内担任</w:t>
      </w:r>
      <w:r>
        <w:rPr>
          <w:rFonts w:hint="eastAsia"/>
          <w:i w:val="0"/>
          <w:iCs w:val="0"/>
          <w:color w:val="auto"/>
          <w:highlight w:val="none"/>
          <w:lang w:val="en-US" w:eastAsia="zh-CN"/>
        </w:rPr>
        <w:t>磋商供应商</w:t>
      </w:r>
      <w:r>
        <w:rPr>
          <w:rFonts w:hint="eastAsia"/>
          <w:i w:val="0"/>
          <w:iCs w:val="0"/>
          <w:color w:val="auto"/>
          <w:highlight w:val="none"/>
        </w:rPr>
        <w:t>的董事、监事；</w:t>
      </w:r>
    </w:p>
    <w:p w14:paraId="0A4A464C">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（3）参加采购活动前3年内是</w:t>
      </w:r>
      <w:r>
        <w:rPr>
          <w:rFonts w:hint="eastAsia"/>
          <w:i w:val="0"/>
          <w:iCs w:val="0"/>
          <w:color w:val="auto"/>
          <w:highlight w:val="none"/>
          <w:lang w:val="en-US" w:eastAsia="zh-CN"/>
        </w:rPr>
        <w:t>磋商供应商</w:t>
      </w:r>
      <w:r>
        <w:rPr>
          <w:rFonts w:hint="eastAsia"/>
          <w:i w:val="0"/>
          <w:iCs w:val="0"/>
          <w:color w:val="auto"/>
          <w:highlight w:val="none"/>
        </w:rPr>
        <w:t>的控股股东或者实际控制人；</w:t>
      </w:r>
    </w:p>
    <w:p w14:paraId="5811B10D">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（4）与</w:t>
      </w:r>
      <w:r>
        <w:rPr>
          <w:rFonts w:hint="eastAsia"/>
          <w:i w:val="0"/>
          <w:iCs w:val="0"/>
          <w:color w:val="auto"/>
          <w:highlight w:val="none"/>
          <w:lang w:val="en-US" w:eastAsia="zh-CN"/>
        </w:rPr>
        <w:t>磋商供应商</w:t>
      </w:r>
      <w:r>
        <w:rPr>
          <w:rFonts w:hint="eastAsia"/>
          <w:i w:val="0"/>
          <w:iCs w:val="0"/>
          <w:color w:val="auto"/>
          <w:highlight w:val="none"/>
        </w:rPr>
        <w:t>的法定代表人或者负责人有夫妻、直系血亲、三代以内旁系血亲或者近姻亲关系；</w:t>
      </w:r>
    </w:p>
    <w:p w14:paraId="20FB9B78">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（5）与</w:t>
      </w:r>
      <w:r>
        <w:rPr>
          <w:rFonts w:hint="eastAsia"/>
          <w:i w:val="0"/>
          <w:iCs w:val="0"/>
          <w:color w:val="auto"/>
          <w:highlight w:val="none"/>
          <w:lang w:val="en-US" w:eastAsia="zh-CN"/>
        </w:rPr>
        <w:t>磋商供应商</w:t>
      </w:r>
      <w:r>
        <w:rPr>
          <w:rFonts w:hint="eastAsia"/>
          <w:i w:val="0"/>
          <w:iCs w:val="0"/>
          <w:color w:val="auto"/>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3" w:name="_Toc140132791"/>
      <w:bookmarkStart w:id="304" w:name="_Toc163492858"/>
      <w:r>
        <w:rPr>
          <w:rFonts w:hint="eastAsia" w:ascii="宋体" w:hAnsi="宋体" w:eastAsia="宋体" w:cs="宋体"/>
          <w:b/>
          <w:bCs/>
          <w:color w:val="auto"/>
          <w:kern w:val="2"/>
          <w:sz w:val="24"/>
          <w:szCs w:val="24"/>
          <w:highlight w:val="none"/>
          <w:lang w:val="en-US" w:eastAsia="zh-CN" w:bidi="ar-SA"/>
        </w:rPr>
        <w:t>27.</w:t>
      </w:r>
      <w:bookmarkEnd w:id="303"/>
      <w:bookmarkEnd w:id="304"/>
      <w:r>
        <w:rPr>
          <w:rFonts w:hint="eastAsia" w:ascii="宋体" w:hAnsi="宋体" w:eastAsia="宋体" w:cs="宋体"/>
          <w:b/>
          <w:bCs/>
          <w:color w:val="auto"/>
          <w:kern w:val="2"/>
          <w:sz w:val="24"/>
          <w:szCs w:val="24"/>
          <w:highlight w:val="none"/>
          <w:lang w:val="en-US" w:eastAsia="zh-CN" w:bidi="ar-SA"/>
        </w:rPr>
        <w:t>评审</w:t>
      </w:r>
    </w:p>
    <w:p w14:paraId="4C6C36B4">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lang w:val="en-US" w:eastAsia="zh-CN"/>
        </w:rPr>
        <w:t>27</w:t>
      </w:r>
      <w:r>
        <w:rPr>
          <w:rFonts w:hint="eastAsia"/>
          <w:i w:val="0"/>
          <w:iCs w:val="0"/>
          <w:color w:val="auto"/>
          <w:highlight w:val="none"/>
        </w:rPr>
        <w:t>.</w:t>
      </w:r>
      <w:r>
        <w:rPr>
          <w:rFonts w:hint="eastAsia"/>
          <w:i w:val="0"/>
          <w:iCs w:val="0"/>
          <w:color w:val="auto"/>
          <w:highlight w:val="none"/>
          <w:lang w:val="en-US" w:eastAsia="zh-CN"/>
        </w:rPr>
        <w:t xml:space="preserve">1 </w:t>
      </w:r>
      <w:r>
        <w:rPr>
          <w:rFonts w:hint="eastAsia"/>
          <w:i w:val="0"/>
          <w:iCs w:val="0"/>
          <w:color w:val="auto"/>
          <w:highlight w:val="none"/>
        </w:rPr>
        <w:t>磋商小组按照“第</w:t>
      </w:r>
      <w:r>
        <w:rPr>
          <w:rFonts w:hint="eastAsia"/>
          <w:i w:val="0"/>
          <w:iCs w:val="0"/>
          <w:color w:val="auto"/>
          <w:highlight w:val="none"/>
          <w:lang w:val="en-US" w:eastAsia="zh-CN"/>
        </w:rPr>
        <w:t>四</w:t>
      </w:r>
      <w:r>
        <w:rPr>
          <w:rFonts w:hint="eastAsia"/>
          <w:i w:val="0"/>
          <w:iCs w:val="0"/>
          <w:color w:val="auto"/>
          <w:highlight w:val="none"/>
        </w:rPr>
        <w:t>章</w:t>
      </w:r>
      <w:r>
        <w:rPr>
          <w:rFonts w:hint="eastAsia"/>
          <w:i w:val="0"/>
          <w:iCs w:val="0"/>
          <w:color w:val="auto"/>
          <w:highlight w:val="none"/>
          <w:lang w:val="en-US" w:eastAsia="zh-CN"/>
        </w:rPr>
        <w:t xml:space="preserve"> </w:t>
      </w:r>
      <w:r>
        <w:rPr>
          <w:rFonts w:hint="eastAsia"/>
          <w:i w:val="0"/>
          <w:iCs w:val="0"/>
          <w:color w:val="auto"/>
          <w:highlight w:val="none"/>
        </w:rPr>
        <w:t>评</w:t>
      </w:r>
      <w:r>
        <w:rPr>
          <w:rFonts w:hint="eastAsia"/>
          <w:i w:val="0"/>
          <w:iCs w:val="0"/>
          <w:color w:val="auto"/>
          <w:highlight w:val="none"/>
          <w:lang w:val="en-US" w:eastAsia="zh-CN"/>
        </w:rPr>
        <w:t>审</w:t>
      </w:r>
      <w:r>
        <w:rPr>
          <w:rFonts w:hint="eastAsia"/>
          <w:i w:val="0"/>
          <w:iCs w:val="0"/>
          <w:color w:val="auto"/>
          <w:highlight w:val="none"/>
        </w:rPr>
        <w:t>方法及标准”</w:t>
      </w:r>
      <w:r>
        <w:rPr>
          <w:rFonts w:hint="eastAsia"/>
          <w:i w:val="0"/>
          <w:iCs w:val="0"/>
          <w:color w:val="auto"/>
          <w:highlight w:val="none"/>
          <w:lang w:val="en-US" w:eastAsia="zh-CN"/>
        </w:rPr>
        <w:t>的</w:t>
      </w:r>
      <w:r>
        <w:rPr>
          <w:rFonts w:hint="eastAsia"/>
          <w:i w:val="0"/>
          <w:iCs w:val="0"/>
          <w:color w:val="auto"/>
          <w:highlight w:val="none"/>
        </w:rPr>
        <w:t>规定对</w:t>
      </w:r>
      <w:r>
        <w:rPr>
          <w:rFonts w:hint="eastAsia"/>
          <w:i w:val="0"/>
          <w:iCs w:val="0"/>
          <w:color w:val="auto"/>
          <w:highlight w:val="none"/>
          <w:lang w:val="en-US" w:eastAsia="zh-CN"/>
        </w:rPr>
        <w:t>响应</w:t>
      </w:r>
      <w:r>
        <w:rPr>
          <w:rFonts w:hint="eastAsia"/>
          <w:i w:val="0"/>
          <w:iCs w:val="0"/>
          <w:color w:val="auto"/>
          <w:highlight w:val="none"/>
        </w:rPr>
        <w:t>文件进行评审。“第</w:t>
      </w:r>
      <w:r>
        <w:rPr>
          <w:rFonts w:hint="eastAsia"/>
          <w:i w:val="0"/>
          <w:iCs w:val="0"/>
          <w:color w:val="auto"/>
          <w:highlight w:val="none"/>
          <w:lang w:val="en-US" w:eastAsia="zh-CN"/>
        </w:rPr>
        <w:t>四</w:t>
      </w:r>
      <w:r>
        <w:rPr>
          <w:rFonts w:hint="eastAsia"/>
          <w:i w:val="0"/>
          <w:iCs w:val="0"/>
          <w:color w:val="auto"/>
          <w:highlight w:val="none"/>
        </w:rPr>
        <w:t>章</w:t>
      </w:r>
      <w:r>
        <w:rPr>
          <w:rFonts w:hint="eastAsia"/>
          <w:i w:val="0"/>
          <w:iCs w:val="0"/>
          <w:color w:val="auto"/>
          <w:highlight w:val="none"/>
          <w:lang w:val="en-US" w:eastAsia="zh-CN"/>
        </w:rPr>
        <w:t xml:space="preserve"> </w:t>
      </w:r>
      <w:r>
        <w:rPr>
          <w:rFonts w:hint="eastAsia"/>
          <w:i w:val="0"/>
          <w:iCs w:val="0"/>
          <w:color w:val="auto"/>
          <w:highlight w:val="none"/>
        </w:rPr>
        <w:t>评</w:t>
      </w:r>
      <w:r>
        <w:rPr>
          <w:rFonts w:hint="eastAsia"/>
          <w:i w:val="0"/>
          <w:iCs w:val="0"/>
          <w:color w:val="auto"/>
          <w:highlight w:val="none"/>
          <w:lang w:val="en-US" w:eastAsia="zh-CN"/>
        </w:rPr>
        <w:t>审</w:t>
      </w:r>
      <w:r>
        <w:rPr>
          <w:rFonts w:hint="eastAsia"/>
          <w:i w:val="0"/>
          <w:iCs w:val="0"/>
          <w:color w:val="auto"/>
          <w:highlight w:val="none"/>
        </w:rPr>
        <w:t>方法及标准”没有规定的方法、评审因素和标准，不作为评</w:t>
      </w:r>
      <w:r>
        <w:rPr>
          <w:rFonts w:hint="eastAsia"/>
          <w:i w:val="0"/>
          <w:iCs w:val="0"/>
          <w:color w:val="auto"/>
          <w:highlight w:val="none"/>
          <w:lang w:val="en-US" w:eastAsia="zh-CN"/>
        </w:rPr>
        <w:t>审</w:t>
      </w:r>
      <w:r>
        <w:rPr>
          <w:rFonts w:hint="eastAsia"/>
          <w:i w:val="0"/>
          <w:iCs w:val="0"/>
          <w:color w:val="auto"/>
          <w:highlight w:val="none"/>
        </w:rPr>
        <w:t>依据。</w:t>
      </w:r>
    </w:p>
    <w:p w14:paraId="420234D7">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lang w:val="en-US" w:eastAsia="zh-CN"/>
        </w:rPr>
        <w:t>27</w:t>
      </w:r>
      <w:r>
        <w:rPr>
          <w:rFonts w:hint="eastAsia"/>
          <w:i w:val="0"/>
          <w:iCs w:val="0"/>
          <w:color w:val="auto"/>
          <w:highlight w:val="none"/>
        </w:rPr>
        <w:t>.</w:t>
      </w:r>
      <w:r>
        <w:rPr>
          <w:rFonts w:hint="eastAsia"/>
          <w:i w:val="0"/>
          <w:iCs w:val="0"/>
          <w:color w:val="auto"/>
          <w:highlight w:val="none"/>
          <w:lang w:val="en-US" w:eastAsia="zh-CN"/>
        </w:rPr>
        <w:t xml:space="preserve">2 </w:t>
      </w:r>
      <w:r>
        <w:rPr>
          <w:rFonts w:hint="eastAsia"/>
          <w:i w:val="0"/>
          <w:iCs w:val="0"/>
          <w:color w:val="auto"/>
          <w:highlight w:val="none"/>
        </w:rPr>
        <w:t>磋商小组按“</w:t>
      </w:r>
      <w:r>
        <w:rPr>
          <w:rFonts w:hint="eastAsia"/>
          <w:i w:val="0"/>
          <w:iCs w:val="0"/>
          <w:color w:val="auto"/>
          <w:highlight w:val="none"/>
          <w:lang w:val="en-US" w:eastAsia="zh-CN"/>
        </w:rPr>
        <w:t>供应商</w:t>
      </w:r>
      <w:r>
        <w:rPr>
          <w:rFonts w:hint="eastAsia"/>
          <w:i w:val="0"/>
          <w:iCs w:val="0"/>
          <w:color w:val="auto"/>
          <w:highlight w:val="none"/>
        </w:rPr>
        <w:t>须知前附表”规定的</w:t>
      </w:r>
      <w:r>
        <w:rPr>
          <w:rFonts w:hint="eastAsia"/>
          <w:i w:val="0"/>
          <w:iCs w:val="0"/>
          <w:color w:val="auto"/>
          <w:highlight w:val="none"/>
          <w:lang w:val="en-US" w:eastAsia="zh-CN"/>
        </w:rPr>
        <w:t>成交</w:t>
      </w:r>
      <w:r>
        <w:rPr>
          <w:rFonts w:hint="eastAsia"/>
          <w:i w:val="0"/>
          <w:iCs w:val="0"/>
          <w:color w:val="auto"/>
          <w:highlight w:val="none"/>
        </w:rPr>
        <w:t>候选人数量在评</w:t>
      </w:r>
      <w:r>
        <w:rPr>
          <w:rFonts w:hint="eastAsia"/>
          <w:i w:val="0"/>
          <w:iCs w:val="0"/>
          <w:color w:val="auto"/>
          <w:highlight w:val="none"/>
          <w:lang w:val="en-US" w:eastAsia="zh-CN"/>
        </w:rPr>
        <w:t>审</w:t>
      </w:r>
      <w:r>
        <w:rPr>
          <w:rFonts w:hint="eastAsia"/>
          <w:i w:val="0"/>
          <w:iCs w:val="0"/>
          <w:color w:val="auto"/>
          <w:highlight w:val="none"/>
        </w:rPr>
        <w:t>报告中向采购人推荐</w:t>
      </w:r>
      <w:r>
        <w:rPr>
          <w:rFonts w:hint="eastAsia"/>
          <w:i w:val="0"/>
          <w:iCs w:val="0"/>
          <w:color w:val="auto"/>
          <w:highlight w:val="none"/>
          <w:lang w:val="en-US" w:eastAsia="zh-CN"/>
        </w:rPr>
        <w:t>成交</w:t>
      </w:r>
      <w:r>
        <w:rPr>
          <w:rFonts w:hint="eastAsia"/>
          <w:i w:val="0"/>
          <w:iCs w:val="0"/>
          <w:color w:val="auto"/>
          <w:highlight w:val="none"/>
        </w:rPr>
        <w:t>候选人。</w:t>
      </w:r>
    </w:p>
    <w:p w14:paraId="06FF185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27.3 开启之后，直到签订合同止，凡是属于审查、澄清、评价和比较磋商的有关资料以及确定成交意向等，均不得向供应商或者其他与评审无关的人员透露。</w:t>
      </w:r>
    </w:p>
    <w:p w14:paraId="1655FB62">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27.4 在确定成交人之前，供应商试图在响应文件审查、澄清、比较和评审时对</w:t>
      </w:r>
      <w:r>
        <w:rPr>
          <w:rFonts w:hint="eastAsia"/>
          <w:i w:val="0"/>
          <w:iCs w:val="0"/>
          <w:color w:val="auto"/>
          <w:highlight w:val="none"/>
        </w:rPr>
        <w:t>磋商小组</w:t>
      </w:r>
      <w:r>
        <w:rPr>
          <w:rFonts w:hint="eastAsia"/>
          <w:i w:val="0"/>
          <w:iCs w:val="0"/>
          <w:color w:val="auto"/>
          <w:highlight w:val="none"/>
          <w:lang w:val="en-US" w:eastAsia="zh-CN"/>
        </w:rPr>
        <w:t>、采购人和采购代理机构施加任何影响都可能导致其</w:t>
      </w:r>
      <w:r>
        <w:rPr>
          <w:rFonts w:hint="eastAsia"/>
          <w:b/>
          <w:bCs/>
          <w:i w:val="0"/>
          <w:iCs w:val="0"/>
          <w:color w:val="auto"/>
          <w:highlight w:val="none"/>
          <w:lang w:val="en-US" w:eastAsia="zh-CN"/>
        </w:rPr>
        <w:t>响应无效</w:t>
      </w:r>
      <w:r>
        <w:rPr>
          <w:rFonts w:hint="eastAsia"/>
          <w:i w:val="0"/>
          <w:iCs w:val="0"/>
          <w:color w:val="auto"/>
          <w:highlight w:val="none"/>
          <w:lang w:val="en-US" w:eastAsia="zh-CN"/>
        </w:rPr>
        <w:t>。</w:t>
      </w:r>
    </w:p>
    <w:p w14:paraId="67DE196B">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27.5 电子招投标的应急措施</w:t>
      </w:r>
    </w:p>
    <w:p w14:paraId="40C422BF">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27.5.1电子开启、评审如出现下列原因，导致系统无法正常运行或无法正常评审时，应采取应急措施。</w:t>
      </w:r>
    </w:p>
    <w:p w14:paraId="4420F39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（1）系统服务器发生故障，无法访问或无法使用系统；</w:t>
      </w:r>
    </w:p>
    <w:p w14:paraId="28E034B3">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（2）系统的软件或数据库出现错误，不能进行正常操作；</w:t>
      </w:r>
    </w:p>
    <w:p w14:paraId="08E58AC6">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（3）系统发现有安全漏洞，有潜在的泄密危险；</w:t>
      </w:r>
    </w:p>
    <w:p w14:paraId="1C5B7708">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（4）病毒发作或受到外来病毒的攻击；</w:t>
      </w:r>
    </w:p>
    <w:p w14:paraId="45AC1753">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（5）出现其他不可抗拒的客观原因造成开评标系统无法正常使用。</w:t>
      </w:r>
    </w:p>
    <w:p w14:paraId="7B05A5B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出现上述情况时，应对未开启的暂停开启。已在系统内开启、评审的立即停止。采取应急措施时，必须对原有资料及信息作出妥善保密处理。</w:t>
      </w:r>
    </w:p>
    <w:p w14:paraId="3C2F79F8">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27.5.2因系统原因导致供应商均无法解密电子响应文件时，采购代理机构可在开启现场直接导入供应商在递交响应文件截止时间前递交的未加密的电子响应文件进行开启、评审。</w:t>
      </w:r>
    </w:p>
    <w:p w14:paraId="280DDAB9">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lang w:val="en-US" w:eastAsia="zh-CN"/>
        </w:rPr>
      </w:pPr>
      <w:r>
        <w:rPr>
          <w:rFonts w:hint="eastAsia"/>
          <w:i w:val="0"/>
          <w:iCs w:val="0"/>
          <w:color w:val="auto"/>
          <w:highlight w:val="none"/>
          <w:lang w:val="en-US" w:eastAsia="zh-CN"/>
        </w:rPr>
        <w:t>27.6 供应商瑕疵滞后发现的处理规则</w:t>
      </w:r>
    </w:p>
    <w:p w14:paraId="11E85EA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en-US" w:eastAsia="zh-CN"/>
        </w:rPr>
      </w:pPr>
      <w:r>
        <w:rPr>
          <w:rFonts w:hint="eastAsia"/>
          <w:i w:val="0"/>
          <w:iCs w:val="0"/>
          <w:color w:val="auto"/>
          <w:highlight w:val="none"/>
          <w:lang w:val="en-US" w:eastAsia="zh-CN"/>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w:t>
      </w:r>
      <w:r>
        <w:rPr>
          <w:rFonts w:hint="eastAsia" w:ascii="宋体" w:hAnsi="宋体" w:eastAsia="宋体"/>
          <w:i w:val="0"/>
          <w:iCs w:val="0"/>
          <w:color w:val="auto"/>
          <w:highlight w:val="none"/>
          <w:lang w:val="en-US" w:eastAsia="zh-CN"/>
        </w:rPr>
        <w:t>承担。</w:t>
      </w:r>
    </w:p>
    <w:p w14:paraId="5000462B">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5" w:name="_Toc470172692"/>
      <w:bookmarkStart w:id="306" w:name="_Toc163493616"/>
      <w:bookmarkStart w:id="307" w:name="_Toc109899982"/>
      <w:bookmarkStart w:id="308" w:name="_Toc109900401"/>
      <w:bookmarkStart w:id="309" w:name="_Toc46771670"/>
      <w:bookmarkStart w:id="310" w:name="_Toc109899563"/>
      <w:bookmarkStart w:id="311" w:name="_Toc109897464"/>
      <w:bookmarkStart w:id="312" w:name="_Toc24525"/>
      <w:r>
        <w:rPr>
          <w:rFonts w:hint="eastAsia" w:ascii="宋体" w:hAnsi="宋体" w:eastAsia="宋体" w:cs="宋体"/>
          <w:b/>
          <w:bCs/>
          <w:color w:val="auto"/>
          <w:kern w:val="2"/>
          <w:sz w:val="24"/>
          <w:szCs w:val="24"/>
          <w:highlight w:val="none"/>
          <w:lang w:val="en-US" w:eastAsia="zh-CN" w:bidi="ar-SA"/>
        </w:rPr>
        <w:t>（八）成交</w:t>
      </w:r>
      <w:bookmarkEnd w:id="305"/>
      <w:bookmarkEnd w:id="306"/>
      <w:bookmarkEnd w:id="307"/>
      <w:bookmarkEnd w:id="308"/>
      <w:bookmarkEnd w:id="309"/>
      <w:bookmarkEnd w:id="310"/>
      <w:bookmarkEnd w:id="311"/>
      <w:bookmarkEnd w:id="312"/>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3" w:name="_Toc51674242"/>
      <w:bookmarkStart w:id="314" w:name="_Toc52960584"/>
      <w:bookmarkStart w:id="315" w:name="_Toc109897465"/>
      <w:bookmarkStart w:id="316" w:name="_Toc52962758"/>
      <w:bookmarkStart w:id="317" w:name="_Toc48846140"/>
      <w:bookmarkStart w:id="318" w:name="_Toc109900402"/>
      <w:bookmarkStart w:id="319" w:name="_Toc48688820"/>
      <w:bookmarkStart w:id="320" w:name="_Toc46771671"/>
      <w:bookmarkStart w:id="321" w:name="_Toc46772272"/>
      <w:bookmarkStart w:id="322" w:name="_Toc109899564"/>
      <w:bookmarkStart w:id="323" w:name="_Toc109899983"/>
      <w:bookmarkStart w:id="324" w:name="_Hlk143533953"/>
      <w:r>
        <w:rPr>
          <w:rFonts w:hint="eastAsia" w:ascii="宋体" w:hAnsi="宋体" w:eastAsia="宋体" w:cs="宋体"/>
          <w:b/>
          <w:bCs/>
          <w:color w:val="auto"/>
          <w:kern w:val="2"/>
          <w:sz w:val="24"/>
          <w:szCs w:val="24"/>
          <w:highlight w:val="none"/>
          <w:lang w:val="en-US" w:eastAsia="zh-CN" w:bidi="ar-SA"/>
        </w:rPr>
        <w:t>28.确定成交供应商</w:t>
      </w:r>
      <w:bookmarkEnd w:id="313"/>
      <w:bookmarkEnd w:id="314"/>
      <w:bookmarkEnd w:id="315"/>
      <w:bookmarkEnd w:id="316"/>
      <w:bookmarkEnd w:id="317"/>
      <w:bookmarkEnd w:id="318"/>
      <w:bookmarkEnd w:id="319"/>
      <w:bookmarkEnd w:id="320"/>
      <w:bookmarkEnd w:id="321"/>
      <w:bookmarkEnd w:id="322"/>
      <w:bookmarkEnd w:id="323"/>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i w:val="0"/>
          <w:iCs w:val="0"/>
          <w:snapToGrid w:val="0"/>
          <w:color w:val="auto"/>
          <w:highlight w:val="none"/>
          <w:lang w:val="zh-CN"/>
        </w:rPr>
      </w:pPr>
      <w:r>
        <w:rPr>
          <w:rFonts w:hint="eastAsia" w:cs="仿宋_GB2312"/>
          <w:i w:val="0"/>
          <w:iCs w:val="0"/>
          <w:snapToGrid w:val="0"/>
          <w:color w:val="auto"/>
          <w:highlight w:val="none"/>
          <w:lang w:val="en-US" w:eastAsia="zh-CN"/>
        </w:rPr>
        <w:t>28</w:t>
      </w:r>
      <w:r>
        <w:rPr>
          <w:rFonts w:hint="eastAsia" w:cs="仿宋_GB2312"/>
          <w:i w:val="0"/>
          <w:iCs w:val="0"/>
          <w:snapToGrid w:val="0"/>
          <w:color w:val="auto"/>
          <w:highlight w:val="none"/>
          <w:lang w:val="zh-CN"/>
        </w:rPr>
        <w:t>.1</w:t>
      </w:r>
      <w:r>
        <w:rPr>
          <w:rFonts w:hint="eastAsia"/>
          <w:i w:val="0"/>
          <w:iCs w:val="0"/>
          <w:snapToGrid w:val="0"/>
          <w:color w:val="auto"/>
          <w:highlight w:val="none"/>
          <w:lang w:val="zh-CN"/>
        </w:rPr>
        <w:t>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29.成交结果公告</w:t>
      </w:r>
    </w:p>
    <w:p w14:paraId="165444EA">
      <w:pPr>
        <w:pStyle w:val="37"/>
        <w:keepNext w:val="0"/>
        <w:keepLines w:val="0"/>
        <w:pageBreakBefore w:val="0"/>
        <w:widowControl w:val="0"/>
        <w:kinsoku/>
        <w:overflowPunct/>
        <w:topLinePunct w:val="0"/>
        <w:bidi w:val="0"/>
        <w:ind w:firstLine="480"/>
        <w:textAlignment w:val="auto"/>
        <w:rPr>
          <w:i w:val="0"/>
          <w:iCs w:val="0"/>
          <w:color w:val="auto"/>
          <w:highlight w:val="none"/>
          <w:lang w:bidi="ar"/>
        </w:rPr>
      </w:pPr>
      <w:r>
        <w:rPr>
          <w:rFonts w:hint="eastAsia" w:cs="仿宋_GB2312"/>
          <w:i w:val="0"/>
          <w:iCs w:val="0"/>
          <w:snapToGrid w:val="0"/>
          <w:color w:val="auto"/>
          <w:highlight w:val="none"/>
          <w:lang w:val="en-US" w:eastAsia="zh-CN"/>
        </w:rPr>
        <w:t>29</w:t>
      </w:r>
      <w:r>
        <w:rPr>
          <w:rFonts w:hint="eastAsia" w:cs="仿宋_GB2312"/>
          <w:i w:val="0"/>
          <w:iCs w:val="0"/>
          <w:snapToGrid w:val="0"/>
          <w:color w:val="auto"/>
          <w:highlight w:val="none"/>
          <w:lang w:val="zh-CN"/>
        </w:rPr>
        <w:t>.</w:t>
      </w:r>
      <w:r>
        <w:rPr>
          <w:rFonts w:cs="仿宋_GB2312"/>
          <w:i w:val="0"/>
          <w:iCs w:val="0"/>
          <w:snapToGrid w:val="0"/>
          <w:color w:val="auto"/>
          <w:highlight w:val="none"/>
          <w:lang w:val="zh-CN"/>
        </w:rPr>
        <w:t>1</w:t>
      </w:r>
      <w:r>
        <w:rPr>
          <w:i w:val="0"/>
          <w:iCs w:val="0"/>
          <w:color w:val="auto"/>
          <w:highlight w:val="none"/>
          <w:lang w:bidi="ar"/>
        </w:rPr>
        <w:t>采购人或者采购代理机构应当在成交供应商确定后2个工作日内，在省级以上财政部门指定的政府采购信息发布媒体上公告成交结果，磋商文件</w:t>
      </w:r>
      <w:r>
        <w:rPr>
          <w:rFonts w:hint="eastAsia"/>
          <w:i w:val="0"/>
          <w:iCs w:val="0"/>
          <w:color w:val="auto"/>
          <w:highlight w:val="none"/>
          <w:lang w:eastAsia="zh-CN" w:bidi="ar"/>
        </w:rPr>
        <w:t>、</w:t>
      </w:r>
      <w:r>
        <w:rPr>
          <w:rFonts w:hint="eastAsia"/>
          <w:bCs/>
          <w:i w:val="0"/>
          <w:iCs w:val="0"/>
          <w:color w:val="auto"/>
          <w:highlight w:val="none"/>
          <w:lang w:eastAsia="zh-CN"/>
        </w:rPr>
        <w:t>成交</w:t>
      </w:r>
      <w:r>
        <w:rPr>
          <w:rFonts w:hint="eastAsia"/>
          <w:bCs/>
          <w:i w:val="0"/>
          <w:iCs w:val="0"/>
          <w:color w:val="auto"/>
          <w:highlight w:val="none"/>
          <w:lang w:val="en-US" w:eastAsia="zh-CN"/>
        </w:rPr>
        <w:t>供应商</w:t>
      </w:r>
      <w:r>
        <w:rPr>
          <w:rFonts w:hint="eastAsia" w:ascii="宋体" w:hAnsi="宋体" w:eastAsia="宋体"/>
          <w:bCs/>
          <w:i w:val="0"/>
          <w:iCs w:val="0"/>
          <w:color w:val="auto"/>
          <w:highlight w:val="none"/>
          <w:lang w:val="en-US" w:eastAsia="zh-CN"/>
        </w:rPr>
        <w:t>的评审总得分</w:t>
      </w:r>
      <w:r>
        <w:rPr>
          <w:i w:val="0"/>
          <w:iCs w:val="0"/>
          <w:color w:val="auto"/>
          <w:highlight w:val="none"/>
          <w:lang w:bidi="ar"/>
        </w:rPr>
        <w:t>随成交结果同时公告。</w:t>
      </w:r>
    </w:p>
    <w:p w14:paraId="31CA8053">
      <w:pPr>
        <w:pStyle w:val="37"/>
        <w:keepNext w:val="0"/>
        <w:keepLines w:val="0"/>
        <w:pageBreakBefore w:val="0"/>
        <w:widowControl w:val="0"/>
        <w:kinsoku/>
        <w:overflowPunct/>
        <w:topLinePunct w:val="0"/>
        <w:bidi w:val="0"/>
        <w:ind w:firstLine="480"/>
        <w:textAlignment w:val="auto"/>
        <w:rPr>
          <w:i w:val="0"/>
          <w:iCs w:val="0"/>
          <w:color w:val="auto"/>
          <w:highlight w:val="none"/>
          <w:lang w:bidi="ar"/>
        </w:rPr>
      </w:pPr>
      <w:r>
        <w:rPr>
          <w:rFonts w:hint="eastAsia"/>
          <w:bCs/>
          <w:i w:val="0"/>
          <w:iCs w:val="0"/>
          <w:color w:val="auto"/>
          <w:highlight w:val="none"/>
          <w:lang w:val="en-US" w:eastAsia="zh-CN"/>
        </w:rPr>
        <w:t>29</w:t>
      </w:r>
      <w:r>
        <w:rPr>
          <w:bCs/>
          <w:i w:val="0"/>
          <w:iCs w:val="0"/>
          <w:color w:val="auto"/>
          <w:highlight w:val="none"/>
        </w:rPr>
        <w:t>.2</w:t>
      </w:r>
      <w:r>
        <w:rPr>
          <w:rFonts w:hint="eastAsia"/>
          <w:bCs/>
          <w:i w:val="0"/>
          <w:iCs w:val="0"/>
          <w:color w:val="auto"/>
          <w:highlight w:val="none"/>
          <w:lang w:eastAsia="zh-CN"/>
        </w:rPr>
        <w:t>成交</w:t>
      </w:r>
      <w:r>
        <w:rPr>
          <w:rFonts w:hint="eastAsia"/>
          <w:bCs/>
          <w:i w:val="0"/>
          <w:iCs w:val="0"/>
          <w:color w:val="auto"/>
          <w:highlight w:val="none"/>
          <w:lang w:val="en-US" w:eastAsia="zh-CN"/>
        </w:rPr>
        <w:t>人</w:t>
      </w:r>
      <w:r>
        <w:rPr>
          <w:rFonts w:hint="eastAsia"/>
          <w:bCs/>
          <w:i w:val="0"/>
          <w:iCs w:val="0"/>
          <w:color w:val="auto"/>
          <w:highlight w:val="none"/>
          <w:lang w:eastAsia="zh-CN"/>
        </w:rPr>
        <w:t>为中小企业</w:t>
      </w:r>
      <w:r>
        <w:rPr>
          <w:rFonts w:hint="eastAsia"/>
          <w:bCs/>
          <w:i w:val="0"/>
          <w:iCs w:val="0"/>
          <w:color w:val="auto"/>
          <w:highlight w:val="none"/>
          <w:lang w:val="en-US" w:eastAsia="zh-CN"/>
        </w:rPr>
        <w:t>享受中小企业扶持政策的</w:t>
      </w:r>
      <w:r>
        <w:rPr>
          <w:rFonts w:hint="eastAsia"/>
          <w:bCs/>
          <w:i w:val="0"/>
          <w:iCs w:val="0"/>
          <w:color w:val="auto"/>
          <w:highlight w:val="none"/>
          <w:lang w:eastAsia="zh-CN"/>
        </w:rPr>
        <w:t>，其“中小企业声明函”随成交结果同时公告。成交</w:t>
      </w:r>
      <w:r>
        <w:rPr>
          <w:rFonts w:hint="eastAsia"/>
          <w:bCs/>
          <w:i w:val="0"/>
          <w:iCs w:val="0"/>
          <w:color w:val="auto"/>
          <w:highlight w:val="none"/>
          <w:lang w:val="en-US" w:eastAsia="zh-CN"/>
        </w:rPr>
        <w:t>人</w:t>
      </w:r>
      <w:r>
        <w:rPr>
          <w:rFonts w:hint="eastAsia"/>
          <w:bCs/>
          <w:i w:val="0"/>
          <w:iCs w:val="0"/>
          <w:color w:val="auto"/>
          <w:highlight w:val="none"/>
          <w:lang w:eastAsia="zh-CN"/>
        </w:rPr>
        <w:t>为残疾人福利性单位的</w:t>
      </w:r>
      <w:r>
        <w:rPr>
          <w:rFonts w:hint="eastAsia" w:ascii="宋体" w:hAnsi="宋体" w:eastAsia="宋体"/>
          <w:bCs/>
          <w:i w:val="0"/>
          <w:iCs w:val="0"/>
          <w:color w:val="auto"/>
          <w:highlight w:val="none"/>
          <w:lang w:eastAsia="zh-CN"/>
        </w:rPr>
        <w:t>，其</w:t>
      </w:r>
      <w:r>
        <w:rPr>
          <w:rFonts w:hint="eastAsia"/>
          <w:bCs/>
          <w:i w:val="0"/>
          <w:iCs w:val="0"/>
          <w:color w:val="auto"/>
          <w:highlight w:val="none"/>
          <w:lang w:eastAsia="zh-CN"/>
        </w:rPr>
        <w:t>“</w:t>
      </w:r>
      <w:r>
        <w:rPr>
          <w:rFonts w:hint="eastAsia" w:ascii="宋体" w:hAnsi="宋体" w:eastAsia="宋体"/>
          <w:bCs/>
          <w:i w:val="0"/>
          <w:iCs w:val="0"/>
          <w:color w:val="auto"/>
          <w:highlight w:val="none"/>
          <w:lang w:eastAsia="zh-CN"/>
        </w:rPr>
        <w:t>残疾人福利性单位声明函</w:t>
      </w:r>
      <w:r>
        <w:rPr>
          <w:rFonts w:hint="eastAsia"/>
          <w:bCs/>
          <w:i w:val="0"/>
          <w:iCs w:val="0"/>
          <w:color w:val="auto"/>
          <w:highlight w:val="none"/>
          <w:lang w:eastAsia="zh-CN"/>
        </w:rPr>
        <w:t>”</w:t>
      </w:r>
      <w:r>
        <w:rPr>
          <w:rFonts w:hint="eastAsia" w:ascii="宋体" w:hAnsi="宋体" w:eastAsia="宋体"/>
          <w:bCs/>
          <w:i w:val="0"/>
          <w:iCs w:val="0"/>
          <w:color w:val="auto"/>
          <w:highlight w:val="none"/>
          <w:lang w:eastAsia="zh-CN"/>
        </w:rPr>
        <w:t>随成交结果同时公告</w:t>
      </w:r>
      <w:r>
        <w:rPr>
          <w:rFonts w:hint="eastAsia"/>
          <w:i w:val="0"/>
          <w:iCs w:val="0"/>
          <w:color w:val="auto"/>
          <w:highlight w:val="none"/>
          <w:lang w:bidi="ar"/>
        </w:rPr>
        <w:t>。</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30.成交通知书</w:t>
      </w:r>
    </w:p>
    <w:p w14:paraId="3F3AC502">
      <w:pPr>
        <w:pStyle w:val="37"/>
        <w:keepNext w:val="0"/>
        <w:keepLines w:val="0"/>
        <w:pageBreakBefore w:val="0"/>
        <w:widowControl w:val="0"/>
        <w:kinsoku/>
        <w:overflowPunct/>
        <w:topLinePunct w:val="0"/>
        <w:bidi w:val="0"/>
        <w:ind w:firstLine="480"/>
        <w:textAlignment w:val="auto"/>
        <w:rPr>
          <w:rFonts w:cs="仿宋_GB2312"/>
          <w:i w:val="0"/>
          <w:iCs w:val="0"/>
          <w:snapToGrid w:val="0"/>
          <w:color w:val="auto"/>
          <w:highlight w:val="none"/>
          <w:lang w:val="zh-CN"/>
        </w:rPr>
      </w:pPr>
      <w:r>
        <w:rPr>
          <w:rFonts w:hint="eastAsia" w:cs="仿宋_GB2312"/>
          <w:i w:val="0"/>
          <w:iCs w:val="0"/>
          <w:snapToGrid w:val="0"/>
          <w:color w:val="auto"/>
          <w:highlight w:val="none"/>
          <w:lang w:val="en-US" w:eastAsia="zh-CN"/>
        </w:rPr>
        <w:t>30</w:t>
      </w:r>
      <w:r>
        <w:rPr>
          <w:rFonts w:cs="仿宋_GB2312"/>
          <w:i w:val="0"/>
          <w:iCs w:val="0"/>
          <w:snapToGrid w:val="0"/>
          <w:color w:val="auto"/>
          <w:highlight w:val="none"/>
          <w:lang w:val="zh-CN"/>
        </w:rPr>
        <w:t>.1</w:t>
      </w:r>
      <w:r>
        <w:rPr>
          <w:rFonts w:hint="eastAsia" w:cs="仿宋_GB2312"/>
          <w:i w:val="0"/>
          <w:iCs w:val="0"/>
          <w:snapToGrid w:val="0"/>
          <w:color w:val="auto"/>
          <w:highlight w:val="none"/>
          <w:lang w:val="zh-CN"/>
        </w:rPr>
        <w:t>发布成交结果公告同时向成交供应商发出成交通知书。成交通知书是合同的组成部分,对成交供应商和采购人具有同等法律效力。</w:t>
      </w:r>
    </w:p>
    <w:p w14:paraId="3E2C2D8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5" w:name="_Toc23301"/>
      <w:bookmarkStart w:id="326" w:name="_Toc163493617"/>
      <w:r>
        <w:rPr>
          <w:rFonts w:hint="eastAsia" w:ascii="宋体" w:hAnsi="宋体" w:eastAsia="宋体" w:cs="宋体"/>
          <w:b/>
          <w:bCs/>
          <w:color w:val="auto"/>
          <w:kern w:val="2"/>
          <w:sz w:val="24"/>
          <w:szCs w:val="24"/>
          <w:highlight w:val="none"/>
          <w:lang w:val="en-US" w:eastAsia="zh-CN" w:bidi="ar-SA"/>
        </w:rPr>
        <w:t>（九）签订合同</w:t>
      </w:r>
      <w:bookmarkEnd w:id="325"/>
      <w:bookmarkEnd w:id="326"/>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7" w:name="_Toc51674243"/>
      <w:bookmarkStart w:id="328" w:name="_Toc46771672"/>
      <w:bookmarkStart w:id="329" w:name="_Toc48846141"/>
      <w:bookmarkStart w:id="330" w:name="_Toc109899565"/>
      <w:bookmarkStart w:id="331" w:name="_Toc109899984"/>
      <w:bookmarkStart w:id="332" w:name="_Toc109900403"/>
      <w:bookmarkStart w:id="333" w:name="_Toc52960585"/>
      <w:bookmarkStart w:id="334" w:name="_Toc46772273"/>
      <w:bookmarkStart w:id="335" w:name="_Toc52962759"/>
      <w:bookmarkStart w:id="336" w:name="_Toc109897466"/>
      <w:bookmarkStart w:id="337" w:name="_Toc48688821"/>
      <w:r>
        <w:rPr>
          <w:rFonts w:hint="eastAsia" w:ascii="宋体" w:hAnsi="宋体" w:eastAsia="宋体" w:cs="宋体"/>
          <w:b/>
          <w:bCs/>
          <w:color w:val="auto"/>
          <w:kern w:val="2"/>
          <w:sz w:val="24"/>
          <w:szCs w:val="24"/>
          <w:highlight w:val="none"/>
          <w:lang w:val="en-US" w:eastAsia="zh-CN" w:bidi="ar-SA"/>
        </w:rPr>
        <w:t>31.履约保证金</w:t>
      </w:r>
    </w:p>
    <w:p w14:paraId="2934878C">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3</w:t>
      </w:r>
      <w:r>
        <w:rPr>
          <w:rFonts w:hint="eastAsia"/>
          <w:i w:val="0"/>
          <w:iCs w:val="0"/>
          <w:color w:val="auto"/>
          <w:highlight w:val="none"/>
          <w:lang w:val="en-US" w:eastAsia="zh-CN"/>
        </w:rPr>
        <w:t>1</w:t>
      </w:r>
      <w:r>
        <w:rPr>
          <w:i w:val="0"/>
          <w:iCs w:val="0"/>
          <w:color w:val="auto"/>
          <w:highlight w:val="none"/>
        </w:rPr>
        <w:t>.1在签订合同前，</w:t>
      </w:r>
      <w:r>
        <w:rPr>
          <w:rFonts w:hint="eastAsia"/>
          <w:i w:val="0"/>
          <w:iCs w:val="0"/>
          <w:color w:val="auto"/>
          <w:highlight w:val="none"/>
        </w:rPr>
        <w:t>成交供应商</w:t>
      </w:r>
      <w:r>
        <w:rPr>
          <w:i w:val="0"/>
          <w:iCs w:val="0"/>
          <w:color w:val="auto"/>
          <w:highlight w:val="none"/>
        </w:rPr>
        <w:t>应按“</w:t>
      </w:r>
      <w:r>
        <w:rPr>
          <w:rFonts w:hint="eastAsia"/>
          <w:i w:val="0"/>
          <w:iCs w:val="0"/>
          <w:color w:val="auto"/>
          <w:highlight w:val="none"/>
        </w:rPr>
        <w:t>供应商</w:t>
      </w:r>
      <w:r>
        <w:rPr>
          <w:i w:val="0"/>
          <w:iCs w:val="0"/>
          <w:color w:val="auto"/>
          <w:highlight w:val="none"/>
        </w:rPr>
        <w:t>须知前附表”规定的金额、担保形式和采购人认可的履约担保格式向采购人提交履约保证金。</w:t>
      </w:r>
    </w:p>
    <w:p w14:paraId="429BB4A0">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3</w:t>
      </w:r>
      <w:r>
        <w:rPr>
          <w:rFonts w:hint="eastAsia"/>
          <w:i w:val="0"/>
          <w:iCs w:val="0"/>
          <w:color w:val="auto"/>
          <w:highlight w:val="none"/>
          <w:lang w:val="en-US" w:eastAsia="zh-CN"/>
        </w:rPr>
        <w:t>1</w:t>
      </w:r>
      <w:r>
        <w:rPr>
          <w:i w:val="0"/>
          <w:iCs w:val="0"/>
          <w:color w:val="auto"/>
          <w:highlight w:val="none"/>
        </w:rPr>
        <w:t>.2</w:t>
      </w:r>
      <w:r>
        <w:rPr>
          <w:rFonts w:hint="eastAsia"/>
          <w:i w:val="0"/>
          <w:iCs w:val="0"/>
          <w:color w:val="auto"/>
          <w:highlight w:val="none"/>
        </w:rPr>
        <w:t>成交供应商</w:t>
      </w:r>
      <w:r>
        <w:rPr>
          <w:i w:val="0"/>
          <w:iCs w:val="0"/>
          <w:color w:val="auto"/>
          <w:highlight w:val="none"/>
        </w:rPr>
        <w:t>不能按本章第3</w:t>
      </w:r>
      <w:r>
        <w:rPr>
          <w:rFonts w:hint="eastAsia"/>
          <w:i w:val="0"/>
          <w:iCs w:val="0"/>
          <w:color w:val="auto"/>
          <w:highlight w:val="none"/>
          <w:lang w:val="en-US" w:eastAsia="zh-CN"/>
        </w:rPr>
        <w:t>1</w:t>
      </w:r>
      <w:r>
        <w:rPr>
          <w:i w:val="0"/>
          <w:iCs w:val="0"/>
          <w:color w:val="auto"/>
          <w:highlight w:val="none"/>
        </w:rPr>
        <w:t>.1项要求提交履约担保的，视为放弃</w:t>
      </w:r>
      <w:r>
        <w:rPr>
          <w:rFonts w:hint="eastAsia"/>
          <w:i w:val="0"/>
          <w:iCs w:val="0"/>
          <w:color w:val="auto"/>
          <w:highlight w:val="none"/>
        </w:rPr>
        <w:t>成交</w:t>
      </w:r>
      <w:r>
        <w:rPr>
          <w:i w:val="0"/>
          <w:iCs w:val="0"/>
          <w:color w:val="auto"/>
          <w:highlight w:val="none"/>
        </w:rPr>
        <w:t>，给采购人造成损失的，</w:t>
      </w:r>
      <w:r>
        <w:rPr>
          <w:rFonts w:hint="eastAsia"/>
          <w:i w:val="0"/>
          <w:iCs w:val="0"/>
          <w:color w:val="auto"/>
          <w:highlight w:val="none"/>
        </w:rPr>
        <w:t>成交供应商</w:t>
      </w:r>
      <w:r>
        <w:rPr>
          <w:i w:val="0"/>
          <w:iCs w:val="0"/>
          <w:color w:val="auto"/>
          <w:highlight w:val="none"/>
        </w:rPr>
        <w:t>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32.签订合同</w:t>
      </w:r>
      <w:bookmarkEnd w:id="327"/>
      <w:bookmarkEnd w:id="328"/>
      <w:bookmarkEnd w:id="329"/>
      <w:bookmarkEnd w:id="330"/>
      <w:bookmarkEnd w:id="331"/>
      <w:bookmarkEnd w:id="332"/>
      <w:bookmarkEnd w:id="333"/>
      <w:bookmarkEnd w:id="334"/>
      <w:bookmarkEnd w:id="335"/>
      <w:bookmarkEnd w:id="336"/>
      <w:bookmarkEnd w:id="337"/>
    </w:p>
    <w:p w14:paraId="3E1F8F97">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snapToGrid w:val="0"/>
          <w:color w:val="auto"/>
          <w:highlight w:val="none"/>
          <w:lang w:val="zh-CN"/>
        </w:rPr>
        <w:t>3</w:t>
      </w:r>
      <w:r>
        <w:rPr>
          <w:rFonts w:hint="eastAsia"/>
          <w:i w:val="0"/>
          <w:iCs w:val="0"/>
          <w:snapToGrid w:val="0"/>
          <w:color w:val="auto"/>
          <w:highlight w:val="none"/>
          <w:lang w:val="en-US" w:eastAsia="zh-CN"/>
        </w:rPr>
        <w:t>2</w:t>
      </w:r>
      <w:r>
        <w:rPr>
          <w:i w:val="0"/>
          <w:iCs w:val="0"/>
          <w:snapToGrid w:val="0"/>
          <w:color w:val="auto"/>
          <w:highlight w:val="none"/>
          <w:lang w:val="zh-CN"/>
        </w:rPr>
        <w:t>.1</w:t>
      </w:r>
      <w:r>
        <w:rPr>
          <w:rFonts w:hint="eastAsia"/>
          <w:i w:val="0"/>
          <w:iCs w:val="0"/>
          <w:snapToGrid w:val="0"/>
          <w:color w:val="auto"/>
          <w:highlight w:val="none"/>
          <w:lang w:val="zh-CN"/>
        </w:rPr>
        <w:t>采购人与成交供应商应当在成交通知书发出之日起</w:t>
      </w:r>
      <w:r>
        <w:rPr>
          <w:rFonts w:hint="eastAsia"/>
          <w:i w:val="0"/>
          <w:iCs w:val="0"/>
          <w:snapToGrid w:val="0"/>
          <w:color w:val="auto"/>
          <w:highlight w:val="none"/>
          <w:lang w:val="en-US" w:eastAsia="zh-CN"/>
        </w:rPr>
        <w:t>25</w:t>
      </w:r>
      <w:r>
        <w:rPr>
          <w:rFonts w:hint="eastAsia"/>
          <w:i w:val="0"/>
          <w:iCs w:val="0"/>
          <w:snapToGrid w:val="0"/>
          <w:color w:val="auto"/>
          <w:highlight w:val="none"/>
          <w:lang w:val="zh-CN"/>
        </w:rPr>
        <w:t>日内，按照磋商文件确定的合同文本以及采购标的、规格型号、采购金额、采购数量、技术和服务要求等事项签订政府采购合同。</w:t>
      </w:r>
      <w:r>
        <w:rPr>
          <w:rFonts w:hint="eastAsia"/>
          <w:i w:val="0"/>
          <w:iCs w:val="0"/>
          <w:color w:val="auto"/>
          <w:highlight w:val="none"/>
        </w:rPr>
        <w:t>采购人因不可抗力原因迟延签订合同的，应当自不可抗力事由消除之日起</w:t>
      </w:r>
      <w:r>
        <w:rPr>
          <w:i w:val="0"/>
          <w:iCs w:val="0"/>
          <w:color w:val="auto"/>
          <w:highlight w:val="none"/>
        </w:rPr>
        <w:t>7日内完成合同签订事宜。</w:t>
      </w:r>
      <w:r>
        <w:rPr>
          <w:rFonts w:hint="eastAsia"/>
          <w:i w:val="0"/>
          <w:iCs w:val="0"/>
          <w:color w:val="auto"/>
          <w:highlight w:val="none"/>
        </w:rPr>
        <w:t>所签订的合同不得对</w:t>
      </w:r>
      <w:r>
        <w:rPr>
          <w:rFonts w:hint="eastAsia"/>
          <w:i w:val="0"/>
          <w:iCs w:val="0"/>
          <w:color w:val="auto"/>
          <w:highlight w:val="none"/>
          <w:lang w:val="en-US" w:eastAsia="zh-CN"/>
        </w:rPr>
        <w:t>磋商</w:t>
      </w:r>
      <w:r>
        <w:rPr>
          <w:rFonts w:hint="eastAsia"/>
          <w:i w:val="0"/>
          <w:iCs w:val="0"/>
          <w:color w:val="auto"/>
          <w:highlight w:val="none"/>
        </w:rPr>
        <w:t>文件和</w:t>
      </w:r>
      <w:r>
        <w:rPr>
          <w:rFonts w:hint="eastAsia"/>
          <w:i w:val="0"/>
          <w:iCs w:val="0"/>
          <w:color w:val="auto"/>
          <w:highlight w:val="none"/>
          <w:lang w:val="en-US" w:eastAsia="zh-CN"/>
        </w:rPr>
        <w:t>成交供应商响应</w:t>
      </w:r>
      <w:r>
        <w:rPr>
          <w:rFonts w:hint="eastAsia"/>
          <w:i w:val="0"/>
          <w:iCs w:val="0"/>
          <w:color w:val="auto"/>
          <w:highlight w:val="none"/>
        </w:rPr>
        <w:t>文件作实质性修改。</w:t>
      </w:r>
      <w:r>
        <w:rPr>
          <w:rFonts w:hint="eastAsia"/>
          <w:i w:val="0"/>
          <w:iCs w:val="0"/>
          <w:color w:val="auto"/>
          <w:highlight w:val="none"/>
          <w:lang w:val="en-US" w:eastAsia="zh-CN"/>
        </w:rPr>
        <w:t>成交</w:t>
      </w:r>
      <w:r>
        <w:rPr>
          <w:rFonts w:hint="eastAsia"/>
          <w:i w:val="0"/>
          <w:iCs w:val="0"/>
          <w:color w:val="auto"/>
          <w:highlight w:val="none"/>
        </w:rPr>
        <w:t>人无正当理由拒签合同，给采购人造成损失的，</w:t>
      </w:r>
      <w:r>
        <w:rPr>
          <w:rFonts w:hint="eastAsia"/>
          <w:i w:val="0"/>
          <w:iCs w:val="0"/>
          <w:color w:val="auto"/>
          <w:highlight w:val="none"/>
          <w:lang w:val="en-US" w:eastAsia="zh-CN"/>
        </w:rPr>
        <w:t>成交</w:t>
      </w:r>
      <w:r>
        <w:rPr>
          <w:rFonts w:hint="eastAsia"/>
          <w:i w:val="0"/>
          <w:iCs w:val="0"/>
          <w:color w:val="auto"/>
          <w:highlight w:val="none"/>
        </w:rPr>
        <w:t>人还应当承担民事责任。</w:t>
      </w:r>
    </w:p>
    <w:p w14:paraId="4F6A5CF0">
      <w:pPr>
        <w:pStyle w:val="37"/>
        <w:keepNext w:val="0"/>
        <w:keepLines w:val="0"/>
        <w:pageBreakBefore w:val="0"/>
        <w:widowControl w:val="0"/>
        <w:kinsoku/>
        <w:overflowPunct/>
        <w:topLinePunct w:val="0"/>
        <w:bidi w:val="0"/>
        <w:ind w:firstLine="480"/>
        <w:textAlignment w:val="auto"/>
        <w:rPr>
          <w:i w:val="0"/>
          <w:iCs w:val="0"/>
          <w:color w:val="auto"/>
          <w:highlight w:val="none"/>
          <w:lang w:val="zh-CN"/>
        </w:rPr>
      </w:pPr>
      <w:r>
        <w:rPr>
          <w:i w:val="0"/>
          <w:iCs w:val="0"/>
          <w:color w:val="auto"/>
          <w:highlight w:val="none"/>
        </w:rPr>
        <w:t>3</w:t>
      </w:r>
      <w:r>
        <w:rPr>
          <w:rFonts w:hint="eastAsia"/>
          <w:i w:val="0"/>
          <w:iCs w:val="0"/>
          <w:color w:val="auto"/>
          <w:highlight w:val="none"/>
          <w:lang w:val="en-US" w:eastAsia="zh-CN"/>
        </w:rPr>
        <w:t>2</w:t>
      </w:r>
      <w:r>
        <w:rPr>
          <w:i w:val="0"/>
          <w:iCs w:val="0"/>
          <w:color w:val="auto"/>
          <w:highlight w:val="none"/>
        </w:rPr>
        <w:t>.2</w:t>
      </w:r>
      <w:r>
        <w:rPr>
          <w:rFonts w:hint="eastAsia"/>
          <w:i w:val="0"/>
          <w:iCs w:val="0"/>
          <w:color w:val="auto"/>
          <w:highlight w:val="none"/>
          <w:lang w:val="zh-CN"/>
        </w:rPr>
        <w:t>成交供应商拒绝签订政府采购合同的，采购人可以</w:t>
      </w:r>
      <w:r>
        <w:rPr>
          <w:rFonts w:hint="eastAsia"/>
          <w:i w:val="0"/>
          <w:iCs w:val="0"/>
          <w:color w:val="auto"/>
          <w:highlight w:val="none"/>
          <w:lang w:val="en-US" w:eastAsia="zh-CN"/>
        </w:rPr>
        <w:t>按照</w:t>
      </w:r>
      <w:r>
        <w:rPr>
          <w:rFonts w:hint="eastAsia"/>
          <w:i w:val="0"/>
          <w:iCs w:val="0"/>
          <w:color w:val="auto"/>
          <w:highlight w:val="none"/>
          <w:lang w:val="zh-CN"/>
        </w:rPr>
        <w:t>《政府采购竞争性磋商采购方式管理暂行办法》（财库</w:t>
      </w:r>
      <w:r>
        <w:rPr>
          <w:rFonts w:hint="eastAsia" w:ascii="仿宋" w:hAnsi="仿宋" w:eastAsia="仿宋" w:cs="仿宋"/>
          <w:i w:val="0"/>
          <w:iCs w:val="0"/>
          <w:color w:val="auto"/>
          <w:highlight w:val="none"/>
          <w:lang w:val="zh-CN"/>
        </w:rPr>
        <w:t>〔</w:t>
      </w:r>
      <w:r>
        <w:rPr>
          <w:rFonts w:hint="eastAsia"/>
          <w:i w:val="0"/>
          <w:iCs w:val="0"/>
          <w:color w:val="auto"/>
          <w:highlight w:val="none"/>
          <w:lang w:val="zh-CN"/>
        </w:rPr>
        <w:t>2014</w:t>
      </w:r>
      <w:r>
        <w:rPr>
          <w:rFonts w:hint="eastAsia" w:ascii="仿宋" w:hAnsi="仿宋" w:eastAsia="仿宋" w:cs="仿宋"/>
          <w:i w:val="0"/>
          <w:iCs w:val="0"/>
          <w:color w:val="auto"/>
          <w:highlight w:val="none"/>
          <w:lang w:val="zh-CN"/>
        </w:rPr>
        <w:t>〕</w:t>
      </w:r>
      <w:r>
        <w:rPr>
          <w:rFonts w:hint="eastAsia"/>
          <w:i w:val="0"/>
          <w:iCs w:val="0"/>
          <w:color w:val="auto"/>
          <w:highlight w:val="none"/>
          <w:lang w:val="zh-CN"/>
        </w:rPr>
        <w:t>214号）第二十八条第二款的规定确定其他供应商作为成交供应商并签订政府采购合同，也可以重新开展采购活动。拒绝签订政府采购合同的成交供应商不得参加对该项目重新开展的采购活动。</w:t>
      </w:r>
    </w:p>
    <w:p w14:paraId="2EAB2D84">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bCs/>
          <w:i w:val="0"/>
          <w:iCs w:val="0"/>
          <w:color w:val="auto"/>
          <w:highlight w:val="none"/>
        </w:rPr>
        <w:t>3</w:t>
      </w:r>
      <w:r>
        <w:rPr>
          <w:rFonts w:hint="eastAsia"/>
          <w:bCs/>
          <w:i w:val="0"/>
          <w:iCs w:val="0"/>
          <w:color w:val="auto"/>
          <w:highlight w:val="none"/>
          <w:lang w:val="en-US" w:eastAsia="zh-CN"/>
        </w:rPr>
        <w:t>2</w:t>
      </w:r>
      <w:r>
        <w:rPr>
          <w:bCs/>
          <w:i w:val="0"/>
          <w:iCs w:val="0"/>
          <w:color w:val="auto"/>
          <w:highlight w:val="none"/>
        </w:rPr>
        <w:t>.3</w:t>
      </w:r>
      <w:r>
        <w:rPr>
          <w:rFonts w:hint="eastAsia"/>
          <w:i w:val="0"/>
          <w:iCs w:val="0"/>
          <w:color w:val="auto"/>
          <w:highlight w:val="none"/>
        </w:rPr>
        <w:t>采购人和</w:t>
      </w:r>
      <w:r>
        <w:rPr>
          <w:rFonts w:hint="eastAsia"/>
          <w:i w:val="0"/>
          <w:iCs w:val="0"/>
          <w:color w:val="auto"/>
          <w:highlight w:val="none"/>
          <w:lang w:val="en-US" w:eastAsia="zh-CN"/>
        </w:rPr>
        <w:t>成交</w:t>
      </w:r>
      <w:r>
        <w:rPr>
          <w:rFonts w:hint="eastAsia"/>
          <w:i w:val="0"/>
          <w:iCs w:val="0"/>
          <w:color w:val="auto"/>
          <w:highlight w:val="none"/>
        </w:rPr>
        <w:t>供应商不得向对方提出任何不合理的要求，作为签订合同的条件，双方不得私下订立背离合同实质性内容的协议。</w:t>
      </w:r>
    </w:p>
    <w:p w14:paraId="0EC5E584">
      <w:pPr>
        <w:pStyle w:val="37"/>
        <w:keepNext w:val="0"/>
        <w:keepLines w:val="0"/>
        <w:pageBreakBefore w:val="0"/>
        <w:widowControl w:val="0"/>
        <w:kinsoku/>
        <w:overflowPunct/>
        <w:topLinePunct w:val="0"/>
        <w:bidi w:val="0"/>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32.4联合体成交的，联合体各方应当共同与采购人签订合同，就采购合同约定的事项向采购人承担连带责任。</w:t>
      </w:r>
    </w:p>
    <w:p w14:paraId="137E1005">
      <w:pPr>
        <w:pStyle w:val="37"/>
        <w:keepNext w:val="0"/>
        <w:keepLines w:val="0"/>
        <w:pageBreakBefore w:val="0"/>
        <w:widowControl w:val="0"/>
        <w:kinsoku/>
        <w:overflowPunct/>
        <w:topLinePunct w:val="0"/>
        <w:bidi w:val="0"/>
        <w:ind w:firstLine="480"/>
        <w:textAlignment w:val="auto"/>
        <w:rPr>
          <w:rFonts w:hint="eastAsia"/>
          <w:b/>
          <w:bCs/>
          <w:i w:val="0"/>
          <w:iCs w:val="0"/>
          <w:color w:val="auto"/>
          <w:highlight w:val="none"/>
          <w:lang w:val="en-US" w:eastAsia="zh-CN"/>
        </w:rPr>
      </w:pPr>
      <w:r>
        <w:rPr>
          <w:rFonts w:hint="eastAsia"/>
          <w:i w:val="0"/>
          <w:iCs w:val="0"/>
          <w:color w:val="auto"/>
          <w:highlight w:val="none"/>
          <w:lang w:val="en-US" w:eastAsia="zh-CN"/>
        </w:rPr>
        <w:t>32.5本项目的非主体、非关键性工作是否允许分包，见“供应商须知前附表”。</w:t>
      </w:r>
      <w:r>
        <w:rPr>
          <w:rFonts w:hint="eastAsia"/>
          <w:i w:val="0"/>
          <w:iCs w:val="0"/>
          <w:color w:val="auto"/>
          <w:highlight w:val="none"/>
        </w:rPr>
        <w:t>供应商未遵守竞争性磋商文件分包规定的，其</w:t>
      </w:r>
      <w:r>
        <w:rPr>
          <w:rFonts w:hint="eastAsia"/>
          <w:b/>
          <w:bCs/>
          <w:i w:val="0"/>
          <w:iCs w:val="0"/>
          <w:color w:val="auto"/>
          <w:highlight w:val="none"/>
        </w:rPr>
        <w:t>响应无效</w:t>
      </w:r>
      <w:r>
        <w:rPr>
          <w:rFonts w:hint="eastAsia"/>
          <w:i w:val="0"/>
          <w:iCs w:val="0"/>
          <w:color w:val="auto"/>
          <w:highlight w:val="none"/>
        </w:rPr>
        <w:t>。</w:t>
      </w:r>
      <w:r>
        <w:rPr>
          <w:rFonts w:hint="eastAsia"/>
          <w:i w:val="0"/>
          <w:iCs w:val="0"/>
          <w:color w:val="auto"/>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b/>
          <w:bCs/>
          <w:i w:val="0"/>
          <w:iCs w:val="0"/>
          <w:color w:val="auto"/>
          <w:highlight w:val="none"/>
          <w:lang w:val="en-US" w:eastAsia="zh-CN"/>
        </w:rPr>
        <w:t>成交无效</w:t>
      </w:r>
      <w:r>
        <w:rPr>
          <w:rFonts w:hint="eastAsia"/>
          <w:i w:val="0"/>
          <w:iCs w:val="0"/>
          <w:color w:val="auto"/>
          <w:highlight w:val="none"/>
          <w:lang w:val="en-US" w:eastAsia="zh-CN"/>
        </w:rPr>
        <w:t>。成交供应商就采购项目和分包项目向采购人负责，分包供应商就分包项目承担责任。</w:t>
      </w:r>
      <w:r>
        <w:rPr>
          <w:rFonts w:hint="eastAsia"/>
          <w:b/>
          <w:bCs/>
          <w:i w:val="0"/>
          <w:iCs w:val="0"/>
          <w:color w:val="auto"/>
          <w:highlight w:val="none"/>
          <w:lang w:val="en-US" w:eastAsia="zh-CN"/>
        </w:rPr>
        <w:t>政府采购合同不能转包。</w:t>
      </w:r>
    </w:p>
    <w:p w14:paraId="0341BE1D">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bCs/>
          <w:i w:val="0"/>
          <w:iCs w:val="0"/>
          <w:color w:val="auto"/>
          <w:highlight w:val="none"/>
        </w:rPr>
        <w:t>3</w:t>
      </w:r>
      <w:r>
        <w:rPr>
          <w:rFonts w:hint="eastAsia"/>
          <w:bCs/>
          <w:i w:val="0"/>
          <w:iCs w:val="0"/>
          <w:color w:val="auto"/>
          <w:highlight w:val="none"/>
          <w:lang w:val="en-US" w:eastAsia="zh-CN"/>
        </w:rPr>
        <w:t>2</w:t>
      </w:r>
      <w:r>
        <w:rPr>
          <w:rFonts w:hint="eastAsia"/>
          <w:i w:val="0"/>
          <w:iCs w:val="0"/>
          <w:color w:val="auto"/>
          <w:highlight w:val="none"/>
        </w:rPr>
        <w:t>.</w:t>
      </w:r>
      <w:r>
        <w:rPr>
          <w:rFonts w:hint="eastAsia"/>
          <w:i w:val="0"/>
          <w:iCs w:val="0"/>
          <w:color w:val="auto"/>
          <w:highlight w:val="none"/>
          <w:lang w:val="en-US" w:eastAsia="zh-CN"/>
        </w:rPr>
        <w:t>6</w:t>
      </w:r>
      <w:r>
        <w:rPr>
          <w:rFonts w:hint="eastAsia"/>
          <w:i w:val="0"/>
          <w:iCs w:val="0"/>
          <w:color w:val="auto"/>
          <w:highlight w:val="none"/>
        </w:rPr>
        <w:t>采购合同履行中，采购人需追加与合同标的相同的</w:t>
      </w:r>
      <w:r>
        <w:rPr>
          <w:rFonts w:hint="eastAsia"/>
          <w:i w:val="0"/>
          <w:iCs w:val="0"/>
          <w:color w:val="auto"/>
          <w:highlight w:val="none"/>
          <w:lang w:val="en-US" w:eastAsia="zh-CN"/>
        </w:rPr>
        <w:t>货物、工程或者服务</w:t>
      </w:r>
      <w:r>
        <w:rPr>
          <w:rFonts w:hint="eastAsia"/>
          <w:i w:val="0"/>
          <w:iCs w:val="0"/>
          <w:color w:val="auto"/>
          <w:highlight w:val="none"/>
        </w:rPr>
        <w:t>的，在不改变合同其他条款的前提下，可以与成交供应商协商签订补充合同，但所有补充合同的采购金额不得超过原合同采购金额的百分之十。</w:t>
      </w:r>
    </w:p>
    <w:p w14:paraId="43E904D8">
      <w:pPr>
        <w:pStyle w:val="37"/>
        <w:keepNext w:val="0"/>
        <w:keepLines w:val="0"/>
        <w:pageBreakBefore w:val="0"/>
        <w:widowControl w:val="0"/>
        <w:kinsoku/>
        <w:overflowPunct/>
        <w:topLinePunct w:val="0"/>
        <w:bidi w:val="0"/>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32.7</w:t>
      </w:r>
      <w:r>
        <w:rPr>
          <w:rFonts w:hint="eastAsia" w:ascii="宋体" w:hAnsi="宋体" w:eastAsia="宋体"/>
          <w:i w:val="0"/>
          <w:iCs w:val="0"/>
          <w:color w:val="auto"/>
          <w:highlight w:val="none"/>
          <w:lang w:val="en-US" w:eastAsia="zh-CN"/>
        </w:rPr>
        <w:t>采购人应于签订合同之日起2个工作日内在政采云平台备案公示。</w:t>
      </w:r>
    </w:p>
    <w:bookmarkEnd w:id="324"/>
    <w:p w14:paraId="4252B45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8" w:name="_Toc109897467"/>
      <w:bookmarkStart w:id="339" w:name="_Toc7322"/>
      <w:bookmarkStart w:id="340" w:name="_Toc46771673"/>
      <w:bookmarkStart w:id="341" w:name="_Toc109899566"/>
      <w:bookmarkStart w:id="342" w:name="_Toc109899985"/>
      <w:bookmarkStart w:id="343" w:name="_Toc109900404"/>
      <w:bookmarkStart w:id="344" w:name="_Toc163493618"/>
      <w:bookmarkStart w:id="345" w:name="_Toc470172693"/>
      <w:r>
        <w:rPr>
          <w:rFonts w:hint="eastAsia" w:ascii="宋体" w:hAnsi="宋体" w:eastAsia="宋体" w:cs="宋体"/>
          <w:b/>
          <w:bCs/>
          <w:color w:val="auto"/>
          <w:kern w:val="2"/>
          <w:sz w:val="24"/>
          <w:szCs w:val="24"/>
          <w:highlight w:val="none"/>
          <w:lang w:val="en-US" w:eastAsia="zh-CN" w:bidi="ar-SA"/>
        </w:rPr>
        <w:t>（十）质疑和投诉</w:t>
      </w:r>
      <w:bookmarkEnd w:id="338"/>
      <w:bookmarkEnd w:id="339"/>
      <w:bookmarkEnd w:id="340"/>
      <w:bookmarkEnd w:id="341"/>
      <w:bookmarkEnd w:id="342"/>
      <w:bookmarkEnd w:id="343"/>
      <w:bookmarkEnd w:id="344"/>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6" w:name="_Toc48846143"/>
      <w:bookmarkStart w:id="347" w:name="_Toc46771674"/>
      <w:bookmarkStart w:id="348" w:name="_Toc109899986"/>
      <w:bookmarkStart w:id="349" w:name="_Toc52960587"/>
      <w:bookmarkStart w:id="350" w:name="_Toc51674245"/>
      <w:bookmarkStart w:id="351" w:name="_Toc109900405"/>
      <w:bookmarkStart w:id="352" w:name="_Toc48688823"/>
      <w:bookmarkStart w:id="353" w:name="_Toc46772275"/>
      <w:bookmarkStart w:id="354" w:name="_Toc109897468"/>
      <w:bookmarkStart w:id="355" w:name="_Toc52962761"/>
      <w:bookmarkStart w:id="356" w:name="_Toc109899567"/>
      <w:r>
        <w:rPr>
          <w:rFonts w:hint="eastAsia" w:ascii="宋体" w:hAnsi="宋体" w:eastAsia="宋体" w:cs="宋体"/>
          <w:b/>
          <w:bCs/>
          <w:color w:val="auto"/>
          <w:kern w:val="2"/>
          <w:sz w:val="24"/>
          <w:szCs w:val="24"/>
          <w:highlight w:val="none"/>
          <w:lang w:val="en-US" w:eastAsia="zh-CN" w:bidi="ar-SA"/>
        </w:rPr>
        <w:t>33.质疑</w:t>
      </w:r>
      <w:bookmarkEnd w:id="346"/>
      <w:bookmarkEnd w:id="347"/>
      <w:bookmarkEnd w:id="348"/>
      <w:bookmarkEnd w:id="349"/>
      <w:bookmarkEnd w:id="350"/>
      <w:bookmarkEnd w:id="351"/>
      <w:bookmarkEnd w:id="352"/>
      <w:bookmarkEnd w:id="353"/>
      <w:bookmarkEnd w:id="354"/>
      <w:bookmarkEnd w:id="355"/>
      <w:bookmarkEnd w:id="356"/>
    </w:p>
    <w:p w14:paraId="097AA162">
      <w:pPr>
        <w:pStyle w:val="37"/>
        <w:keepNext w:val="0"/>
        <w:keepLines w:val="0"/>
        <w:pageBreakBefore w:val="0"/>
        <w:widowControl w:val="0"/>
        <w:kinsoku/>
        <w:overflowPunct/>
        <w:topLinePunct w:val="0"/>
        <w:autoSpaceDE/>
        <w:autoSpaceDN/>
        <w:bidi w:val="0"/>
        <w:adjustRightInd/>
        <w:textAlignment w:val="auto"/>
        <w:rPr>
          <w:rFonts w:hint="default"/>
          <w:i w:val="0"/>
          <w:iCs w:val="0"/>
          <w:color w:val="auto"/>
          <w:highlight w:val="none"/>
          <w:lang w:val="en-US" w:eastAsia="zh-CN"/>
        </w:rPr>
      </w:pPr>
      <w:r>
        <w:rPr>
          <w:i w:val="0"/>
          <w:iCs w:val="0"/>
          <w:snapToGrid w:val="0"/>
          <w:color w:val="auto"/>
          <w:highlight w:val="none"/>
        </w:rPr>
        <w:t>3</w:t>
      </w:r>
      <w:r>
        <w:rPr>
          <w:rFonts w:hint="eastAsia"/>
          <w:i w:val="0"/>
          <w:iCs w:val="0"/>
          <w:snapToGrid w:val="0"/>
          <w:color w:val="auto"/>
          <w:highlight w:val="none"/>
          <w:lang w:val="en-US" w:eastAsia="zh-CN"/>
        </w:rPr>
        <w:t>3</w:t>
      </w:r>
      <w:r>
        <w:rPr>
          <w:rFonts w:hint="eastAsia"/>
          <w:i w:val="0"/>
          <w:iCs w:val="0"/>
          <w:snapToGrid w:val="0"/>
          <w:color w:val="auto"/>
          <w:highlight w:val="none"/>
          <w:lang w:val="zh-CN"/>
        </w:rPr>
        <w:t>.1</w:t>
      </w:r>
      <w:r>
        <w:rPr>
          <w:rFonts w:hint="eastAsia"/>
          <w:i w:val="0"/>
          <w:iCs w:val="0"/>
          <w:color w:val="auto"/>
          <w:highlight w:val="none"/>
        </w:rPr>
        <w:t>供应商认为</w:t>
      </w:r>
      <w:r>
        <w:rPr>
          <w:rFonts w:hint="eastAsia"/>
          <w:i w:val="0"/>
          <w:iCs w:val="0"/>
          <w:color w:val="auto"/>
          <w:highlight w:val="none"/>
          <w:lang w:eastAsia="zh-CN"/>
        </w:rPr>
        <w:t>磋商</w:t>
      </w:r>
      <w:r>
        <w:rPr>
          <w:rFonts w:hint="eastAsia"/>
          <w:i w:val="0"/>
          <w:iCs w:val="0"/>
          <w:color w:val="auto"/>
          <w:highlight w:val="none"/>
        </w:rPr>
        <w:t>文件、</w:t>
      </w:r>
      <w:r>
        <w:rPr>
          <w:rFonts w:hint="eastAsia"/>
          <w:i w:val="0"/>
          <w:iCs w:val="0"/>
          <w:color w:val="auto"/>
          <w:highlight w:val="none"/>
          <w:lang w:eastAsia="zh-CN"/>
        </w:rPr>
        <w:t>评审</w:t>
      </w:r>
      <w:r>
        <w:rPr>
          <w:rFonts w:hint="eastAsia"/>
          <w:i w:val="0"/>
          <w:iCs w:val="0"/>
          <w:color w:val="auto"/>
          <w:highlight w:val="none"/>
        </w:rPr>
        <w:t>过程、成交结果使自己的权益受到损害的，可以在知道或者应知其权益受到损害之日起7个工作日内，以书面形式向采购人、采购代理机构提出质疑</w:t>
      </w:r>
      <w:r>
        <w:rPr>
          <w:rFonts w:hint="eastAsia"/>
          <w:i w:val="0"/>
          <w:iCs w:val="0"/>
          <w:color w:val="auto"/>
          <w:highlight w:val="none"/>
          <w:lang w:eastAsia="zh-CN"/>
        </w:rPr>
        <w:t>，</w:t>
      </w:r>
      <w:r>
        <w:rPr>
          <w:rFonts w:hint="eastAsia"/>
          <w:i w:val="0"/>
          <w:iCs w:val="0"/>
          <w:color w:val="auto"/>
          <w:highlight w:val="none"/>
          <w:lang w:val="en-US" w:eastAsia="zh-CN"/>
        </w:rPr>
        <w:t>详见“供应商须知前附表”</w:t>
      </w:r>
      <w:r>
        <w:rPr>
          <w:rFonts w:hint="eastAsia"/>
          <w:i w:val="0"/>
          <w:iCs w:val="0"/>
          <w:color w:val="auto"/>
          <w:highlight w:val="none"/>
        </w:rPr>
        <w:t>。供应商在法定质疑期内一次性提出针对同一采购程序环节的质疑。</w:t>
      </w:r>
    </w:p>
    <w:p w14:paraId="35972B93">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bCs/>
          <w:i w:val="0"/>
          <w:iCs w:val="0"/>
          <w:color w:val="auto"/>
          <w:highlight w:val="none"/>
        </w:rPr>
        <w:t>3</w:t>
      </w:r>
      <w:r>
        <w:rPr>
          <w:rFonts w:hint="eastAsia"/>
          <w:bCs/>
          <w:i w:val="0"/>
          <w:iCs w:val="0"/>
          <w:color w:val="auto"/>
          <w:highlight w:val="none"/>
          <w:lang w:val="en-US" w:eastAsia="zh-CN"/>
        </w:rPr>
        <w:t>3</w:t>
      </w:r>
      <w:r>
        <w:rPr>
          <w:rFonts w:hint="eastAsia"/>
          <w:i w:val="0"/>
          <w:iCs w:val="0"/>
          <w:color w:val="auto"/>
          <w:highlight w:val="none"/>
        </w:rPr>
        <w:t>.2提出质疑的供应商（以下简称质疑供应商）应当是参与所质疑项目采购活动的供应商。</w:t>
      </w:r>
    </w:p>
    <w:p w14:paraId="6503DC7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lang w:val="en-US" w:eastAsia="zh-CN"/>
        </w:rPr>
        <w:t>33.3</w:t>
      </w:r>
      <w:r>
        <w:rPr>
          <w:rFonts w:hint="eastAsia"/>
          <w:i w:val="0"/>
          <w:iCs w:val="0"/>
          <w:color w:val="auto"/>
          <w:highlight w:val="none"/>
        </w:rPr>
        <w:t>潜在供应商已依法获取其可质疑的</w:t>
      </w:r>
      <w:r>
        <w:rPr>
          <w:rFonts w:hint="eastAsia"/>
          <w:i w:val="0"/>
          <w:iCs w:val="0"/>
          <w:color w:val="auto"/>
          <w:highlight w:val="none"/>
          <w:lang w:eastAsia="zh-CN"/>
        </w:rPr>
        <w:t>磋商</w:t>
      </w:r>
      <w:r>
        <w:rPr>
          <w:rFonts w:hint="eastAsia"/>
          <w:i w:val="0"/>
          <w:iCs w:val="0"/>
          <w:color w:val="auto"/>
          <w:highlight w:val="none"/>
        </w:rPr>
        <w:t>文件的，可以对该文件提出质疑。对</w:t>
      </w:r>
      <w:r>
        <w:rPr>
          <w:rFonts w:hint="eastAsia"/>
          <w:i w:val="0"/>
          <w:iCs w:val="0"/>
          <w:color w:val="auto"/>
          <w:highlight w:val="none"/>
          <w:lang w:eastAsia="zh-CN"/>
        </w:rPr>
        <w:t>磋商</w:t>
      </w:r>
      <w:r>
        <w:rPr>
          <w:rFonts w:hint="eastAsia"/>
          <w:i w:val="0"/>
          <w:iCs w:val="0"/>
          <w:color w:val="auto"/>
          <w:highlight w:val="none"/>
        </w:rPr>
        <w:t>文件提出质疑的，应当在获取</w:t>
      </w:r>
      <w:r>
        <w:rPr>
          <w:rFonts w:hint="eastAsia"/>
          <w:i w:val="0"/>
          <w:iCs w:val="0"/>
          <w:color w:val="auto"/>
          <w:highlight w:val="none"/>
          <w:lang w:eastAsia="zh-CN"/>
        </w:rPr>
        <w:t>磋商</w:t>
      </w:r>
      <w:r>
        <w:rPr>
          <w:rFonts w:hint="eastAsia"/>
          <w:i w:val="0"/>
          <w:iCs w:val="0"/>
          <w:color w:val="auto"/>
          <w:highlight w:val="none"/>
        </w:rPr>
        <w:t>文件或者</w:t>
      </w:r>
      <w:r>
        <w:rPr>
          <w:rFonts w:hint="eastAsia"/>
          <w:i w:val="0"/>
          <w:iCs w:val="0"/>
          <w:color w:val="auto"/>
          <w:highlight w:val="none"/>
          <w:lang w:eastAsia="zh-CN"/>
        </w:rPr>
        <w:t>磋商</w:t>
      </w:r>
      <w:r>
        <w:rPr>
          <w:rFonts w:hint="eastAsia"/>
          <w:i w:val="0"/>
          <w:iCs w:val="0"/>
          <w:color w:val="auto"/>
          <w:highlight w:val="none"/>
        </w:rPr>
        <w:t>文件公告期限届满之日起7个工作日内提出。</w:t>
      </w:r>
    </w:p>
    <w:p w14:paraId="7A916D67">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lang w:val="en-US" w:eastAsia="zh-CN"/>
        </w:rPr>
        <w:t>33.4</w:t>
      </w:r>
      <w:r>
        <w:rPr>
          <w:rFonts w:hint="eastAsia"/>
          <w:i w:val="0"/>
          <w:iCs w:val="0"/>
          <w:color w:val="auto"/>
          <w:highlight w:val="none"/>
        </w:rPr>
        <w:t>供应商提出质疑应当提交质疑函和必要的证明材料。质疑函应当包括下列内容：</w:t>
      </w:r>
    </w:p>
    <w:p w14:paraId="57C1F480">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1</w:t>
      </w:r>
      <w:r>
        <w:rPr>
          <w:rFonts w:hint="eastAsia"/>
          <w:i w:val="0"/>
          <w:iCs w:val="0"/>
          <w:color w:val="auto"/>
          <w:highlight w:val="none"/>
        </w:rPr>
        <w:t>）供应商的姓名或者名称、地址、邮编、联系人及联系电话；</w:t>
      </w:r>
    </w:p>
    <w:p w14:paraId="2B1F4E61">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2</w:t>
      </w:r>
      <w:r>
        <w:rPr>
          <w:rFonts w:hint="eastAsia"/>
          <w:i w:val="0"/>
          <w:iCs w:val="0"/>
          <w:color w:val="auto"/>
          <w:highlight w:val="none"/>
        </w:rPr>
        <w:t>）质疑项目的名称、编号；</w:t>
      </w:r>
    </w:p>
    <w:p w14:paraId="1AA8BB74">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3</w:t>
      </w:r>
      <w:r>
        <w:rPr>
          <w:rFonts w:hint="eastAsia"/>
          <w:i w:val="0"/>
          <w:iCs w:val="0"/>
          <w:color w:val="auto"/>
          <w:highlight w:val="none"/>
        </w:rPr>
        <w:t>）具体、明确的质疑事项和与质疑事项相关的请求；</w:t>
      </w:r>
    </w:p>
    <w:p w14:paraId="6456E8B1">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4</w:t>
      </w:r>
      <w:r>
        <w:rPr>
          <w:rFonts w:hint="eastAsia"/>
          <w:i w:val="0"/>
          <w:iCs w:val="0"/>
          <w:color w:val="auto"/>
          <w:highlight w:val="none"/>
        </w:rPr>
        <w:t>）事实依据；</w:t>
      </w:r>
    </w:p>
    <w:p w14:paraId="4D032ABB">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5</w:t>
      </w:r>
      <w:r>
        <w:rPr>
          <w:rFonts w:hint="eastAsia"/>
          <w:i w:val="0"/>
          <w:iCs w:val="0"/>
          <w:color w:val="auto"/>
          <w:highlight w:val="none"/>
        </w:rPr>
        <w:t>）必要的法律依据；</w:t>
      </w:r>
    </w:p>
    <w:p w14:paraId="2E14DE4D">
      <w:pPr>
        <w:pStyle w:val="37"/>
        <w:keepNext w:val="0"/>
        <w:keepLines w:val="0"/>
        <w:pageBreakBefore w:val="0"/>
        <w:widowControl w:val="0"/>
        <w:kinsoku/>
        <w:overflowPunct/>
        <w:topLinePunct w:val="0"/>
        <w:autoSpaceDE/>
        <w:autoSpaceDN/>
        <w:bidi w:val="0"/>
        <w:adjustRightInd/>
        <w:textAlignment w:val="auto"/>
        <w:rPr>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6</w:t>
      </w:r>
      <w:r>
        <w:rPr>
          <w:rFonts w:hint="eastAsia"/>
          <w:i w:val="0"/>
          <w:iCs w:val="0"/>
          <w:color w:val="auto"/>
          <w:highlight w:val="none"/>
        </w:rPr>
        <w:t>）提出质疑的日期。</w:t>
      </w:r>
    </w:p>
    <w:p w14:paraId="553B627B">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供应商为自然人的，应当由本人签字；供应商为法人或者其他组织的，应当由法定代表人、主要负责人，或者其授权代表签字或者盖章，并加盖公章。</w:t>
      </w:r>
    </w:p>
    <w:p w14:paraId="5F1352A8">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.5质疑函不符合上述要求的，采购人或代理机构应书面告知具体事项，质疑人应当按要求进行修改或补充，并在质疑有效期限内提交。</w:t>
      </w:r>
    </w:p>
    <w:p w14:paraId="76BD2AC8">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rPr>
      </w:pPr>
      <w:r>
        <w:rPr>
          <w:rFonts w:hint="eastAsia"/>
          <w:i w:val="0"/>
          <w:iCs w:val="0"/>
          <w:snapToGrid w:val="0"/>
          <w:color w:val="auto"/>
          <w:highlight w:val="none"/>
        </w:rPr>
        <w:t>3</w:t>
      </w:r>
      <w:r>
        <w:rPr>
          <w:rFonts w:hint="eastAsia"/>
          <w:i w:val="0"/>
          <w:iCs w:val="0"/>
          <w:snapToGrid w:val="0"/>
          <w:color w:val="auto"/>
          <w:highlight w:val="none"/>
          <w:lang w:val="en-US" w:eastAsia="zh-CN"/>
        </w:rPr>
        <w:t>3</w:t>
      </w:r>
      <w:r>
        <w:rPr>
          <w:rFonts w:hint="eastAsia"/>
          <w:i w:val="0"/>
          <w:iCs w:val="0"/>
          <w:snapToGrid w:val="0"/>
          <w:color w:val="auto"/>
          <w:highlight w:val="none"/>
        </w:rPr>
        <w:t>.</w:t>
      </w:r>
      <w:r>
        <w:rPr>
          <w:rFonts w:hint="eastAsia"/>
          <w:i w:val="0"/>
          <w:iCs w:val="0"/>
          <w:snapToGrid w:val="0"/>
          <w:color w:val="auto"/>
          <w:highlight w:val="none"/>
          <w:lang w:val="en-US" w:eastAsia="zh-CN"/>
        </w:rPr>
        <w:t>6供应商</w:t>
      </w:r>
      <w:r>
        <w:rPr>
          <w:rFonts w:hint="eastAsia"/>
          <w:i w:val="0"/>
          <w:iCs w:val="0"/>
          <w:snapToGrid w:val="0"/>
          <w:color w:val="auto"/>
          <w:highlight w:val="none"/>
        </w:rPr>
        <w:t>进行虚假和恶意</w:t>
      </w:r>
      <w:r>
        <w:rPr>
          <w:rFonts w:hint="eastAsia"/>
          <w:i w:val="0"/>
          <w:iCs w:val="0"/>
          <w:snapToGrid w:val="0"/>
          <w:color w:val="auto"/>
          <w:highlight w:val="none"/>
          <w:lang w:val="en-US" w:eastAsia="zh-CN"/>
        </w:rPr>
        <w:t>质疑投诉</w:t>
      </w:r>
      <w:r>
        <w:rPr>
          <w:rFonts w:hint="eastAsia"/>
          <w:i w:val="0"/>
          <w:iCs w:val="0"/>
          <w:snapToGrid w:val="0"/>
          <w:color w:val="auto"/>
          <w:highlight w:val="none"/>
        </w:rPr>
        <w:t>的，采购代理机构将提请有关部门将其列入不良记录名单，在一至三年内禁止参加政府采购活动，并将处理决定在相关政府采购媒体上公布。</w:t>
      </w:r>
    </w:p>
    <w:p w14:paraId="0077D2B4">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rPr>
      </w:pPr>
      <w:r>
        <w:rPr>
          <w:rFonts w:hint="eastAsia"/>
          <w:i w:val="0"/>
          <w:iCs w:val="0"/>
          <w:snapToGrid w:val="0"/>
          <w:color w:val="auto"/>
          <w:highlight w:val="none"/>
          <w:lang w:val="en-US" w:eastAsia="zh-CN"/>
        </w:rPr>
        <w:t>33.7</w:t>
      </w:r>
      <w:r>
        <w:rPr>
          <w:rFonts w:hint="eastAsia"/>
          <w:i w:val="0"/>
          <w:iCs w:val="0"/>
          <w:color w:val="auto"/>
          <w:highlight w:val="none"/>
        </w:rPr>
        <w:t>质疑函</w:t>
      </w:r>
      <w:r>
        <w:rPr>
          <w:rFonts w:hint="eastAsia"/>
          <w:i w:val="0"/>
          <w:iCs w:val="0"/>
          <w:color w:val="auto"/>
          <w:highlight w:val="none"/>
          <w:lang w:val="en-US" w:eastAsia="zh-CN"/>
        </w:rPr>
        <w:t>应当使用中文，并采用财政部门制定的范本。</w:t>
      </w:r>
    </w:p>
    <w:p w14:paraId="007DBE4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7" w:name="_Toc109899987"/>
      <w:bookmarkStart w:id="358" w:name="_Toc48688824"/>
      <w:bookmarkStart w:id="359" w:name="_Toc51674246"/>
      <w:bookmarkStart w:id="360" w:name="_Toc48846144"/>
      <w:bookmarkStart w:id="361" w:name="_Toc52962762"/>
      <w:bookmarkStart w:id="362" w:name="_Toc46772276"/>
      <w:bookmarkStart w:id="363" w:name="_Toc46771675"/>
      <w:bookmarkStart w:id="364" w:name="_Toc52960588"/>
      <w:bookmarkStart w:id="365" w:name="_Toc109899568"/>
      <w:bookmarkStart w:id="366" w:name="_Toc109897469"/>
      <w:bookmarkStart w:id="367" w:name="_Toc109900406"/>
      <w:r>
        <w:rPr>
          <w:rFonts w:hint="eastAsia" w:ascii="宋体" w:hAnsi="宋体" w:eastAsia="宋体" w:cs="宋体"/>
          <w:b/>
          <w:bCs/>
          <w:color w:val="auto"/>
          <w:kern w:val="2"/>
          <w:sz w:val="24"/>
          <w:szCs w:val="24"/>
          <w:highlight w:val="none"/>
          <w:lang w:val="en-US" w:eastAsia="zh-CN" w:bidi="ar-SA"/>
        </w:rPr>
        <w:t>34.质疑答复</w:t>
      </w:r>
      <w:bookmarkEnd w:id="357"/>
      <w:bookmarkEnd w:id="358"/>
      <w:bookmarkEnd w:id="359"/>
      <w:bookmarkEnd w:id="360"/>
      <w:bookmarkEnd w:id="361"/>
      <w:bookmarkEnd w:id="362"/>
      <w:bookmarkEnd w:id="363"/>
      <w:bookmarkEnd w:id="364"/>
      <w:bookmarkEnd w:id="365"/>
      <w:bookmarkEnd w:id="366"/>
      <w:bookmarkEnd w:id="367"/>
    </w:p>
    <w:p w14:paraId="43D7F91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rPr>
      </w:pPr>
      <w:r>
        <w:rPr>
          <w:i w:val="0"/>
          <w:iCs w:val="0"/>
          <w:snapToGrid w:val="0"/>
          <w:color w:val="auto"/>
          <w:highlight w:val="none"/>
        </w:rPr>
        <w:t>3</w:t>
      </w:r>
      <w:r>
        <w:rPr>
          <w:rFonts w:hint="eastAsia"/>
          <w:i w:val="0"/>
          <w:iCs w:val="0"/>
          <w:snapToGrid w:val="0"/>
          <w:color w:val="auto"/>
          <w:highlight w:val="none"/>
          <w:lang w:val="en-US" w:eastAsia="zh-CN"/>
        </w:rPr>
        <w:t>4</w:t>
      </w:r>
      <w:r>
        <w:rPr>
          <w:rFonts w:hint="eastAsia"/>
          <w:i w:val="0"/>
          <w:iCs w:val="0"/>
          <w:snapToGrid w:val="0"/>
          <w:color w:val="auto"/>
          <w:highlight w:val="none"/>
          <w:lang w:val="zh-CN"/>
        </w:rPr>
        <w:t>.1</w:t>
      </w:r>
      <w:r>
        <w:rPr>
          <w:rFonts w:hint="eastAsia" w:ascii="宋体" w:hAnsi="宋体" w:eastAsia="宋体"/>
          <w:i w:val="0"/>
          <w:iCs w:val="0"/>
          <w:color w:val="auto"/>
          <w:highlight w:val="none"/>
        </w:rPr>
        <w:t>采购人、采购代理机构不得拒收质疑供应商在法定质疑期内发出的质疑函，应当在收到质疑函后7个工作日内作出答复，并以书面形式通知质疑供应商和其他有关供应商。</w:t>
      </w:r>
    </w:p>
    <w:p w14:paraId="6776834F">
      <w:pPr>
        <w:pStyle w:val="37"/>
        <w:keepNext w:val="0"/>
        <w:keepLines w:val="0"/>
        <w:pageBreakBefore w:val="0"/>
        <w:widowControl w:val="0"/>
        <w:kinsoku/>
        <w:overflowPunct/>
        <w:topLinePunct w:val="0"/>
        <w:autoSpaceDE/>
        <w:autoSpaceDN/>
        <w:bidi w:val="0"/>
        <w:adjustRightInd/>
        <w:textAlignment w:val="auto"/>
        <w:rPr>
          <w:rFonts w:hint="default"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34.2供应商对评审过程、成交结果提出质疑的，采购人、采购代理机构可以组织原竞争性磋商小组协助答复质疑。</w:t>
      </w:r>
    </w:p>
    <w:p w14:paraId="14E02AA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质疑答复应当包括下列内容：</w:t>
      </w:r>
    </w:p>
    <w:p w14:paraId="457CAA6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1</w:t>
      </w:r>
      <w:r>
        <w:rPr>
          <w:rFonts w:hint="eastAsia" w:ascii="宋体" w:hAnsi="宋体" w:eastAsia="宋体"/>
          <w:i w:val="0"/>
          <w:iCs w:val="0"/>
          <w:color w:val="auto"/>
          <w:highlight w:val="none"/>
          <w:lang w:val="zh-CN" w:eastAsia="zh-CN"/>
        </w:rPr>
        <w:t>）质疑供应商的姓名或者名称；</w:t>
      </w:r>
    </w:p>
    <w:p w14:paraId="462FCFC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2</w:t>
      </w:r>
      <w:r>
        <w:rPr>
          <w:rFonts w:hint="eastAsia" w:ascii="宋体" w:hAnsi="宋体" w:eastAsia="宋体"/>
          <w:i w:val="0"/>
          <w:iCs w:val="0"/>
          <w:color w:val="auto"/>
          <w:highlight w:val="none"/>
          <w:lang w:val="zh-CN" w:eastAsia="zh-CN"/>
        </w:rPr>
        <w:t>）收到质疑函的日期、质疑项目名称及编号；</w:t>
      </w:r>
    </w:p>
    <w:p w14:paraId="18D7215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3</w:t>
      </w:r>
      <w:r>
        <w:rPr>
          <w:rFonts w:hint="eastAsia" w:ascii="宋体" w:hAnsi="宋体" w:eastAsia="宋体"/>
          <w:i w:val="0"/>
          <w:iCs w:val="0"/>
          <w:color w:val="auto"/>
          <w:highlight w:val="none"/>
          <w:lang w:val="zh-CN" w:eastAsia="zh-CN"/>
        </w:rPr>
        <w:t>）质疑事项、质疑答复的具体内容、事实依据和法律依据；</w:t>
      </w:r>
    </w:p>
    <w:p w14:paraId="416368F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4</w:t>
      </w:r>
      <w:r>
        <w:rPr>
          <w:rFonts w:hint="eastAsia" w:ascii="宋体" w:hAnsi="宋体" w:eastAsia="宋体"/>
          <w:i w:val="0"/>
          <w:iCs w:val="0"/>
          <w:color w:val="auto"/>
          <w:highlight w:val="none"/>
          <w:lang w:val="zh-CN" w:eastAsia="zh-CN"/>
        </w:rPr>
        <w:t>）告知质疑供应商依法投诉的权利；</w:t>
      </w:r>
    </w:p>
    <w:p w14:paraId="36EE796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5</w:t>
      </w:r>
      <w:r>
        <w:rPr>
          <w:rFonts w:hint="eastAsia" w:ascii="宋体" w:hAnsi="宋体" w:eastAsia="宋体"/>
          <w:i w:val="0"/>
          <w:iCs w:val="0"/>
          <w:color w:val="auto"/>
          <w:highlight w:val="none"/>
          <w:lang w:val="zh-CN" w:eastAsia="zh-CN"/>
        </w:rPr>
        <w:t>）质疑答复人名称；</w:t>
      </w:r>
    </w:p>
    <w:p w14:paraId="7E632C0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zh-CN" w:eastAsia="zh-CN"/>
        </w:rPr>
        <w:t>（</w:t>
      </w:r>
      <w:r>
        <w:rPr>
          <w:rFonts w:hint="eastAsia" w:ascii="宋体" w:hAnsi="宋体" w:eastAsia="宋体"/>
          <w:i w:val="0"/>
          <w:iCs w:val="0"/>
          <w:color w:val="auto"/>
          <w:highlight w:val="none"/>
          <w:lang w:val="en-US" w:eastAsia="zh-CN"/>
        </w:rPr>
        <w:t>6</w:t>
      </w:r>
      <w:r>
        <w:rPr>
          <w:rFonts w:hint="eastAsia" w:ascii="宋体" w:hAnsi="宋体" w:eastAsia="宋体"/>
          <w:i w:val="0"/>
          <w:iCs w:val="0"/>
          <w:color w:val="auto"/>
          <w:highlight w:val="none"/>
          <w:lang w:val="zh-CN" w:eastAsia="zh-CN"/>
        </w:rPr>
        <w:t>）答复质疑的日期。</w:t>
      </w:r>
    </w:p>
    <w:p w14:paraId="56A5E1E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i w:val="0"/>
          <w:iCs w:val="0"/>
          <w:color w:val="auto"/>
          <w:highlight w:val="none"/>
          <w:lang w:val="zh-CN" w:eastAsia="zh-CN"/>
        </w:rPr>
      </w:pPr>
      <w:r>
        <w:rPr>
          <w:rFonts w:hint="eastAsia" w:ascii="宋体" w:hAnsi="宋体" w:eastAsia="宋体"/>
          <w:i w:val="0"/>
          <w:iCs w:val="0"/>
          <w:color w:val="auto"/>
          <w:highlight w:val="none"/>
          <w:lang w:val="en-US" w:eastAsia="zh-CN"/>
        </w:rPr>
        <w:t>34.3</w:t>
      </w:r>
      <w:r>
        <w:rPr>
          <w:rFonts w:hint="eastAsia" w:ascii="宋体" w:hAnsi="宋体" w:eastAsia="宋体"/>
          <w:i w:val="0"/>
          <w:iCs w:val="0"/>
          <w:color w:val="auto"/>
          <w:highlight w:val="none"/>
          <w:lang w:val="zh-CN" w:eastAsia="zh-CN"/>
        </w:rPr>
        <w:t>质疑答复的内容不得涉及商业秘密。</w:t>
      </w:r>
    </w:p>
    <w:p w14:paraId="64A43DE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35.投诉</w:t>
      </w:r>
    </w:p>
    <w:p w14:paraId="34C5EAA0">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lang w:val="en-US" w:eastAsia="zh-CN"/>
        </w:rPr>
        <w:t>35.1</w:t>
      </w:r>
      <w:r>
        <w:rPr>
          <w:rFonts w:hint="eastAsia"/>
          <w:i w:val="0"/>
          <w:iCs w:val="0"/>
          <w:color w:val="auto"/>
          <w:highlight w:val="none"/>
        </w:rPr>
        <w:t>质疑供应商对采购人、采购代理机构的答复不满意，或者采购人、采购代理机构未在规定时间内作出答复的，可以在答复期满后15个工作日内向</w:t>
      </w:r>
      <w:r>
        <w:rPr>
          <w:rFonts w:hint="eastAsia"/>
          <w:i w:val="0"/>
          <w:iCs w:val="0"/>
          <w:color w:val="auto"/>
          <w:highlight w:val="none"/>
          <w:lang w:val="en-US" w:eastAsia="zh-CN"/>
        </w:rPr>
        <w:t>同级政府采购监督管理部门</w:t>
      </w:r>
      <w:r>
        <w:rPr>
          <w:rFonts w:hint="eastAsia"/>
          <w:i w:val="0"/>
          <w:iCs w:val="0"/>
          <w:color w:val="auto"/>
          <w:highlight w:val="none"/>
        </w:rPr>
        <w:t>提起投诉。</w:t>
      </w:r>
    </w:p>
    <w:p w14:paraId="7AE3C0F6">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lang w:val="en-US" w:eastAsia="zh-CN"/>
        </w:rPr>
        <w:t>35.2</w:t>
      </w:r>
      <w:r>
        <w:rPr>
          <w:rFonts w:hint="eastAsia"/>
          <w:i w:val="0"/>
          <w:iCs w:val="0"/>
          <w:color w:val="auto"/>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1</w:t>
      </w:r>
      <w:r>
        <w:rPr>
          <w:rFonts w:hint="eastAsia"/>
          <w:i w:val="0"/>
          <w:iCs w:val="0"/>
          <w:color w:val="auto"/>
          <w:highlight w:val="none"/>
        </w:rPr>
        <w:t>）投诉人和被投诉人的姓名或者名称、通讯地址、邮编、联系人及联系电话；</w:t>
      </w:r>
    </w:p>
    <w:p w14:paraId="1A65A103">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2</w:t>
      </w:r>
      <w:r>
        <w:rPr>
          <w:rFonts w:hint="eastAsia"/>
          <w:i w:val="0"/>
          <w:iCs w:val="0"/>
          <w:color w:val="auto"/>
          <w:highlight w:val="none"/>
        </w:rPr>
        <w:t>）质疑和质疑答复情况说明及相关证明材料；</w:t>
      </w:r>
    </w:p>
    <w:p w14:paraId="675A6D97">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3</w:t>
      </w:r>
      <w:r>
        <w:rPr>
          <w:rFonts w:hint="eastAsia"/>
          <w:i w:val="0"/>
          <w:iCs w:val="0"/>
          <w:color w:val="auto"/>
          <w:highlight w:val="none"/>
        </w:rPr>
        <w:t>）具体、明确的投诉事项和与投诉事项相关的投诉请求；</w:t>
      </w:r>
    </w:p>
    <w:p w14:paraId="4A0C1598">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4</w:t>
      </w:r>
      <w:r>
        <w:rPr>
          <w:rFonts w:hint="eastAsia"/>
          <w:i w:val="0"/>
          <w:iCs w:val="0"/>
          <w:color w:val="auto"/>
          <w:highlight w:val="none"/>
        </w:rPr>
        <w:t>）事实依据；</w:t>
      </w:r>
    </w:p>
    <w:p w14:paraId="4CFD3E01">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5</w:t>
      </w:r>
      <w:r>
        <w:rPr>
          <w:rFonts w:hint="eastAsia"/>
          <w:i w:val="0"/>
          <w:iCs w:val="0"/>
          <w:color w:val="auto"/>
          <w:highlight w:val="none"/>
        </w:rPr>
        <w:t>）法律依据；</w:t>
      </w:r>
    </w:p>
    <w:p w14:paraId="35FA6A4A">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w:t>
      </w:r>
      <w:r>
        <w:rPr>
          <w:rFonts w:hint="eastAsia"/>
          <w:i w:val="0"/>
          <w:iCs w:val="0"/>
          <w:color w:val="auto"/>
          <w:highlight w:val="none"/>
          <w:lang w:val="en-US" w:eastAsia="zh-CN"/>
        </w:rPr>
        <w:t>6</w:t>
      </w:r>
      <w:r>
        <w:rPr>
          <w:rFonts w:hint="eastAsia"/>
          <w:i w:val="0"/>
          <w:iCs w:val="0"/>
          <w:color w:val="auto"/>
          <w:highlight w:val="none"/>
        </w:rPr>
        <w:t>）提起投诉的日期。</w:t>
      </w:r>
    </w:p>
    <w:p w14:paraId="4FC7C3AB">
      <w:pPr>
        <w:pStyle w:val="37"/>
        <w:keepNext w:val="0"/>
        <w:keepLines w:val="0"/>
        <w:pageBreakBefore w:val="0"/>
        <w:widowControl w:val="0"/>
        <w:kinsoku/>
        <w:overflowPunct/>
        <w:topLinePunct w:val="0"/>
        <w:autoSpaceDE/>
        <w:autoSpaceDN/>
        <w:bidi w:val="0"/>
        <w:adjustRightInd/>
        <w:textAlignment w:val="auto"/>
        <w:rPr>
          <w:rFonts w:hint="eastAsia"/>
          <w:i w:val="0"/>
          <w:iCs w:val="0"/>
          <w:color w:val="auto"/>
          <w:highlight w:val="none"/>
        </w:rPr>
      </w:pPr>
      <w:r>
        <w:rPr>
          <w:rFonts w:hint="eastAsia"/>
          <w:i w:val="0"/>
          <w:iCs w:val="0"/>
          <w:color w:val="auto"/>
          <w:highlight w:val="none"/>
        </w:rPr>
        <w:t>投诉人为自然人的，应当由本人签字；投诉人为法人或者其他组织的，应当由法定代表人、主要负责人，或者其授权代表签字或者盖章，并加盖公章。</w:t>
      </w:r>
    </w:p>
    <w:p w14:paraId="4DF335BD">
      <w:pPr>
        <w:pStyle w:val="37"/>
        <w:keepNext w:val="0"/>
        <w:keepLines w:val="0"/>
        <w:pageBreakBefore w:val="0"/>
        <w:widowControl w:val="0"/>
        <w:kinsoku/>
        <w:overflowPunct/>
        <w:topLinePunct w:val="0"/>
        <w:autoSpaceDE/>
        <w:autoSpaceDN/>
        <w:bidi w:val="0"/>
        <w:adjustRightInd/>
        <w:textAlignment w:val="auto"/>
        <w:rPr>
          <w:rFonts w:hint="eastAsia"/>
          <w:bCs/>
          <w:i w:val="0"/>
          <w:iCs w:val="0"/>
          <w:color w:val="auto"/>
          <w:highlight w:val="none"/>
        </w:rPr>
      </w:pPr>
      <w:r>
        <w:rPr>
          <w:rFonts w:hint="eastAsia"/>
          <w:i w:val="0"/>
          <w:iCs w:val="0"/>
          <w:color w:val="auto"/>
          <w:highlight w:val="none"/>
          <w:lang w:val="en-US" w:eastAsia="zh-CN"/>
        </w:rPr>
        <w:t>35.3</w:t>
      </w:r>
      <w:r>
        <w:rPr>
          <w:rFonts w:hint="eastAsia"/>
          <w:i w:val="0"/>
          <w:iCs w:val="0"/>
          <w:color w:val="auto"/>
          <w:highlight w:val="none"/>
        </w:rPr>
        <w:t>供应商</w:t>
      </w:r>
      <w:r>
        <w:rPr>
          <w:rFonts w:hint="eastAsia"/>
          <w:i w:val="0"/>
          <w:iCs w:val="0"/>
          <w:color w:val="auto"/>
          <w:highlight w:val="none"/>
          <w:lang w:val="en-US" w:eastAsia="zh-CN"/>
        </w:rPr>
        <w:t>质疑、</w:t>
      </w:r>
      <w:r>
        <w:rPr>
          <w:rFonts w:hint="eastAsia"/>
          <w:i w:val="0"/>
          <w:iCs w:val="0"/>
          <w:color w:val="auto"/>
          <w:highlight w:val="none"/>
        </w:rPr>
        <w:t>投诉</w:t>
      </w:r>
      <w:r>
        <w:rPr>
          <w:rFonts w:hint="eastAsia"/>
          <w:i w:val="0"/>
          <w:iCs w:val="0"/>
          <w:color w:val="auto"/>
          <w:highlight w:val="none"/>
          <w:lang w:val="en-US" w:eastAsia="zh-CN"/>
        </w:rPr>
        <w:t>应当有明确的请求和必要的证明材料</w:t>
      </w:r>
      <w:r>
        <w:rPr>
          <w:rFonts w:hint="eastAsia"/>
          <w:i w:val="0"/>
          <w:iCs w:val="0"/>
          <w:color w:val="auto"/>
          <w:highlight w:val="none"/>
          <w:lang w:eastAsia="zh-CN"/>
        </w:rPr>
        <w:t>。</w:t>
      </w:r>
      <w:r>
        <w:rPr>
          <w:rFonts w:hint="eastAsia"/>
          <w:i w:val="0"/>
          <w:iCs w:val="0"/>
          <w:color w:val="auto"/>
          <w:highlight w:val="none"/>
        </w:rPr>
        <w:t>供应商投诉的事项不得超出</w:t>
      </w:r>
      <w:r>
        <w:rPr>
          <w:rFonts w:hint="eastAsia"/>
          <w:i w:val="0"/>
          <w:iCs w:val="0"/>
          <w:color w:val="auto"/>
          <w:highlight w:val="none"/>
          <w:lang w:val="en-US" w:eastAsia="zh-CN"/>
        </w:rPr>
        <w:t>已</w:t>
      </w:r>
      <w:r>
        <w:rPr>
          <w:rFonts w:hint="eastAsia"/>
          <w:i w:val="0"/>
          <w:iCs w:val="0"/>
          <w:color w:val="auto"/>
          <w:highlight w:val="none"/>
        </w:rPr>
        <w:t>质疑事项的范围，但基于质疑答复内容提出的投诉事项除外</w:t>
      </w:r>
      <w:r>
        <w:rPr>
          <w:rFonts w:hint="eastAsia"/>
          <w:bCs/>
          <w:i w:val="0"/>
          <w:iCs w:val="0"/>
          <w:color w:val="auto"/>
          <w:highlight w:val="none"/>
        </w:rPr>
        <w:t>。</w:t>
      </w:r>
    </w:p>
    <w:p w14:paraId="6BEA34E3">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rFonts w:hint="eastAsia"/>
          <w:i w:val="0"/>
          <w:iCs w:val="0"/>
          <w:snapToGrid w:val="0"/>
          <w:color w:val="auto"/>
          <w:highlight w:val="none"/>
          <w:lang w:val="en-US" w:eastAsia="zh-CN"/>
        </w:rPr>
        <w:t>35.4</w:t>
      </w:r>
      <w:r>
        <w:rPr>
          <w:rFonts w:hint="eastAsia"/>
          <w:i w:val="0"/>
          <w:iCs w:val="0"/>
          <w:color w:val="auto"/>
          <w:highlight w:val="none"/>
          <w:lang w:val="en-US" w:eastAsia="zh-CN"/>
        </w:rPr>
        <w:t>投诉书应当使用中文，并采用财政部门制定的范本。</w:t>
      </w:r>
    </w:p>
    <w:bookmarkEnd w:id="101"/>
    <w:bookmarkEnd w:id="345"/>
    <w:p w14:paraId="072EB102">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8" w:name="_Toc12500"/>
      <w:bookmarkStart w:id="369" w:name="_Toc163493619"/>
      <w:bookmarkStart w:id="370" w:name="_Toc109900408"/>
      <w:bookmarkStart w:id="371" w:name="_Toc109899989"/>
      <w:bookmarkStart w:id="372" w:name="_Toc109899570"/>
      <w:bookmarkStart w:id="373" w:name="_Hlk60570485"/>
      <w:bookmarkStart w:id="374" w:name="_Toc109897471"/>
      <w:r>
        <w:rPr>
          <w:rFonts w:hint="eastAsia" w:ascii="宋体" w:hAnsi="宋体" w:eastAsia="宋体" w:cs="宋体"/>
          <w:b/>
          <w:bCs/>
          <w:color w:val="auto"/>
          <w:kern w:val="2"/>
          <w:sz w:val="24"/>
          <w:szCs w:val="24"/>
          <w:highlight w:val="none"/>
          <w:lang w:val="en-US" w:eastAsia="zh-CN" w:bidi="ar-SA"/>
        </w:rPr>
        <w:t>（十一）采购代理服务费</w:t>
      </w:r>
      <w:bookmarkEnd w:id="368"/>
      <w:bookmarkEnd w:id="369"/>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36.收取方式和标准</w:t>
      </w:r>
    </w:p>
    <w:p w14:paraId="0F0CA960">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bCs/>
          <w:i w:val="0"/>
          <w:iCs w:val="0"/>
          <w:color w:val="auto"/>
          <w:highlight w:val="none"/>
        </w:rPr>
        <w:t>3</w:t>
      </w:r>
      <w:r>
        <w:rPr>
          <w:rFonts w:hint="eastAsia"/>
          <w:bCs/>
          <w:i w:val="0"/>
          <w:iCs w:val="0"/>
          <w:color w:val="auto"/>
          <w:highlight w:val="none"/>
          <w:lang w:val="en-US" w:eastAsia="zh-CN"/>
        </w:rPr>
        <w:t>6</w:t>
      </w:r>
      <w:r>
        <w:rPr>
          <w:rFonts w:hint="eastAsia"/>
          <w:i w:val="0"/>
          <w:iCs w:val="0"/>
          <w:color w:val="auto"/>
          <w:highlight w:val="none"/>
        </w:rPr>
        <w:t>.1采购代理机构按“供应商须知前附表”规定的方式和标准收取采购代理服务费。</w:t>
      </w:r>
    </w:p>
    <w:p w14:paraId="5E6F961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5" w:name="_Toc20778"/>
      <w:bookmarkStart w:id="376" w:name="_Toc163493620"/>
      <w:r>
        <w:rPr>
          <w:rFonts w:hint="eastAsia" w:ascii="宋体" w:hAnsi="宋体" w:eastAsia="宋体" w:cs="宋体"/>
          <w:b/>
          <w:bCs/>
          <w:color w:val="auto"/>
          <w:kern w:val="2"/>
          <w:sz w:val="24"/>
          <w:szCs w:val="24"/>
          <w:highlight w:val="none"/>
          <w:lang w:val="en-US" w:eastAsia="zh-CN" w:bidi="ar-SA"/>
        </w:rPr>
        <w:t>（十二）无效响应和终止采购活动</w:t>
      </w:r>
      <w:bookmarkEnd w:id="375"/>
      <w:bookmarkEnd w:id="376"/>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7" w:name="_Toc161600338"/>
      <w:bookmarkStart w:id="378" w:name="_Toc140132806"/>
      <w:r>
        <w:rPr>
          <w:rFonts w:hint="eastAsia" w:ascii="宋体" w:hAnsi="宋体" w:eastAsia="宋体" w:cs="宋体"/>
          <w:b/>
          <w:bCs/>
          <w:color w:val="auto"/>
          <w:kern w:val="2"/>
          <w:sz w:val="24"/>
          <w:szCs w:val="24"/>
          <w:highlight w:val="none"/>
          <w:lang w:val="en-US" w:eastAsia="zh-CN" w:bidi="ar-SA"/>
        </w:rPr>
        <w:t>37.无效</w:t>
      </w:r>
      <w:bookmarkEnd w:id="377"/>
      <w:bookmarkEnd w:id="378"/>
      <w:r>
        <w:rPr>
          <w:rFonts w:hint="eastAsia" w:ascii="宋体" w:hAnsi="宋体" w:eastAsia="宋体" w:cs="宋体"/>
          <w:b/>
          <w:bCs/>
          <w:color w:val="auto"/>
          <w:kern w:val="2"/>
          <w:sz w:val="24"/>
          <w:szCs w:val="24"/>
          <w:highlight w:val="none"/>
          <w:lang w:val="en-US" w:eastAsia="zh-CN" w:bidi="ar-SA"/>
        </w:rPr>
        <w:t>响应</w:t>
      </w:r>
    </w:p>
    <w:p w14:paraId="132D1B41">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3</w:t>
      </w:r>
      <w:r>
        <w:rPr>
          <w:rFonts w:hint="eastAsia"/>
          <w:i w:val="0"/>
          <w:iCs w:val="0"/>
          <w:color w:val="auto"/>
          <w:highlight w:val="none"/>
          <w:lang w:val="en-US" w:eastAsia="zh-CN"/>
        </w:rPr>
        <w:t>7</w:t>
      </w:r>
      <w:r>
        <w:rPr>
          <w:rFonts w:hint="eastAsia"/>
          <w:i w:val="0"/>
          <w:iCs w:val="0"/>
          <w:color w:val="auto"/>
          <w:highlight w:val="none"/>
        </w:rPr>
        <w:t>.1响应文件存在“第</w:t>
      </w:r>
      <w:r>
        <w:rPr>
          <w:rFonts w:hint="eastAsia"/>
          <w:i w:val="0"/>
          <w:iCs w:val="0"/>
          <w:color w:val="auto"/>
          <w:highlight w:val="none"/>
          <w:lang w:val="en-US" w:eastAsia="zh-CN"/>
        </w:rPr>
        <w:t>四</w:t>
      </w:r>
      <w:r>
        <w:rPr>
          <w:rFonts w:hint="eastAsia"/>
          <w:i w:val="0"/>
          <w:iCs w:val="0"/>
          <w:color w:val="auto"/>
          <w:highlight w:val="none"/>
        </w:rPr>
        <w:t>章</w:t>
      </w:r>
      <w:r>
        <w:rPr>
          <w:rFonts w:hint="eastAsia"/>
          <w:i w:val="0"/>
          <w:iCs w:val="0"/>
          <w:color w:val="auto"/>
          <w:highlight w:val="none"/>
          <w:lang w:val="en-US" w:eastAsia="zh-CN"/>
        </w:rPr>
        <w:t xml:space="preserve"> </w:t>
      </w:r>
      <w:r>
        <w:rPr>
          <w:rFonts w:hint="eastAsia"/>
          <w:i w:val="0"/>
          <w:iCs w:val="0"/>
          <w:color w:val="auto"/>
          <w:highlight w:val="none"/>
        </w:rPr>
        <w:t>评审方法及标准”规定的</w:t>
      </w:r>
      <w:r>
        <w:rPr>
          <w:rFonts w:hint="eastAsia"/>
          <w:b/>
          <w:bCs/>
          <w:i w:val="0"/>
          <w:iCs w:val="0"/>
          <w:color w:val="auto"/>
          <w:highlight w:val="none"/>
        </w:rPr>
        <w:t>响应无效</w:t>
      </w:r>
      <w:r>
        <w:rPr>
          <w:rFonts w:hint="eastAsia"/>
          <w:i w:val="0"/>
          <w:iCs w:val="0"/>
          <w:color w:val="auto"/>
          <w:highlight w:val="none"/>
        </w:rPr>
        <w:t>情形的，做</w:t>
      </w:r>
      <w:r>
        <w:rPr>
          <w:rFonts w:hint="eastAsia"/>
          <w:b/>
          <w:bCs/>
          <w:i w:val="0"/>
          <w:iCs w:val="0"/>
          <w:color w:val="auto"/>
          <w:highlight w:val="none"/>
        </w:rPr>
        <w:t>无效响应</w:t>
      </w:r>
      <w:r>
        <w:rPr>
          <w:rFonts w:hint="eastAsia"/>
          <w:i w:val="0"/>
          <w:iCs w:val="0"/>
          <w:color w:val="auto"/>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38.终止采购活动</w:t>
      </w:r>
    </w:p>
    <w:p w14:paraId="65CAB1F7">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lang w:val="en-US" w:eastAsia="zh-CN"/>
        </w:rPr>
        <w:t>38</w:t>
      </w:r>
      <w:r>
        <w:rPr>
          <w:rFonts w:hint="eastAsia"/>
          <w:i w:val="0"/>
          <w:iCs w:val="0"/>
          <w:color w:val="auto"/>
          <w:highlight w:val="none"/>
        </w:rPr>
        <w:t>.1出现下列情形之一的，应当终止竞争性磋商采购活动，发布项目终止公告并说明原因，重新开展采购活动：</w:t>
      </w:r>
    </w:p>
    <w:p w14:paraId="3F03AB90">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（1）因情况变化，不再符合规定的竞争性磋商采购方式适用情形的；</w:t>
      </w:r>
    </w:p>
    <w:p w14:paraId="34F0BDE0">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（2）出现影响采购公正的违法、违规行为的；</w:t>
      </w:r>
    </w:p>
    <w:p w14:paraId="3EDE2978">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rFonts w:hint="eastAsia"/>
          <w:i w:val="0"/>
          <w:iCs w:val="0"/>
          <w:color w:val="auto"/>
          <w:highlight w:val="none"/>
        </w:rPr>
        <w:t>（3）在采购过程中符合要求的供应商或者报价未超过采购预算的供应商不足</w:t>
      </w:r>
      <w:r>
        <w:rPr>
          <w:i w:val="0"/>
          <w:iCs w:val="0"/>
          <w:color w:val="auto"/>
          <w:highlight w:val="none"/>
        </w:rPr>
        <w:t>3家的（市场竞争不充分的科研项目、需要扶持的科技成果转化项目以及政府购买服务项目&lt;含政府和社会资本合作项目&gt;）的</w:t>
      </w:r>
      <w:r>
        <w:rPr>
          <w:rFonts w:hint="eastAsia"/>
          <w:i w:val="0"/>
          <w:iCs w:val="0"/>
          <w:color w:val="auto"/>
          <w:highlight w:val="none"/>
        </w:rPr>
        <w:t>提交最后报价的供应商</w:t>
      </w:r>
      <w:r>
        <w:rPr>
          <w:i w:val="0"/>
          <w:iCs w:val="0"/>
          <w:color w:val="auto"/>
          <w:highlight w:val="none"/>
        </w:rPr>
        <w:t>可以为2家）</w:t>
      </w:r>
      <w:r>
        <w:rPr>
          <w:rFonts w:hint="eastAsia"/>
          <w:i w:val="0"/>
          <w:iCs w:val="0"/>
          <w:color w:val="auto"/>
          <w:highlight w:val="none"/>
        </w:rPr>
        <w:t>。</w:t>
      </w:r>
    </w:p>
    <w:p w14:paraId="62A80F80">
      <w:pPr>
        <w:pStyle w:val="37"/>
        <w:keepNext w:val="0"/>
        <w:keepLines w:val="0"/>
        <w:pageBreakBefore w:val="0"/>
        <w:widowControl w:val="0"/>
        <w:kinsoku/>
        <w:overflowPunct/>
        <w:topLinePunct w:val="0"/>
        <w:bidi w:val="0"/>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38.2在采购活动中因重大变故，采购任务取消的，采购人或者采购代理机构应当终止采购活动，通知所有参加采购活动的供应商，并将项目实施情况和采购任务取消原因报送本级财政部门。</w:t>
      </w:r>
    </w:p>
    <w:p w14:paraId="35C9F5A9">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9" w:name="_Toc161600340"/>
      <w:bookmarkStart w:id="380" w:name="_Toc140132766"/>
      <w:bookmarkStart w:id="381" w:name="_Toc163493621"/>
      <w:bookmarkStart w:id="382" w:name="_Toc24906"/>
      <w:r>
        <w:rPr>
          <w:rFonts w:hint="eastAsia" w:ascii="宋体" w:hAnsi="宋体" w:eastAsia="宋体" w:cs="宋体"/>
          <w:b/>
          <w:bCs/>
          <w:color w:val="auto"/>
          <w:kern w:val="2"/>
          <w:sz w:val="24"/>
          <w:szCs w:val="24"/>
          <w:highlight w:val="none"/>
          <w:lang w:val="en-US" w:eastAsia="zh-CN" w:bidi="ar-SA"/>
        </w:rPr>
        <w:t>（十三）落实政府采购政策</w:t>
      </w:r>
      <w:bookmarkEnd w:id="379"/>
      <w:bookmarkEnd w:id="380"/>
      <w:bookmarkEnd w:id="381"/>
      <w:r>
        <w:rPr>
          <w:rFonts w:hint="eastAsia" w:ascii="宋体" w:hAnsi="宋体" w:eastAsia="宋体" w:cs="宋体"/>
          <w:b/>
          <w:bCs/>
          <w:color w:val="auto"/>
          <w:kern w:val="2"/>
          <w:sz w:val="24"/>
          <w:szCs w:val="24"/>
          <w:highlight w:val="none"/>
          <w:lang w:val="en-US" w:eastAsia="zh-CN" w:bidi="ar-SA"/>
        </w:rPr>
        <w:t>（包括但不限于下列具体政策要求）</w:t>
      </w:r>
      <w:bookmarkEnd w:id="382"/>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3" w:name="_Toc161600342"/>
      <w:r>
        <w:rPr>
          <w:rFonts w:hint="eastAsia" w:ascii="宋体" w:hAnsi="宋体" w:eastAsia="宋体" w:cs="宋体"/>
          <w:b/>
          <w:bCs/>
          <w:color w:val="auto"/>
          <w:kern w:val="2"/>
          <w:sz w:val="24"/>
          <w:szCs w:val="24"/>
          <w:highlight w:val="none"/>
          <w:lang w:val="en-US" w:eastAsia="zh-CN" w:bidi="ar-SA"/>
        </w:rPr>
        <w:t>39.中小企业、监狱企业及残疾人福利性单位</w:t>
      </w:r>
      <w:bookmarkEnd w:id="383"/>
    </w:p>
    <w:p w14:paraId="35BD2DE5">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eastAsia"/>
          <w:i w:val="0"/>
          <w:iCs w:val="0"/>
          <w:snapToGrid w:val="0"/>
          <w:color w:val="auto"/>
          <w:highlight w:val="none"/>
        </w:rPr>
        <w:t>.1</w:t>
      </w:r>
      <w:r>
        <w:rPr>
          <w:rFonts w:hint="eastAsia"/>
          <w:i w:val="0"/>
          <w:iCs w:val="0"/>
          <w:snapToGrid w:val="0"/>
          <w:color w:val="auto"/>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i w:val="0"/>
          <w:iCs w:val="0"/>
          <w:snapToGrid w:val="0"/>
          <w:color w:val="auto"/>
          <w:highlight w:val="none"/>
          <w:lang w:val="en-US" w:eastAsia="zh-CN"/>
        </w:rPr>
        <w:t>2022</w:t>
      </w:r>
      <w:r>
        <w:rPr>
          <w:rFonts w:hint="eastAsia"/>
          <w:i w:val="0"/>
          <w:iCs w:val="0"/>
          <w:snapToGrid w:val="0"/>
          <w:color w:val="auto"/>
          <w:highlight w:val="none"/>
          <w:lang w:val="en-US" w:eastAsia="zh-CN"/>
        </w:rPr>
        <w:t>〕</w:t>
      </w:r>
      <w:r>
        <w:rPr>
          <w:rFonts w:hint="default"/>
          <w:i w:val="0"/>
          <w:iCs w:val="0"/>
          <w:snapToGrid w:val="0"/>
          <w:color w:val="auto"/>
          <w:highlight w:val="none"/>
          <w:lang w:val="en-US" w:eastAsia="zh-CN"/>
        </w:rPr>
        <w:t xml:space="preserve">19 </w:t>
      </w:r>
      <w:r>
        <w:rPr>
          <w:rFonts w:hint="eastAsia"/>
          <w:i w:val="0"/>
          <w:iCs w:val="0"/>
          <w:snapToGrid w:val="0"/>
          <w:color w:val="auto"/>
          <w:highlight w:val="none"/>
          <w:lang w:val="en-US" w:eastAsia="zh-CN"/>
        </w:rPr>
        <w:t>号）、《政府采购促进中小企业发展管理办法》（财库〔</w:t>
      </w:r>
      <w:r>
        <w:rPr>
          <w:rFonts w:hint="default"/>
          <w:i w:val="0"/>
          <w:iCs w:val="0"/>
          <w:snapToGrid w:val="0"/>
          <w:color w:val="auto"/>
          <w:highlight w:val="none"/>
          <w:lang w:val="en-US" w:eastAsia="zh-CN"/>
        </w:rPr>
        <w:t>2020</w:t>
      </w:r>
      <w:r>
        <w:rPr>
          <w:rFonts w:hint="eastAsia"/>
          <w:i w:val="0"/>
          <w:iCs w:val="0"/>
          <w:snapToGrid w:val="0"/>
          <w:color w:val="auto"/>
          <w:highlight w:val="none"/>
          <w:lang w:val="en-US" w:eastAsia="zh-CN"/>
        </w:rPr>
        <w:t>〕</w:t>
      </w:r>
      <w:r>
        <w:rPr>
          <w:rFonts w:hint="default"/>
          <w:i w:val="0"/>
          <w:iCs w:val="0"/>
          <w:snapToGrid w:val="0"/>
          <w:color w:val="auto"/>
          <w:highlight w:val="none"/>
          <w:lang w:val="en-US" w:eastAsia="zh-CN"/>
        </w:rPr>
        <w:t xml:space="preserve">46 </w:t>
      </w:r>
      <w:r>
        <w:rPr>
          <w:rFonts w:hint="eastAsia"/>
          <w:i w:val="0"/>
          <w:iCs w:val="0"/>
          <w:snapToGrid w:val="0"/>
          <w:color w:val="auto"/>
          <w:highlight w:val="none"/>
          <w:lang w:val="en-US" w:eastAsia="zh-CN"/>
        </w:rPr>
        <w:t>号）、《关于印发中小企业划型标准规定的通知》（工信部联企业〔</w:t>
      </w:r>
      <w:r>
        <w:rPr>
          <w:rFonts w:hint="default"/>
          <w:i w:val="0"/>
          <w:iCs w:val="0"/>
          <w:snapToGrid w:val="0"/>
          <w:color w:val="auto"/>
          <w:highlight w:val="none"/>
          <w:lang w:val="en-US" w:eastAsia="zh-CN"/>
        </w:rPr>
        <w:t>2011</w:t>
      </w:r>
      <w:r>
        <w:rPr>
          <w:rFonts w:hint="eastAsia"/>
          <w:i w:val="0"/>
          <w:iCs w:val="0"/>
          <w:snapToGrid w:val="0"/>
          <w:color w:val="auto"/>
          <w:highlight w:val="none"/>
          <w:lang w:val="en-US" w:eastAsia="zh-CN"/>
        </w:rPr>
        <w:t>〕</w:t>
      </w:r>
      <w:r>
        <w:rPr>
          <w:rFonts w:hint="default"/>
          <w:i w:val="0"/>
          <w:iCs w:val="0"/>
          <w:snapToGrid w:val="0"/>
          <w:color w:val="auto"/>
          <w:highlight w:val="none"/>
          <w:lang w:val="en-US" w:eastAsia="zh-CN"/>
        </w:rPr>
        <w:t xml:space="preserve">300 </w:t>
      </w:r>
      <w:r>
        <w:rPr>
          <w:rFonts w:hint="eastAsia"/>
          <w:i w:val="0"/>
          <w:iCs w:val="0"/>
          <w:snapToGrid w:val="0"/>
          <w:color w:val="auto"/>
          <w:highlight w:val="none"/>
          <w:lang w:val="en-US" w:eastAsia="zh-CN"/>
        </w:rPr>
        <w:t xml:space="preserve">号）、《金融业企业划型标准规定》（〔2015〕309 号）等国务院批准的中小企业划分标准执行。 </w:t>
      </w:r>
    </w:p>
    <w:p w14:paraId="6EB577E7">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eastAsia="zh-CN"/>
        </w:rPr>
      </w:pPr>
      <w:r>
        <w:rPr>
          <w:rFonts w:hint="eastAsia"/>
          <w:i w:val="0"/>
          <w:iCs w:val="0"/>
          <w:snapToGrid w:val="0"/>
          <w:color w:val="auto"/>
          <w:highlight w:val="none"/>
          <w:lang w:val="en-US" w:eastAsia="zh-CN"/>
        </w:rPr>
        <w:t>39</w:t>
      </w:r>
      <w:r>
        <w:rPr>
          <w:rFonts w:hint="eastAsia"/>
          <w:i w:val="0"/>
          <w:iCs w:val="0"/>
          <w:snapToGrid w:val="0"/>
          <w:color w:val="auto"/>
          <w:highlight w:val="none"/>
        </w:rPr>
        <w:t>.</w:t>
      </w:r>
      <w:r>
        <w:rPr>
          <w:rFonts w:hint="eastAsia"/>
          <w:i w:val="0"/>
          <w:iCs w:val="0"/>
          <w:snapToGrid w:val="0"/>
          <w:color w:val="auto"/>
          <w:highlight w:val="none"/>
          <w:lang w:val="en-US" w:eastAsia="zh-CN"/>
        </w:rPr>
        <w:t>2</w:t>
      </w:r>
      <w:r>
        <w:rPr>
          <w:rFonts w:hint="eastAsia"/>
          <w:i w:val="0"/>
          <w:iCs w:val="0"/>
          <w:snapToGrid w:val="0"/>
          <w:color w:val="auto"/>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i w:val="0"/>
          <w:iCs w:val="0"/>
          <w:snapToGrid w:val="0"/>
          <w:color w:val="auto"/>
          <w:highlight w:val="none"/>
          <w:lang w:eastAsia="zh-CN"/>
        </w:rPr>
        <w:t>需享受中小企业相关政策的，且</w:t>
      </w:r>
      <w:r>
        <w:rPr>
          <w:rFonts w:hint="eastAsia"/>
          <w:i w:val="0"/>
          <w:iCs w:val="0"/>
          <w:snapToGrid w:val="0"/>
          <w:color w:val="auto"/>
          <w:highlight w:val="none"/>
        </w:rPr>
        <w:t>符合上述文件规定的，</w:t>
      </w:r>
      <w:r>
        <w:rPr>
          <w:rFonts w:hint="eastAsia"/>
          <w:i w:val="0"/>
          <w:iCs w:val="0"/>
          <w:snapToGrid w:val="0"/>
          <w:color w:val="auto"/>
          <w:highlight w:val="none"/>
          <w:lang w:eastAsia="zh-CN"/>
        </w:rPr>
        <w:t>应按本磋商文件规定格式</w:t>
      </w:r>
      <w:r>
        <w:rPr>
          <w:rFonts w:hint="eastAsia"/>
          <w:i w:val="0"/>
          <w:iCs w:val="0"/>
          <w:snapToGrid w:val="0"/>
          <w:color w:val="auto"/>
          <w:highlight w:val="none"/>
        </w:rPr>
        <w:t>提供</w:t>
      </w:r>
      <w:r>
        <w:rPr>
          <w:rFonts w:hint="eastAsia"/>
          <w:i w:val="0"/>
          <w:iCs w:val="0"/>
          <w:snapToGrid w:val="0"/>
          <w:color w:val="auto"/>
          <w:highlight w:val="none"/>
          <w:lang w:eastAsia="zh-CN"/>
        </w:rPr>
        <w:t>“</w:t>
      </w:r>
      <w:r>
        <w:rPr>
          <w:rFonts w:hint="eastAsia"/>
          <w:i w:val="0"/>
          <w:iCs w:val="0"/>
          <w:snapToGrid w:val="0"/>
          <w:color w:val="auto"/>
          <w:highlight w:val="none"/>
        </w:rPr>
        <w:t>中小企业声明函</w:t>
      </w:r>
      <w:r>
        <w:rPr>
          <w:rFonts w:hint="eastAsia"/>
          <w:i w:val="0"/>
          <w:iCs w:val="0"/>
          <w:snapToGrid w:val="0"/>
          <w:color w:val="auto"/>
          <w:highlight w:val="none"/>
          <w:lang w:eastAsia="zh-CN"/>
        </w:rPr>
        <w:t>”</w:t>
      </w:r>
      <w:r>
        <w:rPr>
          <w:rFonts w:hint="eastAsia"/>
          <w:i w:val="0"/>
          <w:iCs w:val="0"/>
          <w:snapToGrid w:val="0"/>
          <w:color w:val="auto"/>
          <w:highlight w:val="none"/>
          <w:lang w:val="en-US" w:eastAsia="zh-CN"/>
        </w:rPr>
        <w:t>或“</w:t>
      </w:r>
      <w:r>
        <w:rPr>
          <w:rFonts w:hint="eastAsia"/>
          <w:i w:val="0"/>
          <w:iCs w:val="0"/>
          <w:snapToGrid w:val="0"/>
          <w:color w:val="auto"/>
          <w:highlight w:val="none"/>
        </w:rPr>
        <w:t>监狱企业证明文件</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或</w:t>
      </w:r>
      <w:r>
        <w:rPr>
          <w:rFonts w:hint="eastAsia"/>
          <w:i w:val="0"/>
          <w:iCs w:val="0"/>
          <w:snapToGrid w:val="0"/>
          <w:color w:val="auto"/>
          <w:highlight w:val="none"/>
          <w:lang w:eastAsia="zh-CN"/>
        </w:rPr>
        <w:t>“</w:t>
      </w:r>
      <w:r>
        <w:rPr>
          <w:rFonts w:hint="eastAsia"/>
          <w:i w:val="0"/>
          <w:iCs w:val="0"/>
          <w:snapToGrid w:val="0"/>
          <w:color w:val="auto"/>
          <w:highlight w:val="none"/>
        </w:rPr>
        <w:t>残疾人福利性单位声明函</w:t>
      </w:r>
      <w:r>
        <w:rPr>
          <w:rFonts w:hint="eastAsia"/>
          <w:i w:val="0"/>
          <w:iCs w:val="0"/>
          <w:snapToGrid w:val="0"/>
          <w:color w:val="auto"/>
          <w:highlight w:val="none"/>
          <w:lang w:eastAsia="zh-CN"/>
        </w:rPr>
        <w:t>”</w:t>
      </w:r>
      <w:r>
        <w:rPr>
          <w:rFonts w:hint="eastAsia"/>
          <w:i w:val="0"/>
          <w:iCs w:val="0"/>
          <w:snapToGrid w:val="0"/>
          <w:color w:val="auto"/>
          <w:highlight w:val="none"/>
        </w:rPr>
        <w:t>，评审时，磋商小组将依据</w:t>
      </w:r>
      <w:r>
        <w:rPr>
          <w:rFonts w:hint="eastAsia"/>
          <w:i w:val="0"/>
          <w:iCs w:val="0"/>
          <w:snapToGrid w:val="0"/>
          <w:color w:val="auto"/>
          <w:highlight w:val="none"/>
          <w:lang w:eastAsia="zh-CN"/>
        </w:rPr>
        <w:t>本磋商文件</w:t>
      </w:r>
      <w:r>
        <w:rPr>
          <w:rFonts w:hint="eastAsia"/>
          <w:i w:val="0"/>
          <w:iCs w:val="0"/>
          <w:snapToGrid w:val="0"/>
          <w:color w:val="auto"/>
          <w:highlight w:val="none"/>
        </w:rPr>
        <w:t>“供应商须知前附表”规定的报价扣除比例，对供应商报价进行价格扣除，用扣除后的价格参与评审</w:t>
      </w:r>
      <w:r>
        <w:rPr>
          <w:rFonts w:hint="eastAsia"/>
          <w:i w:val="0"/>
          <w:iCs w:val="0"/>
          <w:snapToGrid w:val="0"/>
          <w:color w:val="auto"/>
          <w:highlight w:val="none"/>
          <w:lang w:eastAsia="zh-CN"/>
        </w:rPr>
        <w:t>；磋商公告中明确项目专门面向中小企业采购的，“</w:t>
      </w:r>
      <w:r>
        <w:rPr>
          <w:rFonts w:hint="eastAsia"/>
          <w:i w:val="0"/>
          <w:iCs w:val="0"/>
          <w:snapToGrid w:val="0"/>
          <w:color w:val="auto"/>
          <w:highlight w:val="none"/>
        </w:rPr>
        <w:t>中小企业声明函</w:t>
      </w:r>
      <w:r>
        <w:rPr>
          <w:rFonts w:hint="eastAsia"/>
          <w:i w:val="0"/>
          <w:iCs w:val="0"/>
          <w:snapToGrid w:val="0"/>
          <w:color w:val="auto"/>
          <w:highlight w:val="none"/>
          <w:lang w:eastAsia="zh-CN"/>
        </w:rPr>
        <w:t>”为资格要求文件，</w:t>
      </w:r>
      <w:r>
        <w:rPr>
          <w:rFonts w:hint="eastAsia"/>
          <w:i w:val="0"/>
          <w:iCs w:val="0"/>
          <w:snapToGrid w:val="0"/>
          <w:color w:val="auto"/>
          <w:highlight w:val="none"/>
        </w:rPr>
        <w:t>供应商</w:t>
      </w:r>
      <w:r>
        <w:rPr>
          <w:rFonts w:hint="eastAsia"/>
          <w:i w:val="0"/>
          <w:iCs w:val="0"/>
          <w:snapToGrid w:val="0"/>
          <w:color w:val="auto"/>
          <w:highlight w:val="none"/>
          <w:lang w:eastAsia="zh-CN"/>
        </w:rPr>
        <w:t>参与磋商须按本磋商文件规定格式</w:t>
      </w:r>
      <w:r>
        <w:rPr>
          <w:rFonts w:hint="eastAsia"/>
          <w:i w:val="0"/>
          <w:iCs w:val="0"/>
          <w:snapToGrid w:val="0"/>
          <w:color w:val="auto"/>
          <w:highlight w:val="none"/>
        </w:rPr>
        <w:t>提供</w:t>
      </w:r>
      <w:r>
        <w:rPr>
          <w:rFonts w:hint="eastAsia"/>
          <w:i w:val="0"/>
          <w:iCs w:val="0"/>
          <w:snapToGrid w:val="0"/>
          <w:color w:val="auto"/>
          <w:highlight w:val="none"/>
          <w:lang w:eastAsia="zh-CN"/>
        </w:rPr>
        <w:t>“</w:t>
      </w:r>
      <w:r>
        <w:rPr>
          <w:rFonts w:hint="eastAsia"/>
          <w:i w:val="0"/>
          <w:iCs w:val="0"/>
          <w:snapToGrid w:val="0"/>
          <w:color w:val="auto"/>
          <w:highlight w:val="none"/>
        </w:rPr>
        <w:t>中小企业声明函</w:t>
      </w:r>
      <w:r>
        <w:rPr>
          <w:rFonts w:hint="eastAsia"/>
          <w:i w:val="0"/>
          <w:iCs w:val="0"/>
          <w:snapToGrid w:val="0"/>
          <w:color w:val="auto"/>
          <w:highlight w:val="none"/>
          <w:lang w:eastAsia="zh-CN"/>
        </w:rPr>
        <w:t>”</w:t>
      </w:r>
      <w:r>
        <w:rPr>
          <w:rFonts w:hint="eastAsia"/>
          <w:i w:val="0"/>
          <w:iCs w:val="0"/>
          <w:snapToGrid w:val="0"/>
          <w:color w:val="auto"/>
          <w:highlight w:val="none"/>
          <w:lang w:val="en-US" w:eastAsia="zh-CN"/>
        </w:rPr>
        <w:t>或“</w:t>
      </w:r>
      <w:r>
        <w:rPr>
          <w:rFonts w:hint="eastAsia"/>
          <w:i w:val="0"/>
          <w:iCs w:val="0"/>
          <w:snapToGrid w:val="0"/>
          <w:color w:val="auto"/>
          <w:highlight w:val="none"/>
        </w:rPr>
        <w:t>监狱企业证明文件</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或</w:t>
      </w:r>
      <w:r>
        <w:rPr>
          <w:rFonts w:hint="eastAsia"/>
          <w:i w:val="0"/>
          <w:iCs w:val="0"/>
          <w:snapToGrid w:val="0"/>
          <w:color w:val="auto"/>
          <w:highlight w:val="none"/>
          <w:lang w:eastAsia="zh-CN"/>
        </w:rPr>
        <w:t>“</w:t>
      </w:r>
      <w:r>
        <w:rPr>
          <w:rFonts w:hint="eastAsia"/>
          <w:i w:val="0"/>
          <w:iCs w:val="0"/>
          <w:snapToGrid w:val="0"/>
          <w:color w:val="auto"/>
          <w:highlight w:val="none"/>
        </w:rPr>
        <w:t>残疾人福利性单位声明函</w:t>
      </w:r>
      <w:r>
        <w:rPr>
          <w:rFonts w:hint="eastAsia"/>
          <w:i w:val="0"/>
          <w:iCs w:val="0"/>
          <w:snapToGrid w:val="0"/>
          <w:color w:val="auto"/>
          <w:highlight w:val="none"/>
          <w:lang w:eastAsia="zh-CN"/>
        </w:rPr>
        <w:t>”等作为资格证明文件。</w:t>
      </w:r>
    </w:p>
    <w:p w14:paraId="4D5E12BD">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 xml:space="preserve">39.3供应商提供的货物、工程或者服务符合下列情形的，享受中小企业扶持政策： </w:t>
      </w:r>
    </w:p>
    <w:p w14:paraId="28856AB5">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39.3.</w:t>
      </w:r>
      <w:r>
        <w:rPr>
          <w:rFonts w:hint="default"/>
          <w:i w:val="0"/>
          <w:iCs w:val="0"/>
          <w:snapToGrid w:val="0"/>
          <w:color w:val="auto"/>
          <w:highlight w:val="none"/>
          <w:lang w:val="en-US" w:eastAsia="zh-CN"/>
        </w:rPr>
        <w:t>1</w:t>
      </w:r>
      <w:r>
        <w:rPr>
          <w:rFonts w:hint="eastAsia"/>
          <w:i w:val="0"/>
          <w:iCs w:val="0"/>
          <w:snapToGrid w:val="0"/>
          <w:color w:val="auto"/>
          <w:highlight w:val="none"/>
          <w:lang w:val="en-US" w:eastAsia="zh-CN"/>
        </w:rPr>
        <w:t xml:space="preserve">在货物采购项目中，货物由中小企业制造，即货物由中小企业生产且使用该中小企业商号或者注册商标； </w:t>
      </w:r>
    </w:p>
    <w:p w14:paraId="54A96D92">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39.3.</w:t>
      </w:r>
      <w:r>
        <w:rPr>
          <w:rFonts w:hint="default"/>
          <w:i w:val="0"/>
          <w:iCs w:val="0"/>
          <w:snapToGrid w:val="0"/>
          <w:color w:val="auto"/>
          <w:highlight w:val="none"/>
          <w:lang w:val="en-US" w:eastAsia="zh-CN"/>
        </w:rPr>
        <w:t>2</w:t>
      </w:r>
      <w:r>
        <w:rPr>
          <w:rFonts w:hint="eastAsia"/>
          <w:i w:val="0"/>
          <w:iCs w:val="0"/>
          <w:snapToGrid w:val="0"/>
          <w:color w:val="auto"/>
          <w:highlight w:val="none"/>
          <w:lang w:val="en-US" w:eastAsia="zh-CN"/>
        </w:rPr>
        <w:t xml:space="preserve">在工程采购项目中，工程由中小企业承建，即工程施工单位为中小企业； </w:t>
      </w:r>
    </w:p>
    <w:p w14:paraId="48F17DE5">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39.3.</w:t>
      </w:r>
      <w:r>
        <w:rPr>
          <w:rFonts w:hint="default"/>
          <w:i w:val="0"/>
          <w:iCs w:val="0"/>
          <w:snapToGrid w:val="0"/>
          <w:color w:val="auto"/>
          <w:highlight w:val="none"/>
          <w:lang w:val="en-US" w:eastAsia="zh-CN"/>
        </w:rPr>
        <w:t>3</w:t>
      </w:r>
      <w:r>
        <w:rPr>
          <w:rFonts w:hint="eastAsia"/>
          <w:i w:val="0"/>
          <w:iCs w:val="0"/>
          <w:snapToGrid w:val="0"/>
          <w:color w:val="auto"/>
          <w:highlight w:val="none"/>
          <w:lang w:val="en-US" w:eastAsia="zh-CN"/>
        </w:rPr>
        <w:t>在服务采购项目中，服务由中小企业承接，即提供服务的人员为中小企业依照《中华人民共和国劳动合同法》订立劳动合同的从业人员。</w:t>
      </w:r>
    </w:p>
    <w:p w14:paraId="6564F254">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i w:val="0"/>
          <w:iCs w:val="0"/>
          <w:snapToGrid w:val="0"/>
          <w:color w:val="auto"/>
          <w:highlight w:val="none"/>
          <w:lang w:val="en-US" w:eastAsia="zh-CN"/>
        </w:rPr>
        <w:t>.</w:t>
      </w:r>
      <w:r>
        <w:rPr>
          <w:rFonts w:hint="eastAsia"/>
          <w:i w:val="0"/>
          <w:iCs w:val="0"/>
          <w:snapToGrid w:val="0"/>
          <w:color w:val="auto"/>
          <w:highlight w:val="none"/>
          <w:lang w:val="en-US" w:eastAsia="zh-CN"/>
        </w:rPr>
        <w:t>4</w:t>
      </w:r>
      <w:r>
        <w:rPr>
          <w:i w:val="0"/>
          <w:iCs w:val="0"/>
          <w:snapToGrid w:val="0"/>
          <w:color w:val="auto"/>
          <w:highlight w:val="none"/>
          <w:lang w:val="en-US" w:eastAsia="zh-CN"/>
        </w:rPr>
        <w:t xml:space="preserve"> </w:t>
      </w:r>
      <w:r>
        <w:rPr>
          <w:rFonts w:hint="eastAsia"/>
          <w:i w:val="0"/>
          <w:iCs w:val="0"/>
          <w:snapToGrid w:val="0"/>
          <w:color w:val="auto"/>
          <w:highlight w:val="none"/>
          <w:lang w:val="en-US" w:eastAsia="zh-CN"/>
        </w:rPr>
        <w:t xml:space="preserve">在货物采购项目中，供应商提供的货物既有中小企业制造货物，也有大型企业制造货物的，不享受中小企业扶持政策。 </w:t>
      </w:r>
    </w:p>
    <w:p w14:paraId="4ACE7CFF">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5</w:t>
      </w:r>
      <w:r>
        <w:rPr>
          <w:rFonts w:hint="default"/>
          <w:i w:val="0"/>
          <w:iCs w:val="0"/>
          <w:snapToGrid w:val="0"/>
          <w:color w:val="auto"/>
          <w:highlight w:val="none"/>
          <w:lang w:val="en-US" w:eastAsia="zh-CN"/>
        </w:rPr>
        <w:t xml:space="preserve"> </w:t>
      </w:r>
      <w:r>
        <w:rPr>
          <w:rFonts w:hint="eastAsia"/>
          <w:i w:val="0"/>
          <w:iCs w:val="0"/>
          <w:snapToGrid w:val="0"/>
          <w:color w:val="auto"/>
          <w:highlight w:val="none"/>
          <w:lang w:val="en-US" w:eastAsia="zh-CN"/>
        </w:rPr>
        <w:t>以联合体形式参加政府采购活动，联合体各方均为中小企业的，联合体视同中小企业。其中，联合体各方均为小微企业的，联合体视同小微企业。      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6</w:t>
      </w:r>
      <w:r>
        <w:rPr>
          <w:rFonts w:hint="default"/>
          <w:i w:val="0"/>
          <w:iCs w:val="0"/>
          <w:snapToGrid w:val="0"/>
          <w:color w:val="auto"/>
          <w:highlight w:val="none"/>
          <w:lang w:val="en-US" w:eastAsia="zh-CN"/>
        </w:rPr>
        <w:t xml:space="preserve"> </w:t>
      </w:r>
      <w:r>
        <w:rPr>
          <w:rFonts w:hint="eastAsia"/>
          <w:i w:val="0"/>
          <w:iCs w:val="0"/>
          <w:snapToGrid w:val="0"/>
          <w:color w:val="auto"/>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6CE3FE3">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 </w:t>
      </w:r>
      <w:r>
        <w:rPr>
          <w:rFonts w:hint="eastAsia"/>
          <w:i w:val="0"/>
          <w:iCs w:val="0"/>
          <w:snapToGrid w:val="0"/>
          <w:color w:val="auto"/>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7B3D1C25">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.1 </w:t>
      </w:r>
      <w:r>
        <w:rPr>
          <w:rFonts w:hint="eastAsia"/>
          <w:i w:val="0"/>
          <w:iCs w:val="0"/>
          <w:snapToGrid w:val="0"/>
          <w:color w:val="auto"/>
          <w:highlight w:val="none"/>
          <w:lang w:val="en-US" w:eastAsia="zh-CN"/>
        </w:rPr>
        <w:t xml:space="preserve">安置的残疾人占本单位在职职工人数的比例不低于 </w:t>
      </w:r>
      <w:r>
        <w:rPr>
          <w:rFonts w:hint="default"/>
          <w:i w:val="0"/>
          <w:iCs w:val="0"/>
          <w:snapToGrid w:val="0"/>
          <w:color w:val="auto"/>
          <w:highlight w:val="none"/>
          <w:lang w:val="en-US" w:eastAsia="zh-CN"/>
        </w:rPr>
        <w:t xml:space="preserve">25% </w:t>
      </w:r>
      <w:r>
        <w:rPr>
          <w:rFonts w:hint="eastAsia"/>
          <w:i w:val="0"/>
          <w:iCs w:val="0"/>
          <w:snapToGrid w:val="0"/>
          <w:color w:val="auto"/>
          <w:highlight w:val="none"/>
          <w:lang w:val="en-US" w:eastAsia="zh-CN"/>
        </w:rPr>
        <w:t xml:space="preserve">（含 </w:t>
      </w:r>
      <w:r>
        <w:rPr>
          <w:rFonts w:hint="default"/>
          <w:i w:val="0"/>
          <w:iCs w:val="0"/>
          <w:snapToGrid w:val="0"/>
          <w:color w:val="auto"/>
          <w:highlight w:val="none"/>
          <w:lang w:val="en-US" w:eastAsia="zh-CN"/>
        </w:rPr>
        <w:t>25%</w:t>
      </w:r>
      <w:r>
        <w:rPr>
          <w:rFonts w:hint="eastAsia"/>
          <w:i w:val="0"/>
          <w:iCs w:val="0"/>
          <w:snapToGrid w:val="0"/>
          <w:color w:val="auto"/>
          <w:highlight w:val="none"/>
          <w:lang w:val="en-US" w:eastAsia="zh-CN"/>
        </w:rPr>
        <w:t xml:space="preserve">），并且安置的残疾人人数不少于 </w:t>
      </w:r>
      <w:r>
        <w:rPr>
          <w:rFonts w:hint="default"/>
          <w:i w:val="0"/>
          <w:iCs w:val="0"/>
          <w:snapToGrid w:val="0"/>
          <w:color w:val="auto"/>
          <w:highlight w:val="none"/>
          <w:lang w:val="en-US" w:eastAsia="zh-CN"/>
        </w:rPr>
        <w:t xml:space="preserve">10 </w:t>
      </w:r>
      <w:r>
        <w:rPr>
          <w:rFonts w:hint="eastAsia"/>
          <w:i w:val="0"/>
          <w:iCs w:val="0"/>
          <w:snapToGrid w:val="0"/>
          <w:color w:val="auto"/>
          <w:highlight w:val="none"/>
          <w:lang w:val="en-US" w:eastAsia="zh-CN"/>
        </w:rPr>
        <w:t xml:space="preserve">人（含 </w:t>
      </w:r>
      <w:r>
        <w:rPr>
          <w:rFonts w:hint="default"/>
          <w:i w:val="0"/>
          <w:iCs w:val="0"/>
          <w:snapToGrid w:val="0"/>
          <w:color w:val="auto"/>
          <w:highlight w:val="none"/>
          <w:lang w:val="en-US" w:eastAsia="zh-CN"/>
        </w:rPr>
        <w:t>10</w:t>
      </w:r>
      <w:r>
        <w:rPr>
          <w:rFonts w:hint="eastAsia"/>
          <w:i w:val="0"/>
          <w:iCs w:val="0"/>
          <w:snapToGrid w:val="0"/>
          <w:color w:val="auto"/>
          <w:highlight w:val="none"/>
          <w:lang w:val="en-US" w:eastAsia="zh-CN"/>
        </w:rPr>
        <w:t xml:space="preserve">人）； </w:t>
      </w:r>
    </w:p>
    <w:p w14:paraId="69558579">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.2 </w:t>
      </w:r>
      <w:r>
        <w:rPr>
          <w:rFonts w:hint="eastAsia"/>
          <w:i w:val="0"/>
          <w:iCs w:val="0"/>
          <w:snapToGrid w:val="0"/>
          <w:color w:val="auto"/>
          <w:highlight w:val="none"/>
          <w:lang w:val="en-US" w:eastAsia="zh-CN"/>
        </w:rPr>
        <w:t xml:space="preserve">依法与安置的每位残疾人签订了1年以上（含1年）的劳动合同或服务协议； </w:t>
      </w:r>
    </w:p>
    <w:p w14:paraId="40185FCE">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.3 </w:t>
      </w:r>
      <w:r>
        <w:rPr>
          <w:rFonts w:hint="eastAsia"/>
          <w:i w:val="0"/>
          <w:iCs w:val="0"/>
          <w:snapToGrid w:val="0"/>
          <w:color w:val="auto"/>
          <w:highlight w:val="none"/>
          <w:lang w:val="en-US" w:eastAsia="zh-CN"/>
        </w:rPr>
        <w:t xml:space="preserve">为安置的每位残疾人按月足额缴纳了基本养老保险、基本医疗保险、失业保险、工伤保险和生育保险等社会保险费； </w:t>
      </w:r>
    </w:p>
    <w:p w14:paraId="45EC5F94">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.4 </w:t>
      </w:r>
      <w:r>
        <w:rPr>
          <w:rFonts w:hint="eastAsia"/>
          <w:i w:val="0"/>
          <w:iCs w:val="0"/>
          <w:snapToGrid w:val="0"/>
          <w:color w:val="auto"/>
          <w:highlight w:val="none"/>
          <w:lang w:val="en-US" w:eastAsia="zh-CN"/>
        </w:rPr>
        <w:t xml:space="preserve">通过银行等金融机构向安置的每位残疾人，按月支付了不低于单位所在区县适用的经省级人民政府批准的月最低工资标准的工资； </w:t>
      </w:r>
    </w:p>
    <w:p w14:paraId="1C5031C4">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.5 </w:t>
      </w:r>
      <w:r>
        <w:rPr>
          <w:rFonts w:hint="eastAsia"/>
          <w:i w:val="0"/>
          <w:iCs w:val="0"/>
          <w:snapToGrid w:val="0"/>
          <w:color w:val="auto"/>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78AAEEE">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7</w:t>
      </w:r>
      <w:r>
        <w:rPr>
          <w:rFonts w:hint="default"/>
          <w:i w:val="0"/>
          <w:iCs w:val="0"/>
          <w:snapToGrid w:val="0"/>
          <w:color w:val="auto"/>
          <w:highlight w:val="none"/>
          <w:lang w:val="en-US" w:eastAsia="zh-CN"/>
        </w:rPr>
        <w:t xml:space="preserve">.6 </w:t>
      </w:r>
      <w:r>
        <w:rPr>
          <w:rFonts w:hint="eastAsia"/>
          <w:i w:val="0"/>
          <w:iCs w:val="0"/>
          <w:snapToGrid w:val="0"/>
          <w:color w:val="auto"/>
          <w:highlight w:val="none"/>
          <w:lang w:val="en-US" w:eastAsia="zh-CN"/>
        </w:rPr>
        <w:t>前款所称残疾人是指法定劳动年龄内，持有《中华人民共和国残疾人证》或者《中华人民共和国残疾军人证（</w:t>
      </w:r>
      <w:r>
        <w:rPr>
          <w:i w:val="0"/>
          <w:iCs w:val="0"/>
          <w:snapToGrid w:val="0"/>
          <w:color w:val="auto"/>
          <w:highlight w:val="none"/>
          <w:lang w:val="en-US" w:eastAsia="zh-CN"/>
        </w:rPr>
        <w:t xml:space="preserve">1 </w:t>
      </w:r>
      <w:r>
        <w:rPr>
          <w:rFonts w:hint="eastAsia"/>
          <w:i w:val="0"/>
          <w:iCs w:val="0"/>
          <w:snapToGrid w:val="0"/>
          <w:color w:val="auto"/>
          <w:highlight w:val="none"/>
          <w:lang w:val="en-US" w:eastAsia="zh-CN"/>
        </w:rPr>
        <w:t xml:space="preserve">至 </w:t>
      </w:r>
      <w:r>
        <w:rPr>
          <w:rFonts w:hint="default"/>
          <w:i w:val="0"/>
          <w:iCs w:val="0"/>
          <w:snapToGrid w:val="0"/>
          <w:color w:val="auto"/>
          <w:highlight w:val="none"/>
          <w:lang w:val="en-US" w:eastAsia="zh-CN"/>
        </w:rPr>
        <w:t xml:space="preserve">8 </w:t>
      </w:r>
      <w:r>
        <w:rPr>
          <w:rFonts w:hint="eastAsia"/>
          <w:i w:val="0"/>
          <w:iCs w:val="0"/>
          <w:snapToGrid w:val="0"/>
          <w:color w:val="auto"/>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2D1237DB">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8</w:t>
      </w:r>
      <w:r>
        <w:rPr>
          <w:rFonts w:hint="default"/>
          <w:i w:val="0"/>
          <w:iCs w:val="0"/>
          <w:snapToGrid w:val="0"/>
          <w:color w:val="auto"/>
          <w:highlight w:val="none"/>
          <w:lang w:val="en-US" w:eastAsia="zh-CN"/>
        </w:rPr>
        <w:t xml:space="preserve"> </w:t>
      </w:r>
      <w:r>
        <w:rPr>
          <w:rFonts w:hint="eastAsia"/>
          <w:i w:val="0"/>
          <w:iCs w:val="0"/>
          <w:snapToGrid w:val="0"/>
          <w:color w:val="auto"/>
          <w:highlight w:val="none"/>
          <w:lang w:val="en-US" w:eastAsia="zh-CN"/>
        </w:rPr>
        <w:t>本项目是否专门面向中小企业预留采购份额见“第一章 竞争性磋商邀请”。</w:t>
      </w:r>
    </w:p>
    <w:p w14:paraId="5A70CB6C">
      <w:pPr>
        <w:pStyle w:val="37"/>
        <w:keepNext w:val="0"/>
        <w:keepLines w:val="0"/>
        <w:pageBreakBefore w:val="0"/>
        <w:widowControl w:val="0"/>
        <w:kinsoku/>
        <w:overflowPunct/>
        <w:topLinePunct w:val="0"/>
        <w:bidi w:val="0"/>
        <w:ind w:firstLine="480"/>
        <w:textAlignment w:val="auto"/>
        <w:rPr>
          <w:rFonts w:hint="eastAsia"/>
          <w:i w:val="0"/>
          <w:iCs w:val="0"/>
          <w:snapToGrid w:val="0"/>
          <w:color w:val="auto"/>
          <w:highlight w:val="none"/>
        </w:rPr>
      </w:pPr>
      <w:r>
        <w:rPr>
          <w:rFonts w:hint="eastAsia"/>
          <w:i w:val="0"/>
          <w:iCs w:val="0"/>
          <w:snapToGrid w:val="0"/>
          <w:color w:val="auto"/>
          <w:highlight w:val="none"/>
          <w:lang w:val="en-US" w:eastAsia="zh-CN"/>
        </w:rPr>
        <w:t>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9</w:t>
      </w:r>
      <w:r>
        <w:rPr>
          <w:rFonts w:hint="default"/>
          <w:i w:val="0"/>
          <w:iCs w:val="0"/>
          <w:snapToGrid w:val="0"/>
          <w:color w:val="auto"/>
          <w:highlight w:val="none"/>
          <w:lang w:val="en-US" w:eastAsia="zh-CN"/>
        </w:rPr>
        <w:t xml:space="preserve"> </w:t>
      </w:r>
      <w:r>
        <w:rPr>
          <w:rFonts w:hint="eastAsia"/>
          <w:i w:val="0"/>
          <w:iCs w:val="0"/>
          <w:snapToGrid w:val="0"/>
          <w:color w:val="auto"/>
          <w:highlight w:val="none"/>
          <w:lang w:val="en-US" w:eastAsia="zh-CN"/>
        </w:rPr>
        <w:t>采购标的对应的中小企业划分标准所属行业见“供应商须知前附表”。    39</w:t>
      </w:r>
      <w:r>
        <w:rPr>
          <w:rFonts w:hint="default"/>
          <w:i w:val="0"/>
          <w:iCs w:val="0"/>
          <w:snapToGrid w:val="0"/>
          <w:color w:val="auto"/>
          <w:highlight w:val="none"/>
          <w:lang w:val="en-US" w:eastAsia="zh-CN"/>
        </w:rPr>
        <w:t>.</w:t>
      </w:r>
      <w:r>
        <w:rPr>
          <w:rFonts w:hint="eastAsia"/>
          <w:i w:val="0"/>
          <w:iCs w:val="0"/>
          <w:snapToGrid w:val="0"/>
          <w:color w:val="auto"/>
          <w:highlight w:val="none"/>
          <w:lang w:val="en-US" w:eastAsia="zh-CN"/>
        </w:rPr>
        <w:t>10小微企业价格评审优惠的政策调整：见“第四章 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4" w:name="_Toc161600343"/>
      <w:r>
        <w:rPr>
          <w:rFonts w:hint="eastAsia" w:ascii="宋体" w:hAnsi="宋体" w:eastAsia="宋体" w:cs="宋体"/>
          <w:b/>
          <w:bCs/>
          <w:color w:val="auto"/>
          <w:kern w:val="2"/>
          <w:sz w:val="24"/>
          <w:szCs w:val="24"/>
          <w:highlight w:val="none"/>
          <w:lang w:val="en-US" w:eastAsia="zh-CN" w:bidi="ar-SA"/>
        </w:rPr>
        <w:t>40.政府采购节能产品、环境标志产品</w:t>
      </w:r>
      <w:bookmarkEnd w:id="384"/>
    </w:p>
    <w:p w14:paraId="017FF1A4">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40</w:t>
      </w:r>
      <w:r>
        <w:rPr>
          <w:i w:val="0"/>
          <w:iCs w:val="0"/>
          <w:snapToGrid w:val="0"/>
          <w:color w:val="auto"/>
          <w:highlight w:val="none"/>
          <w:lang w:val="en-US" w:eastAsia="zh-CN"/>
        </w:rPr>
        <w:t xml:space="preserve">.1 </w:t>
      </w:r>
      <w:r>
        <w:rPr>
          <w:rFonts w:hint="eastAsia"/>
          <w:i w:val="0"/>
          <w:iCs w:val="0"/>
          <w:snapToGrid w:val="0"/>
          <w:color w:val="auto"/>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i w:val="0"/>
          <w:iCs w:val="0"/>
          <w:snapToGrid w:val="0"/>
          <w:color w:val="auto"/>
          <w:highlight w:val="none"/>
          <w:lang w:val="en-US" w:eastAsia="zh-CN"/>
        </w:rPr>
        <w:t>2019</w:t>
      </w:r>
      <w:r>
        <w:rPr>
          <w:rFonts w:hint="eastAsia"/>
          <w:i w:val="0"/>
          <w:iCs w:val="0"/>
          <w:snapToGrid w:val="0"/>
          <w:color w:val="auto"/>
          <w:highlight w:val="none"/>
          <w:lang w:val="en-US" w:eastAsia="zh-CN"/>
        </w:rPr>
        <w:t>〕</w:t>
      </w:r>
      <w:r>
        <w:rPr>
          <w:rFonts w:hint="default"/>
          <w:i w:val="0"/>
          <w:iCs w:val="0"/>
          <w:snapToGrid w:val="0"/>
          <w:color w:val="auto"/>
          <w:highlight w:val="none"/>
          <w:lang w:val="en-US" w:eastAsia="zh-CN"/>
        </w:rPr>
        <w:t xml:space="preserve">9 </w:t>
      </w:r>
      <w:r>
        <w:rPr>
          <w:rFonts w:hint="eastAsia"/>
          <w:i w:val="0"/>
          <w:iCs w:val="0"/>
          <w:snapToGrid w:val="0"/>
          <w:color w:val="auto"/>
          <w:highlight w:val="none"/>
          <w:lang w:val="en-US" w:eastAsia="zh-CN"/>
        </w:rPr>
        <w:t>号）、《关于印发环境标志产品政府采购品目清单的通知》（财库〔2019〕18号）、《关于印发节能产品政府采购品目清单的通知》（财库〔2019〕19号）的规定。    40</w:t>
      </w:r>
      <w:r>
        <w:rPr>
          <w:rFonts w:hint="default"/>
          <w:i w:val="0"/>
          <w:iCs w:val="0"/>
          <w:snapToGrid w:val="0"/>
          <w:color w:val="auto"/>
          <w:highlight w:val="none"/>
          <w:lang w:val="en-US" w:eastAsia="zh-CN"/>
        </w:rPr>
        <w:t xml:space="preserve">.2 </w:t>
      </w:r>
      <w:r>
        <w:rPr>
          <w:rFonts w:hint="eastAsia"/>
          <w:i w:val="0"/>
          <w:iCs w:val="0"/>
          <w:snapToGrid w:val="0"/>
          <w:color w:val="auto"/>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40</w:t>
      </w:r>
      <w:r>
        <w:rPr>
          <w:rFonts w:hint="default"/>
          <w:i w:val="0"/>
          <w:iCs w:val="0"/>
          <w:snapToGrid w:val="0"/>
          <w:color w:val="auto"/>
          <w:highlight w:val="none"/>
          <w:lang w:val="en-US" w:eastAsia="zh-CN"/>
        </w:rPr>
        <w:t xml:space="preserve">.3 </w:t>
      </w:r>
      <w:r>
        <w:rPr>
          <w:rFonts w:hint="eastAsia"/>
          <w:i w:val="0"/>
          <w:iCs w:val="0"/>
          <w:snapToGrid w:val="0"/>
          <w:color w:val="auto"/>
          <w:highlight w:val="none"/>
          <w:lang w:val="en-US" w:eastAsia="zh-CN"/>
        </w:rPr>
        <w:t>如本项目采购产品属于实施政府强制采购品目清单范围的节能产品，则供应商所报产品必须获得国家确定的认证机构出具的、处于有效期之内的节能产品认证证书，否则</w:t>
      </w:r>
      <w:r>
        <w:rPr>
          <w:rFonts w:hint="eastAsia"/>
          <w:b/>
          <w:bCs/>
          <w:i w:val="0"/>
          <w:iCs w:val="0"/>
          <w:snapToGrid w:val="0"/>
          <w:color w:val="auto"/>
          <w:highlight w:val="none"/>
          <w:lang w:val="en-US" w:eastAsia="zh-CN"/>
        </w:rPr>
        <w:t>响应无效</w:t>
      </w:r>
      <w:r>
        <w:rPr>
          <w:rFonts w:hint="eastAsia"/>
          <w:i w:val="0"/>
          <w:iCs w:val="0"/>
          <w:snapToGrid w:val="0"/>
          <w:color w:val="auto"/>
          <w:highlight w:val="none"/>
          <w:lang w:val="en-US" w:eastAsia="zh-CN"/>
        </w:rPr>
        <w:t xml:space="preserve">。 </w:t>
      </w:r>
    </w:p>
    <w:p w14:paraId="73ADF023">
      <w:pPr>
        <w:pStyle w:val="37"/>
        <w:keepNext w:val="0"/>
        <w:keepLines w:val="0"/>
        <w:pageBreakBefore w:val="0"/>
        <w:widowControl w:val="0"/>
        <w:kinsoku/>
        <w:overflowPunct/>
        <w:topLinePunct w:val="0"/>
        <w:autoSpaceDE/>
        <w:autoSpaceDN/>
        <w:bidi w:val="0"/>
        <w:adjustRightInd/>
        <w:textAlignment w:val="auto"/>
        <w:rPr>
          <w:i w:val="0"/>
          <w:iCs w:val="0"/>
          <w:snapToGrid w:val="0"/>
          <w:color w:val="auto"/>
          <w:highlight w:val="none"/>
        </w:rPr>
      </w:pPr>
      <w:r>
        <w:rPr>
          <w:rFonts w:hint="eastAsia"/>
          <w:i w:val="0"/>
          <w:iCs w:val="0"/>
          <w:snapToGrid w:val="0"/>
          <w:color w:val="auto"/>
          <w:highlight w:val="none"/>
          <w:lang w:val="en-US" w:eastAsia="zh-CN"/>
        </w:rPr>
        <w:t>40</w:t>
      </w:r>
      <w:r>
        <w:rPr>
          <w:rFonts w:hint="default"/>
          <w:i w:val="0"/>
          <w:iCs w:val="0"/>
          <w:snapToGrid w:val="0"/>
          <w:color w:val="auto"/>
          <w:highlight w:val="none"/>
          <w:lang w:val="en-US" w:eastAsia="zh-CN"/>
        </w:rPr>
        <w:t xml:space="preserve">.4 </w:t>
      </w:r>
      <w:r>
        <w:rPr>
          <w:rFonts w:hint="eastAsia"/>
          <w:i w:val="0"/>
          <w:iCs w:val="0"/>
          <w:snapToGrid w:val="0"/>
          <w:color w:val="auto"/>
          <w:highlight w:val="none"/>
          <w:lang w:val="en-US" w:eastAsia="zh-CN"/>
        </w:rPr>
        <w:t>非政府强制采购的节能产品或环境标志产品，依据品目清单和认证证书实施政府优先采购。优先采购的具体规定见“第四章 评审方法及标准”（如涉及）。</w:t>
      </w:r>
    </w:p>
    <w:p w14:paraId="1E54CD45">
      <w:pPr>
        <w:pStyle w:val="37"/>
        <w:keepNext w:val="0"/>
        <w:keepLines w:val="0"/>
        <w:pageBreakBefore w:val="0"/>
        <w:widowControl w:val="0"/>
        <w:kinsoku/>
        <w:overflowPunct/>
        <w:topLinePunct w:val="0"/>
        <w:bidi w:val="0"/>
        <w:ind w:firstLine="480"/>
        <w:textAlignment w:val="auto"/>
        <w:rPr>
          <w:rFonts w:hint="eastAsia"/>
          <w:i w:val="0"/>
          <w:iCs w:val="0"/>
          <w:color w:val="auto"/>
          <w:highlight w:val="none"/>
        </w:rPr>
      </w:pPr>
      <w:r>
        <w:rPr>
          <w:rFonts w:hint="eastAsia"/>
          <w:i w:val="0"/>
          <w:iCs w:val="0"/>
          <w:snapToGrid w:val="0"/>
          <w:color w:val="auto"/>
          <w:highlight w:val="none"/>
          <w:lang w:val="en-US" w:eastAsia="zh-CN"/>
        </w:rPr>
        <w:t>40.5 供应商</w:t>
      </w:r>
      <w:r>
        <w:rPr>
          <w:rFonts w:hint="eastAsia"/>
          <w:i w:val="0"/>
          <w:iCs w:val="0"/>
          <w:snapToGrid w:val="0"/>
          <w:color w:val="auto"/>
          <w:highlight w:val="none"/>
        </w:rPr>
        <w:t>所</w:t>
      </w:r>
      <w:r>
        <w:rPr>
          <w:rFonts w:hint="eastAsia"/>
          <w:i w:val="0"/>
          <w:iCs w:val="0"/>
          <w:snapToGrid w:val="0"/>
          <w:color w:val="auto"/>
          <w:highlight w:val="none"/>
          <w:lang w:val="en-US" w:eastAsia="zh-CN"/>
        </w:rPr>
        <w:t>报</w:t>
      </w:r>
      <w:r>
        <w:rPr>
          <w:rFonts w:hint="eastAsia"/>
          <w:i w:val="0"/>
          <w:iCs w:val="0"/>
          <w:snapToGrid w:val="0"/>
          <w:color w:val="auto"/>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i w:val="0"/>
          <w:iCs w:val="0"/>
          <w:snapToGrid w:val="0"/>
          <w:color w:val="auto"/>
          <w:highlight w:val="none"/>
          <w:lang w:val="en-US" w:eastAsia="zh-CN"/>
        </w:rPr>
        <w:t>报</w:t>
      </w:r>
      <w:r>
        <w:rPr>
          <w:rFonts w:hint="eastAsia"/>
          <w:i w:val="0"/>
          <w:iCs w:val="0"/>
          <w:snapToGrid w:val="0"/>
          <w:color w:val="auto"/>
          <w:highlight w:val="none"/>
        </w:rPr>
        <w:t>产品不一致的，视为未提供。属于政府强制采购产品的，</w:t>
      </w:r>
      <w:r>
        <w:rPr>
          <w:i w:val="0"/>
          <w:iCs w:val="0"/>
          <w:snapToGrid w:val="0"/>
          <w:color w:val="auto"/>
          <w:highlight w:val="none"/>
        </w:rPr>
        <w:t>已作为</w:t>
      </w:r>
      <w:r>
        <w:rPr>
          <w:rFonts w:hint="eastAsia"/>
          <w:i w:val="0"/>
          <w:iCs w:val="0"/>
          <w:snapToGrid w:val="0"/>
          <w:color w:val="auto"/>
          <w:highlight w:val="none"/>
          <w:lang w:val="en-US" w:eastAsia="zh-CN"/>
        </w:rPr>
        <w:t>响应</w:t>
      </w:r>
      <w:r>
        <w:rPr>
          <w:i w:val="0"/>
          <w:iCs w:val="0"/>
          <w:snapToGrid w:val="0"/>
          <w:color w:val="auto"/>
          <w:highlight w:val="none"/>
        </w:rPr>
        <w:t>时强制性要求不再给予</w:t>
      </w:r>
      <w:r>
        <w:rPr>
          <w:rFonts w:hint="eastAsia"/>
          <w:i w:val="0"/>
          <w:iCs w:val="0"/>
          <w:snapToGrid w:val="0"/>
          <w:color w:val="auto"/>
          <w:highlight w:val="none"/>
          <w:lang w:val="en-US" w:eastAsia="zh-CN"/>
        </w:rPr>
        <w:t>价格评审优惠</w:t>
      </w:r>
      <w:r>
        <w:rPr>
          <w:rFonts w:hint="eastAsia"/>
          <w:i w:val="0"/>
          <w:iCs w:val="0"/>
          <w:snapToGrid w:val="0"/>
          <w:color w:val="auto"/>
          <w:highlight w:val="none"/>
        </w:rPr>
        <w:t>，未提供认证证书的视为</w:t>
      </w:r>
      <w:r>
        <w:rPr>
          <w:rFonts w:hint="eastAsia"/>
          <w:b/>
          <w:bCs/>
          <w:i w:val="0"/>
          <w:iCs w:val="0"/>
          <w:snapToGrid w:val="0"/>
          <w:color w:val="auto"/>
          <w:highlight w:val="none"/>
        </w:rPr>
        <w:t>无效响应</w:t>
      </w:r>
      <w:r>
        <w:rPr>
          <w:rFonts w:hint="eastAsia"/>
          <w:i w:val="0"/>
          <w:iCs w:val="0"/>
          <w:snapToGrid w:val="0"/>
          <w:color w:val="auto"/>
          <w:highlight w:val="none"/>
        </w:rPr>
        <w:t>。属于</w:t>
      </w:r>
      <w:r>
        <w:rPr>
          <w:rFonts w:hint="eastAsia"/>
          <w:i w:val="0"/>
          <w:iCs w:val="0"/>
          <w:snapToGrid w:val="0"/>
          <w:color w:val="auto"/>
          <w:highlight w:val="none"/>
          <w:lang w:val="en-US" w:eastAsia="zh-CN"/>
        </w:rPr>
        <w:t>优先采购</w:t>
      </w:r>
      <w:r>
        <w:rPr>
          <w:rFonts w:hint="eastAsia"/>
          <w:i w:val="0"/>
          <w:iCs w:val="0"/>
          <w:snapToGrid w:val="0"/>
          <w:color w:val="auto"/>
          <w:highlight w:val="none"/>
        </w:rPr>
        <w:t>节能产品政府采购品目清单、环境标志产品政府采购品目清单</w:t>
      </w:r>
      <w:r>
        <w:rPr>
          <w:rFonts w:hint="eastAsia"/>
          <w:i w:val="0"/>
          <w:iCs w:val="0"/>
          <w:snapToGrid w:val="0"/>
          <w:color w:val="auto"/>
          <w:highlight w:val="none"/>
          <w:lang w:eastAsia="zh-CN"/>
        </w:rPr>
        <w:t>、</w:t>
      </w:r>
      <w:r>
        <w:rPr>
          <w:rFonts w:hint="eastAsia"/>
          <w:i w:val="0"/>
          <w:iCs w:val="0"/>
          <w:snapToGrid w:val="0"/>
          <w:color w:val="auto"/>
          <w:highlight w:val="none"/>
          <w:lang w:val="en-US" w:eastAsia="zh-CN"/>
        </w:rPr>
        <w:t>创新产品</w:t>
      </w:r>
      <w:r>
        <w:rPr>
          <w:rFonts w:hint="eastAsia"/>
          <w:i w:val="0"/>
          <w:iCs w:val="0"/>
          <w:snapToGrid w:val="0"/>
          <w:color w:val="auto"/>
          <w:highlight w:val="none"/>
        </w:rPr>
        <w:t>范围的，按照“</w:t>
      </w:r>
      <w:r>
        <w:rPr>
          <w:rFonts w:hint="eastAsia"/>
          <w:i w:val="0"/>
          <w:iCs w:val="0"/>
          <w:snapToGrid w:val="0"/>
          <w:color w:val="auto"/>
          <w:highlight w:val="none"/>
          <w:lang w:val="en-US" w:eastAsia="zh-CN"/>
        </w:rPr>
        <w:t>第四章 评审方法及标准</w:t>
      </w:r>
      <w:r>
        <w:rPr>
          <w:rFonts w:hint="eastAsia"/>
          <w:i w:val="0"/>
          <w:iCs w:val="0"/>
          <w:snapToGrid w:val="0"/>
          <w:color w:val="auto"/>
          <w:highlight w:val="none"/>
        </w:rPr>
        <w:t>”中相关规定</w:t>
      </w:r>
      <w:r>
        <w:rPr>
          <w:rFonts w:hint="eastAsia"/>
          <w:i w:val="0"/>
          <w:iCs w:val="0"/>
          <w:color w:val="auto"/>
          <w:highlight w:val="none"/>
          <w:lang w:val="en-US" w:eastAsia="zh-CN"/>
        </w:rPr>
        <w:t>在评审时给予</w:t>
      </w:r>
      <w:r>
        <w:rPr>
          <w:rFonts w:hint="eastAsia"/>
          <w:i w:val="0"/>
          <w:iCs w:val="0"/>
          <w:snapToGrid w:val="0"/>
          <w:color w:val="auto"/>
          <w:highlight w:val="none"/>
          <w:lang w:val="en-US" w:eastAsia="zh-CN"/>
        </w:rPr>
        <w:t>价格评审优惠</w:t>
      </w:r>
      <w:r>
        <w:rPr>
          <w:rFonts w:hint="eastAsia"/>
          <w:i w:val="0"/>
          <w:iCs w:val="0"/>
          <w:color w:val="auto"/>
          <w:highlight w:val="none"/>
          <w:lang w:val="en-US" w:eastAsia="zh-CN"/>
        </w:rPr>
        <w:t>，具体详见</w:t>
      </w:r>
      <w:r>
        <w:rPr>
          <w:rFonts w:hint="eastAsia"/>
          <w:i w:val="0"/>
          <w:iCs w:val="0"/>
          <w:snapToGrid w:val="0"/>
          <w:color w:val="auto"/>
          <w:highlight w:val="none"/>
          <w:lang w:val="en-US" w:eastAsia="zh-CN"/>
        </w:rPr>
        <w:t>“供应商须知前附表”及</w:t>
      </w:r>
      <w:r>
        <w:rPr>
          <w:rFonts w:hint="eastAsia"/>
          <w:i w:val="0"/>
          <w:iCs w:val="0"/>
          <w:color w:val="auto"/>
          <w:highlight w:val="none"/>
          <w:lang w:val="en-US" w:eastAsia="zh-CN"/>
        </w:rPr>
        <w:t>“第四章 评审方法及标准”</w:t>
      </w:r>
      <w:r>
        <w:rPr>
          <w:rFonts w:hint="eastAsia"/>
          <w:i w:val="0"/>
          <w:iCs w:val="0"/>
          <w:color w:val="auto"/>
          <w:highlight w:val="none"/>
        </w:rPr>
        <w:t>。</w:t>
      </w:r>
    </w:p>
    <w:p w14:paraId="17C511E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41.正版软件</w:t>
      </w:r>
    </w:p>
    <w:p w14:paraId="1F0E8307">
      <w:pPr>
        <w:pStyle w:val="37"/>
        <w:keepNext w:val="0"/>
        <w:keepLines w:val="0"/>
        <w:pageBreakBefore w:val="0"/>
        <w:widowControl w:val="0"/>
        <w:kinsoku/>
        <w:overflowPunct/>
        <w:topLinePunct w:val="0"/>
        <w:autoSpaceDE/>
        <w:autoSpaceDN/>
        <w:bidi w:val="0"/>
        <w:adjustRightInd/>
        <w:snapToGri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41.1 依据《财政部 国家发展改革委 信息产业部关于印发无线局域网产品政府采购实施意见的通知》（财库〔</w:t>
      </w:r>
      <w:r>
        <w:rPr>
          <w:rFonts w:hint="default"/>
          <w:i w:val="0"/>
          <w:iCs w:val="0"/>
          <w:snapToGrid w:val="0"/>
          <w:color w:val="auto"/>
          <w:highlight w:val="none"/>
          <w:lang w:val="en-US" w:eastAsia="zh-CN"/>
        </w:rPr>
        <w:t>2005</w:t>
      </w:r>
      <w:r>
        <w:rPr>
          <w:rFonts w:hint="eastAsia"/>
          <w:i w:val="0"/>
          <w:iCs w:val="0"/>
          <w:snapToGrid w:val="0"/>
          <w:color w:val="auto"/>
          <w:highlight w:val="none"/>
          <w:lang w:val="en-US" w:eastAsia="zh-CN"/>
        </w:rPr>
        <w:t>〕</w:t>
      </w:r>
      <w:r>
        <w:rPr>
          <w:rFonts w:hint="default"/>
          <w:i w:val="0"/>
          <w:iCs w:val="0"/>
          <w:snapToGrid w:val="0"/>
          <w:color w:val="auto"/>
          <w:highlight w:val="none"/>
          <w:lang w:val="en-US" w:eastAsia="zh-CN"/>
        </w:rPr>
        <w:t xml:space="preserve">366 </w:t>
      </w:r>
      <w:r>
        <w:rPr>
          <w:rFonts w:hint="eastAsia"/>
          <w:i w:val="0"/>
          <w:iCs w:val="0"/>
          <w:snapToGrid w:val="0"/>
          <w:color w:val="auto"/>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b/>
          <w:bCs/>
          <w:i w:val="0"/>
          <w:iCs w:val="0"/>
          <w:snapToGrid w:val="0"/>
          <w:color w:val="auto"/>
          <w:highlight w:val="none"/>
          <w:lang w:val="en-US" w:eastAsia="zh-CN"/>
        </w:rPr>
        <w:t>响应无效</w:t>
      </w:r>
      <w:r>
        <w:rPr>
          <w:rFonts w:hint="eastAsia"/>
          <w:i w:val="0"/>
          <w:iCs w:val="0"/>
          <w:snapToGrid w:val="0"/>
          <w:color w:val="auto"/>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 xml:space="preserve">41.2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A1724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42.网络安全专用产品 </w:t>
      </w:r>
    </w:p>
    <w:p w14:paraId="4CF97C48">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 xml:space="preserve">42.1 所报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14:paraId="05D0648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43.采购需求标准 </w:t>
      </w:r>
    </w:p>
    <w:bookmarkEnd w:id="370"/>
    <w:bookmarkEnd w:id="371"/>
    <w:bookmarkEnd w:id="372"/>
    <w:bookmarkEnd w:id="373"/>
    <w:bookmarkEnd w:id="374"/>
    <w:p w14:paraId="12518086">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bookmarkStart w:id="385" w:name="_Toc109899574"/>
      <w:bookmarkStart w:id="386" w:name="_Toc109900412"/>
      <w:bookmarkStart w:id="387" w:name="_Toc163493622"/>
      <w:bookmarkStart w:id="388" w:name="_Toc109897475"/>
      <w:bookmarkStart w:id="389" w:name="_Toc109899993"/>
      <w:r>
        <w:rPr>
          <w:rFonts w:hint="eastAsia"/>
          <w:i w:val="0"/>
          <w:iCs w:val="0"/>
          <w:snapToGrid w:val="0"/>
          <w:color w:val="auto"/>
          <w:highlight w:val="none"/>
          <w:lang w:val="en-US" w:eastAsia="zh-CN"/>
        </w:rPr>
        <w:t xml:space="preserve">43.1 商品包装、快递包装政府采购需求标准（试行） </w:t>
      </w:r>
    </w:p>
    <w:p w14:paraId="527BC2D1">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 </w:t>
      </w:r>
    </w:p>
    <w:p w14:paraId="088B5DEF">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 xml:space="preserve">43.2 绿色数据中心政府采购需求标准（试行） </w:t>
      </w:r>
    </w:p>
    <w:p w14:paraId="2BAD2545">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33C6F27D">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43.3台式计算机政府采购需求标准</w:t>
      </w:r>
    </w:p>
    <w:p w14:paraId="7FE94F3A">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683C9A61">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43.4便携式计算机政府采购需求标准</w:t>
      </w:r>
    </w:p>
    <w:p w14:paraId="56D621A3">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48ED6666">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43.5一体式计算机政府采购需求标准</w:t>
      </w:r>
    </w:p>
    <w:p w14:paraId="7A06F60A">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6AA36A4C">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43.6工作站政府采购需求标准</w:t>
      </w:r>
    </w:p>
    <w:p w14:paraId="401E4836">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6AA55F4D">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43.7通用服务器政府采购需求标准</w:t>
      </w:r>
    </w:p>
    <w:p w14:paraId="6FE6FE7A">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5E799E3E">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43.8操作系统政府采购需求标准</w:t>
      </w:r>
    </w:p>
    <w:p w14:paraId="71E70859">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757FBE31">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43.9数据库政府采购需求标准</w:t>
      </w:r>
    </w:p>
    <w:p w14:paraId="4096E2F1">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0F23144D">
      <w:pPr>
        <w:pStyle w:val="37"/>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highlight w:val="none"/>
          <w:lang w:val="en-US" w:eastAsia="zh-CN"/>
        </w:rPr>
      </w:pPr>
      <w:r>
        <w:rPr>
          <w:rFonts w:hint="eastAsia"/>
          <w:i w:val="0"/>
          <w:iCs w:val="0"/>
          <w:snapToGrid w:val="0"/>
          <w:color w:val="auto"/>
          <w:highlight w:val="none"/>
          <w:lang w:val="en-US" w:eastAsia="zh-CN"/>
        </w:rPr>
        <w:t>43.10物业管理服务政府采购需求标准（办公场所类）（试行）</w:t>
      </w:r>
    </w:p>
    <w:p w14:paraId="0169F247">
      <w:pPr>
        <w:pStyle w:val="37"/>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r>
        <w:rPr>
          <w:rFonts w:hint="eastAsia"/>
          <w:i w:val="0"/>
          <w:iCs w:val="0"/>
          <w:snapToGrid w:val="0"/>
          <w:color w:val="auto"/>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38AF6858">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0" w:name="_Toc1264"/>
      <w:r>
        <w:rPr>
          <w:rFonts w:hint="eastAsia" w:ascii="宋体" w:hAnsi="宋体" w:eastAsia="宋体" w:cs="宋体"/>
          <w:b/>
          <w:bCs/>
          <w:color w:val="auto"/>
          <w:kern w:val="2"/>
          <w:sz w:val="24"/>
          <w:szCs w:val="24"/>
          <w:highlight w:val="none"/>
          <w:lang w:val="en-US" w:eastAsia="zh-CN" w:bidi="ar-SA"/>
        </w:rPr>
        <w:t>（十四）政府采购合同融资政策</w:t>
      </w:r>
      <w:bookmarkEnd w:id="385"/>
      <w:bookmarkEnd w:id="386"/>
      <w:bookmarkEnd w:id="387"/>
      <w:bookmarkEnd w:id="388"/>
      <w:bookmarkEnd w:id="389"/>
      <w:bookmarkEnd w:id="390"/>
    </w:p>
    <w:p w14:paraId="78CE46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1" w:name="_Toc161600345"/>
      <w:bookmarkStart w:id="392" w:name="_Toc109897476"/>
      <w:r>
        <w:rPr>
          <w:rFonts w:hint="eastAsia" w:ascii="宋体" w:hAnsi="宋体" w:eastAsia="宋体" w:cs="宋体"/>
          <w:b/>
          <w:bCs/>
          <w:color w:val="auto"/>
          <w:kern w:val="2"/>
          <w:sz w:val="24"/>
          <w:szCs w:val="24"/>
          <w:highlight w:val="none"/>
          <w:lang w:val="en-US" w:eastAsia="zh-CN" w:bidi="ar-SA"/>
        </w:rPr>
        <w:t>44.政府采购合同融资政策</w:t>
      </w:r>
      <w:bookmarkEnd w:id="391"/>
    </w:p>
    <w:p w14:paraId="59269D30">
      <w:pPr>
        <w:pStyle w:val="37"/>
        <w:keepNext w:val="0"/>
        <w:keepLines w:val="0"/>
        <w:pageBreakBefore w:val="0"/>
        <w:widowControl w:val="0"/>
        <w:kinsoku/>
        <w:overflowPunct/>
        <w:topLinePunct w:val="0"/>
        <w:bidi w:val="0"/>
        <w:ind w:firstLine="480"/>
        <w:textAlignment w:val="auto"/>
        <w:rPr>
          <w:i w:val="0"/>
          <w:iCs w:val="0"/>
          <w:color w:val="auto"/>
          <w:highlight w:val="none"/>
        </w:rPr>
      </w:pPr>
      <w:r>
        <w:rPr>
          <w:i w:val="0"/>
          <w:iCs w:val="0"/>
          <w:color w:val="auto"/>
          <w:highlight w:val="none"/>
        </w:rPr>
        <w:t>4</w:t>
      </w:r>
      <w:r>
        <w:rPr>
          <w:rFonts w:hint="eastAsia"/>
          <w:i w:val="0"/>
          <w:iCs w:val="0"/>
          <w:color w:val="auto"/>
          <w:highlight w:val="none"/>
          <w:lang w:val="en-US" w:eastAsia="zh-CN"/>
        </w:rPr>
        <w:t>4</w:t>
      </w:r>
      <w:r>
        <w:rPr>
          <w:rFonts w:hint="eastAsia"/>
          <w:i w:val="0"/>
          <w:iCs w:val="0"/>
          <w:color w:val="auto"/>
          <w:highlight w:val="none"/>
        </w:rPr>
        <w:t>.1政府采购合同融资政策：见供应商须知前附表。</w:t>
      </w:r>
    </w:p>
    <w:p w14:paraId="032E5A3C">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3" w:name="_Toc109899994"/>
      <w:bookmarkStart w:id="394" w:name="_Toc109899575"/>
      <w:bookmarkStart w:id="395" w:name="_Toc109900413"/>
      <w:bookmarkStart w:id="396" w:name="_Toc26521"/>
      <w:bookmarkStart w:id="397" w:name="_Toc163493623"/>
      <w:r>
        <w:rPr>
          <w:rFonts w:hint="eastAsia" w:ascii="宋体" w:hAnsi="宋体" w:eastAsia="宋体" w:cs="宋体"/>
          <w:b/>
          <w:bCs/>
          <w:color w:val="auto"/>
          <w:kern w:val="2"/>
          <w:sz w:val="24"/>
          <w:szCs w:val="24"/>
          <w:highlight w:val="none"/>
          <w:lang w:val="en-US" w:eastAsia="zh-CN" w:bidi="ar-SA"/>
        </w:rPr>
        <w:t>（十五）其他</w:t>
      </w:r>
      <w:bookmarkEnd w:id="392"/>
      <w:bookmarkEnd w:id="393"/>
      <w:bookmarkEnd w:id="394"/>
      <w:bookmarkEnd w:id="395"/>
      <w:bookmarkEnd w:id="396"/>
      <w:bookmarkEnd w:id="397"/>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8" w:name="_Toc161600347"/>
      <w:r>
        <w:rPr>
          <w:rFonts w:hint="eastAsia" w:ascii="宋体" w:hAnsi="宋体" w:eastAsia="宋体" w:cs="宋体"/>
          <w:b/>
          <w:bCs/>
          <w:color w:val="auto"/>
          <w:kern w:val="2"/>
          <w:sz w:val="24"/>
          <w:szCs w:val="24"/>
          <w:highlight w:val="none"/>
          <w:lang w:val="en-US" w:eastAsia="zh-CN" w:bidi="ar-SA"/>
        </w:rPr>
        <w:t>45.需要补充的其他内容</w:t>
      </w:r>
      <w:bookmarkEnd w:id="398"/>
    </w:p>
    <w:p w14:paraId="3957C993">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color w:val="auto"/>
          <w:highlight w:val="none"/>
        </w:rPr>
        <w:t>4</w:t>
      </w:r>
      <w:r>
        <w:rPr>
          <w:rFonts w:hint="eastAsia"/>
          <w:i w:val="0"/>
          <w:iCs w:val="0"/>
          <w:color w:val="auto"/>
          <w:highlight w:val="none"/>
          <w:lang w:val="en-US" w:eastAsia="zh-CN"/>
        </w:rPr>
        <w:t>5</w:t>
      </w:r>
      <w:r>
        <w:rPr>
          <w:rFonts w:hint="eastAsia"/>
          <w:i w:val="0"/>
          <w:iCs w:val="0"/>
          <w:color w:val="auto"/>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9" w:name="_Toc109897477"/>
      <w:bookmarkStart w:id="400" w:name="_Toc109899576"/>
      <w:bookmarkStart w:id="401" w:name="_Toc109899995"/>
      <w:bookmarkStart w:id="402" w:name="_Toc109900414"/>
      <w:r>
        <w:rPr>
          <w:rFonts w:hint="eastAsia" w:ascii="宋体" w:hAnsi="宋体" w:eastAsia="宋体" w:cs="宋体"/>
          <w:b/>
          <w:bCs/>
          <w:color w:val="auto"/>
          <w:kern w:val="2"/>
          <w:sz w:val="24"/>
          <w:szCs w:val="24"/>
          <w:highlight w:val="none"/>
          <w:lang w:val="en-US" w:eastAsia="zh-CN" w:bidi="ar-SA"/>
        </w:rPr>
        <w:t>46.适用法律</w:t>
      </w:r>
      <w:bookmarkEnd w:id="399"/>
      <w:bookmarkEnd w:id="400"/>
      <w:bookmarkEnd w:id="401"/>
      <w:bookmarkEnd w:id="402"/>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cs="仿宋_GB2312"/>
          <w:i w:val="0"/>
          <w:iCs w:val="0"/>
          <w:snapToGrid w:val="0"/>
          <w:color w:val="auto"/>
          <w:szCs w:val="24"/>
          <w:highlight w:val="none"/>
          <w:lang w:val="zh-CN"/>
        </w:rPr>
      </w:pPr>
      <w:r>
        <w:rPr>
          <w:rFonts w:hint="eastAsia" w:cs="仿宋_GB2312"/>
          <w:i w:val="0"/>
          <w:iCs w:val="0"/>
          <w:snapToGrid w:val="0"/>
          <w:color w:val="auto"/>
          <w:szCs w:val="24"/>
          <w:highlight w:val="none"/>
          <w:lang w:val="zh-CN"/>
        </w:rPr>
        <w:t>4</w:t>
      </w:r>
      <w:r>
        <w:rPr>
          <w:rFonts w:hint="eastAsia" w:cs="仿宋_GB2312"/>
          <w:i w:val="0"/>
          <w:iCs w:val="0"/>
          <w:snapToGrid w:val="0"/>
          <w:color w:val="auto"/>
          <w:szCs w:val="24"/>
          <w:highlight w:val="none"/>
          <w:lang w:val="en-US" w:eastAsia="zh-CN"/>
        </w:rPr>
        <w:t>6</w:t>
      </w:r>
      <w:r>
        <w:rPr>
          <w:rFonts w:cs="仿宋_GB2312"/>
          <w:i w:val="0"/>
          <w:iCs w:val="0"/>
          <w:snapToGrid w:val="0"/>
          <w:color w:val="auto"/>
          <w:szCs w:val="24"/>
          <w:highlight w:val="none"/>
          <w:lang w:val="zh-CN"/>
        </w:rPr>
        <w:t>.1</w:t>
      </w:r>
      <w:r>
        <w:rPr>
          <w:rFonts w:hint="eastAsia" w:cs="仿宋_GB2312"/>
          <w:i w:val="0"/>
          <w:iCs w:val="0"/>
          <w:snapToGrid w:val="0"/>
          <w:color w:val="auto"/>
          <w:szCs w:val="24"/>
          <w:highlight w:val="none"/>
          <w:lang w:val="zh-CN"/>
        </w:rPr>
        <w:t>采购人、采购代理机构及供应商的一切采购活动均适用《</w:t>
      </w:r>
      <w:r>
        <w:rPr>
          <w:rFonts w:hint="eastAsia"/>
          <w:i w:val="0"/>
          <w:iCs w:val="0"/>
          <w:snapToGrid w:val="0"/>
          <w:color w:val="auto"/>
          <w:highlight w:val="none"/>
        </w:rPr>
        <w:t>中华人民共和国</w:t>
      </w:r>
      <w:r>
        <w:rPr>
          <w:rFonts w:hint="eastAsia" w:cs="仿宋_GB2312"/>
          <w:i w:val="0"/>
          <w:iCs w:val="0"/>
          <w:snapToGrid w:val="0"/>
          <w:color w:val="auto"/>
          <w:szCs w:val="24"/>
          <w:highlight w:val="none"/>
          <w:lang w:val="zh-CN"/>
        </w:rPr>
        <w:t>政府采购法》、《</w:t>
      </w:r>
      <w:r>
        <w:rPr>
          <w:rFonts w:hint="eastAsia"/>
          <w:i w:val="0"/>
          <w:iCs w:val="0"/>
          <w:snapToGrid w:val="0"/>
          <w:color w:val="auto"/>
          <w:highlight w:val="none"/>
        </w:rPr>
        <w:t>中华人民共和国</w:t>
      </w:r>
      <w:r>
        <w:rPr>
          <w:rFonts w:hint="eastAsia" w:cs="仿宋_GB2312"/>
          <w:i w:val="0"/>
          <w:iCs w:val="0"/>
          <w:snapToGrid w:val="0"/>
          <w:color w:val="auto"/>
          <w:szCs w:val="24"/>
          <w:highlight w:val="none"/>
          <w:lang w:val="zh-CN"/>
        </w:rPr>
        <w:t>政府采购法实施条例》、</w:t>
      </w:r>
      <w:r>
        <w:rPr>
          <w:rFonts w:hint="eastAsia" w:cs="宋体"/>
          <w:i w:val="0"/>
          <w:iCs w:val="0"/>
          <w:color w:val="auto"/>
          <w:szCs w:val="24"/>
          <w:highlight w:val="none"/>
        </w:rPr>
        <w:t>《政府采购竞争性磋商采购方式管理暂行办法》（财库〔</w:t>
      </w:r>
      <w:r>
        <w:rPr>
          <w:rFonts w:cs="宋体"/>
          <w:i w:val="0"/>
          <w:iCs w:val="0"/>
          <w:color w:val="auto"/>
          <w:szCs w:val="24"/>
          <w:highlight w:val="none"/>
        </w:rPr>
        <w:t>2014〕214号</w:t>
      </w:r>
      <w:r>
        <w:rPr>
          <w:rFonts w:hint="eastAsia" w:cs="宋体"/>
          <w:i w:val="0"/>
          <w:iCs w:val="0"/>
          <w:color w:val="auto"/>
          <w:szCs w:val="24"/>
          <w:highlight w:val="none"/>
        </w:rPr>
        <w:t>）</w:t>
      </w:r>
      <w:r>
        <w:rPr>
          <w:rFonts w:hint="eastAsia" w:cs="仿宋_GB2312"/>
          <w:i w:val="0"/>
          <w:iCs w:val="0"/>
          <w:snapToGrid w:val="0"/>
          <w:color w:val="auto"/>
          <w:szCs w:val="24"/>
          <w:highlight w:val="none"/>
          <w:lang w:val="zh-CN"/>
        </w:rPr>
        <w:t>及相关法律法规。</w:t>
      </w:r>
    </w:p>
    <w:p w14:paraId="7EF83039">
      <w:pPr>
        <w:pStyle w:val="37"/>
        <w:keepNext w:val="0"/>
        <w:keepLines w:val="0"/>
        <w:pageBreakBefore w:val="0"/>
        <w:widowControl w:val="0"/>
        <w:kinsoku/>
        <w:overflowPunct/>
        <w:topLinePunct w:val="0"/>
        <w:bidi w:val="0"/>
        <w:ind w:firstLine="480"/>
        <w:textAlignment w:val="auto"/>
        <w:rPr>
          <w:i w:val="0"/>
          <w:iCs w:val="0"/>
          <w:snapToGrid w:val="0"/>
          <w:color w:val="auto"/>
          <w:highlight w:val="none"/>
          <w:lang w:val="zh-CN"/>
        </w:rPr>
      </w:pPr>
      <w:r>
        <w:rPr>
          <w:rFonts w:hint="eastAsia" w:cs="仿宋_GB2312"/>
          <w:i w:val="0"/>
          <w:iCs w:val="0"/>
          <w:snapToGrid w:val="0"/>
          <w:color w:val="auto"/>
          <w:szCs w:val="24"/>
          <w:highlight w:val="none"/>
          <w:lang w:val="zh-CN"/>
        </w:rPr>
        <w:t>4</w:t>
      </w:r>
      <w:r>
        <w:rPr>
          <w:rFonts w:hint="eastAsia" w:cs="仿宋_GB2312"/>
          <w:i w:val="0"/>
          <w:iCs w:val="0"/>
          <w:snapToGrid w:val="0"/>
          <w:color w:val="auto"/>
          <w:szCs w:val="24"/>
          <w:highlight w:val="none"/>
          <w:lang w:val="en-US" w:eastAsia="zh-CN"/>
        </w:rPr>
        <w:t>6</w:t>
      </w:r>
      <w:r>
        <w:rPr>
          <w:rFonts w:cs="仿宋_GB2312"/>
          <w:i w:val="0"/>
          <w:iCs w:val="0"/>
          <w:snapToGrid w:val="0"/>
          <w:color w:val="auto"/>
          <w:szCs w:val="24"/>
          <w:highlight w:val="none"/>
          <w:lang w:val="zh-CN"/>
        </w:rPr>
        <w:t>.2</w:t>
      </w:r>
      <w:r>
        <w:rPr>
          <w:rFonts w:hint="eastAsia"/>
          <w:i w:val="0"/>
          <w:iCs w:val="0"/>
          <w:snapToGrid w:val="0"/>
          <w:color w:val="auto"/>
          <w:highlight w:val="none"/>
          <w:lang w:val="zh-CN"/>
        </w:rPr>
        <w:t>政府采购合同的履行、违约责任和解决争议的方法等适用《</w:t>
      </w:r>
      <w:r>
        <w:rPr>
          <w:rFonts w:hint="eastAsia"/>
          <w:i w:val="0"/>
          <w:iCs w:val="0"/>
          <w:snapToGrid w:val="0"/>
          <w:color w:val="auto"/>
          <w:highlight w:val="none"/>
        </w:rPr>
        <w:t>中华人民共和国</w:t>
      </w:r>
      <w:r>
        <w:rPr>
          <w:rFonts w:hint="eastAsia"/>
          <w:i w:val="0"/>
          <w:iCs w:val="0"/>
          <w:snapToGrid w:val="0"/>
          <w:color w:val="auto"/>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3" w:name="_Toc161600349"/>
      <w:bookmarkStart w:id="404" w:name="_Toc155185887"/>
      <w:r>
        <w:rPr>
          <w:rFonts w:hint="eastAsia" w:ascii="宋体" w:hAnsi="宋体" w:eastAsia="宋体" w:cs="宋体"/>
          <w:b/>
          <w:bCs/>
          <w:color w:val="auto"/>
          <w:kern w:val="2"/>
          <w:sz w:val="24"/>
          <w:szCs w:val="24"/>
          <w:highlight w:val="none"/>
          <w:lang w:val="en-US" w:eastAsia="zh-CN" w:bidi="ar-SA"/>
        </w:rPr>
        <w:t>47.解释权</w:t>
      </w:r>
      <w:bookmarkEnd w:id="403"/>
      <w:bookmarkEnd w:id="404"/>
    </w:p>
    <w:p w14:paraId="6A67B13D">
      <w:pPr>
        <w:pStyle w:val="37"/>
        <w:keepNext w:val="0"/>
        <w:keepLines w:val="0"/>
        <w:pageBreakBefore w:val="0"/>
        <w:widowControl w:val="0"/>
        <w:kinsoku/>
        <w:overflowPunct/>
        <w:topLinePunct w:val="0"/>
        <w:bidi w:val="0"/>
        <w:ind w:firstLine="480"/>
        <w:textAlignment w:val="auto"/>
        <w:rPr>
          <w:i w:val="0"/>
          <w:iCs w:val="0"/>
          <w:color w:val="auto"/>
          <w:highlight w:val="none"/>
        </w:rPr>
      </w:pPr>
      <w:r>
        <w:rPr>
          <w:rFonts w:hint="eastAsia"/>
          <w:i w:val="0"/>
          <w:iCs w:val="0"/>
          <w:snapToGrid w:val="0"/>
          <w:color w:val="auto"/>
          <w:highlight w:val="none"/>
          <w:lang w:val="en-US" w:eastAsia="zh-CN"/>
        </w:rPr>
        <w:t>47</w:t>
      </w:r>
      <w:r>
        <w:rPr>
          <w:rFonts w:hint="eastAsia"/>
          <w:i w:val="0"/>
          <w:iCs w:val="0"/>
          <w:snapToGrid w:val="0"/>
          <w:color w:val="auto"/>
          <w:highlight w:val="none"/>
        </w:rPr>
        <w:t>.1本竞争性磋商文件最终解释权归采购人或采购代理机构所有。</w:t>
      </w:r>
    </w:p>
    <w:p w14:paraId="39B2275E">
      <w:pPr>
        <w:pStyle w:val="2"/>
        <w:keepNext w:val="0"/>
        <w:keepLines w:val="0"/>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05" w:name="_Toc14779"/>
      <w:r>
        <w:rPr>
          <w:rFonts w:hint="eastAsia" w:ascii="宋体" w:hAnsi="宋体" w:eastAsia="宋体" w:cs="宋体"/>
          <w:b/>
          <w:bCs/>
          <w:color w:val="auto"/>
          <w:kern w:val="44"/>
          <w:sz w:val="36"/>
          <w:szCs w:val="36"/>
          <w:highlight w:val="none"/>
          <w:lang w:val="en-US" w:eastAsia="zh-CN" w:bidi="ar-SA"/>
        </w:rPr>
        <w:t>第三章 项目采购需求</w:t>
      </w:r>
      <w:bookmarkEnd w:id="405"/>
    </w:p>
    <w:p w14:paraId="7A1D4A10">
      <w:pPr>
        <w:pStyle w:val="3"/>
        <w:bidi w:val="0"/>
        <w:rPr>
          <w:rFonts w:hint="eastAsia"/>
          <w:color w:val="auto"/>
          <w:sz w:val="24"/>
          <w:szCs w:val="24"/>
          <w:highlight w:val="none"/>
          <w:lang w:val="en-US" w:eastAsia="zh-CN"/>
        </w:rPr>
      </w:pPr>
      <w:bookmarkStart w:id="406" w:name="_Toc27698"/>
      <w:bookmarkStart w:id="407" w:name="_Toc155185889"/>
      <w:bookmarkStart w:id="408" w:name="_Toc140132812"/>
      <w:bookmarkStart w:id="409" w:name="_Toc163492886"/>
      <w:r>
        <w:rPr>
          <w:rFonts w:hint="eastAsia"/>
          <w:color w:val="auto"/>
          <w:sz w:val="24"/>
          <w:szCs w:val="24"/>
          <w:highlight w:val="none"/>
          <w:lang w:val="en-US" w:eastAsia="zh-CN"/>
        </w:rPr>
        <w:t>一、工程概况</w:t>
      </w:r>
      <w:bookmarkEnd w:id="406"/>
      <w:bookmarkStart w:id="410" w:name="_Toc21672"/>
    </w:p>
    <w:p w14:paraId="0CC9C129">
      <w:pPr>
        <w:pStyle w:val="3"/>
        <w:bidi w:val="0"/>
        <w:ind w:firstLine="480" w:firstLineChars="200"/>
        <w:rPr>
          <w:rFonts w:hint="eastAsia" w:ascii="宋体" w:hAnsi="宋体" w:eastAsia="宋体" w:cstheme="minorBidi"/>
          <w:b w:val="0"/>
          <w:bCs w:val="0"/>
          <w:i w:val="0"/>
          <w:iCs w:val="0"/>
          <w:color w:val="auto"/>
          <w:kern w:val="2"/>
          <w:sz w:val="24"/>
          <w:szCs w:val="22"/>
          <w:highlight w:val="none"/>
          <w:u w:val="none"/>
          <w:lang w:val="en-US" w:eastAsia="zh-CN" w:bidi="ar-SA"/>
        </w:rPr>
      </w:pPr>
      <w:r>
        <w:rPr>
          <w:rFonts w:hint="eastAsia" w:ascii="宋体" w:hAnsi="宋体" w:eastAsia="宋体" w:cstheme="minorBidi"/>
          <w:b w:val="0"/>
          <w:bCs w:val="0"/>
          <w:i w:val="0"/>
          <w:iCs w:val="0"/>
          <w:color w:val="auto"/>
          <w:kern w:val="2"/>
          <w:sz w:val="24"/>
          <w:szCs w:val="22"/>
          <w:highlight w:val="none"/>
          <w:u w:val="none"/>
          <w:lang w:val="en-US" w:eastAsia="zh-CN" w:bidi="ar-SA"/>
        </w:rPr>
        <w:t>本工程兵团某单位安防设施设备更新及线路改造项目，位于兵团石河子市某单位。</w:t>
      </w:r>
    </w:p>
    <w:p w14:paraId="4A1AD0F9">
      <w:pPr>
        <w:pStyle w:val="3"/>
        <w:bidi w:val="0"/>
        <w:rPr>
          <w:rFonts w:hint="eastAsia"/>
          <w:color w:val="auto"/>
          <w:sz w:val="24"/>
          <w:szCs w:val="24"/>
          <w:highlight w:val="none"/>
          <w:u w:val="none"/>
          <w:lang w:val="en-US" w:eastAsia="zh-CN"/>
        </w:rPr>
      </w:pPr>
      <w:r>
        <w:rPr>
          <w:rFonts w:hint="eastAsia"/>
          <w:color w:val="auto"/>
          <w:sz w:val="24"/>
          <w:szCs w:val="24"/>
          <w:highlight w:val="none"/>
          <w:u w:val="none"/>
          <w:lang w:val="en-US" w:eastAsia="zh-CN"/>
        </w:rPr>
        <w:t>二、工程内容</w:t>
      </w:r>
      <w:bookmarkEnd w:id="410"/>
      <w:r>
        <w:rPr>
          <w:rFonts w:hint="eastAsia"/>
          <w:color w:val="auto"/>
          <w:sz w:val="24"/>
          <w:szCs w:val="24"/>
          <w:highlight w:val="none"/>
          <w:u w:val="none"/>
          <w:lang w:val="en-US" w:eastAsia="zh-CN"/>
        </w:rPr>
        <w:t xml:space="preserve"> </w:t>
      </w:r>
    </w:p>
    <w:p w14:paraId="472834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i w:val="0"/>
          <w:iCs w:val="0"/>
          <w:color w:val="auto"/>
          <w:sz w:val="24"/>
          <w:highlight w:val="none"/>
          <w:u w:val="none"/>
          <w:lang w:val="en-US" w:eastAsia="zh-CN"/>
        </w:rPr>
      </w:pPr>
      <w:r>
        <w:rPr>
          <w:rFonts w:hint="eastAsia" w:ascii="宋体" w:hAnsi="宋体" w:cs="仿宋_GB2312"/>
          <w:i w:val="0"/>
          <w:iCs w:val="0"/>
          <w:color w:val="auto"/>
          <w:sz w:val="24"/>
          <w:highlight w:val="none"/>
          <w:u w:val="none"/>
        </w:rPr>
        <w:t>1.工程名称</w:t>
      </w:r>
      <w:r>
        <w:rPr>
          <w:rFonts w:hint="eastAsia" w:cs="仿宋_GB2312"/>
          <w:i w:val="0"/>
          <w:iCs w:val="0"/>
          <w:color w:val="auto"/>
          <w:sz w:val="24"/>
          <w:highlight w:val="none"/>
          <w:u w:val="none"/>
          <w:lang w:eastAsia="zh-CN"/>
        </w:rPr>
        <w:t>：</w:t>
      </w:r>
      <w:r>
        <w:rPr>
          <w:rFonts w:hint="eastAsia" w:ascii="宋体" w:hAnsi="宋体" w:cs="仿宋_GB2312"/>
          <w:i w:val="0"/>
          <w:iCs w:val="0"/>
          <w:color w:val="auto"/>
          <w:sz w:val="24"/>
          <w:highlight w:val="none"/>
          <w:u w:val="none"/>
          <w:lang w:val="en-US" w:eastAsia="zh-CN"/>
        </w:rPr>
        <w:t>某单位安防设施设备更新及线路改造项目</w:t>
      </w:r>
    </w:p>
    <w:p w14:paraId="1476E1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仿宋_GB2312"/>
          <w:i w:val="0"/>
          <w:iCs w:val="0"/>
          <w:color w:val="auto"/>
          <w:sz w:val="24"/>
          <w:highlight w:val="none"/>
          <w:u w:val="none"/>
          <w:lang w:eastAsia="zh-CN"/>
        </w:rPr>
      </w:pPr>
      <w:r>
        <w:rPr>
          <w:rFonts w:hint="eastAsia" w:ascii="宋体" w:hAnsi="宋体" w:cs="仿宋_GB2312"/>
          <w:i w:val="0"/>
          <w:iCs w:val="0"/>
          <w:color w:val="auto"/>
          <w:sz w:val="24"/>
          <w:highlight w:val="none"/>
          <w:u w:val="none"/>
        </w:rPr>
        <w:t>2.现场条件</w:t>
      </w:r>
      <w:r>
        <w:rPr>
          <w:rFonts w:hint="eastAsia" w:cs="仿宋_GB2312"/>
          <w:i w:val="0"/>
          <w:iCs w:val="0"/>
          <w:color w:val="auto"/>
          <w:sz w:val="24"/>
          <w:highlight w:val="none"/>
          <w:u w:val="none"/>
          <w:lang w:eastAsia="zh-CN"/>
        </w:rPr>
        <w:t>：</w:t>
      </w:r>
      <w:r>
        <w:rPr>
          <w:rFonts w:hint="eastAsia" w:cs="仿宋_GB2312"/>
          <w:i w:val="0"/>
          <w:iCs w:val="0"/>
          <w:color w:val="auto"/>
          <w:sz w:val="24"/>
          <w:highlight w:val="none"/>
          <w:u w:val="none"/>
          <w:lang w:val="en-US" w:eastAsia="zh-CN"/>
        </w:rPr>
        <w:t>自行踏勘并仔细核对工程量</w:t>
      </w:r>
    </w:p>
    <w:p w14:paraId="4596DC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i w:val="0"/>
          <w:iCs w:val="0"/>
          <w:color w:val="auto"/>
          <w:sz w:val="24"/>
          <w:highlight w:val="none"/>
          <w:u w:val="none"/>
        </w:rPr>
      </w:pPr>
      <w:r>
        <w:rPr>
          <w:rFonts w:hint="eastAsia" w:ascii="宋体" w:hAnsi="宋体" w:cs="仿宋_GB2312"/>
          <w:i w:val="0"/>
          <w:iCs w:val="0"/>
          <w:color w:val="auto"/>
          <w:sz w:val="24"/>
          <w:highlight w:val="none"/>
          <w:u w:val="none"/>
        </w:rPr>
        <w:t>3.工程承包范围</w:t>
      </w:r>
      <w:r>
        <w:rPr>
          <w:rFonts w:hint="eastAsia" w:cs="仿宋_GB2312"/>
          <w:i w:val="0"/>
          <w:iCs w:val="0"/>
          <w:color w:val="auto"/>
          <w:sz w:val="24"/>
          <w:highlight w:val="none"/>
          <w:u w:val="none"/>
          <w:lang w:eastAsia="zh-CN"/>
        </w:rPr>
        <w:t>：</w:t>
      </w:r>
      <w:r>
        <w:rPr>
          <w:rFonts w:hint="eastAsia" w:cs="仿宋_GB2312"/>
          <w:i w:val="0"/>
          <w:iCs w:val="0"/>
          <w:color w:val="auto"/>
          <w:sz w:val="24"/>
          <w:highlight w:val="none"/>
          <w:u w:val="none"/>
          <w:lang w:val="en-US" w:eastAsia="zh-CN"/>
        </w:rPr>
        <w:t>本工程主要是石河子市某单位安防设施设备更新及线路改造项目；其中包含：机房装修、机房设备安装、核心机房网络设备升级、指挥中心网络升级改造、核心机房至各点网络传输改造、不间断电源更换、指挥中心室内Q1.2pro高清LED全彩显示屏改造、大厅室内Q2H全彩显示屏改造、新建线缆沟以及更换光缆及电源线、体征信息采集（床垫）系统、新增存储设备、AB门改造、男队分控LCD拼接屏安装、新建隔离网以及高墙区域周界报警设备改造、更换高清摄像头、安装无人机配套智能停机坪一套等设施。</w:t>
      </w:r>
    </w:p>
    <w:p w14:paraId="2DAB8F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i w:val="0"/>
          <w:iCs w:val="0"/>
          <w:color w:val="auto"/>
          <w:sz w:val="24"/>
          <w:highlight w:val="none"/>
          <w:u w:val="none"/>
        </w:rPr>
      </w:pPr>
      <w:r>
        <w:rPr>
          <w:rFonts w:hint="eastAsia" w:ascii="宋体" w:hAnsi="宋体" w:cs="仿宋_GB2312"/>
          <w:i w:val="0"/>
          <w:iCs w:val="0"/>
          <w:color w:val="auto"/>
          <w:sz w:val="24"/>
          <w:highlight w:val="none"/>
          <w:u w:val="none"/>
        </w:rPr>
        <w:t>4.工程质量标准</w:t>
      </w:r>
      <w:r>
        <w:rPr>
          <w:rFonts w:hint="eastAsia" w:cs="仿宋_GB2312"/>
          <w:i w:val="0"/>
          <w:iCs w:val="0"/>
          <w:color w:val="auto"/>
          <w:sz w:val="24"/>
          <w:highlight w:val="none"/>
          <w:u w:val="none"/>
          <w:lang w:eastAsia="zh-CN"/>
        </w:rPr>
        <w:t>：</w:t>
      </w:r>
      <w:r>
        <w:rPr>
          <w:rFonts w:hint="eastAsia" w:cs="仿宋_GB2312"/>
          <w:i w:val="0"/>
          <w:iCs w:val="0"/>
          <w:color w:val="auto"/>
          <w:sz w:val="24"/>
          <w:highlight w:val="none"/>
          <w:u w:val="none"/>
          <w:lang w:val="en-US" w:eastAsia="zh-CN"/>
        </w:rPr>
        <w:t>本工程严格按设计图纸及技术规范要求执行。工程质量符合国家工程质量验收合格标准及新疆现行有关施工质量验收规范的合格标准、专用条款约定的其他标准及发包人要求。建筑工程：单位工程合格率 100%；质量事故率为“零”。</w:t>
      </w:r>
    </w:p>
    <w:p w14:paraId="68F2F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i w:val="0"/>
          <w:iCs w:val="0"/>
          <w:color w:val="auto"/>
          <w:sz w:val="24"/>
          <w:highlight w:val="none"/>
          <w:u w:val="none"/>
          <w:lang w:eastAsia="zh-CN"/>
        </w:rPr>
      </w:pPr>
      <w:r>
        <w:rPr>
          <w:rFonts w:hint="eastAsia" w:ascii="宋体" w:hAnsi="宋体" w:cs="仿宋_GB2312"/>
          <w:i w:val="0"/>
          <w:iCs w:val="0"/>
          <w:color w:val="auto"/>
          <w:sz w:val="24"/>
          <w:highlight w:val="none"/>
          <w:u w:val="none"/>
        </w:rPr>
        <w:t>5.工程施工要求</w:t>
      </w:r>
      <w:r>
        <w:rPr>
          <w:rFonts w:hint="eastAsia" w:cs="仿宋_GB2312"/>
          <w:i w:val="0"/>
          <w:iCs w:val="0"/>
          <w:color w:val="auto"/>
          <w:sz w:val="24"/>
          <w:highlight w:val="none"/>
          <w:u w:val="none"/>
          <w:lang w:eastAsia="zh-CN"/>
        </w:rPr>
        <w:t>：</w:t>
      </w:r>
    </w:p>
    <w:p w14:paraId="75A7B1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i w:val="0"/>
          <w:iCs w:val="0"/>
          <w:color w:val="auto"/>
          <w:sz w:val="24"/>
          <w:highlight w:val="none"/>
          <w:u w:val="none"/>
        </w:rPr>
      </w:pPr>
      <w:r>
        <w:rPr>
          <w:rFonts w:hint="eastAsia" w:ascii="宋体" w:hAnsi="宋体"/>
          <w:i w:val="0"/>
          <w:iCs w:val="0"/>
          <w:color w:val="auto"/>
          <w:sz w:val="24"/>
          <w:highlight w:val="none"/>
          <w:u w:val="none"/>
          <w:lang w:val="en-US" w:eastAsia="zh-CN"/>
        </w:rPr>
        <w:t xml:space="preserve">5.1 按照国家最新颁布《建筑工程施工质量验收统一标准》（GB50300-2016）及相应配套的各专业验收规范，一次验收合格。 </w:t>
      </w:r>
    </w:p>
    <w:p w14:paraId="177366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i w:val="0"/>
          <w:iCs w:val="0"/>
          <w:color w:val="auto"/>
          <w:sz w:val="24"/>
          <w:highlight w:val="none"/>
          <w:u w:val="none"/>
        </w:rPr>
      </w:pPr>
      <w:r>
        <w:rPr>
          <w:rFonts w:hint="eastAsia" w:ascii="宋体" w:hAnsi="宋体"/>
          <w:i w:val="0"/>
          <w:iCs w:val="0"/>
          <w:color w:val="auto"/>
          <w:sz w:val="24"/>
          <w:highlight w:val="none"/>
          <w:u w:val="none"/>
          <w:lang w:val="en-US" w:eastAsia="zh-CN"/>
        </w:rPr>
        <w:t xml:space="preserve">5.2 确保不发生任何安全生产事故，达到项目所有地安全生产文明施工工地标准。 </w:t>
      </w:r>
    </w:p>
    <w:p w14:paraId="36EA8D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i w:val="0"/>
          <w:iCs w:val="0"/>
          <w:color w:val="auto"/>
          <w:sz w:val="24"/>
          <w:highlight w:val="none"/>
          <w:u w:val="none"/>
        </w:rPr>
      </w:pPr>
      <w:r>
        <w:rPr>
          <w:rFonts w:hint="eastAsia" w:ascii="宋体" w:hAnsi="宋体"/>
          <w:i w:val="0"/>
          <w:iCs w:val="0"/>
          <w:color w:val="auto"/>
          <w:sz w:val="24"/>
          <w:highlight w:val="none"/>
          <w:u w:val="none"/>
          <w:lang w:val="en-US" w:eastAsia="zh-CN"/>
        </w:rPr>
        <w:t>5.3 需遵守采购人相关管理规定，并根据实际情况制定项目措施手段保证安全文明施工正常运作。</w:t>
      </w:r>
    </w:p>
    <w:p w14:paraId="615EC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i w:val="0"/>
          <w:iCs w:val="0"/>
          <w:color w:val="auto"/>
          <w:sz w:val="24"/>
          <w:highlight w:val="none"/>
          <w:u w:val="none"/>
        </w:rPr>
      </w:pPr>
    </w:p>
    <w:p w14:paraId="2A02C0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i w:val="0"/>
          <w:iCs w:val="0"/>
          <w:color w:val="auto"/>
          <w:sz w:val="24"/>
          <w:highlight w:val="none"/>
          <w:u w:val="none"/>
          <w:lang w:eastAsia="zh-CN"/>
        </w:rPr>
      </w:pPr>
      <w:r>
        <w:rPr>
          <w:rFonts w:hint="eastAsia" w:ascii="宋体" w:hAnsi="宋体" w:cs="仿宋_GB2312"/>
          <w:i w:val="0"/>
          <w:iCs w:val="0"/>
          <w:color w:val="auto"/>
          <w:sz w:val="24"/>
          <w:highlight w:val="none"/>
          <w:u w:val="none"/>
        </w:rPr>
        <w:t>6.工程管理要求</w:t>
      </w:r>
      <w:r>
        <w:rPr>
          <w:rFonts w:hint="eastAsia" w:cs="仿宋_GB2312"/>
          <w:i w:val="0"/>
          <w:iCs w:val="0"/>
          <w:color w:val="auto"/>
          <w:sz w:val="24"/>
          <w:highlight w:val="none"/>
          <w:u w:val="none"/>
          <w:lang w:eastAsia="zh-CN"/>
        </w:rPr>
        <w:t>：</w:t>
      </w:r>
    </w:p>
    <w:p w14:paraId="12BEF3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i w:val="0"/>
          <w:iCs w:val="0"/>
          <w:color w:val="auto"/>
          <w:sz w:val="24"/>
          <w:highlight w:val="none"/>
          <w:u w:val="none"/>
        </w:rPr>
      </w:pPr>
      <w:r>
        <w:rPr>
          <w:rFonts w:hint="eastAsia" w:ascii="宋体" w:hAnsi="宋体"/>
          <w:i w:val="0"/>
          <w:iCs w:val="0"/>
          <w:color w:val="auto"/>
          <w:sz w:val="24"/>
          <w:highlight w:val="none"/>
          <w:u w:val="none"/>
          <w:lang w:val="en-US" w:eastAsia="zh-CN"/>
        </w:rPr>
        <w:t>遵循安全管理规定，实现安全"零"事故，即人身伤害事故为零、设备安全事故为零、火灾爆炸事故为零；无施工污染，做到工完、料净、场地清。遵守国家法律、法规，实现治安管理“零”事件。</w:t>
      </w:r>
    </w:p>
    <w:p w14:paraId="7C510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i w:val="0"/>
          <w:iCs w:val="0"/>
          <w:color w:val="auto"/>
          <w:sz w:val="24"/>
          <w:highlight w:val="none"/>
          <w:u w:val="none"/>
          <w:lang w:eastAsia="zh-CN"/>
        </w:rPr>
      </w:pPr>
      <w:r>
        <w:rPr>
          <w:rFonts w:hint="eastAsia" w:cs="仿宋_GB2312"/>
          <w:i w:val="0"/>
          <w:iCs w:val="0"/>
          <w:color w:val="auto"/>
          <w:sz w:val="24"/>
          <w:highlight w:val="none"/>
          <w:u w:val="none"/>
          <w:lang w:val="en-US" w:eastAsia="zh-CN"/>
        </w:rPr>
        <w:t>7.</w:t>
      </w:r>
      <w:r>
        <w:rPr>
          <w:rFonts w:hint="eastAsia" w:ascii="宋体" w:hAnsi="宋体" w:cs="仿宋_GB2312"/>
          <w:i w:val="0"/>
          <w:iCs w:val="0"/>
          <w:color w:val="auto"/>
          <w:sz w:val="24"/>
          <w:highlight w:val="none"/>
          <w:u w:val="none"/>
        </w:rPr>
        <w:t>工程主要材料（设备）要求</w:t>
      </w:r>
      <w:r>
        <w:rPr>
          <w:rFonts w:hint="eastAsia" w:cs="仿宋_GB2312"/>
          <w:i w:val="0"/>
          <w:iCs w:val="0"/>
          <w:color w:val="auto"/>
          <w:sz w:val="24"/>
          <w:highlight w:val="none"/>
          <w:u w:val="none"/>
          <w:lang w:eastAsia="zh-CN"/>
        </w:rPr>
        <w:t>：</w:t>
      </w:r>
    </w:p>
    <w:p w14:paraId="1589A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lang w:val="en-US" w:eastAsia="zh-CN"/>
        </w:rPr>
        <w:t>按设计图纸或规范的要求采购、运输、保管材料，使用的所有材料必须达到国家规定的合格标准，并提供相关证件，对材料设备质量负责。主要材料的使用必须与施工图纸中一致，材料到货后，应经工程师验收，符合设计图纸及规范要求，质量合格、产品合格证等证件齐全，方可用于本工程。承包人采购的材料与设计或规范标准不符时，承包人应按工程师要求的时间运出施工场地，重新采购符合要求的产品，承担由此发生的费用，由此延误的工期不予顺延。承包人采购的材料在使用前，应按工程师的要求进行检验或试验，不合格的不得使用，检验或试验费用由承包人承担。工程师发现承包人采购并使用不符合设计和规范要求的材料时，应要求承包人负责修复、拆除或重新采购，由承包人承担发生的费用，由此延误的工期不予顺延。</w:t>
      </w:r>
    </w:p>
    <w:p w14:paraId="06047AB3">
      <w:pPr>
        <w:pStyle w:val="3"/>
        <w:bidi w:val="0"/>
        <w:rPr>
          <w:rFonts w:hint="eastAsia"/>
          <w:color w:val="auto"/>
          <w:sz w:val="24"/>
          <w:szCs w:val="24"/>
          <w:highlight w:val="none"/>
          <w:u w:val="none"/>
          <w:lang w:val="en-US" w:eastAsia="zh-CN"/>
        </w:rPr>
      </w:pPr>
      <w:bookmarkStart w:id="411" w:name="_Toc27746"/>
      <w:r>
        <w:rPr>
          <w:rFonts w:hint="eastAsia"/>
          <w:color w:val="auto"/>
          <w:sz w:val="24"/>
          <w:szCs w:val="24"/>
          <w:highlight w:val="none"/>
          <w:u w:val="none"/>
          <w:lang w:val="en-US" w:eastAsia="zh-CN"/>
        </w:rPr>
        <w:t>三、商务要求</w:t>
      </w:r>
      <w:bookmarkEnd w:id="411"/>
    </w:p>
    <w:p w14:paraId="128CA7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rPr>
        <w:t>1.工期要求：</w:t>
      </w:r>
      <w:r>
        <w:rPr>
          <w:rFonts w:hint="eastAsia" w:ascii="宋体" w:hAnsi="宋体"/>
          <w:i w:val="0"/>
          <w:iCs w:val="0"/>
          <w:color w:val="auto"/>
          <w:sz w:val="24"/>
          <w:highlight w:val="none"/>
          <w:u w:val="none"/>
        </w:rPr>
        <w:t>工期总日历天数：</w:t>
      </w:r>
      <w:r>
        <w:rPr>
          <w:rFonts w:hint="eastAsia" w:ascii="宋体" w:hAnsi="宋体"/>
          <w:i w:val="0"/>
          <w:iCs w:val="0"/>
          <w:color w:val="auto"/>
          <w:sz w:val="24"/>
          <w:highlight w:val="none"/>
          <w:u w:val="none"/>
          <w:lang w:val="en-US" w:eastAsia="zh-CN"/>
        </w:rPr>
        <w:t xml:space="preserve">90 </w:t>
      </w:r>
      <w:r>
        <w:rPr>
          <w:rFonts w:hint="eastAsia" w:ascii="宋体" w:hAnsi="宋体"/>
          <w:i w:val="0"/>
          <w:iCs w:val="0"/>
          <w:color w:val="auto"/>
          <w:sz w:val="24"/>
          <w:highlight w:val="none"/>
          <w:u w:val="none"/>
        </w:rPr>
        <w:t>天</w:t>
      </w:r>
      <w:r>
        <w:rPr>
          <w:rFonts w:hint="eastAsia"/>
          <w:i w:val="0"/>
          <w:iCs w:val="0"/>
          <w:color w:val="auto"/>
          <w:sz w:val="24"/>
          <w:highlight w:val="none"/>
          <w:u w:val="none"/>
          <w:lang w:eastAsia="zh-CN"/>
        </w:rPr>
        <w:t>完成并验收合格</w:t>
      </w:r>
      <w:r>
        <w:rPr>
          <w:rFonts w:hint="eastAsia" w:ascii="宋体" w:hAnsi="宋体"/>
          <w:i w:val="0"/>
          <w:iCs w:val="0"/>
          <w:color w:val="auto"/>
          <w:sz w:val="24"/>
          <w:highlight w:val="none"/>
          <w:u w:val="none"/>
        </w:rPr>
        <w:t xml:space="preserve">。 </w:t>
      </w:r>
    </w:p>
    <w:p w14:paraId="09D772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rPr>
        <w:t>2.工程地点：</w:t>
      </w:r>
      <w:r>
        <w:rPr>
          <w:rFonts w:hint="eastAsia" w:ascii="宋体" w:hAnsi="宋体"/>
          <w:i w:val="0"/>
          <w:iCs w:val="0"/>
          <w:color w:val="auto"/>
          <w:sz w:val="24"/>
          <w:highlight w:val="none"/>
          <w:u w:val="none"/>
        </w:rPr>
        <w:t xml:space="preserve"> </w:t>
      </w:r>
      <w:r>
        <w:rPr>
          <w:rFonts w:hint="eastAsia"/>
          <w:i w:val="0"/>
          <w:iCs w:val="0"/>
          <w:color w:val="auto"/>
          <w:sz w:val="24"/>
          <w:highlight w:val="none"/>
          <w:u w:val="none"/>
          <w:lang w:eastAsia="zh-CN"/>
        </w:rPr>
        <w:t>采购人指定地点</w:t>
      </w:r>
      <w:r>
        <w:rPr>
          <w:rFonts w:hint="eastAsia" w:ascii="宋体" w:hAnsi="宋体"/>
          <w:i w:val="0"/>
          <w:iCs w:val="0"/>
          <w:color w:val="auto"/>
          <w:sz w:val="24"/>
          <w:highlight w:val="none"/>
          <w:u w:val="none"/>
        </w:rPr>
        <w:t xml:space="preserve">  </w:t>
      </w:r>
    </w:p>
    <w:p w14:paraId="25EB53D1">
      <w:pPr>
        <w:snapToGrid w:val="0"/>
        <w:spacing w:line="360" w:lineRule="auto"/>
        <w:ind w:firstLine="480" w:firstLineChars="200"/>
        <w:jc w:val="left"/>
        <w:rPr>
          <w:color w:val="auto"/>
          <w:sz w:val="24"/>
          <w:szCs w:val="24"/>
          <w:highlight w:val="none"/>
          <w:u w:val="none"/>
        </w:rPr>
      </w:pPr>
      <w:r>
        <w:rPr>
          <w:rFonts w:hint="eastAsia" w:ascii="宋体" w:hAnsi="宋体" w:cs="仿宋_GB2312"/>
          <w:i w:val="0"/>
          <w:iCs w:val="0"/>
          <w:color w:val="auto"/>
          <w:sz w:val="24"/>
          <w:highlight w:val="none"/>
          <w:u w:val="none"/>
        </w:rPr>
        <w:t>3.付款条件</w:t>
      </w:r>
      <w:r>
        <w:rPr>
          <w:rFonts w:hint="eastAsia" w:cs="仿宋_GB2312"/>
          <w:i w:val="0"/>
          <w:iCs w:val="0"/>
          <w:color w:val="auto"/>
          <w:sz w:val="24"/>
          <w:highlight w:val="none"/>
          <w:u w:val="none"/>
          <w:lang w:eastAsia="zh-CN"/>
        </w:rPr>
        <w:t>：</w:t>
      </w:r>
      <w:r>
        <w:rPr>
          <w:color w:val="auto"/>
          <w:sz w:val="24"/>
          <w:szCs w:val="24"/>
          <w:highlight w:val="none"/>
          <w:u w:val="none"/>
        </w:rPr>
        <w:t xml:space="preserve"> </w:t>
      </w:r>
      <w:r>
        <w:rPr>
          <w:color w:val="auto"/>
          <w:sz w:val="24"/>
          <w:szCs w:val="24"/>
          <w:highlight w:val="none"/>
          <w:u w:val="none"/>
          <w:lang w:val="en-US" w:eastAsia="zh-CN"/>
        </w:rPr>
        <w:t>收到中标通知书之日起5日内，承包人需向发包人一次性足额缴纳中标成交价的</w:t>
      </w:r>
      <w:r>
        <w:rPr>
          <w:rFonts w:hint="eastAsia"/>
          <w:color w:val="auto"/>
          <w:sz w:val="24"/>
          <w:szCs w:val="24"/>
          <w:highlight w:val="none"/>
          <w:u w:val="none"/>
          <w:lang w:val="en-US" w:eastAsia="zh-CN"/>
        </w:rPr>
        <w:t>3</w:t>
      </w:r>
      <w:r>
        <w:rPr>
          <w:color w:val="auto"/>
          <w:sz w:val="24"/>
          <w:szCs w:val="24"/>
          <w:highlight w:val="none"/>
          <w:u w:val="none"/>
          <w:lang w:val="en-US" w:eastAsia="zh-CN"/>
        </w:rPr>
        <w:t>%履约保证金；合同签订生效后，成交人须在工程所在地劳动监察部门指定的银行开具农民工工资指定的账户，采购人一次性足额将合同价款的 30%的预付款打入劳动监察部门指定农民工保证金专户，发放工资时，成交人向采购人报送支付申请额度，经采购人审核同意后进行发放。监理人、采购人审核月进度工程量，按照不高于当月实际完成量的 80%（含预付款内的农民工工资）向成交人支付工程进度款，支付至合同价款的85%时，不再按照进度支付。待工程竣工验收合格后提交相应施工资料至采购人指定的结算审计单位进行审核，出具审定报告并提供全套施工资料至发包人后，即支付至审定价款的 97%，无息原账户退还履约保证金，剩余审定价的3%待质保期满后无质量问题一次性支付。</w:t>
      </w:r>
    </w:p>
    <w:p w14:paraId="247F260B">
      <w:pPr>
        <w:spacing w:line="360" w:lineRule="auto"/>
        <w:ind w:firstLine="480" w:firstLineChars="200"/>
        <w:jc w:val="left"/>
        <w:rPr>
          <w:rFonts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rPr>
        <w:t>4.工程售后服务要求</w:t>
      </w:r>
    </w:p>
    <w:p w14:paraId="2CE6397A">
      <w:pPr>
        <w:spacing w:line="360" w:lineRule="auto"/>
        <w:ind w:firstLine="480" w:firstLineChars="200"/>
        <w:jc w:val="left"/>
        <w:rPr>
          <w:rFonts w:hint="eastAsia"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lang w:val="en-US" w:eastAsia="zh-CN"/>
        </w:rPr>
        <w:t xml:space="preserve">4.1 工程保修期按《建设工程质量管理条例》规定。保修期自工程验收合格之日起计，保修期不少于两年，在保修期内因施工质量而造成返修，其费用和因此而造成的损失由成交人负责。 </w:t>
      </w:r>
    </w:p>
    <w:p w14:paraId="553E1307">
      <w:pPr>
        <w:spacing w:line="360" w:lineRule="auto"/>
        <w:ind w:firstLine="480" w:firstLineChars="200"/>
        <w:jc w:val="left"/>
        <w:rPr>
          <w:rFonts w:hint="eastAsia"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lang w:val="en-US" w:eastAsia="zh-CN"/>
        </w:rPr>
        <w:t>4.2 成交人向采购人提交竣工验收报告时，应当向采购人出具质量保修书；质量保修书应明确本工程的保修范围、保修期限和保修责任等。</w:t>
      </w:r>
    </w:p>
    <w:p w14:paraId="51789567">
      <w:pPr>
        <w:spacing w:line="360" w:lineRule="auto"/>
        <w:ind w:firstLine="480" w:firstLineChars="200"/>
        <w:jc w:val="left"/>
        <w:rPr>
          <w:rFonts w:ascii="宋体" w:hAnsi="宋体" w:cs="仿宋_GB2312"/>
          <w:i w:val="0"/>
          <w:iCs w:val="0"/>
          <w:color w:val="auto"/>
          <w:sz w:val="24"/>
          <w:highlight w:val="none"/>
          <w:u w:val="none"/>
        </w:rPr>
      </w:pPr>
      <w:r>
        <w:rPr>
          <w:rFonts w:hint="eastAsia" w:ascii="宋体" w:hAnsi="宋体" w:cs="仿宋_GB2312"/>
          <w:i w:val="0"/>
          <w:iCs w:val="0"/>
          <w:color w:val="auto"/>
          <w:sz w:val="24"/>
          <w:highlight w:val="none"/>
          <w:u w:val="none"/>
        </w:rPr>
        <w:t>5.其他商务要求（包装和运输、保险等）</w:t>
      </w:r>
    </w:p>
    <w:p w14:paraId="3B1F816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 验收要求：工程具备竣工验收条件,成交人按国家工程竣工验收有关规定,向采购人提供竣工资料及竣工验收报告,采购人自接到竣工报告单后15日内组织验收，并在验收后15 日内给予认可或提出书面整改意见,成交人按意见要求进行整改，并承担自身原因造成的整改费用，整改期间不予顺延工期。工程竣工验收通过后，15 日内采购人应签收竣工验收单、设备移交单。工程未竣工验收或竣工验收未通过的，成交人负责监管学术交流中心钥匙及设备控制。 </w:t>
      </w:r>
    </w:p>
    <w:p w14:paraId="51C2E367">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履约保证金：收取比例为中标价的3%，在合同签订前成交人向采购人提交目中标价的3%作为履约保证金。项目竣工验收合格，出具有效审计结算书并提供全套施工资料至发包人后，采购人无息原账户退还履约保证金给成交人。 </w:t>
      </w:r>
    </w:p>
    <w:p w14:paraId="2998DEB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履约保证金不予退还的情形：①在成交人不履行应承担的义务或因过失导致采购人或第三方损失而成交人又拒绝承担赔偿责任时，采购人有权对履约保证金进行处置，如本履约保证金数额不足以赔偿采购人或第三方损失时，采购人还有权继续对成交人进行追讨。② 成交人无正当理由单方面解除合同的，履约保证金不予退还。③成交人违反合同约定或出现违法行为时，采购人有权扣减成交供应商的履约保证金，具体按照合同违约责任执行。④未经采购人同意，成交人以任何理由连续停工达到三天的，采购人有权单方面解除合同，履约保证金不予退还。</w:t>
      </w:r>
    </w:p>
    <w:p w14:paraId="214612B5">
      <w:pPr>
        <w:rPr>
          <w:rStyle w:val="42"/>
          <w:rFonts w:hint="eastAsia"/>
          <w:color w:val="auto"/>
          <w:sz w:val="24"/>
          <w:szCs w:val="24"/>
          <w:highlight w:val="none"/>
          <w:lang w:val="en-US" w:eastAsia="zh-CN"/>
        </w:rPr>
      </w:pPr>
      <w:bookmarkStart w:id="412" w:name="_Toc32724"/>
      <w:r>
        <w:rPr>
          <w:rStyle w:val="42"/>
          <w:rFonts w:hint="eastAsia"/>
          <w:color w:val="auto"/>
          <w:sz w:val="24"/>
          <w:szCs w:val="24"/>
          <w:highlight w:val="none"/>
          <w:lang w:val="en-US" w:eastAsia="zh-CN"/>
        </w:rPr>
        <w:br w:type="page"/>
      </w:r>
    </w:p>
    <w:p w14:paraId="329ED7E0">
      <w:pPr>
        <w:pStyle w:val="37"/>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Fonts w:hint="eastAsia"/>
          <w:b/>
          <w:bCs/>
          <w:snapToGrid w:val="0"/>
          <w:color w:val="auto"/>
          <w:sz w:val="24"/>
          <w:szCs w:val="24"/>
          <w:highlight w:val="none"/>
          <w:lang w:val="en-US" w:eastAsia="zh-CN"/>
        </w:rPr>
      </w:pPr>
      <w:r>
        <w:rPr>
          <w:rStyle w:val="42"/>
          <w:rFonts w:hint="eastAsia"/>
          <w:color w:val="auto"/>
          <w:sz w:val="24"/>
          <w:szCs w:val="24"/>
          <w:highlight w:val="none"/>
          <w:lang w:val="en-US" w:eastAsia="zh-CN"/>
        </w:rPr>
        <w:t>四、其他要求</w:t>
      </w:r>
      <w:bookmarkEnd w:id="412"/>
      <w:r>
        <w:rPr>
          <w:rFonts w:hint="eastAsia"/>
          <w:b/>
          <w:bCs/>
          <w:snapToGrid w:val="0"/>
          <w:color w:val="auto"/>
          <w:sz w:val="24"/>
          <w:szCs w:val="24"/>
          <w:highlight w:val="none"/>
          <w:lang w:val="en-US" w:eastAsia="zh-CN"/>
        </w:rPr>
        <w:t>【含</w:t>
      </w:r>
      <w:r>
        <w:rPr>
          <w:rFonts w:hint="eastAsia" w:ascii="宋体" w:hAnsi="宋体" w:eastAsia="宋体"/>
          <w:b/>
          <w:bCs/>
          <w:i w:val="0"/>
          <w:iCs w:val="0"/>
          <w:snapToGrid w:val="0"/>
          <w:color w:val="auto"/>
          <w:sz w:val="24"/>
          <w:szCs w:val="24"/>
          <w:highlight w:val="none"/>
          <w:lang w:val="en-US" w:eastAsia="zh-CN"/>
        </w:rPr>
        <w:t>根据</w:t>
      </w:r>
      <w:r>
        <w:rPr>
          <w:rFonts w:hint="eastAsia"/>
          <w:b/>
          <w:bCs/>
          <w:i w:val="0"/>
          <w:iCs w:val="0"/>
          <w:snapToGrid w:val="0"/>
          <w:color w:val="auto"/>
          <w:sz w:val="24"/>
          <w:szCs w:val="24"/>
          <w:highlight w:val="none"/>
          <w:lang w:val="en-US" w:eastAsia="zh-CN"/>
        </w:rPr>
        <w:t>磋商</w:t>
      </w:r>
      <w:r>
        <w:rPr>
          <w:rFonts w:hint="eastAsia" w:ascii="宋体" w:hAnsi="宋体" w:eastAsia="宋体"/>
          <w:b/>
          <w:bCs/>
          <w:i w:val="0"/>
          <w:iCs w:val="0"/>
          <w:snapToGrid w:val="0"/>
          <w:color w:val="auto"/>
          <w:sz w:val="24"/>
          <w:szCs w:val="24"/>
          <w:highlight w:val="none"/>
          <w:lang w:val="en-US" w:eastAsia="zh-CN"/>
        </w:rPr>
        <w:t>情况可能实质性变动的内容</w:t>
      </w:r>
      <w:r>
        <w:rPr>
          <w:rFonts w:hint="eastAsia"/>
          <w:b/>
          <w:bCs/>
          <w:i w:val="0"/>
          <w:iCs w:val="0"/>
          <w:snapToGrid w:val="0"/>
          <w:color w:val="auto"/>
          <w:sz w:val="24"/>
          <w:szCs w:val="24"/>
          <w:highlight w:val="none"/>
          <w:lang w:val="en-US" w:eastAsia="zh-CN"/>
        </w:rPr>
        <w:t>（</w:t>
      </w:r>
      <w:r>
        <w:rPr>
          <w:rFonts w:hint="eastAsia" w:ascii="宋体" w:hAnsi="宋体" w:eastAsia="宋体"/>
          <w:b/>
          <w:bCs/>
          <w:i w:val="0"/>
          <w:iCs w:val="0"/>
          <w:snapToGrid w:val="0"/>
          <w:color w:val="auto"/>
          <w:sz w:val="24"/>
          <w:szCs w:val="24"/>
          <w:highlight w:val="none"/>
          <w:lang w:val="en-US" w:eastAsia="zh-CN"/>
        </w:rPr>
        <w:t>包括采购需求中的技术、服务要求以及合同草案条款</w:t>
      </w:r>
      <w:r>
        <w:rPr>
          <w:rFonts w:hint="eastAsia"/>
          <w:b/>
          <w:bCs/>
          <w:i w:val="0"/>
          <w:iCs w:val="0"/>
          <w:snapToGrid w:val="0"/>
          <w:color w:val="auto"/>
          <w:sz w:val="24"/>
          <w:szCs w:val="24"/>
          <w:highlight w:val="none"/>
          <w:lang w:val="en-US" w:eastAsia="zh-CN"/>
        </w:rPr>
        <w:t>）</w:t>
      </w:r>
      <w:r>
        <w:rPr>
          <w:rFonts w:hint="eastAsia"/>
          <w:b/>
          <w:bCs/>
          <w:snapToGrid w:val="0"/>
          <w:color w:val="auto"/>
          <w:sz w:val="24"/>
          <w:szCs w:val="24"/>
          <w:highlight w:val="none"/>
          <w:lang w:val="en-US" w:eastAsia="zh-CN"/>
        </w:rPr>
        <w:t>】</w:t>
      </w:r>
    </w:p>
    <w:p w14:paraId="1044D397">
      <w:pPr>
        <w:spacing w:line="360" w:lineRule="auto"/>
        <w:ind w:firstLine="480" w:firstLineChars="200"/>
        <w:jc w:val="left"/>
        <w:rPr>
          <w:rFonts w:hint="eastAsia" w:ascii="宋体" w:hAnsi="宋体"/>
          <w:i w:val="0"/>
          <w:iCs w:val="0"/>
          <w:color w:val="auto"/>
          <w:sz w:val="24"/>
          <w:highlight w:val="none"/>
          <w:u w:val="single"/>
          <w:lang w:val="en-US" w:eastAsia="zh-CN"/>
        </w:rPr>
      </w:pPr>
      <w:r>
        <w:rPr>
          <w:rFonts w:hint="eastAsia" w:ascii="宋体" w:hAnsi="宋体"/>
          <w:i w:val="0"/>
          <w:iCs w:val="0"/>
          <w:color w:val="auto"/>
          <w:sz w:val="24"/>
          <w:highlight w:val="none"/>
          <w:u w:val="single"/>
          <w:lang w:val="en-US" w:eastAsia="zh-CN"/>
        </w:rPr>
        <w:t>供应商报价时应考虑并承担一定的风险，发生的相应费用计入总报价，所有未考虑到的项目措施费均由供应商自行承担。</w:t>
      </w:r>
    </w:p>
    <w:p w14:paraId="7DF3FEF0">
      <w:pPr>
        <w:rPr>
          <w:rFonts w:hint="eastAsia" w:ascii="宋体" w:hAnsi="宋体"/>
          <w:i w:val="0"/>
          <w:iCs w:val="0"/>
          <w:color w:val="auto"/>
          <w:sz w:val="24"/>
          <w:highlight w:val="none"/>
          <w:u w:val="single"/>
          <w:lang w:val="en-US" w:eastAsia="zh-CN"/>
        </w:rPr>
      </w:pPr>
      <w:r>
        <w:rPr>
          <w:rFonts w:hint="eastAsia" w:ascii="宋体" w:hAnsi="宋体"/>
          <w:i w:val="0"/>
          <w:iCs w:val="0"/>
          <w:color w:val="auto"/>
          <w:sz w:val="24"/>
          <w:highlight w:val="none"/>
          <w:u w:val="single"/>
          <w:lang w:val="en-US" w:eastAsia="zh-CN"/>
        </w:rPr>
        <w:br w:type="page"/>
      </w:r>
    </w:p>
    <w:p w14:paraId="4B400939">
      <w:pPr>
        <w:pStyle w:val="3"/>
        <w:numPr>
          <w:ilvl w:val="0"/>
          <w:numId w:val="3"/>
        </w:numPr>
        <w:bidi w:val="0"/>
        <w:rPr>
          <w:rFonts w:hint="default"/>
          <w:color w:val="auto"/>
          <w:sz w:val="24"/>
          <w:szCs w:val="24"/>
          <w:highlight w:val="none"/>
          <w:lang w:val="en-US" w:eastAsia="zh-CN"/>
        </w:rPr>
      </w:pPr>
      <w:bookmarkStart w:id="413" w:name="_Toc3021"/>
      <w:r>
        <w:rPr>
          <w:rFonts w:hint="eastAsia"/>
          <w:color w:val="auto"/>
          <w:sz w:val="24"/>
          <w:szCs w:val="24"/>
          <w:highlight w:val="none"/>
          <w:lang w:val="en-US" w:eastAsia="zh-CN"/>
        </w:rPr>
        <w:t>工程量清单</w:t>
      </w:r>
      <w:bookmarkEnd w:id="413"/>
      <w:r>
        <w:rPr>
          <w:rFonts w:hint="eastAsia"/>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详见工程量清单（附件1）</w:t>
      </w:r>
    </w:p>
    <w:p w14:paraId="3D48F200">
      <w:pPr>
        <w:pStyle w:val="3"/>
        <w:numPr>
          <w:ilvl w:val="0"/>
          <w:numId w:val="0"/>
        </w:numPr>
        <w:bidi w:val="0"/>
        <w:ind w:right="-94" w:rightChars="-39"/>
        <w:rPr>
          <w:rFonts w:hint="eastAsia" w:ascii="宋体" w:hAnsi="宋体" w:eastAsia="宋体" w:cs="宋体"/>
          <w:b w:val="0"/>
          <w:bCs w:val="0"/>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本项目为涉密项目，工程量清单设置有密码，请符合公告申请人的资格要求的投标单位获取工程量清单时需准备以下资料到新疆天瑞工程造价咨询有限公司获取：</w:t>
      </w:r>
    </w:p>
    <w:p w14:paraId="1E1AC291">
      <w:pPr>
        <w:pStyle w:val="3"/>
        <w:numPr>
          <w:ilvl w:val="0"/>
          <w:numId w:val="0"/>
        </w:numPr>
        <w:bidi w:val="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1、按公告申请人的资格要求提供资料；</w:t>
      </w:r>
    </w:p>
    <w:p w14:paraId="490B1E4F">
      <w:pPr>
        <w:pStyle w:val="3"/>
        <w:numPr>
          <w:ilvl w:val="0"/>
          <w:numId w:val="4"/>
        </w:numPr>
        <w:bidi w:val="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涉密信息系统集成资质（包含安防监控</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总体集成）</w:t>
      </w:r>
    </w:p>
    <w:p w14:paraId="1BA076F4">
      <w:pPr>
        <w:pStyle w:val="3"/>
        <w:numPr>
          <w:ilvl w:val="0"/>
          <w:numId w:val="4"/>
        </w:numPr>
        <w:bidi w:val="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保密承诺书；</w:t>
      </w:r>
    </w:p>
    <w:p w14:paraId="59F787B0">
      <w:pPr>
        <w:pStyle w:val="3"/>
        <w:numPr>
          <w:ilvl w:val="0"/>
          <w:numId w:val="4"/>
        </w:numPr>
        <w:bidi w:val="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法定代表人身份证明和授权委托书；</w:t>
      </w:r>
    </w:p>
    <w:p w14:paraId="37F5E0D2">
      <w:pPr>
        <w:pStyle w:val="3"/>
        <w:numPr>
          <w:ilvl w:val="0"/>
          <w:numId w:val="0"/>
        </w:numPr>
        <w:bidi w:val="0"/>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以上资料必须提供原件和复印件加盖公章（2份），加密的工程量清单以其它方式获取视为无效，未提供以上资料或不符合要求的投标单位视为放弃本项目投标。</w:t>
      </w:r>
    </w:p>
    <w:p w14:paraId="7910D39F">
      <w:pPr>
        <w:spacing w:line="360" w:lineRule="auto"/>
        <w:jc w:val="left"/>
        <w:rPr>
          <w:rFonts w:hint="eastAsia" w:ascii="宋体" w:hAnsi="宋体"/>
          <w:i w:val="0"/>
          <w:iCs w:val="0"/>
          <w:color w:val="auto"/>
          <w:sz w:val="24"/>
          <w:highlight w:val="none"/>
          <w:u w:val="single"/>
        </w:rPr>
      </w:pPr>
    </w:p>
    <w:p w14:paraId="60C3F2DB">
      <w:pPr>
        <w:rPr>
          <w:rFonts w:hint="eastAsia" w:ascii="宋体" w:hAnsi="宋体"/>
          <w:i w:val="0"/>
          <w:iCs w:val="0"/>
          <w:color w:val="auto"/>
          <w:sz w:val="24"/>
          <w:highlight w:val="none"/>
          <w:u w:val="single"/>
        </w:rPr>
      </w:pPr>
      <w:r>
        <w:rPr>
          <w:rFonts w:hint="eastAsia" w:ascii="宋体" w:hAnsi="宋体"/>
          <w:i w:val="0"/>
          <w:iCs w:val="0"/>
          <w:color w:val="auto"/>
          <w:sz w:val="24"/>
          <w:highlight w:val="none"/>
          <w:u w:val="single"/>
        </w:rPr>
        <w:br w:type="page"/>
      </w:r>
    </w:p>
    <w:bookmarkEnd w:id="407"/>
    <w:bookmarkEnd w:id="408"/>
    <w:bookmarkEnd w:id="409"/>
    <w:p w14:paraId="28FA21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14" w:name="_Toc21090"/>
      <w:r>
        <w:rPr>
          <w:rFonts w:hint="eastAsia" w:ascii="宋体" w:hAnsi="宋体" w:eastAsia="宋体" w:cs="宋体"/>
          <w:b/>
          <w:bCs/>
          <w:color w:val="auto"/>
          <w:kern w:val="44"/>
          <w:sz w:val="36"/>
          <w:szCs w:val="36"/>
          <w:highlight w:val="none"/>
          <w:lang w:val="en-US" w:eastAsia="zh-CN" w:bidi="ar-SA"/>
        </w:rPr>
        <w:t>第四章 评审方法及标准</w:t>
      </w:r>
      <w:bookmarkEnd w:id="414"/>
    </w:p>
    <w:p w14:paraId="3C2D8384">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15" w:name="_Toc18136"/>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eastAsia="zh-CN"/>
        </w:rPr>
        <w:t>评审方法</w:t>
      </w:r>
      <w:bookmarkEnd w:id="415"/>
    </w:p>
    <w:p w14:paraId="53640E9C">
      <w:pPr>
        <w:pStyle w:val="37"/>
        <w:ind w:firstLine="480"/>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16" w:name="_Toc14790"/>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评审程序</w:t>
      </w:r>
      <w:bookmarkEnd w:id="416"/>
    </w:p>
    <w:p w14:paraId="2541236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17" w:name="_Toc13629"/>
      <w:bookmarkStart w:id="418" w:name="_Toc163493634"/>
      <w:r>
        <w:rPr>
          <w:rFonts w:hint="eastAsia" w:ascii="宋体" w:hAnsi="宋体" w:eastAsia="宋体" w:cs="宋体"/>
          <w:b/>
          <w:bCs/>
          <w:color w:val="auto"/>
          <w:kern w:val="2"/>
          <w:sz w:val="24"/>
          <w:szCs w:val="24"/>
          <w:highlight w:val="none"/>
          <w:lang w:val="zh-CN" w:eastAsia="zh-CN" w:bidi="ar-SA"/>
        </w:rPr>
        <w:t>（一）资格审查和符合性审查</w:t>
      </w:r>
      <w:bookmarkEnd w:id="417"/>
      <w:bookmarkEnd w:id="418"/>
    </w:p>
    <w:p w14:paraId="64549C54">
      <w:pPr>
        <w:tabs>
          <w:tab w:val="left" w:pos="312"/>
        </w:tabs>
        <w:wordWrap w:val="0"/>
        <w:adjustRightInd w:val="0"/>
        <w:snapToGrid w:val="0"/>
        <w:ind w:firstLine="480" w:firstLineChars="200"/>
        <w:rPr>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34DAF073">
      <w:pPr>
        <w:pStyle w:val="37"/>
        <w:ind w:firstLine="480"/>
        <w:rPr>
          <w:i w:val="0"/>
          <w:iCs w:val="0"/>
          <w:color w:val="auto"/>
          <w:highlight w:val="none"/>
        </w:rPr>
      </w:pPr>
      <w:r>
        <w:rPr>
          <w:rFonts w:hint="eastAsia"/>
          <w:i w:val="0"/>
          <w:iCs w:val="0"/>
          <w:color w:val="auto"/>
          <w:highlight w:val="none"/>
        </w:rPr>
        <w:t>2.</w:t>
      </w:r>
      <w:r>
        <w:rPr>
          <w:rFonts w:hint="eastAsia"/>
          <w:i w:val="0"/>
          <w:iCs w:val="0"/>
          <w:color w:val="auto"/>
          <w:highlight w:val="none"/>
          <w:lang w:val="en-US" w:eastAsia="zh-CN"/>
        </w:rPr>
        <w:t>通过</w:t>
      </w:r>
      <w:r>
        <w:rPr>
          <w:rFonts w:hint="eastAsia" w:cs="宋体"/>
          <w:i w:val="0"/>
          <w:iCs w:val="0"/>
          <w:color w:val="auto"/>
          <w:highlight w:val="none"/>
        </w:rPr>
        <w:t>资格性审查和符合性审查</w:t>
      </w:r>
      <w:r>
        <w:rPr>
          <w:rFonts w:hint="eastAsia" w:cs="宋体"/>
          <w:i w:val="0"/>
          <w:iCs w:val="0"/>
          <w:color w:val="auto"/>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480155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19" w:name="_Toc163493635"/>
      <w:bookmarkStart w:id="420" w:name="_Toc13955"/>
      <w:bookmarkStart w:id="421" w:name="_Hlk158124046"/>
      <w:bookmarkStart w:id="422" w:name="_Toc102114946"/>
      <w:bookmarkStart w:id="423" w:name="_Toc102116048"/>
      <w:bookmarkStart w:id="424" w:name="_Toc102119879"/>
      <w:bookmarkStart w:id="425" w:name="_Toc102057744"/>
      <w:bookmarkStart w:id="426" w:name="_Toc102056244"/>
      <w:bookmarkStart w:id="427" w:name="_Toc102116178"/>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响应文件澄清</w:t>
      </w:r>
      <w:bookmarkEnd w:id="419"/>
      <w:bookmarkEnd w:id="420"/>
    </w:p>
    <w:p w14:paraId="4E589A43">
      <w:pPr>
        <w:pStyle w:val="37"/>
        <w:ind w:firstLine="480"/>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7"/>
        <w:ind w:firstLine="480"/>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21"/>
    <w:p w14:paraId="27E4E05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28" w:name="_Toc18013"/>
      <w:bookmarkStart w:id="429" w:name="_Toc16349363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磋商程序</w:t>
      </w:r>
      <w:bookmarkEnd w:id="428"/>
      <w:bookmarkEnd w:id="429"/>
    </w:p>
    <w:p w14:paraId="3B21DF86">
      <w:pPr>
        <w:pStyle w:val="37"/>
        <w:ind w:firstLine="480"/>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1.第一轮磋商</w:t>
      </w:r>
    </w:p>
    <w:p w14:paraId="2DE3353A">
      <w:pPr>
        <w:pStyle w:val="37"/>
        <w:ind w:firstLine="480"/>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51723349">
      <w:pPr>
        <w:pStyle w:val="37"/>
        <w:ind w:firstLine="480"/>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71EE9FD4">
      <w:pPr>
        <w:pStyle w:val="37"/>
        <w:ind w:firstLine="480"/>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5261153F">
      <w:pPr>
        <w:pStyle w:val="37"/>
        <w:ind w:firstLine="480"/>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37"/>
        <w:ind w:firstLine="480"/>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2.多轮磋商</w:t>
      </w:r>
    </w:p>
    <w:p w14:paraId="07D8F4C4">
      <w:pPr>
        <w:pStyle w:val="37"/>
        <w:ind w:firstLine="480"/>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7"/>
        <w:ind w:firstLine="480"/>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3.最后报价</w:t>
      </w:r>
    </w:p>
    <w:p w14:paraId="7172DA31">
      <w:pPr>
        <w:pStyle w:val="37"/>
        <w:ind w:firstLine="480"/>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443FE82F">
      <w:pPr>
        <w:pStyle w:val="37"/>
        <w:ind w:firstLine="480"/>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78592F04">
      <w:pPr>
        <w:pStyle w:val="37"/>
        <w:ind w:firstLine="480"/>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24098F81">
      <w:pPr>
        <w:pStyle w:val="37"/>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21548021">
      <w:pPr>
        <w:pStyle w:val="37"/>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4E1BDE3A">
      <w:pPr>
        <w:pStyle w:val="37"/>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4EE75050">
      <w:pPr>
        <w:pStyle w:val="37"/>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2FC6DFE7">
      <w:pPr>
        <w:pStyle w:val="37"/>
        <w:ind w:firstLine="480"/>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5DE843A7">
      <w:pPr>
        <w:pStyle w:val="37"/>
        <w:ind w:firstLine="480"/>
        <w:rPr>
          <w:rFonts w:ascii="宋体" w:hAnsi="宋体" w:eastAsia="宋体"/>
          <w:i w:val="0"/>
          <w:iCs w:val="0"/>
          <w:color w:val="auto"/>
          <w:highlight w:val="none"/>
        </w:rPr>
      </w:pP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b/>
          <w:bCs/>
          <w:i w:val="0"/>
          <w:iCs w:val="0"/>
          <w:color w:val="auto"/>
          <w:highlight w:val="none"/>
          <w:lang w:val="zh-CN"/>
        </w:rPr>
        <w:t>无效</w:t>
      </w:r>
      <w:r>
        <w:rPr>
          <w:rFonts w:hint="eastAsia" w:ascii="宋体" w:hAnsi="宋体" w:eastAsia="宋体"/>
          <w:b/>
          <w:bCs/>
          <w:i w:val="0"/>
          <w:iCs w:val="0"/>
          <w:color w:val="auto"/>
          <w:highlight w:val="none"/>
          <w:lang w:val="zh-CN"/>
        </w:rPr>
        <w:t>响应</w:t>
      </w:r>
      <w:r>
        <w:rPr>
          <w:rFonts w:hint="eastAsia" w:ascii="宋体" w:hAnsi="宋体" w:eastAsia="宋体"/>
          <w:i w:val="0"/>
          <w:iCs w:val="0"/>
          <w:color w:val="auto"/>
          <w:highlight w:val="none"/>
          <w:lang w:val="zh-CN"/>
        </w:rPr>
        <w:t>处理</w:t>
      </w:r>
      <w:r>
        <w:rPr>
          <w:rFonts w:ascii="宋体" w:hAnsi="宋体" w:eastAsia="宋体"/>
          <w:i w:val="0"/>
          <w:iCs w:val="0"/>
          <w:color w:val="auto"/>
          <w:highlight w:val="none"/>
          <w:lang w:val="zh-CN"/>
        </w:rPr>
        <w:t>。</w:t>
      </w:r>
    </w:p>
    <w:p w14:paraId="492B1BCC">
      <w:pPr>
        <w:tabs>
          <w:tab w:val="left" w:pos="993"/>
        </w:tabs>
        <w:wordWrap w:val="0"/>
        <w:adjustRightInd w:val="0"/>
        <w:snapToGrid w:val="0"/>
        <w:ind w:firstLine="480" w:firstLineChars="200"/>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w:t>
      </w:r>
      <w:r>
        <w:rPr>
          <w:rFonts w:hint="eastAsia"/>
          <w:i w:val="0"/>
          <w:iCs w:val="0"/>
          <w:color w:val="auto"/>
          <w:highlight w:val="none"/>
          <w:lang w:val="en-US" w:eastAsia="zh-CN"/>
        </w:rPr>
        <w:t>，</w:t>
      </w:r>
      <w:r>
        <w:rPr>
          <w:rFonts w:hint="eastAsia" w:ascii="宋体" w:hAnsi="宋体" w:eastAsia="宋体"/>
          <w:i w:val="0"/>
          <w:iCs w:val="0"/>
          <w:color w:val="auto"/>
          <w:highlight w:val="none"/>
          <w:lang w:val="en-US" w:eastAsia="zh-CN"/>
        </w:rPr>
        <w:t>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0" w:name="_Toc102056245"/>
      <w:bookmarkStart w:id="431" w:name="_Toc102116049"/>
      <w:bookmarkStart w:id="432" w:name="_Toc102116179"/>
      <w:bookmarkStart w:id="433" w:name="_Toc102119880"/>
      <w:bookmarkStart w:id="434" w:name="_Toc102057745"/>
      <w:bookmarkStart w:id="435" w:name="_Toc102114947"/>
      <w:r>
        <w:rPr>
          <w:rFonts w:hint="eastAsia" w:ascii="宋体" w:hAnsi="宋体" w:eastAsia="宋体" w:cs="宋体"/>
          <w:b/>
          <w:bCs/>
          <w:color w:val="auto"/>
          <w:kern w:val="2"/>
          <w:sz w:val="24"/>
          <w:szCs w:val="24"/>
          <w:highlight w:val="none"/>
          <w:lang w:val="en-US" w:eastAsia="zh-CN" w:bidi="ar-SA"/>
        </w:rPr>
        <w:t>4.商务技术评审</w:t>
      </w:r>
    </w:p>
    <w:p w14:paraId="2D2ED263">
      <w:pPr>
        <w:pStyle w:val="37"/>
        <w:ind w:firstLine="480"/>
        <w:rPr>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422"/>
    <w:bookmarkEnd w:id="423"/>
    <w:bookmarkEnd w:id="424"/>
    <w:bookmarkEnd w:id="425"/>
    <w:bookmarkEnd w:id="426"/>
    <w:bookmarkEnd w:id="427"/>
    <w:bookmarkEnd w:id="430"/>
    <w:bookmarkEnd w:id="431"/>
    <w:bookmarkEnd w:id="432"/>
    <w:bookmarkEnd w:id="433"/>
    <w:bookmarkEnd w:id="434"/>
    <w:bookmarkEnd w:id="435"/>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6" w:name="_Toc102116051"/>
      <w:bookmarkStart w:id="437" w:name="_Toc102057747"/>
      <w:bookmarkStart w:id="438" w:name="_Toc102114949"/>
      <w:bookmarkStart w:id="439" w:name="_Toc102119882"/>
      <w:bookmarkStart w:id="440" w:name="_Toc102116181"/>
      <w:bookmarkStart w:id="441" w:name="_Toc102056247"/>
      <w:r>
        <w:rPr>
          <w:rFonts w:hint="eastAsia" w:ascii="宋体" w:hAnsi="宋体" w:eastAsia="宋体" w:cs="宋体"/>
          <w:b/>
          <w:bCs/>
          <w:color w:val="auto"/>
          <w:kern w:val="2"/>
          <w:sz w:val="24"/>
          <w:szCs w:val="24"/>
          <w:highlight w:val="none"/>
          <w:lang w:val="en-US" w:eastAsia="zh-CN" w:bidi="ar-SA"/>
        </w:rPr>
        <w:t>5.报价评</w:t>
      </w:r>
      <w:bookmarkEnd w:id="436"/>
      <w:bookmarkEnd w:id="437"/>
      <w:bookmarkEnd w:id="438"/>
      <w:bookmarkEnd w:id="439"/>
      <w:bookmarkEnd w:id="440"/>
      <w:bookmarkEnd w:id="441"/>
      <w:r>
        <w:rPr>
          <w:rFonts w:hint="eastAsia" w:ascii="宋体" w:hAnsi="宋体" w:eastAsia="宋体" w:cs="宋体"/>
          <w:b/>
          <w:bCs/>
          <w:color w:val="auto"/>
          <w:kern w:val="2"/>
          <w:sz w:val="24"/>
          <w:szCs w:val="24"/>
          <w:highlight w:val="none"/>
          <w:lang w:val="en-US" w:eastAsia="zh-CN" w:bidi="ar-SA"/>
        </w:rPr>
        <w:t>审</w:t>
      </w:r>
    </w:p>
    <w:p w14:paraId="055B48E8">
      <w:pPr>
        <w:pStyle w:val="37"/>
        <w:ind w:firstLine="480"/>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工程</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37"/>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5.1.1供应商应根据答疑内容在规定的时间内提供说明和相关证明材料，磋商小组认定相关证明材料对此报价的说明或者证明材料可以佐证此报价的工程质量和具有诚信履约能力，予以通过审查；</w:t>
      </w:r>
    </w:p>
    <w:p w14:paraId="61371D00">
      <w:pPr>
        <w:pStyle w:val="37"/>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5.1.2供应商提供的说明或者证明材料必须按照国家相关规定，逐项对其报价作详细陈述，并由法定代表人或者其授权代表签字确认并加盖公章；</w:t>
      </w:r>
    </w:p>
    <w:p w14:paraId="3E3AF71F">
      <w:pPr>
        <w:pStyle w:val="37"/>
        <w:ind w:firstLine="480"/>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5.1.3供应商不能合理说明或者不能提供相关证明材料的，由磋商小组认定该供应商以低于成本报价竞标，有可能影响工程质量或者不能诚信履约，应当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4914FC82">
      <w:pPr>
        <w:pStyle w:val="37"/>
        <w:shd w:val="clear"/>
        <w:ind w:firstLine="480"/>
        <w:rPr>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22BF777A">
      <w:pPr>
        <w:pStyle w:val="37"/>
        <w:shd w:val="clear"/>
        <w:ind w:firstLine="480"/>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r>
        <w:rPr>
          <w:i w:val="0"/>
          <w:iCs w:val="0"/>
          <w:color w:val="auto"/>
          <w:highlight w:val="none"/>
          <w:lang w:val="zh-CN"/>
        </w:rPr>
        <w:t xml:space="preserve"> </w:t>
      </w:r>
    </w:p>
    <w:p w14:paraId="1F4B5526">
      <w:pPr>
        <w:pStyle w:val="37"/>
        <w:numPr>
          <w:ilvl w:val="0"/>
          <w:numId w:val="0"/>
        </w:numPr>
        <w:shd w:val="clear" w:color="auto"/>
        <w:ind w:firstLine="480" w:firstLineChars="200"/>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（1）</w:t>
      </w:r>
      <w:r>
        <w:rPr>
          <w:rFonts w:hint="eastAsia"/>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供应商须知前附表”中的规定扣除，用扣除后的价格计算评审基准价。</w:t>
      </w:r>
    </w:p>
    <w:p w14:paraId="72014FEF">
      <w:pPr>
        <w:pStyle w:val="37"/>
        <w:numPr>
          <w:ilvl w:val="0"/>
          <w:numId w:val="0"/>
        </w:numPr>
        <w:shd w:val="clear" w:color="auto"/>
        <w:ind w:firstLine="480" w:firstLineChars="200"/>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（2）</w:t>
      </w:r>
      <w:r>
        <w:rPr>
          <w:rFonts w:hint="eastAsia"/>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7"/>
        <w:numPr>
          <w:ilvl w:val="0"/>
          <w:numId w:val="0"/>
        </w:numPr>
        <w:shd w:val="clear" w:color="auto"/>
        <w:ind w:firstLine="480" w:firstLineChars="200"/>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（3）组成联合体或者接受分包的小微企业与联合体内其他企业、分包企业</w:t>
      </w:r>
      <w:r>
        <w:rPr>
          <w:rFonts w:hint="default" w:ascii="宋体" w:hAnsi="宋体" w:eastAsia="宋体" w:cstheme="minorBidi"/>
          <w:i w:val="0"/>
          <w:iCs w:val="0"/>
          <w:color w:val="auto"/>
          <w:kern w:val="2"/>
          <w:sz w:val="24"/>
          <w:szCs w:val="22"/>
          <w:highlight w:val="none"/>
          <w:lang w:val="en-US" w:eastAsia="zh-CN" w:bidi="ar-SA"/>
        </w:rPr>
        <w:t>之间存在直接控股、管理关系的，不享受价格扣除优惠政策。</w:t>
      </w:r>
    </w:p>
    <w:p w14:paraId="60984AA9">
      <w:pPr>
        <w:pStyle w:val="37"/>
        <w:numPr>
          <w:ilvl w:val="0"/>
          <w:numId w:val="0"/>
        </w:numPr>
        <w:shd w:val="clear" w:color="auto"/>
        <w:ind w:firstLine="480" w:firstLineChars="200"/>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4</w:t>
      </w:r>
      <w:r>
        <w:rPr>
          <w:rFonts w:ascii="宋体" w:hAnsi="宋体" w:eastAsia="宋体" w:cstheme="minorBidi"/>
          <w:i w:val="0"/>
          <w:iCs w:val="0"/>
          <w:color w:val="auto"/>
          <w:kern w:val="2"/>
          <w:sz w:val="24"/>
          <w:szCs w:val="22"/>
          <w:highlight w:val="none"/>
          <w:lang w:val="en-US" w:eastAsia="zh-CN" w:bidi="ar-SA"/>
        </w:rPr>
        <w:t>）价格扣除比例对小型企业和微型企业同等对待，不作区分。</w:t>
      </w:r>
    </w:p>
    <w:p w14:paraId="19B743D0">
      <w:pPr>
        <w:pStyle w:val="37"/>
        <w:numPr>
          <w:ilvl w:val="0"/>
          <w:numId w:val="0"/>
        </w:numPr>
        <w:shd w:val="clear" w:color="auto"/>
        <w:ind w:firstLine="480" w:firstLineChars="200"/>
        <w:rPr>
          <w:rFonts w:hint="eastAsia"/>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5</w:t>
      </w:r>
      <w:r>
        <w:rPr>
          <w:rFonts w:ascii="宋体" w:hAnsi="宋体" w:eastAsia="宋体" w:cstheme="minorBidi"/>
          <w:i w:val="0"/>
          <w:iCs w:val="0"/>
          <w:color w:val="auto"/>
          <w:kern w:val="2"/>
          <w:sz w:val="24"/>
          <w:szCs w:val="22"/>
          <w:highlight w:val="none"/>
          <w:lang w:val="en-US" w:eastAsia="zh-CN" w:bidi="ar-SA"/>
        </w:rPr>
        <w:t>）</w:t>
      </w:r>
      <w:r>
        <w:rPr>
          <w:rFonts w:hint="eastAsia"/>
          <w:i w:val="0"/>
          <w:iCs w:val="0"/>
          <w:color w:val="auto"/>
          <w:highlight w:val="none"/>
        </w:rPr>
        <w:t>专门面向中小企业、预留部分采购份额面向中小企业采购的项目或采购包，评审时不再进行价格扣除。</w:t>
      </w:r>
    </w:p>
    <w:p w14:paraId="145719F7">
      <w:pPr>
        <w:pStyle w:val="37"/>
        <w:numPr>
          <w:ilvl w:val="0"/>
          <w:numId w:val="0"/>
        </w:numPr>
        <w:shd w:val="clear" w:color="auto"/>
        <w:ind w:firstLine="480" w:firstLineChars="200"/>
        <w:rPr>
          <w:i w:val="0"/>
          <w:iCs w:val="0"/>
          <w:color w:val="auto"/>
          <w:highlight w:val="none"/>
        </w:rPr>
      </w:pPr>
      <w:r>
        <w:rPr>
          <w:rFonts w:hint="eastAsia"/>
          <w:i w:val="0"/>
          <w:iCs w:val="0"/>
          <w:color w:val="auto"/>
          <w:highlight w:val="none"/>
          <w:lang w:eastAsia="zh-CN"/>
        </w:rPr>
        <w:t>（</w:t>
      </w:r>
      <w:r>
        <w:rPr>
          <w:rFonts w:hint="eastAsia"/>
          <w:i w:val="0"/>
          <w:iCs w:val="0"/>
          <w:color w:val="auto"/>
          <w:highlight w:val="none"/>
          <w:lang w:val="en-US" w:eastAsia="zh-CN"/>
        </w:rPr>
        <w:t>6）若供应商同时属于小型或微型企业、监狱企业、残疾人福利性单位 中的两种及以上，将不重复享受小微企业价格扣减的优惠政策。</w:t>
      </w:r>
    </w:p>
    <w:p w14:paraId="7D70505D">
      <w:pPr>
        <w:pStyle w:val="37"/>
        <w:shd w:val="clear"/>
        <w:ind w:firstLine="480"/>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75AC352D">
      <w:pPr>
        <w:pStyle w:val="37"/>
        <w:shd w:val="clear"/>
        <w:ind w:firstLine="480"/>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37"/>
        <w:shd w:val="clear"/>
        <w:ind w:firstLine="480"/>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5"/>
        <w:keepNext w:val="0"/>
        <w:keepLines w:val="0"/>
        <w:pageBreakBefore w:val="0"/>
        <w:widowControl w:val="0"/>
        <w:numPr>
          <w:ilvl w:val="0"/>
          <w:numId w:val="0"/>
        </w:numPr>
        <w:shd w:val="clea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42" w:name="_Toc102116053"/>
      <w:bookmarkStart w:id="443" w:name="_Toc102114951"/>
      <w:bookmarkStart w:id="444" w:name="_Toc102056249"/>
      <w:bookmarkStart w:id="445" w:name="_Toc102116183"/>
      <w:bookmarkStart w:id="446" w:name="_Toc102119884"/>
      <w:bookmarkStart w:id="447" w:name="_Toc102057749"/>
      <w:bookmarkStart w:id="448" w:name="_Toc102116184"/>
      <w:bookmarkStart w:id="449" w:name="_Toc102114952"/>
      <w:bookmarkStart w:id="450" w:name="_Toc102057750"/>
      <w:bookmarkStart w:id="451" w:name="_Toc102056250"/>
      <w:bookmarkStart w:id="452" w:name="_Toc102116054"/>
      <w:bookmarkStart w:id="453" w:name="_Toc102119885"/>
      <w:r>
        <w:rPr>
          <w:rFonts w:hint="eastAsia" w:ascii="宋体" w:hAnsi="宋体" w:eastAsia="宋体" w:cs="宋体"/>
          <w:b/>
          <w:bCs/>
          <w:color w:val="auto"/>
          <w:kern w:val="2"/>
          <w:sz w:val="24"/>
          <w:szCs w:val="24"/>
          <w:highlight w:val="none"/>
          <w:lang w:val="en-US" w:eastAsia="zh-CN" w:bidi="ar-SA"/>
        </w:rPr>
        <w:t>6.计分办法</w:t>
      </w:r>
      <w:bookmarkEnd w:id="442"/>
      <w:bookmarkEnd w:id="443"/>
      <w:bookmarkEnd w:id="444"/>
      <w:bookmarkEnd w:id="445"/>
      <w:bookmarkEnd w:id="446"/>
      <w:bookmarkEnd w:id="447"/>
      <w:r>
        <w:rPr>
          <w:rFonts w:hint="eastAsia" w:ascii="宋体" w:hAnsi="宋体" w:eastAsia="宋体" w:cs="宋体"/>
          <w:b/>
          <w:bCs/>
          <w:color w:val="auto"/>
          <w:kern w:val="2"/>
          <w:sz w:val="24"/>
          <w:szCs w:val="24"/>
          <w:highlight w:val="none"/>
          <w:lang w:val="en-US" w:eastAsia="zh-CN" w:bidi="ar-SA"/>
        </w:rPr>
        <w:t>及复核</w:t>
      </w:r>
    </w:p>
    <w:p w14:paraId="3C92B2FD">
      <w:pPr>
        <w:pStyle w:val="37"/>
        <w:shd w:val="clear"/>
        <w:ind w:firstLine="480"/>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ED690F0">
      <w:pPr>
        <w:pStyle w:val="37"/>
        <w:shd w:val="clear"/>
        <w:ind w:firstLine="480"/>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37"/>
        <w:shd w:val="clear"/>
        <w:ind w:firstLine="480"/>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 xml:space="preserve">的； </w:t>
      </w:r>
    </w:p>
    <w:p w14:paraId="3DE5652F">
      <w:pPr>
        <w:pStyle w:val="37"/>
        <w:shd w:val="clear"/>
        <w:ind w:firstLine="480"/>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 xml:space="preserve">）分值汇总计算错误的； </w:t>
      </w:r>
    </w:p>
    <w:p w14:paraId="37EA074D">
      <w:pPr>
        <w:pStyle w:val="37"/>
        <w:shd w:val="clear"/>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5B7DD6FF">
      <w:pPr>
        <w:pStyle w:val="37"/>
        <w:shd w:val="clear"/>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3B75BF42">
      <w:pPr>
        <w:pStyle w:val="37"/>
        <w:shd w:val="clear"/>
        <w:ind w:firstLine="480"/>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10B8F738">
      <w:pPr>
        <w:pStyle w:val="37"/>
        <w:shd w:val="clear"/>
        <w:ind w:firstLine="480"/>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502A4CD0">
      <w:pPr>
        <w:pStyle w:val="37"/>
        <w:ind w:firstLine="480"/>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7"/>
        <w:ind w:firstLine="480"/>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6.5采购人或者采购代理机构不得通过对供应商进行考察等方式改变评审结果。</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7.评审报告</w:t>
      </w:r>
      <w:bookmarkEnd w:id="448"/>
      <w:bookmarkEnd w:id="449"/>
      <w:bookmarkEnd w:id="450"/>
      <w:bookmarkEnd w:id="451"/>
      <w:bookmarkEnd w:id="452"/>
      <w:bookmarkEnd w:id="453"/>
    </w:p>
    <w:p w14:paraId="2AE7A31A">
      <w:pPr>
        <w:pStyle w:val="37"/>
        <w:ind w:firstLine="480"/>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从质量和服务均能满足磋商文件实质性要求的供应商中，按照综合得分由高到低的顺序推荐3名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；得分相同且最后报价相同的，按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p>
    <w:p w14:paraId="110BB818">
      <w:pPr>
        <w:pStyle w:val="37"/>
        <w:ind w:firstLine="480"/>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8.响应无效的情形</w:t>
      </w:r>
    </w:p>
    <w:p w14:paraId="21B88F58">
      <w:pPr>
        <w:keepNext w:val="0"/>
        <w:keepLines w:val="0"/>
        <w:widowControl/>
        <w:suppressLineNumbers w:val="0"/>
        <w:ind w:firstLine="480" w:firstLineChars="200"/>
        <w:jc w:val="left"/>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37"/>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37"/>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95"/>
        <w:pageBreakBefore w:val="0"/>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6F68AA68">
      <w:pPr>
        <w:pStyle w:val="37"/>
        <w:ind w:firstLine="480"/>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54" w:name="_Toc102057718"/>
      <w:bookmarkStart w:id="455" w:name="_Toc102116022"/>
      <w:bookmarkStart w:id="456" w:name="_Toc102056218"/>
      <w:bookmarkStart w:id="457" w:name="_Toc102116152"/>
      <w:bookmarkStart w:id="458" w:name="_Toc102114920"/>
      <w:bookmarkStart w:id="459" w:name="_Toc102119853"/>
      <w:r>
        <w:rPr>
          <w:rFonts w:hint="eastAsia" w:ascii="宋体" w:hAnsi="宋体" w:eastAsia="宋体" w:cs="宋体"/>
          <w:b/>
          <w:bCs/>
          <w:color w:val="auto"/>
          <w:kern w:val="2"/>
          <w:sz w:val="24"/>
          <w:szCs w:val="24"/>
          <w:highlight w:val="none"/>
          <w:lang w:val="en-US" w:eastAsia="zh-CN" w:bidi="ar-SA"/>
        </w:rPr>
        <w:t>9.停止评审的情形</w:t>
      </w:r>
      <w:bookmarkEnd w:id="454"/>
      <w:bookmarkEnd w:id="455"/>
      <w:bookmarkEnd w:id="456"/>
      <w:bookmarkEnd w:id="457"/>
      <w:bookmarkEnd w:id="458"/>
      <w:bookmarkEnd w:id="459"/>
    </w:p>
    <w:p w14:paraId="58A3D9D5">
      <w:pPr>
        <w:keepNext w:val="0"/>
        <w:keepLines w:val="0"/>
        <w:widowControl/>
        <w:suppressLineNumbers w:val="0"/>
        <w:ind w:firstLine="480" w:firstLineChars="200"/>
        <w:jc w:val="left"/>
        <w:rPr>
          <w:rFonts w:hint="eastAsia" w:ascii="宋体" w:hAnsi="宋体" w:eastAsia="宋体" w:cstheme="minorBidi"/>
          <w:i w:val="0"/>
          <w:iCs w:val="0"/>
          <w:color w:val="auto"/>
          <w:kern w:val="2"/>
          <w:sz w:val="24"/>
          <w:szCs w:val="22"/>
          <w:highlight w:val="none"/>
          <w:lang w:val="zh-CN" w:eastAsia="zh-CN" w:bidi="ar-SA"/>
        </w:rPr>
      </w:pPr>
      <w:r>
        <w:rPr>
          <w:rFonts w:hint="eastAsia"/>
          <w:i w:val="0"/>
          <w:iCs w:val="0"/>
          <w:color w:val="auto"/>
          <w:highlight w:val="none"/>
          <w:lang w:val="en-US" w:eastAsia="zh-CN"/>
        </w:rPr>
        <w:t>9</w:t>
      </w:r>
      <w:r>
        <w:rPr>
          <w:i w:val="0"/>
          <w:iCs w:val="0"/>
          <w:color w:val="auto"/>
          <w:highlight w:val="none"/>
          <w:lang w:val="zh-CN"/>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37"/>
        <w:ind w:firstLine="480"/>
        <w:rPr>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default" w:ascii="宋体" w:hAnsi="宋体" w:eastAsia="宋体" w:cs="宋体"/>
          <w:color w:val="auto"/>
          <w:sz w:val="28"/>
          <w:szCs w:val="28"/>
          <w:highlight w:val="none"/>
          <w:lang w:val="en-US" w:eastAsia="zh-CN"/>
        </w:rPr>
      </w:pPr>
      <w:bookmarkStart w:id="460" w:name="_Toc20411"/>
      <w:bookmarkStart w:id="461" w:name="_Toc156490348"/>
      <w:bookmarkStart w:id="462" w:name="_Toc163493639"/>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val="en-US" w:eastAsia="zh-CN"/>
        </w:rPr>
        <w:t>其他要求</w:t>
      </w:r>
      <w:bookmarkEnd w:id="460"/>
    </w:p>
    <w:p w14:paraId="3B9B7B2C">
      <w:pPr>
        <w:pStyle w:val="37"/>
        <w:keepNext w:val="0"/>
        <w:keepLines w:val="0"/>
        <w:pageBreakBefore w:val="0"/>
        <w:widowControl w:val="0"/>
        <w:kinsoku/>
        <w:overflowPunct/>
        <w:topLinePunct w:val="0"/>
        <w:autoSpaceDE/>
        <w:autoSpaceDN/>
        <w:bidi w:val="0"/>
        <w:adjustRightInd/>
        <w:snapToGrid/>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zh-CN" w:eastAsia="zh-CN"/>
        </w:rPr>
        <w:t>【</w:t>
      </w:r>
      <w:r>
        <w:rPr>
          <w:rFonts w:hint="eastAsia"/>
          <w:i w:val="0"/>
          <w:iCs w:val="0"/>
          <w:color w:val="auto"/>
          <w:highlight w:val="none"/>
          <w:shd w:val="clear" w:color="auto" w:fill="FFFFFF" w:themeFill="background1"/>
          <w:lang w:val="en-US" w:eastAsia="zh-CN"/>
        </w:rPr>
        <w:t>可根据项目的情况增加上述内容中未包含的要求</w:t>
      </w:r>
      <w:r>
        <w:rPr>
          <w:rFonts w:hint="eastAsia"/>
          <w:i w:val="0"/>
          <w:iCs w:val="0"/>
          <w:color w:val="auto"/>
          <w:highlight w:val="none"/>
          <w:shd w:val="clear" w:color="auto" w:fill="FFFFFF" w:themeFill="background1"/>
          <w:lang w:val="zh-CN" w:eastAsia="zh-CN"/>
        </w:rPr>
        <w:t>】</w:t>
      </w:r>
    </w:p>
    <w:p w14:paraId="5672636A">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63" w:name="_Toc27919"/>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评审标准</w:t>
      </w:r>
      <w:bookmarkEnd w:id="463"/>
    </w:p>
    <w:p w14:paraId="32B0EEA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4" w:name="_Toc31800"/>
      <w:bookmarkStart w:id="465" w:name="_Toc163493638"/>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zh-CN" w:eastAsia="zh-CN" w:bidi="ar-SA"/>
        </w:rPr>
        <w:t>资格审查表</w:t>
      </w:r>
      <w:bookmarkEnd w:id="464"/>
      <w:bookmarkEnd w:id="465"/>
    </w:p>
    <w:tbl>
      <w:tblPr>
        <w:tblStyle w:val="31"/>
        <w:tblW w:w="5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84"/>
        <w:gridCol w:w="2041"/>
        <w:gridCol w:w="5517"/>
        <w:gridCol w:w="1608"/>
      </w:tblGrid>
      <w:tr w14:paraId="7C6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347" w:type="pct"/>
            <w:shd w:val="clear" w:color="auto" w:fill="D8D8D8" w:themeFill="background1" w:themeFillShade="D9"/>
            <w:vAlign w:val="center"/>
          </w:tcPr>
          <w:p w14:paraId="6BBF1BDC">
            <w:pPr>
              <w:pStyle w:val="48"/>
              <w:spacing w:line="240" w:lineRule="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序号</w:t>
            </w:r>
          </w:p>
        </w:tc>
        <w:tc>
          <w:tcPr>
            <w:tcW w:w="1036" w:type="pct"/>
            <w:shd w:val="clear" w:color="auto" w:fill="D8D8D8" w:themeFill="background1" w:themeFillShade="D9"/>
            <w:vAlign w:val="center"/>
          </w:tcPr>
          <w:p w14:paraId="20249EEC">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审查因素</w:t>
            </w:r>
          </w:p>
        </w:tc>
        <w:tc>
          <w:tcPr>
            <w:tcW w:w="2800" w:type="pct"/>
            <w:shd w:val="clear" w:color="auto" w:fill="D8D8D8" w:themeFill="background1" w:themeFillShade="D9"/>
            <w:vAlign w:val="center"/>
          </w:tcPr>
          <w:p w14:paraId="47534B1D">
            <w:pPr>
              <w:pStyle w:val="48"/>
              <w:spacing w:line="240" w:lineRule="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审查内容</w:t>
            </w:r>
          </w:p>
        </w:tc>
        <w:tc>
          <w:tcPr>
            <w:tcW w:w="816" w:type="pct"/>
            <w:shd w:val="clear" w:color="auto" w:fill="D8D8D8" w:themeFill="background1" w:themeFillShade="D9"/>
            <w:vAlign w:val="center"/>
          </w:tcPr>
          <w:p w14:paraId="5D4AD6EF">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格式要求</w:t>
            </w:r>
          </w:p>
        </w:tc>
      </w:tr>
      <w:tr w14:paraId="36C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347" w:type="pct"/>
            <w:shd w:val="clear" w:color="auto" w:fill="FFFFFF" w:themeFill="background1"/>
            <w:vAlign w:val="center"/>
          </w:tcPr>
          <w:p w14:paraId="7201FEF3">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w:t>
            </w:r>
          </w:p>
        </w:tc>
        <w:tc>
          <w:tcPr>
            <w:tcW w:w="1036" w:type="pct"/>
            <w:shd w:val="clear" w:color="auto" w:fill="FFFFFF" w:themeFill="background1"/>
            <w:vAlign w:val="center"/>
          </w:tcPr>
          <w:p w14:paraId="43A32E96">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满足《政府采购</w:t>
            </w:r>
          </w:p>
          <w:p w14:paraId="1849245B">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法》第二十二条</w:t>
            </w:r>
          </w:p>
          <w:p w14:paraId="351E8011">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规定</w:t>
            </w:r>
          </w:p>
        </w:tc>
        <w:tc>
          <w:tcPr>
            <w:tcW w:w="2800" w:type="pct"/>
            <w:shd w:val="clear" w:color="auto" w:fill="FFFFFF" w:themeFill="background1"/>
            <w:vAlign w:val="center"/>
          </w:tcPr>
          <w:p w14:paraId="06CFC71C">
            <w:pPr>
              <w:pStyle w:val="48"/>
              <w:spacing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具体规定见“第一章 竞争性磋商公告”</w:t>
            </w:r>
          </w:p>
        </w:tc>
        <w:tc>
          <w:tcPr>
            <w:tcW w:w="816" w:type="pct"/>
            <w:shd w:val="clear" w:color="auto" w:fill="FFFFFF" w:themeFill="background1"/>
            <w:vAlign w:val="center"/>
          </w:tcPr>
          <w:p w14:paraId="2F0719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提供完整准确的兵团政府采购供应商信用承诺函</w:t>
            </w:r>
          </w:p>
        </w:tc>
      </w:tr>
      <w:tr w14:paraId="46A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58" w:hRule="atLeast"/>
          <w:jc w:val="center"/>
        </w:trPr>
        <w:tc>
          <w:tcPr>
            <w:tcW w:w="347" w:type="pct"/>
            <w:shd w:val="clear" w:color="auto" w:fill="FFFFFF" w:themeFill="background1"/>
            <w:vAlign w:val="center"/>
          </w:tcPr>
          <w:p w14:paraId="272B18EE">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1-1</w:t>
            </w:r>
          </w:p>
        </w:tc>
        <w:tc>
          <w:tcPr>
            <w:tcW w:w="1036" w:type="pct"/>
            <w:shd w:val="clear" w:color="auto" w:fill="FFFFFF" w:themeFill="background1"/>
            <w:vAlign w:val="center"/>
          </w:tcPr>
          <w:p w14:paraId="58B09752">
            <w:pPr>
              <w:pStyle w:val="48"/>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营业执照等</w:t>
            </w:r>
          </w:p>
          <w:p w14:paraId="40132D29">
            <w:pPr>
              <w:pStyle w:val="48"/>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证明文件</w:t>
            </w:r>
          </w:p>
        </w:tc>
        <w:tc>
          <w:tcPr>
            <w:tcW w:w="2800" w:type="pct"/>
            <w:shd w:val="clear" w:color="auto" w:fill="FFFFFF" w:themeFill="background1"/>
            <w:vAlign w:val="center"/>
          </w:tcPr>
          <w:p w14:paraId="417B75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kern w:val="0"/>
                <w:sz w:val="21"/>
                <w:szCs w:val="21"/>
                <w:highlight w:val="none"/>
                <w:lang w:val="en-US" w:eastAsia="zh-CN" w:bidi="ar"/>
              </w:rPr>
              <w:t xml:space="preserve">供应商为企业（包括合伙企业）的，应提供有效的“营业执照”； </w:t>
            </w:r>
          </w:p>
          <w:p w14:paraId="55CBD2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kern w:val="0"/>
                <w:sz w:val="21"/>
                <w:szCs w:val="21"/>
                <w:highlight w:val="none"/>
                <w:lang w:val="en-US" w:eastAsia="zh-CN" w:bidi="ar"/>
              </w:rPr>
              <w:t xml:space="preserve">供应商为事业单位的，应提供有效的“事业单位法人证书” ； </w:t>
            </w:r>
          </w:p>
          <w:p w14:paraId="633CFB81">
            <w:pPr>
              <w:keepNext w:val="0"/>
              <w:keepLines w:val="0"/>
              <w:pageBreakBefore w:val="0"/>
              <w:widowControl/>
              <w:suppressLineNumbers w:val="0"/>
              <w:tabs>
                <w:tab w:val="left" w:pos="5280"/>
              </w:tabs>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kern w:val="0"/>
                <w:sz w:val="21"/>
                <w:szCs w:val="21"/>
                <w:highlight w:val="none"/>
                <w:lang w:val="en-US" w:eastAsia="zh-CN" w:bidi="ar"/>
              </w:rPr>
              <w:t xml:space="preserve">供应商是非企业机构的，应提供有效的“执业许可证”、“登记证书”等证明文件； </w:t>
            </w:r>
          </w:p>
          <w:p w14:paraId="41E5D4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kern w:val="0"/>
                <w:sz w:val="21"/>
                <w:szCs w:val="21"/>
                <w:highlight w:val="none"/>
                <w:lang w:val="en-US" w:eastAsia="zh-CN" w:bidi="ar"/>
              </w:rPr>
              <w:t xml:space="preserve">供应商是个体工商户的，应提供有效的“个体工商户营业执照”； </w:t>
            </w:r>
          </w:p>
          <w:p w14:paraId="0D7A6E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sz w:val="21"/>
                <w:szCs w:val="21"/>
                <w:highlight w:val="none"/>
                <w:lang w:val="en-US" w:eastAsia="zh-CN"/>
              </w:rPr>
            </w:pP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spacing w:val="-11"/>
                <w:kern w:val="0"/>
                <w:sz w:val="21"/>
                <w:szCs w:val="21"/>
                <w:highlight w:val="none"/>
                <w:lang w:val="en-US" w:eastAsia="zh-CN" w:bidi="ar"/>
              </w:rPr>
              <w:t>是自然人的，应提供有效的自然人身份证明。</w:t>
            </w:r>
          </w:p>
        </w:tc>
        <w:tc>
          <w:tcPr>
            <w:tcW w:w="816" w:type="pct"/>
            <w:shd w:val="clear" w:color="auto" w:fill="FFFFFF" w:themeFill="background1"/>
            <w:vAlign w:val="center"/>
          </w:tcPr>
          <w:p w14:paraId="3E8CCB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提供证明文件的电子件或电子证照</w:t>
            </w:r>
          </w:p>
        </w:tc>
      </w:tr>
      <w:tr w14:paraId="2FD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347" w:type="pct"/>
            <w:shd w:val="clear" w:color="auto" w:fill="FFFFFF" w:themeFill="background1"/>
            <w:vAlign w:val="center"/>
          </w:tcPr>
          <w:p w14:paraId="1EC766D2">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1-2</w:t>
            </w:r>
          </w:p>
        </w:tc>
        <w:tc>
          <w:tcPr>
            <w:tcW w:w="1036" w:type="pct"/>
            <w:shd w:val="clear" w:color="auto" w:fill="FFFFFF" w:themeFill="background1"/>
            <w:vAlign w:val="center"/>
          </w:tcPr>
          <w:p w14:paraId="1897038F">
            <w:pPr>
              <w:pStyle w:val="48"/>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sz w:val="21"/>
                <w:szCs w:val="21"/>
                <w:highlight w:val="none"/>
                <w:lang w:val="en-US" w:eastAsia="zh-CN"/>
              </w:rPr>
              <w:t>信用承诺</w:t>
            </w:r>
          </w:p>
        </w:tc>
        <w:tc>
          <w:tcPr>
            <w:tcW w:w="2800" w:type="pct"/>
            <w:shd w:val="clear" w:color="auto" w:fill="FFFFFF" w:themeFill="background1"/>
            <w:vAlign w:val="center"/>
          </w:tcPr>
          <w:p w14:paraId="5FA76516">
            <w:pPr>
              <w:pStyle w:val="48"/>
              <w:spacing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提供了符合竞争性磋商文件要求的《兵团政府采购供应商信用承诺函》。</w:t>
            </w:r>
          </w:p>
        </w:tc>
        <w:tc>
          <w:tcPr>
            <w:tcW w:w="816" w:type="pct"/>
            <w:shd w:val="clear" w:color="auto" w:fill="FFFFFF" w:themeFill="background1"/>
            <w:vAlign w:val="center"/>
          </w:tcPr>
          <w:p w14:paraId="13D533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格式见《第六章 响应文件格式》</w:t>
            </w:r>
          </w:p>
        </w:tc>
      </w:tr>
      <w:tr w14:paraId="6D95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68" w:hRule="atLeast"/>
          <w:jc w:val="center"/>
        </w:trPr>
        <w:tc>
          <w:tcPr>
            <w:tcW w:w="347" w:type="pct"/>
            <w:shd w:val="clear" w:color="auto" w:fill="FFFFFF" w:themeFill="background1"/>
            <w:vAlign w:val="center"/>
          </w:tcPr>
          <w:p w14:paraId="7A441417">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1-3</w:t>
            </w:r>
          </w:p>
        </w:tc>
        <w:tc>
          <w:tcPr>
            <w:tcW w:w="1036" w:type="pct"/>
            <w:shd w:val="clear" w:color="auto" w:fill="FFFFFF" w:themeFill="background1"/>
            <w:vAlign w:val="center"/>
          </w:tcPr>
          <w:p w14:paraId="2F4D8F33">
            <w:pPr>
              <w:pStyle w:val="48"/>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sz w:val="21"/>
                <w:szCs w:val="21"/>
                <w:highlight w:val="none"/>
                <w:lang w:val="en-US" w:eastAsia="zh-CN"/>
              </w:rPr>
              <w:t>信用记录查询</w:t>
            </w:r>
          </w:p>
        </w:tc>
        <w:tc>
          <w:tcPr>
            <w:tcW w:w="2800" w:type="pct"/>
            <w:shd w:val="clear" w:color="auto" w:fill="FFFFFF" w:themeFill="background1"/>
            <w:vAlign w:val="center"/>
          </w:tcPr>
          <w:p w14:paraId="0FA05322">
            <w:pPr>
              <w:pStyle w:val="48"/>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sz w:val="21"/>
                <w:szCs w:val="21"/>
                <w:highlight w:val="none"/>
                <w:lang w:val="en-US" w:eastAsia="zh-CN"/>
              </w:rPr>
              <w:t>查询渠道：信用中国网站和中国政府采购网（ www.creditchina.gov.cn 、www.ccgp.gov.cn）；</w:t>
            </w:r>
            <w:r>
              <w:rPr>
                <w:rFonts w:hint="eastAsia" w:ascii="宋体" w:hAnsi="宋体" w:eastAsia="宋体" w:cs="宋体"/>
                <w:i w:val="0"/>
                <w:iCs w:val="0"/>
                <w:color w:val="auto"/>
                <w:sz w:val="21"/>
                <w:szCs w:val="21"/>
                <w:highlight w:val="none"/>
                <w:lang w:val="en-US" w:eastAsia="zh-CN"/>
              </w:rPr>
              <w:t xml:space="preserve"> </w:t>
            </w:r>
          </w:p>
          <w:p w14:paraId="198882E0">
            <w:pPr>
              <w:pStyle w:val="48"/>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截止时间：递交响应文件截止时间以后、资格审查阶段对供应商信用记录的实际查询时间； </w:t>
            </w:r>
          </w:p>
          <w:p w14:paraId="700722A6">
            <w:pPr>
              <w:pStyle w:val="48"/>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信用信息查询记录和证据留存具体方式：查询结果网页打印页作为查询记录和证据，与其他采购文件一并保存； </w:t>
            </w:r>
          </w:p>
          <w:p w14:paraId="577D4994">
            <w:pPr>
              <w:pStyle w:val="48"/>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sz w:val="21"/>
                <w:szCs w:val="21"/>
                <w:highlight w:val="none"/>
                <w:lang w:val="en-US" w:eastAsia="zh-CN"/>
              </w:rPr>
              <w:t>信用记录的使用原则：经认定被列入失信被执行人、重大税收违法失信主体、政府采购严重违法失信行为记录名单的</w:t>
            </w: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spacing w:val="-6"/>
                <w:sz w:val="21"/>
                <w:szCs w:val="21"/>
                <w:highlight w:val="none"/>
                <w:lang w:val="en-US" w:eastAsia="zh-CN"/>
              </w:rPr>
              <w:t>，</w:t>
            </w:r>
            <w:r>
              <w:rPr>
                <w:rFonts w:hint="eastAsia" w:ascii="宋体" w:hAnsi="宋体" w:eastAsia="宋体" w:cs="宋体"/>
                <w:b/>
                <w:bCs/>
                <w:i w:val="0"/>
                <w:iCs w:val="0"/>
                <w:color w:val="auto"/>
                <w:spacing w:val="-6"/>
                <w:sz w:val="21"/>
                <w:szCs w:val="21"/>
                <w:highlight w:val="none"/>
                <w:lang w:val="en-US" w:eastAsia="zh-CN"/>
              </w:rPr>
              <w:t>其磋商响应无效</w:t>
            </w:r>
            <w:r>
              <w:rPr>
                <w:rFonts w:hint="eastAsia" w:ascii="宋体" w:hAnsi="宋体" w:eastAsia="宋体" w:cs="宋体"/>
                <w:i w:val="0"/>
                <w:iCs w:val="0"/>
                <w:color w:val="auto"/>
                <w:spacing w:val="-6"/>
                <w:sz w:val="21"/>
                <w:szCs w:val="21"/>
                <w:highlight w:val="none"/>
                <w:lang w:val="en-US" w:eastAsia="zh-CN"/>
              </w:rPr>
              <w:t>。联合体形式响应的，联合体成员存在不良信用记录，视同联合体存在不良信用记录。</w:t>
            </w:r>
          </w:p>
        </w:tc>
        <w:tc>
          <w:tcPr>
            <w:tcW w:w="816" w:type="pct"/>
            <w:shd w:val="clear" w:color="auto" w:fill="FFFFFF" w:themeFill="background1"/>
            <w:vAlign w:val="center"/>
          </w:tcPr>
          <w:p w14:paraId="4F4393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无须</w:t>
            </w: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kern w:val="0"/>
                <w:sz w:val="21"/>
                <w:szCs w:val="21"/>
                <w:highlight w:val="none"/>
                <w:lang w:val="en-US" w:eastAsia="zh-CN" w:bidi="ar"/>
              </w:rPr>
              <w:t>提供，由采购人或采购代理机构查询。</w:t>
            </w:r>
          </w:p>
          <w:p w14:paraId="405A3C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p>
        </w:tc>
      </w:tr>
      <w:tr w14:paraId="727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4" w:hRule="atLeast"/>
          <w:jc w:val="center"/>
        </w:trPr>
        <w:tc>
          <w:tcPr>
            <w:tcW w:w="347" w:type="pct"/>
            <w:shd w:val="clear" w:color="auto" w:fill="FFFFFF" w:themeFill="background1"/>
            <w:vAlign w:val="center"/>
          </w:tcPr>
          <w:p w14:paraId="004A5DB4">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1-4</w:t>
            </w:r>
          </w:p>
        </w:tc>
        <w:tc>
          <w:tcPr>
            <w:tcW w:w="1036" w:type="pct"/>
            <w:shd w:val="clear" w:color="auto" w:fill="FFFFFF" w:themeFill="background1"/>
            <w:vAlign w:val="center"/>
          </w:tcPr>
          <w:p w14:paraId="5897B1A2">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法律、行政法规规定的其他条件</w:t>
            </w:r>
          </w:p>
        </w:tc>
        <w:tc>
          <w:tcPr>
            <w:tcW w:w="2800" w:type="pct"/>
            <w:shd w:val="clear" w:color="auto" w:fill="FFFFFF" w:themeFill="background1"/>
            <w:vAlign w:val="center"/>
          </w:tcPr>
          <w:p w14:paraId="385FFF97">
            <w:pPr>
              <w:pStyle w:val="48"/>
              <w:spacing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法律、行政法规规定的其他条件</w:t>
            </w:r>
          </w:p>
        </w:tc>
        <w:tc>
          <w:tcPr>
            <w:tcW w:w="816" w:type="pct"/>
            <w:shd w:val="clear" w:color="auto" w:fill="FFFFFF" w:themeFill="background1"/>
            <w:vAlign w:val="center"/>
          </w:tcPr>
          <w:p w14:paraId="2A6362E1">
            <w:pPr>
              <w:pStyle w:val="48"/>
              <w:spacing w:line="240" w:lineRule="auto"/>
              <w:jc w:val="center"/>
              <w:rPr>
                <w:rFonts w:hint="eastAsia" w:ascii="宋体" w:hAnsi="宋体" w:eastAsia="宋体" w:cs="宋体"/>
                <w:b/>
                <w:bCs/>
                <w:i w:val="0"/>
                <w:iCs w:val="0"/>
                <w:color w:val="auto"/>
                <w:sz w:val="21"/>
                <w:szCs w:val="21"/>
                <w:highlight w:val="none"/>
              </w:rPr>
            </w:pPr>
          </w:p>
        </w:tc>
      </w:tr>
      <w:tr w14:paraId="08B7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8" w:hRule="atLeast"/>
          <w:jc w:val="center"/>
        </w:trPr>
        <w:tc>
          <w:tcPr>
            <w:tcW w:w="347" w:type="pct"/>
            <w:shd w:val="clear" w:color="auto" w:fill="FFFFFF" w:themeFill="background1"/>
            <w:vAlign w:val="center"/>
          </w:tcPr>
          <w:p w14:paraId="01F04192">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2</w:t>
            </w:r>
          </w:p>
        </w:tc>
        <w:tc>
          <w:tcPr>
            <w:tcW w:w="1036" w:type="pct"/>
            <w:shd w:val="clear" w:color="auto" w:fill="FFFFFF" w:themeFill="background1"/>
            <w:vAlign w:val="center"/>
          </w:tcPr>
          <w:p w14:paraId="7CE95C7E">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落实政府采购政策需满足的资格要求</w:t>
            </w:r>
          </w:p>
        </w:tc>
        <w:tc>
          <w:tcPr>
            <w:tcW w:w="2800" w:type="pct"/>
            <w:shd w:val="clear" w:color="auto" w:fill="FFFFFF" w:themeFill="background1"/>
            <w:vAlign w:val="center"/>
          </w:tcPr>
          <w:p w14:paraId="3AB391B0">
            <w:pPr>
              <w:pStyle w:val="48"/>
              <w:spacing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具体要求见“第一章 竞争性磋商公告”</w:t>
            </w:r>
          </w:p>
        </w:tc>
        <w:tc>
          <w:tcPr>
            <w:tcW w:w="816" w:type="pct"/>
            <w:shd w:val="clear" w:color="auto" w:fill="FFFFFF" w:themeFill="background1"/>
            <w:vAlign w:val="center"/>
          </w:tcPr>
          <w:p w14:paraId="5641E503">
            <w:pPr>
              <w:pStyle w:val="48"/>
              <w:spacing w:line="240" w:lineRule="auto"/>
              <w:jc w:val="center"/>
              <w:rPr>
                <w:rFonts w:hint="eastAsia" w:ascii="宋体" w:hAnsi="宋体" w:eastAsia="宋体" w:cs="宋体"/>
                <w:b/>
                <w:bCs/>
                <w:i w:val="0"/>
                <w:iCs w:val="0"/>
                <w:color w:val="auto"/>
                <w:sz w:val="21"/>
                <w:szCs w:val="21"/>
                <w:highlight w:val="none"/>
              </w:rPr>
            </w:pPr>
          </w:p>
        </w:tc>
      </w:tr>
      <w:tr w14:paraId="5796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2" w:hRule="atLeast"/>
          <w:jc w:val="center"/>
        </w:trPr>
        <w:tc>
          <w:tcPr>
            <w:tcW w:w="347" w:type="pct"/>
            <w:shd w:val="clear" w:color="auto" w:fill="FFFFFF" w:themeFill="background1"/>
            <w:vAlign w:val="center"/>
          </w:tcPr>
          <w:p w14:paraId="3A4A3D5D">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2-1</w:t>
            </w:r>
          </w:p>
        </w:tc>
        <w:tc>
          <w:tcPr>
            <w:tcW w:w="1036" w:type="pct"/>
            <w:shd w:val="clear" w:color="auto" w:fill="FFFFFF" w:themeFill="background1"/>
            <w:vAlign w:val="center"/>
          </w:tcPr>
          <w:p w14:paraId="4F447240">
            <w:pPr>
              <w:pStyle w:val="48"/>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bidi="ar"/>
              </w:rPr>
              <w:t>中小企业政策</w:t>
            </w:r>
          </w:p>
        </w:tc>
        <w:tc>
          <w:tcPr>
            <w:tcW w:w="2800" w:type="pct"/>
            <w:shd w:val="clear" w:color="auto" w:fill="FFFFFF" w:themeFill="background1"/>
            <w:vAlign w:val="center"/>
          </w:tcPr>
          <w:p w14:paraId="57F8FCE7">
            <w:pPr>
              <w:pStyle w:val="48"/>
              <w:spacing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本项目为专门面向</w:t>
            </w:r>
            <w:r>
              <w:rPr>
                <w:rFonts w:hint="eastAsia" w:cs="宋体"/>
                <w:i w:val="0"/>
                <w:iCs w:val="0"/>
                <w:color w:val="auto"/>
                <w:sz w:val="21"/>
                <w:szCs w:val="21"/>
                <w:highlight w:val="none"/>
                <w:lang w:val="en-US" w:eastAsia="zh-CN"/>
              </w:rPr>
              <w:t>中小微企业预</w:t>
            </w:r>
            <w:r>
              <w:rPr>
                <w:rFonts w:hint="eastAsia" w:ascii="宋体" w:hAnsi="宋体" w:eastAsia="宋体" w:cs="宋体"/>
                <w:i w:val="0"/>
                <w:iCs w:val="0"/>
                <w:color w:val="auto"/>
                <w:sz w:val="21"/>
                <w:szCs w:val="21"/>
                <w:highlight w:val="none"/>
                <w:lang w:val="en-US" w:eastAsia="zh-CN"/>
              </w:rPr>
              <w:t>留资金项目，不再执行价格评审优惠的扶持政策，符合条件的</w:t>
            </w:r>
            <w:r>
              <w:rPr>
                <w:rFonts w:hint="eastAsia" w:cs="宋体"/>
                <w:i w:val="0"/>
                <w:iCs w:val="0"/>
                <w:color w:val="auto"/>
                <w:sz w:val="21"/>
                <w:szCs w:val="21"/>
                <w:highlight w:val="none"/>
                <w:lang w:val="en-US" w:eastAsia="zh-CN"/>
              </w:rPr>
              <w:t>中</w:t>
            </w:r>
            <w:r>
              <w:rPr>
                <w:rFonts w:hint="eastAsia" w:ascii="宋体" w:hAnsi="宋体" w:eastAsia="宋体" w:cs="宋体"/>
                <w:i w:val="0"/>
                <w:iCs w:val="0"/>
                <w:color w:val="auto"/>
                <w:sz w:val="21"/>
                <w:szCs w:val="21"/>
                <w:highlight w:val="none"/>
                <w:lang w:val="en-US" w:eastAsia="zh-CN"/>
              </w:rPr>
              <w:t>小微企业参加本次采购项目须按照要求提供中小微企业声明函。</w:t>
            </w:r>
          </w:p>
        </w:tc>
        <w:tc>
          <w:tcPr>
            <w:tcW w:w="816" w:type="pct"/>
            <w:shd w:val="clear" w:color="auto" w:fill="FFFFFF" w:themeFill="background1"/>
            <w:vAlign w:val="center"/>
          </w:tcPr>
          <w:p w14:paraId="0E3B506C">
            <w:pPr>
              <w:pStyle w:val="48"/>
              <w:spacing w:line="240" w:lineRule="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格式见《第六章 响应文件格式》</w:t>
            </w:r>
          </w:p>
        </w:tc>
      </w:tr>
      <w:tr w14:paraId="69A3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347" w:type="pct"/>
            <w:shd w:val="clear" w:color="auto" w:fill="FFFFFF" w:themeFill="background1"/>
            <w:vAlign w:val="center"/>
          </w:tcPr>
          <w:p w14:paraId="29B79AF1">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3</w:t>
            </w:r>
          </w:p>
        </w:tc>
        <w:tc>
          <w:tcPr>
            <w:tcW w:w="1036" w:type="pct"/>
            <w:shd w:val="clear" w:color="auto" w:fill="FFFFFF" w:themeFill="background1"/>
            <w:vAlign w:val="center"/>
          </w:tcPr>
          <w:p w14:paraId="30E8B763">
            <w:pPr>
              <w:pStyle w:val="48"/>
              <w:spacing w:line="24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本项目的特定资格要求</w:t>
            </w:r>
          </w:p>
        </w:tc>
        <w:tc>
          <w:tcPr>
            <w:tcW w:w="2800" w:type="pct"/>
            <w:shd w:val="clear" w:color="auto" w:fill="FFFFFF" w:themeFill="background1"/>
            <w:vAlign w:val="center"/>
          </w:tcPr>
          <w:p w14:paraId="4070DD50">
            <w:pPr>
              <w:pStyle w:val="48"/>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如有，见</w:t>
            </w:r>
            <w:r>
              <w:rPr>
                <w:rFonts w:hint="eastAsia" w:ascii="宋体" w:hAnsi="宋体" w:eastAsia="宋体" w:cs="宋体"/>
                <w:i w:val="0"/>
                <w:iCs w:val="0"/>
                <w:color w:val="auto"/>
                <w:sz w:val="21"/>
                <w:szCs w:val="21"/>
                <w:highlight w:val="none"/>
                <w:lang w:val="en-US" w:eastAsia="zh-CN"/>
              </w:rPr>
              <w:t>“第一章 竞争性磋商公告”</w:t>
            </w:r>
          </w:p>
        </w:tc>
        <w:tc>
          <w:tcPr>
            <w:tcW w:w="816" w:type="pct"/>
            <w:shd w:val="clear" w:color="auto" w:fill="FFFFFF" w:themeFill="background1"/>
            <w:vAlign w:val="center"/>
          </w:tcPr>
          <w:p w14:paraId="7F8329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提供证明文件的电子件或电子证照</w:t>
            </w:r>
          </w:p>
        </w:tc>
      </w:tr>
      <w:tr w14:paraId="225D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4" w:hRule="atLeast"/>
          <w:jc w:val="center"/>
        </w:trPr>
        <w:tc>
          <w:tcPr>
            <w:tcW w:w="347" w:type="pct"/>
            <w:shd w:val="clear" w:color="auto" w:fill="FFFFFF" w:themeFill="background1"/>
            <w:vAlign w:val="center"/>
          </w:tcPr>
          <w:p w14:paraId="7FDC45AC">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3-1</w:t>
            </w:r>
          </w:p>
        </w:tc>
        <w:tc>
          <w:tcPr>
            <w:tcW w:w="1036" w:type="pct"/>
            <w:shd w:val="clear" w:color="auto" w:fill="FFFFFF" w:themeFill="background1"/>
            <w:vAlign w:val="center"/>
          </w:tcPr>
          <w:p w14:paraId="322D8AFB">
            <w:pPr>
              <w:pStyle w:val="48"/>
              <w:spacing w:line="240" w:lineRule="auto"/>
              <w:jc w:val="center"/>
              <w:rPr>
                <w:rFonts w:hint="eastAsia" w:ascii="宋体" w:hAnsi="宋体" w:eastAsia="宋体" w:cs="宋体"/>
                <w:b/>
                <w:bCs/>
                <w:i w:val="0"/>
                <w:i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特定资格要求</w:t>
            </w:r>
          </w:p>
        </w:tc>
        <w:tc>
          <w:tcPr>
            <w:tcW w:w="2800" w:type="pct"/>
            <w:shd w:val="clear" w:color="auto" w:fill="FFFFFF" w:themeFill="background1"/>
            <w:vAlign w:val="center"/>
          </w:tcPr>
          <w:p w14:paraId="528B4812">
            <w:pPr>
              <w:numPr>
                <w:ilvl w:val="0"/>
                <w:numId w:val="5"/>
              </w:numP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具备有效期内的</w:t>
            </w:r>
            <w:r>
              <w:rPr>
                <w:rFonts w:hint="eastAsia" w:cs="宋体"/>
                <w:b w:val="0"/>
                <w:bCs w:val="0"/>
                <w:i w:val="0"/>
                <w:iCs w:val="0"/>
                <w:color w:val="auto"/>
                <w:sz w:val="24"/>
                <w:szCs w:val="24"/>
                <w:highlight w:val="none"/>
                <w:u w:val="none"/>
                <w:lang w:val="en-US" w:eastAsia="zh-CN"/>
              </w:rPr>
              <w:t>安防工程企业资质叁级（含叁级）以上资质、电子与智能化工程专业承包贰级</w:t>
            </w:r>
            <w:r>
              <w:rPr>
                <w:rFonts w:hint="eastAsia" w:ascii="宋体" w:hAnsi="宋体" w:eastAsia="宋体" w:cs="宋体"/>
                <w:b w:val="0"/>
                <w:bCs w:val="0"/>
                <w:i w:val="0"/>
                <w:iCs w:val="0"/>
                <w:color w:val="auto"/>
                <w:sz w:val="24"/>
                <w:szCs w:val="24"/>
                <w:highlight w:val="none"/>
                <w:u w:val="none"/>
                <w:lang w:val="en-US" w:eastAsia="zh-CN"/>
              </w:rPr>
              <w:t>（含</w:t>
            </w:r>
            <w:r>
              <w:rPr>
                <w:rFonts w:hint="eastAsia" w:cs="宋体"/>
                <w:b w:val="0"/>
                <w:bCs w:val="0"/>
                <w:i w:val="0"/>
                <w:iCs w:val="0"/>
                <w:color w:val="auto"/>
                <w:sz w:val="24"/>
                <w:szCs w:val="24"/>
                <w:highlight w:val="none"/>
                <w:u w:val="none"/>
                <w:lang w:val="en-US" w:eastAsia="zh-CN"/>
              </w:rPr>
              <w:t>贰</w:t>
            </w:r>
            <w:r>
              <w:rPr>
                <w:rFonts w:hint="eastAsia" w:ascii="宋体" w:hAnsi="宋体" w:eastAsia="宋体" w:cs="宋体"/>
                <w:b w:val="0"/>
                <w:bCs w:val="0"/>
                <w:i w:val="0"/>
                <w:iCs w:val="0"/>
                <w:color w:val="auto"/>
                <w:sz w:val="24"/>
                <w:szCs w:val="24"/>
                <w:highlight w:val="none"/>
                <w:u w:val="none"/>
                <w:lang w:val="en-US" w:eastAsia="zh-CN"/>
              </w:rPr>
              <w:t>级）以上资质</w:t>
            </w:r>
            <w:r>
              <w:rPr>
                <w:rFonts w:hint="eastAsia" w:cs="宋体"/>
                <w:b w:val="0"/>
                <w:bCs w:val="0"/>
                <w:i w:val="0"/>
                <w:iCs w:val="0"/>
                <w:color w:val="auto"/>
                <w:sz w:val="24"/>
                <w:szCs w:val="24"/>
                <w:highlight w:val="none"/>
                <w:u w:val="none"/>
                <w:lang w:val="en-US" w:eastAsia="zh-CN"/>
              </w:rPr>
              <w:t>和涉密信息系统集成资质（包含安防监控或总体集成）</w:t>
            </w:r>
            <w:r>
              <w:rPr>
                <w:rFonts w:hint="eastAsia" w:ascii="宋体" w:hAnsi="宋体" w:eastAsia="宋体" w:cs="宋体"/>
                <w:b w:val="0"/>
                <w:bCs w:val="0"/>
                <w:i w:val="0"/>
                <w:iCs w:val="0"/>
                <w:color w:val="auto"/>
                <w:sz w:val="24"/>
                <w:szCs w:val="24"/>
                <w:highlight w:val="none"/>
                <w:u w:val="none"/>
                <w:lang w:val="en-US" w:eastAsia="zh-CN"/>
              </w:rPr>
              <w:t>，并在人员、设备、资金等方面具有相应的施工能力。</w:t>
            </w:r>
          </w:p>
          <w:p w14:paraId="5F7F8DEB">
            <w:pPr>
              <w:numPr>
                <w:ilvl w:val="0"/>
                <w:numId w:val="5"/>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rPr>
              <w:t>具备有效期内的安全施工生产许可证。</w:t>
            </w:r>
          </w:p>
          <w:p w14:paraId="5AB8110E">
            <w:pPr>
              <w:numPr>
                <w:ilvl w:val="0"/>
                <w:numId w:val="5"/>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rPr>
              <w:t>外省企业已办理进疆备案（如有）。</w:t>
            </w:r>
          </w:p>
        </w:tc>
        <w:tc>
          <w:tcPr>
            <w:tcW w:w="816" w:type="pct"/>
            <w:shd w:val="clear" w:color="auto" w:fill="FFFFFF" w:themeFill="background1"/>
            <w:vAlign w:val="center"/>
          </w:tcPr>
          <w:p w14:paraId="238441E7">
            <w:pPr>
              <w:pStyle w:val="48"/>
              <w:spacing w:line="24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提供扫描件</w:t>
            </w:r>
          </w:p>
        </w:tc>
      </w:tr>
      <w:tr w14:paraId="0B08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90" w:hRule="atLeast"/>
          <w:jc w:val="center"/>
        </w:trPr>
        <w:tc>
          <w:tcPr>
            <w:tcW w:w="347" w:type="pct"/>
            <w:shd w:val="clear" w:color="auto" w:fill="FFFFFF" w:themeFill="background1"/>
            <w:vAlign w:val="center"/>
          </w:tcPr>
          <w:p w14:paraId="2A73E52B">
            <w:pPr>
              <w:pStyle w:val="48"/>
              <w:spacing w:line="240" w:lineRule="auto"/>
              <w:jc w:val="center"/>
              <w:rPr>
                <w:rFonts w:hint="default"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3-2</w:t>
            </w:r>
          </w:p>
        </w:tc>
        <w:tc>
          <w:tcPr>
            <w:tcW w:w="1036" w:type="pct"/>
            <w:shd w:val="clear" w:color="auto" w:fill="FFFFFF" w:themeFill="background1"/>
            <w:vAlign w:val="center"/>
          </w:tcPr>
          <w:p w14:paraId="1D5774A6">
            <w:pPr>
              <w:pStyle w:val="48"/>
              <w:spacing w:line="24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项目负责人</w:t>
            </w:r>
          </w:p>
        </w:tc>
        <w:tc>
          <w:tcPr>
            <w:tcW w:w="2800" w:type="pct"/>
            <w:shd w:val="clear" w:color="auto" w:fill="FFFFFF" w:themeFill="background1"/>
            <w:vAlign w:val="center"/>
          </w:tcPr>
          <w:p w14:paraId="05D46A5B">
            <w:pPr>
              <w:numPr>
                <w:ilvl w:val="0"/>
                <w:numId w:val="6"/>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rPr>
              <w:t>项目负责人必须具备机电专业二级（含二级）以上注册建造师职业资格。</w:t>
            </w:r>
          </w:p>
          <w:p w14:paraId="260BDF3C">
            <w:pPr>
              <w:numPr>
                <w:ilvl w:val="0"/>
                <w:numId w:val="6"/>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rPr>
              <w:t>具备有效的安全生产考核合格证书。</w:t>
            </w:r>
          </w:p>
          <w:p w14:paraId="6EB935E4">
            <w:pPr>
              <w:numPr>
                <w:ilvl w:val="0"/>
                <w:numId w:val="6"/>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rPr>
              <w:t>提供在本单位注册的证明文件或资料。</w:t>
            </w:r>
          </w:p>
        </w:tc>
        <w:tc>
          <w:tcPr>
            <w:tcW w:w="816" w:type="pct"/>
            <w:shd w:val="clear" w:color="auto" w:fill="FFFFFF" w:themeFill="background1"/>
            <w:vAlign w:val="center"/>
          </w:tcPr>
          <w:p w14:paraId="68657600">
            <w:pPr>
              <w:pStyle w:val="48"/>
              <w:spacing w:line="24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提供扫描件</w:t>
            </w:r>
          </w:p>
        </w:tc>
      </w:tr>
      <w:tr w14:paraId="20F6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10" w:hRule="atLeast"/>
          <w:jc w:val="center"/>
        </w:trPr>
        <w:tc>
          <w:tcPr>
            <w:tcW w:w="347" w:type="pct"/>
            <w:shd w:val="clear" w:color="auto" w:fill="FFFFFF" w:themeFill="background1"/>
            <w:vAlign w:val="center"/>
          </w:tcPr>
          <w:p w14:paraId="4D5D44C3">
            <w:pPr>
              <w:pStyle w:val="48"/>
              <w:spacing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3-3</w:t>
            </w:r>
          </w:p>
        </w:tc>
        <w:tc>
          <w:tcPr>
            <w:tcW w:w="1036" w:type="pct"/>
            <w:shd w:val="clear" w:color="auto" w:fill="FFFFFF" w:themeFill="background1"/>
            <w:vAlign w:val="center"/>
          </w:tcPr>
          <w:p w14:paraId="73E34D8F">
            <w:pPr>
              <w:pStyle w:val="48"/>
              <w:spacing w:line="24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其他资格要求</w:t>
            </w:r>
          </w:p>
        </w:tc>
        <w:tc>
          <w:tcPr>
            <w:tcW w:w="2800" w:type="pct"/>
            <w:shd w:val="clear" w:color="auto" w:fill="FFFFFF" w:themeFill="background1"/>
            <w:vAlign w:val="center"/>
          </w:tcPr>
          <w:p w14:paraId="03E3F610">
            <w:pPr>
              <w:pStyle w:val="48"/>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（1）法定代表人或单位负责人为同一人或者存在直接控股、管理关系的不同供应商，不得参加同一合同项下的政府采购活动。</w:t>
            </w:r>
          </w:p>
          <w:p w14:paraId="169EA61A">
            <w:pPr>
              <w:pStyle w:val="48"/>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（2）除单一来源采购项目外，为采购项目提供整体设计、规范编制或者项目管理、监理、检测等服务的供应商，不得再参加该采购项目的其他采购活动。</w:t>
            </w:r>
          </w:p>
          <w:p w14:paraId="297056B1">
            <w:pPr>
              <w:pStyle w:val="48"/>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（3）供应商的信用行为：在资格审查阶段经查询，未被列入“失信被执行人”、“重大税收违法失信主体”、“政府采购严重违法失信行为记录名单”其中之一。如有以上不良信用记录之一的，其响应无效。</w:t>
            </w:r>
          </w:p>
          <w:p w14:paraId="4B61DD94">
            <w:pPr>
              <w:pStyle w:val="48"/>
              <w:spacing w:line="240" w:lineRule="auto"/>
              <w:jc w:val="both"/>
              <w:rPr>
                <w:rFonts w:hint="eastAsia" w:ascii="宋体" w:hAnsi="宋体" w:eastAsia="宋体" w:cs="宋体"/>
                <w:i w:val="0"/>
                <w:iCs w:val="0"/>
                <w:color w:val="auto"/>
                <w:kern w:val="0"/>
                <w:sz w:val="21"/>
                <w:szCs w:val="21"/>
                <w:highlight w:val="none"/>
                <w:lang w:val="en-US" w:eastAsia="zh-CN" w:bidi="ar"/>
              </w:rPr>
            </w:pPr>
          </w:p>
        </w:tc>
        <w:tc>
          <w:tcPr>
            <w:tcW w:w="816" w:type="pct"/>
            <w:shd w:val="clear" w:color="auto" w:fill="FFFFFF" w:themeFill="background1"/>
            <w:vAlign w:val="center"/>
          </w:tcPr>
          <w:p w14:paraId="2161CF15">
            <w:pPr>
              <w:pStyle w:val="48"/>
              <w:numPr>
                <w:ilvl w:val="0"/>
                <w:numId w:val="7"/>
              </w:numPr>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提供主要股东或出资人信息；</w:t>
            </w:r>
          </w:p>
          <w:p w14:paraId="5C3B8445">
            <w:pPr>
              <w:pStyle w:val="48"/>
              <w:numPr>
                <w:ilvl w:val="0"/>
                <w:numId w:val="7"/>
              </w:numPr>
              <w:spacing w:line="240" w:lineRule="auto"/>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提供承诺书；</w:t>
            </w:r>
          </w:p>
          <w:p w14:paraId="1A79FD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3、提供查询截图。</w:t>
            </w:r>
          </w:p>
        </w:tc>
      </w:tr>
    </w:tbl>
    <w:p w14:paraId="53A41A5F">
      <w:pPr>
        <w:spacing w:line="360" w:lineRule="auto"/>
        <w:rPr>
          <w:b/>
          <w:bCs/>
          <w:i w:val="0"/>
          <w:iCs w:val="0"/>
          <w:color w:val="auto"/>
          <w:sz w:val="21"/>
          <w:szCs w:val="21"/>
          <w:highlight w:val="none"/>
        </w:rPr>
      </w:pPr>
      <w:r>
        <w:rPr>
          <w:rFonts w:hint="eastAsia"/>
          <w:b/>
          <w:bCs/>
          <w:i w:val="0"/>
          <w:iCs w:val="0"/>
          <w:color w:val="auto"/>
          <w:sz w:val="21"/>
          <w:szCs w:val="21"/>
          <w:highlight w:val="none"/>
        </w:rPr>
        <w:t>备注：</w:t>
      </w:r>
    </w:p>
    <w:p w14:paraId="509818B3">
      <w:pPr>
        <w:pStyle w:val="41"/>
        <w:keepNext w:val="0"/>
        <w:keepLines w:val="0"/>
        <w:pageBreakBefore w:val="0"/>
        <w:widowControl w:val="0"/>
        <w:kinsoku/>
        <w:overflowPunct/>
        <w:topLinePunct w:val="0"/>
        <w:autoSpaceDE/>
        <w:autoSpaceDN/>
        <w:bidi w:val="0"/>
        <w:adjustRightInd/>
        <w:snapToGrid/>
        <w:spacing w:line="336" w:lineRule="auto"/>
        <w:ind w:firstLine="480"/>
        <w:textAlignment w:val="auto"/>
        <w:rPr>
          <w:i w:val="0"/>
          <w:iCs w:val="0"/>
          <w:color w:val="auto"/>
          <w:sz w:val="21"/>
          <w:szCs w:val="21"/>
          <w:highlight w:val="none"/>
        </w:rPr>
      </w:pPr>
      <w:r>
        <w:rPr>
          <w:i w:val="0"/>
          <w:iCs w:val="0"/>
          <w:color w:val="auto"/>
          <w:sz w:val="21"/>
          <w:szCs w:val="21"/>
          <w:highlight w:val="none"/>
        </w:rPr>
        <w:t>1.</w:t>
      </w:r>
      <w:r>
        <w:rPr>
          <w:rFonts w:hint="eastAsia"/>
          <w:i w:val="0"/>
          <w:iCs w:val="0"/>
          <w:color w:val="auto"/>
          <w:sz w:val="21"/>
          <w:szCs w:val="21"/>
          <w:highlight w:val="none"/>
          <w:lang w:eastAsia="zh-CN"/>
        </w:rPr>
        <w:t>供应商须按上表格式要求提供相关证明文件</w:t>
      </w:r>
      <w:r>
        <w:rPr>
          <w:rFonts w:hint="eastAsia"/>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1"/>
          <w:szCs w:val="21"/>
          <w:highlight w:val="none"/>
          <w:lang w:eastAsia="zh-CN"/>
        </w:rPr>
        <w:t>，</w:t>
      </w:r>
      <w:r>
        <w:rPr>
          <w:rFonts w:hint="eastAsia"/>
          <w:i w:val="0"/>
          <w:iCs w:val="0"/>
          <w:color w:val="auto"/>
          <w:sz w:val="21"/>
          <w:szCs w:val="21"/>
          <w:highlight w:val="none"/>
        </w:rPr>
        <w:t>责任由供应商</w:t>
      </w:r>
      <w:r>
        <w:rPr>
          <w:rFonts w:hint="eastAsia"/>
          <w:i w:val="0"/>
          <w:iCs w:val="0"/>
          <w:color w:val="auto"/>
          <w:sz w:val="21"/>
          <w:szCs w:val="21"/>
          <w:highlight w:val="none"/>
          <w:lang w:val="en-US" w:eastAsia="zh-CN"/>
        </w:rPr>
        <w:t>承担</w:t>
      </w:r>
      <w:r>
        <w:rPr>
          <w:rFonts w:hint="eastAsia"/>
          <w:i w:val="0"/>
          <w:iCs w:val="0"/>
          <w:color w:val="auto"/>
          <w:sz w:val="21"/>
          <w:szCs w:val="21"/>
          <w:highlight w:val="none"/>
        </w:rPr>
        <w:t>。</w:t>
      </w:r>
    </w:p>
    <w:p w14:paraId="7CBBBAE9">
      <w:pPr>
        <w:pStyle w:val="41"/>
        <w:keepNext w:val="0"/>
        <w:keepLines w:val="0"/>
        <w:pageBreakBefore w:val="0"/>
        <w:widowControl w:val="0"/>
        <w:numPr>
          <w:ilvl w:val="0"/>
          <w:numId w:val="0"/>
        </w:numPr>
        <w:kinsoku/>
        <w:overflowPunct/>
        <w:topLinePunct w:val="0"/>
        <w:autoSpaceDE/>
        <w:autoSpaceDN/>
        <w:bidi w:val="0"/>
        <w:adjustRightInd/>
        <w:snapToGrid/>
        <w:spacing w:line="336" w:lineRule="auto"/>
        <w:ind w:firstLine="420" w:firstLineChars="200"/>
        <w:textAlignment w:val="auto"/>
        <w:rPr>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2.</w:t>
      </w:r>
      <w:r>
        <w:rPr>
          <w:rFonts w:hint="eastAsia"/>
          <w:i w:val="0"/>
          <w:iCs w:val="0"/>
          <w:color w:val="auto"/>
          <w:sz w:val="21"/>
          <w:szCs w:val="21"/>
          <w:highlight w:val="none"/>
          <w:lang w:val="zh-CN"/>
        </w:rPr>
        <w:t>信用信息核</w:t>
      </w:r>
      <w:r>
        <w:rPr>
          <w:rFonts w:hint="eastAsia"/>
          <w:i w:val="0"/>
          <w:iCs w:val="0"/>
          <w:color w:val="auto"/>
          <w:sz w:val="21"/>
          <w:szCs w:val="21"/>
          <w:highlight w:val="none"/>
        </w:rPr>
        <w:t>查</w:t>
      </w:r>
    </w:p>
    <w:p w14:paraId="0FB875AC">
      <w:pPr>
        <w:pStyle w:val="37"/>
        <w:keepNext w:val="0"/>
        <w:keepLines w:val="0"/>
        <w:pageBreakBefore w:val="0"/>
        <w:widowControl w:val="0"/>
        <w:kinsoku/>
        <w:overflowPunct/>
        <w:topLinePunct w:val="0"/>
        <w:autoSpaceDE/>
        <w:autoSpaceDN/>
        <w:bidi w:val="0"/>
        <w:adjustRightInd/>
        <w:snapToGrid/>
        <w:spacing w:line="336" w:lineRule="auto"/>
        <w:ind w:firstLine="480"/>
        <w:textAlignment w:val="auto"/>
        <w:rPr>
          <w:i w:val="0"/>
          <w:iCs w:val="0"/>
          <w:color w:val="auto"/>
          <w:sz w:val="21"/>
          <w:szCs w:val="21"/>
          <w:highlight w:val="none"/>
        </w:rPr>
      </w:pPr>
      <w:r>
        <w:rPr>
          <w:rFonts w:hint="eastAsia"/>
          <w:i w:val="0"/>
          <w:iCs w:val="0"/>
          <w:color w:val="auto"/>
          <w:sz w:val="21"/>
          <w:szCs w:val="21"/>
          <w:highlight w:val="none"/>
        </w:rPr>
        <w:t>2.1资格审查</w:t>
      </w:r>
      <w:r>
        <w:rPr>
          <w:rFonts w:hint="eastAsia"/>
          <w:i w:val="0"/>
          <w:iCs w:val="0"/>
          <w:color w:val="auto"/>
          <w:sz w:val="21"/>
          <w:szCs w:val="21"/>
          <w:highlight w:val="none"/>
          <w:lang w:eastAsia="zh-CN"/>
        </w:rPr>
        <w:t>阶段</w:t>
      </w:r>
      <w:r>
        <w:rPr>
          <w:rFonts w:hint="eastAsia"/>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i w:val="0"/>
          <w:iCs w:val="0"/>
          <w:color w:val="auto"/>
          <w:sz w:val="21"/>
          <w:szCs w:val="21"/>
          <w:highlight w:val="none"/>
          <w:lang w:val="en-US" w:eastAsia="zh-CN"/>
        </w:rPr>
        <w:t>人</w:t>
      </w:r>
      <w:r>
        <w:rPr>
          <w:rFonts w:hint="eastAsia"/>
          <w:i w:val="0"/>
          <w:iCs w:val="0"/>
          <w:color w:val="auto"/>
          <w:sz w:val="21"/>
          <w:szCs w:val="21"/>
          <w:highlight w:val="none"/>
        </w:rPr>
        <w:t>拒绝其参与政府采购活动。</w:t>
      </w:r>
    </w:p>
    <w:p w14:paraId="6C038B85">
      <w:pPr>
        <w:pStyle w:val="37"/>
        <w:keepNext w:val="0"/>
        <w:keepLines w:val="0"/>
        <w:pageBreakBefore w:val="0"/>
        <w:widowControl w:val="0"/>
        <w:kinsoku/>
        <w:overflowPunct/>
        <w:topLinePunct w:val="0"/>
        <w:autoSpaceDE/>
        <w:autoSpaceDN/>
        <w:bidi w:val="0"/>
        <w:adjustRightInd/>
        <w:snapToGrid/>
        <w:spacing w:line="336" w:lineRule="auto"/>
        <w:ind w:firstLine="480"/>
        <w:textAlignment w:val="auto"/>
        <w:rPr>
          <w:i w:val="0"/>
          <w:iCs w:val="0"/>
          <w:color w:val="auto"/>
          <w:sz w:val="21"/>
          <w:szCs w:val="21"/>
          <w:highlight w:val="none"/>
        </w:rPr>
      </w:pPr>
      <w:r>
        <w:rPr>
          <w:rFonts w:hint="eastAsia"/>
          <w:i w:val="0"/>
          <w:iCs w:val="0"/>
          <w:color w:val="auto"/>
          <w:sz w:val="21"/>
          <w:szCs w:val="21"/>
          <w:highlight w:val="none"/>
        </w:rPr>
        <w:t>2.2以联合体形式参与磋商的，应当核查联合体所有成员和信用记录，联合体成员存在不良信用记录的，视同联合体存在不良信用信息。</w:t>
      </w:r>
    </w:p>
    <w:p w14:paraId="5E74E935">
      <w:pPr>
        <w:pStyle w:val="41"/>
        <w:keepNext w:val="0"/>
        <w:keepLines w:val="0"/>
        <w:pageBreakBefore w:val="0"/>
        <w:widowControl w:val="0"/>
        <w:numPr>
          <w:ilvl w:val="0"/>
          <w:numId w:val="0"/>
        </w:numPr>
        <w:kinsoku/>
        <w:overflowPunct/>
        <w:topLinePunct w:val="0"/>
        <w:autoSpaceDE/>
        <w:autoSpaceDN/>
        <w:bidi w:val="0"/>
        <w:adjustRightInd/>
        <w:snapToGrid/>
        <w:spacing w:line="336" w:lineRule="auto"/>
        <w:ind w:firstLine="420" w:firstLineChars="200"/>
        <w:textAlignment w:val="auto"/>
        <w:rPr>
          <w:rFonts w:hint="eastAsia"/>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3.</w:t>
      </w:r>
      <w:r>
        <w:rPr>
          <w:rFonts w:hint="eastAsia"/>
          <w:i w:val="0"/>
          <w:iCs w:val="0"/>
          <w:color w:val="auto"/>
          <w:sz w:val="21"/>
          <w:szCs w:val="21"/>
          <w:highlight w:val="none"/>
        </w:rPr>
        <w:t>对于响应文件中有任意一条不满足上表要求的</w:t>
      </w:r>
      <w:r>
        <w:rPr>
          <w:rFonts w:hint="eastAsia"/>
          <w:i w:val="0"/>
          <w:iCs w:val="0"/>
          <w:color w:val="auto"/>
          <w:sz w:val="21"/>
          <w:szCs w:val="21"/>
          <w:highlight w:val="none"/>
          <w:lang w:eastAsia="zh-CN"/>
        </w:rPr>
        <w:t>，</w:t>
      </w:r>
      <w:r>
        <w:rPr>
          <w:rFonts w:hint="eastAsia"/>
          <w:i w:val="0"/>
          <w:iCs w:val="0"/>
          <w:color w:val="auto"/>
          <w:sz w:val="21"/>
          <w:szCs w:val="21"/>
          <w:highlight w:val="none"/>
        </w:rPr>
        <w:t>将导致其</w:t>
      </w:r>
      <w:r>
        <w:rPr>
          <w:rFonts w:hint="eastAsia"/>
          <w:b/>
          <w:bCs/>
          <w:i w:val="0"/>
          <w:iCs w:val="0"/>
          <w:color w:val="auto"/>
          <w:sz w:val="21"/>
          <w:szCs w:val="21"/>
          <w:highlight w:val="none"/>
        </w:rPr>
        <w:t>响应无效</w:t>
      </w:r>
      <w:r>
        <w:rPr>
          <w:rFonts w:hint="eastAsia"/>
          <w:i w:val="0"/>
          <w:iCs w:val="0"/>
          <w:color w:val="auto"/>
          <w:sz w:val="21"/>
          <w:szCs w:val="21"/>
          <w:highlight w:val="none"/>
        </w:rPr>
        <w:t>，不</w:t>
      </w:r>
      <w:r>
        <w:rPr>
          <w:rFonts w:hint="eastAsia"/>
          <w:i w:val="0"/>
          <w:iCs w:val="0"/>
          <w:color w:val="auto"/>
          <w:sz w:val="21"/>
          <w:szCs w:val="21"/>
          <w:highlight w:val="none"/>
          <w:lang w:val="en-US" w:eastAsia="zh-CN"/>
        </w:rPr>
        <w:t>得</w:t>
      </w:r>
      <w:r>
        <w:rPr>
          <w:rFonts w:hint="eastAsia"/>
          <w:i w:val="0"/>
          <w:iCs w:val="0"/>
          <w:color w:val="auto"/>
          <w:sz w:val="21"/>
          <w:szCs w:val="21"/>
          <w:highlight w:val="none"/>
        </w:rPr>
        <w:t>进入下一项评审。</w:t>
      </w:r>
    </w:p>
    <w:p w14:paraId="613615C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6" w:name="_Toc7933"/>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符合性审查表</w:t>
      </w:r>
      <w:bookmarkEnd w:id="461"/>
      <w:bookmarkEnd w:id="462"/>
      <w:bookmarkEnd w:id="466"/>
    </w:p>
    <w:tbl>
      <w:tblPr>
        <w:tblStyle w:val="31"/>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
        <w:gridCol w:w="1678"/>
        <w:gridCol w:w="5109"/>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3" w:type="pct"/>
            <w:vMerge w:val="restart"/>
            <w:shd w:val="clear" w:color="auto" w:fill="D8D8D8" w:themeFill="background1" w:themeFillShade="D9"/>
            <w:vAlign w:val="center"/>
          </w:tcPr>
          <w:p w14:paraId="3B188FC3">
            <w:pPr>
              <w:pStyle w:val="48"/>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序号</w:t>
            </w:r>
          </w:p>
        </w:tc>
        <w:tc>
          <w:tcPr>
            <w:tcW w:w="907" w:type="pct"/>
            <w:vMerge w:val="restart"/>
            <w:shd w:val="clear" w:color="auto" w:fill="D8D8D8" w:themeFill="background1" w:themeFillShade="D9"/>
            <w:vAlign w:val="center"/>
          </w:tcPr>
          <w:p w14:paraId="316B5F87">
            <w:pPr>
              <w:pStyle w:val="48"/>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762" w:type="pct"/>
            <w:vMerge w:val="restart"/>
            <w:shd w:val="clear" w:color="auto" w:fill="D8D8D8" w:themeFill="background1" w:themeFillShade="D9"/>
            <w:vAlign w:val="center"/>
          </w:tcPr>
          <w:p w14:paraId="44B32FDC">
            <w:pPr>
              <w:pStyle w:val="48"/>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3" w:type="pct"/>
            <w:vMerge w:val="continue"/>
            <w:shd w:val="clear" w:color="auto" w:fill="D8D8D8" w:themeFill="background1" w:themeFillShade="D9"/>
            <w:vAlign w:val="center"/>
          </w:tcPr>
          <w:p w14:paraId="1859AA86">
            <w:pPr>
              <w:pStyle w:val="48"/>
              <w:jc w:val="center"/>
              <w:rPr>
                <w:rFonts w:hint="eastAsia" w:ascii="宋体" w:hAnsi="宋体" w:eastAsia="宋体" w:cs="宋体"/>
                <w:b/>
                <w:bCs/>
                <w:i w:val="0"/>
                <w:iCs w:val="0"/>
                <w:color w:val="auto"/>
                <w:sz w:val="21"/>
                <w:szCs w:val="21"/>
                <w:highlight w:val="none"/>
                <w:lang w:val="zh-CN"/>
              </w:rPr>
            </w:pPr>
          </w:p>
        </w:tc>
        <w:tc>
          <w:tcPr>
            <w:tcW w:w="907" w:type="pct"/>
            <w:vMerge w:val="continue"/>
            <w:shd w:val="clear" w:color="auto" w:fill="D8D8D8" w:themeFill="background1" w:themeFillShade="D9"/>
            <w:vAlign w:val="center"/>
          </w:tcPr>
          <w:p w14:paraId="51EF0565">
            <w:pPr>
              <w:pStyle w:val="48"/>
              <w:jc w:val="center"/>
              <w:rPr>
                <w:rFonts w:hint="eastAsia" w:ascii="宋体" w:hAnsi="宋体" w:eastAsia="宋体" w:cs="宋体"/>
                <w:b/>
                <w:bCs/>
                <w:i w:val="0"/>
                <w:iCs w:val="0"/>
                <w:color w:val="auto"/>
                <w:sz w:val="21"/>
                <w:szCs w:val="21"/>
                <w:highlight w:val="none"/>
                <w:lang w:val="zh-CN"/>
              </w:rPr>
            </w:pPr>
          </w:p>
        </w:tc>
        <w:tc>
          <w:tcPr>
            <w:tcW w:w="2762" w:type="pct"/>
            <w:vMerge w:val="continue"/>
            <w:shd w:val="clear" w:color="auto" w:fill="D8D8D8" w:themeFill="background1" w:themeFillShade="D9"/>
            <w:vAlign w:val="center"/>
          </w:tcPr>
          <w:p w14:paraId="2128C077">
            <w:pPr>
              <w:pStyle w:val="48"/>
              <w:jc w:val="center"/>
              <w:rPr>
                <w:rFonts w:hint="eastAsia" w:ascii="宋体" w:hAnsi="宋体" w:eastAsia="宋体" w:cs="宋体"/>
                <w:b/>
                <w:bCs/>
                <w:i w:val="0"/>
                <w:iCs w:val="0"/>
                <w:color w:val="auto"/>
                <w:sz w:val="21"/>
                <w:szCs w:val="21"/>
                <w:highlight w:val="none"/>
                <w:lang w:val="zh-CN"/>
              </w:rPr>
            </w:pPr>
          </w:p>
        </w:tc>
        <w:tc>
          <w:tcPr>
            <w:tcW w:w="468" w:type="pct"/>
            <w:shd w:val="clear" w:color="auto" w:fill="D8D8D8" w:themeFill="background1" w:themeFillShade="D9"/>
            <w:vAlign w:val="center"/>
          </w:tcPr>
          <w:p w14:paraId="0CAA21D7">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 w:type="pct"/>
            <w:shd w:val="clear" w:color="auto" w:fill="auto"/>
            <w:vAlign w:val="center"/>
          </w:tcPr>
          <w:p w14:paraId="4A515C07">
            <w:pPr>
              <w:pStyle w:val="48"/>
              <w:numPr>
                <w:ilvl w:val="0"/>
                <w:numId w:val="0"/>
              </w:numPr>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907" w:type="pct"/>
            <w:vAlign w:val="center"/>
          </w:tcPr>
          <w:p w14:paraId="5E0E3062">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762" w:type="pct"/>
            <w:shd w:val="clear" w:color="auto" w:fill="auto"/>
            <w:vAlign w:val="center"/>
          </w:tcPr>
          <w:p w14:paraId="0FA4ED80">
            <w:pPr>
              <w:pStyle w:val="48"/>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en-US" w:eastAsia="zh-CN"/>
              </w:rPr>
              <w:t>按磋商文件要求签署、盖章的</w:t>
            </w:r>
          </w:p>
        </w:tc>
        <w:tc>
          <w:tcPr>
            <w:tcW w:w="468" w:type="pct"/>
            <w:shd w:val="clear" w:color="auto" w:fill="auto"/>
            <w:vAlign w:val="center"/>
          </w:tcPr>
          <w:p w14:paraId="1E1F1EB1">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5325BAA">
            <w:pPr>
              <w:pStyle w:val="48"/>
              <w:rPr>
                <w:rFonts w:hint="eastAsia" w:ascii="宋体" w:hAnsi="宋体" w:eastAsia="宋体" w:cs="宋体"/>
                <w:i w:val="0"/>
                <w:iCs w:val="0"/>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 w:type="pct"/>
            <w:shd w:val="clear" w:color="auto" w:fill="auto"/>
            <w:vAlign w:val="center"/>
          </w:tcPr>
          <w:p w14:paraId="70154C2F">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907" w:type="pct"/>
            <w:shd w:val="clear" w:color="auto" w:fill="auto"/>
            <w:vAlign w:val="center"/>
          </w:tcPr>
          <w:p w14:paraId="1B390AF0">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实质性要求</w:t>
            </w:r>
          </w:p>
        </w:tc>
        <w:tc>
          <w:tcPr>
            <w:tcW w:w="2762" w:type="pct"/>
            <w:shd w:val="clear" w:color="auto" w:fill="auto"/>
            <w:vAlign w:val="center"/>
          </w:tcPr>
          <w:p w14:paraId="6D95F485">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zh-CN" w:eastAsia="zh-CN"/>
              </w:rPr>
              <w:t>满足</w:t>
            </w:r>
            <w:r>
              <w:rPr>
                <w:rFonts w:hint="eastAsia" w:ascii="宋体" w:hAnsi="宋体" w:eastAsia="宋体" w:cs="宋体"/>
                <w:i w:val="0"/>
                <w:iCs w:val="0"/>
                <w:color w:val="auto"/>
                <w:sz w:val="21"/>
                <w:szCs w:val="21"/>
                <w:highlight w:val="none"/>
                <w:lang w:val="en-US" w:eastAsia="zh-CN"/>
              </w:rPr>
              <w:t>磋商</w:t>
            </w:r>
            <w:r>
              <w:rPr>
                <w:rFonts w:hint="eastAsia" w:ascii="宋体" w:hAnsi="宋体" w:eastAsia="宋体" w:cs="宋体"/>
                <w:i w:val="0"/>
                <w:iCs w:val="0"/>
                <w:color w:val="auto"/>
                <w:sz w:val="21"/>
                <w:szCs w:val="21"/>
                <w:highlight w:val="none"/>
                <w:lang w:val="zh-CN" w:eastAsia="zh-CN"/>
              </w:rPr>
              <w:t>文件中标注“★”号的实质性条款（或指标）要求的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具体详见</w:t>
            </w:r>
            <w:r>
              <w:rPr>
                <w:rFonts w:hint="eastAsia" w:ascii="宋体" w:hAnsi="宋体" w:eastAsia="宋体" w:cs="宋体"/>
                <w:i w:val="0"/>
                <w:iCs w:val="0"/>
                <w:color w:val="auto"/>
                <w:sz w:val="21"/>
                <w:szCs w:val="21"/>
                <w:highlight w:val="none"/>
                <w:lang w:val="zh-CN"/>
              </w:rPr>
              <w:t>“实质性响应一览表”</w:t>
            </w:r>
          </w:p>
        </w:tc>
        <w:tc>
          <w:tcPr>
            <w:tcW w:w="468" w:type="pct"/>
            <w:shd w:val="clear" w:color="auto" w:fill="auto"/>
            <w:vAlign w:val="center"/>
          </w:tcPr>
          <w:p w14:paraId="4C63B966">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A615EFE">
            <w:pPr>
              <w:pStyle w:val="48"/>
              <w:rPr>
                <w:rFonts w:hint="eastAsia" w:ascii="宋体" w:hAnsi="宋体" w:eastAsia="宋体" w:cs="宋体"/>
                <w:i w:val="0"/>
                <w:iCs w:val="0"/>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3" w:type="pct"/>
            <w:shd w:val="clear" w:color="auto" w:fill="auto"/>
            <w:vAlign w:val="center"/>
          </w:tcPr>
          <w:p w14:paraId="48860C47">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907" w:type="pct"/>
            <w:vAlign w:val="center"/>
          </w:tcPr>
          <w:p w14:paraId="31EA832C">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磋商响应性报价</w:t>
            </w:r>
          </w:p>
        </w:tc>
        <w:tc>
          <w:tcPr>
            <w:tcW w:w="2762" w:type="pct"/>
            <w:shd w:val="clear" w:color="auto" w:fill="auto"/>
            <w:vAlign w:val="center"/>
          </w:tcPr>
          <w:p w14:paraId="02D97709">
            <w:pPr>
              <w:pStyle w:val="48"/>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供应商报价未超过磋商文件中规定的最高限价或者预算金额的</w:t>
            </w:r>
          </w:p>
        </w:tc>
        <w:tc>
          <w:tcPr>
            <w:tcW w:w="468" w:type="pct"/>
            <w:shd w:val="clear" w:color="auto" w:fill="auto"/>
            <w:vAlign w:val="center"/>
          </w:tcPr>
          <w:p w14:paraId="18835E98">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2826E79">
            <w:pPr>
              <w:pStyle w:val="48"/>
              <w:rPr>
                <w:rFonts w:hint="eastAsia" w:ascii="宋体" w:hAnsi="宋体" w:eastAsia="宋体" w:cs="宋体"/>
                <w:i w:val="0"/>
                <w:iCs w:val="0"/>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3" w:type="pct"/>
            <w:shd w:val="clear" w:color="auto" w:fill="auto"/>
            <w:vAlign w:val="center"/>
          </w:tcPr>
          <w:p w14:paraId="0D25BA5B">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907" w:type="pct"/>
            <w:vAlign w:val="center"/>
          </w:tcPr>
          <w:p w14:paraId="6B53D7DD">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762" w:type="pct"/>
            <w:shd w:val="clear" w:color="auto" w:fill="auto"/>
            <w:vAlign w:val="center"/>
          </w:tcPr>
          <w:p w14:paraId="3C241A91">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提供虚假材料的</w:t>
            </w:r>
          </w:p>
        </w:tc>
        <w:tc>
          <w:tcPr>
            <w:tcW w:w="468" w:type="pct"/>
            <w:shd w:val="clear" w:color="auto" w:fill="auto"/>
            <w:vAlign w:val="center"/>
          </w:tcPr>
          <w:p w14:paraId="4B513014">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8AFA180">
            <w:pPr>
              <w:pStyle w:val="48"/>
              <w:rPr>
                <w:rFonts w:hint="eastAsia" w:ascii="宋体" w:hAnsi="宋体" w:eastAsia="宋体" w:cs="宋体"/>
                <w:i w:val="0"/>
                <w:iCs w:val="0"/>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3" w:type="pct"/>
            <w:shd w:val="clear" w:color="auto" w:fill="auto"/>
            <w:vAlign w:val="center"/>
          </w:tcPr>
          <w:p w14:paraId="5772C4C0">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907" w:type="pct"/>
            <w:vAlign w:val="center"/>
          </w:tcPr>
          <w:p w14:paraId="1817A2C0">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联合体</w:t>
            </w:r>
          </w:p>
        </w:tc>
        <w:tc>
          <w:tcPr>
            <w:tcW w:w="2762" w:type="pct"/>
            <w:shd w:val="clear" w:color="auto" w:fill="auto"/>
            <w:vAlign w:val="center"/>
          </w:tcPr>
          <w:p w14:paraId="39640874">
            <w:pPr>
              <w:pStyle w:val="48"/>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磋商文件规定接受联合体磋商的，</w:t>
            </w:r>
            <w:r>
              <w:rPr>
                <w:rFonts w:hint="eastAsia" w:ascii="宋体" w:hAnsi="宋体" w:eastAsia="宋体" w:cs="宋体"/>
                <w:i w:val="0"/>
                <w:iCs w:val="0"/>
                <w:color w:val="auto"/>
                <w:sz w:val="21"/>
                <w:szCs w:val="21"/>
                <w:highlight w:val="none"/>
                <w:lang w:val="zh-CN" w:eastAsia="zh-CN"/>
              </w:rPr>
              <w:t>联合体供应商提交</w:t>
            </w:r>
            <w:r>
              <w:rPr>
                <w:rFonts w:hint="eastAsia" w:ascii="宋体" w:hAnsi="宋体" w:eastAsia="宋体" w:cs="宋体"/>
                <w:i w:val="0"/>
                <w:iCs w:val="0"/>
                <w:color w:val="auto"/>
                <w:sz w:val="21"/>
                <w:szCs w:val="21"/>
                <w:highlight w:val="none"/>
                <w:lang w:val="en-US" w:eastAsia="zh-CN"/>
              </w:rPr>
              <w:t>了</w:t>
            </w:r>
            <w:r>
              <w:rPr>
                <w:rFonts w:hint="eastAsia" w:ascii="宋体" w:hAnsi="宋体" w:eastAsia="宋体" w:cs="宋体"/>
                <w:i w:val="0"/>
                <w:iCs w:val="0"/>
                <w:color w:val="auto"/>
                <w:sz w:val="21"/>
                <w:szCs w:val="21"/>
                <w:highlight w:val="none"/>
                <w:lang w:val="zh-CN" w:eastAsia="zh-CN"/>
              </w:rPr>
              <w:t>各方共同签署的联合体协议【</w:t>
            </w:r>
            <w:r>
              <w:rPr>
                <w:rFonts w:hint="eastAsia" w:ascii="宋体" w:hAnsi="宋体" w:eastAsia="宋体" w:cs="宋体"/>
                <w:i w:val="0"/>
                <w:iCs w:val="0"/>
                <w:color w:val="auto"/>
                <w:sz w:val="21"/>
                <w:szCs w:val="21"/>
                <w:highlight w:val="none"/>
                <w:lang w:val="en-US" w:eastAsia="zh-CN"/>
              </w:rPr>
              <w:t>如允许联合体磋商的</w:t>
            </w:r>
            <w:r>
              <w:rPr>
                <w:rFonts w:hint="eastAsia" w:ascii="宋体" w:hAnsi="宋体" w:eastAsia="宋体" w:cs="宋体"/>
                <w:i w:val="0"/>
                <w:iCs w:val="0"/>
                <w:color w:val="auto"/>
                <w:sz w:val="21"/>
                <w:szCs w:val="21"/>
                <w:highlight w:val="none"/>
                <w:lang w:val="zh-CN" w:eastAsia="zh-CN"/>
              </w:rPr>
              <w:t>】</w:t>
            </w:r>
          </w:p>
        </w:tc>
        <w:tc>
          <w:tcPr>
            <w:tcW w:w="468" w:type="pct"/>
            <w:shd w:val="clear" w:color="auto" w:fill="auto"/>
            <w:vAlign w:val="center"/>
          </w:tcPr>
          <w:p w14:paraId="2C782F18">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163069B8">
            <w:pPr>
              <w:pStyle w:val="48"/>
              <w:rPr>
                <w:rFonts w:hint="eastAsia" w:ascii="宋体" w:hAnsi="宋体" w:eastAsia="宋体" w:cs="宋体"/>
                <w:i w:val="0"/>
                <w:iCs w:val="0"/>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3" w:type="pct"/>
            <w:shd w:val="clear" w:color="auto" w:fill="auto"/>
            <w:vAlign w:val="center"/>
          </w:tcPr>
          <w:p w14:paraId="31C12A1B">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907" w:type="pct"/>
            <w:vAlign w:val="center"/>
          </w:tcPr>
          <w:p w14:paraId="55194F4F">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磋商保证金</w:t>
            </w:r>
          </w:p>
        </w:tc>
        <w:tc>
          <w:tcPr>
            <w:tcW w:w="2762" w:type="pct"/>
            <w:shd w:val="clear" w:color="auto" w:fill="auto"/>
            <w:vAlign w:val="center"/>
          </w:tcPr>
          <w:p w14:paraId="4803457A">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磋商文件规定应当缴纳的，供应商按磋商文件的规定缴纳磋商保证金的</w:t>
            </w:r>
          </w:p>
        </w:tc>
        <w:tc>
          <w:tcPr>
            <w:tcW w:w="468" w:type="pct"/>
            <w:shd w:val="clear" w:color="auto" w:fill="auto"/>
            <w:vAlign w:val="center"/>
          </w:tcPr>
          <w:p w14:paraId="194FF3C2">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72B823">
            <w:pPr>
              <w:pStyle w:val="48"/>
              <w:rPr>
                <w:rFonts w:hint="eastAsia" w:ascii="宋体" w:hAnsi="宋体" w:eastAsia="宋体" w:cs="宋体"/>
                <w:i w:val="0"/>
                <w:iCs w:val="0"/>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3" w:type="pct"/>
            <w:shd w:val="clear" w:color="auto" w:fill="auto"/>
            <w:vAlign w:val="center"/>
          </w:tcPr>
          <w:p w14:paraId="6C002E13">
            <w:pPr>
              <w:pStyle w:val="48"/>
              <w:numPr>
                <w:ilvl w:val="0"/>
                <w:numId w:val="0"/>
              </w:numPr>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7</w:t>
            </w:r>
          </w:p>
        </w:tc>
        <w:tc>
          <w:tcPr>
            <w:tcW w:w="907" w:type="pct"/>
            <w:vAlign w:val="center"/>
          </w:tcPr>
          <w:p w14:paraId="5C91A4A7">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响应文件的澄清、说明、补正</w:t>
            </w:r>
          </w:p>
        </w:tc>
        <w:tc>
          <w:tcPr>
            <w:tcW w:w="2762" w:type="pct"/>
            <w:shd w:val="clear" w:color="auto" w:fill="auto"/>
            <w:vAlign w:val="center"/>
          </w:tcPr>
          <w:p w14:paraId="3E6052BB">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eastAsia="zh-CN"/>
              </w:rPr>
              <w:t>评审期间,</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按磋商小组的要求提交经授权代表签字的澄清、说明、更正且澄清、说明、更正未超出响应文件范围或</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改变</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文件的实质性内容</w:t>
            </w:r>
          </w:p>
        </w:tc>
        <w:tc>
          <w:tcPr>
            <w:tcW w:w="468" w:type="pct"/>
            <w:shd w:val="clear" w:color="auto" w:fill="auto"/>
            <w:vAlign w:val="center"/>
          </w:tcPr>
          <w:p w14:paraId="1EA81190">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94B23D">
            <w:pPr>
              <w:pStyle w:val="48"/>
              <w:rPr>
                <w:rFonts w:hint="eastAsia" w:ascii="宋体" w:hAnsi="宋体" w:eastAsia="宋体" w:cs="宋体"/>
                <w:i w:val="0"/>
                <w:iCs w:val="0"/>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 w:type="pct"/>
            <w:shd w:val="clear" w:color="auto" w:fill="auto"/>
            <w:vAlign w:val="center"/>
          </w:tcPr>
          <w:p w14:paraId="09617D9C">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8</w:t>
            </w:r>
          </w:p>
        </w:tc>
        <w:tc>
          <w:tcPr>
            <w:tcW w:w="907" w:type="pct"/>
            <w:vAlign w:val="center"/>
          </w:tcPr>
          <w:p w14:paraId="2016E93A">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供应商影响评审</w:t>
            </w:r>
          </w:p>
        </w:tc>
        <w:tc>
          <w:tcPr>
            <w:tcW w:w="2762" w:type="pct"/>
            <w:shd w:val="clear" w:color="auto" w:fill="auto"/>
            <w:vAlign w:val="center"/>
          </w:tcPr>
          <w:p w14:paraId="50B76BB4">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对采购人、采购代理机构、磋商小组及其工作人员</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施加影响,</w:t>
            </w:r>
            <w:r>
              <w:rPr>
                <w:rFonts w:hint="eastAsia" w:ascii="宋体" w:hAnsi="宋体" w:eastAsia="宋体" w:cs="宋体"/>
                <w:i w:val="0"/>
                <w:iCs w:val="0"/>
                <w:color w:val="auto"/>
                <w:sz w:val="21"/>
                <w:szCs w:val="21"/>
                <w:highlight w:val="none"/>
                <w:lang w:val="en-US" w:eastAsia="zh-CN"/>
              </w:rPr>
              <w:t>无</w:t>
            </w:r>
            <w:r>
              <w:rPr>
                <w:rFonts w:hint="eastAsia" w:ascii="宋体" w:hAnsi="宋体" w:eastAsia="宋体" w:cs="宋体"/>
                <w:i w:val="0"/>
                <w:iCs w:val="0"/>
                <w:color w:val="auto"/>
                <w:sz w:val="21"/>
                <w:szCs w:val="21"/>
                <w:highlight w:val="none"/>
                <w:lang w:val="zh-CN" w:eastAsia="zh-CN"/>
              </w:rPr>
              <w:t>有碍公平、公正</w:t>
            </w:r>
            <w:r>
              <w:rPr>
                <w:rFonts w:hint="eastAsia" w:ascii="宋体" w:hAnsi="宋体" w:eastAsia="宋体" w:cs="宋体"/>
                <w:i w:val="0"/>
                <w:iCs w:val="0"/>
                <w:color w:val="auto"/>
                <w:sz w:val="21"/>
                <w:szCs w:val="21"/>
                <w:highlight w:val="none"/>
                <w:lang w:val="en-US" w:eastAsia="zh-CN"/>
              </w:rPr>
              <w:t>行为的</w:t>
            </w:r>
          </w:p>
        </w:tc>
        <w:tc>
          <w:tcPr>
            <w:tcW w:w="468" w:type="pct"/>
            <w:shd w:val="clear" w:color="auto" w:fill="auto"/>
            <w:vAlign w:val="center"/>
          </w:tcPr>
          <w:p w14:paraId="75DB24A7">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D6DA84C">
            <w:pPr>
              <w:pStyle w:val="48"/>
              <w:rPr>
                <w:rFonts w:hint="eastAsia" w:ascii="宋体" w:hAnsi="宋体" w:eastAsia="宋体" w:cs="宋体"/>
                <w:i w:val="0"/>
                <w:iCs w:val="0"/>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332BD4A6">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9</w:t>
            </w:r>
          </w:p>
        </w:tc>
        <w:tc>
          <w:tcPr>
            <w:tcW w:w="907" w:type="pct"/>
            <w:vAlign w:val="center"/>
          </w:tcPr>
          <w:p w14:paraId="56EEFE7E">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附加条件</w:t>
            </w:r>
          </w:p>
        </w:tc>
        <w:tc>
          <w:tcPr>
            <w:tcW w:w="2762" w:type="pct"/>
            <w:shd w:val="clear" w:color="auto" w:fill="auto"/>
            <w:vAlign w:val="center"/>
          </w:tcPr>
          <w:p w14:paraId="618DB2FB">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468" w:type="pct"/>
            <w:shd w:val="clear" w:color="auto" w:fill="auto"/>
            <w:vAlign w:val="center"/>
          </w:tcPr>
          <w:p w14:paraId="36C2A679">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3E4201A">
            <w:pPr>
              <w:pStyle w:val="48"/>
              <w:rPr>
                <w:rFonts w:hint="eastAsia" w:ascii="宋体" w:hAnsi="宋体" w:eastAsia="宋体" w:cs="宋体"/>
                <w:i w:val="0"/>
                <w:iCs w:val="0"/>
                <w:color w:val="auto"/>
                <w:sz w:val="21"/>
                <w:szCs w:val="21"/>
                <w:highlight w:val="none"/>
                <w:lang w:val="zh-CN"/>
              </w:rPr>
            </w:pPr>
          </w:p>
        </w:tc>
      </w:tr>
      <w:tr w14:paraId="681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323D8C9D">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10</w:t>
            </w:r>
          </w:p>
        </w:tc>
        <w:tc>
          <w:tcPr>
            <w:tcW w:w="907" w:type="pct"/>
            <w:shd w:val="clear" w:color="auto" w:fill="auto"/>
            <w:vAlign w:val="center"/>
          </w:tcPr>
          <w:p w14:paraId="39D684C7">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工程量清单</w:t>
            </w:r>
          </w:p>
        </w:tc>
        <w:tc>
          <w:tcPr>
            <w:tcW w:w="2762" w:type="pct"/>
            <w:shd w:val="clear" w:color="auto" w:fill="auto"/>
            <w:vAlign w:val="center"/>
          </w:tcPr>
          <w:p w14:paraId="5050123A">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未改变磋商文件提供工程量清单中的项目编码、项目名称、项目特征、计量单位和工程量的</w:t>
            </w:r>
          </w:p>
        </w:tc>
        <w:tc>
          <w:tcPr>
            <w:tcW w:w="468" w:type="pct"/>
            <w:shd w:val="clear" w:color="auto" w:fill="auto"/>
            <w:vAlign w:val="center"/>
          </w:tcPr>
          <w:p w14:paraId="68B59918">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69FE525">
            <w:pPr>
              <w:pStyle w:val="48"/>
              <w:rPr>
                <w:rFonts w:hint="eastAsia" w:ascii="宋体" w:hAnsi="宋体" w:eastAsia="宋体" w:cs="宋体"/>
                <w:i w:val="0"/>
                <w:iCs w:val="0"/>
                <w:color w:val="auto"/>
                <w:sz w:val="21"/>
                <w:szCs w:val="21"/>
                <w:highlight w:val="none"/>
                <w:lang w:val="zh-CN"/>
              </w:rPr>
            </w:pPr>
          </w:p>
        </w:tc>
      </w:tr>
      <w:tr w14:paraId="5A8F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26A2A042">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11</w:t>
            </w:r>
          </w:p>
        </w:tc>
        <w:tc>
          <w:tcPr>
            <w:tcW w:w="907" w:type="pct"/>
            <w:shd w:val="clear" w:color="auto" w:fill="auto"/>
            <w:vAlign w:val="center"/>
          </w:tcPr>
          <w:p w14:paraId="60C87E39">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不可竞争费</w:t>
            </w:r>
          </w:p>
        </w:tc>
        <w:tc>
          <w:tcPr>
            <w:tcW w:w="2762" w:type="pct"/>
            <w:shd w:val="clear" w:color="auto" w:fill="auto"/>
            <w:vAlign w:val="center"/>
          </w:tcPr>
          <w:p w14:paraId="341E17CE">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未改动规费、税金及安全文明施工费中“环境保护费、文明施工费、安全施工费”等不可竞争费的计费基础和费率的</w:t>
            </w:r>
          </w:p>
        </w:tc>
        <w:tc>
          <w:tcPr>
            <w:tcW w:w="468" w:type="pct"/>
            <w:shd w:val="clear" w:color="auto" w:fill="auto"/>
            <w:vAlign w:val="center"/>
          </w:tcPr>
          <w:p w14:paraId="06D8A276">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BCCA9D3">
            <w:pPr>
              <w:pStyle w:val="48"/>
              <w:rPr>
                <w:rFonts w:hint="eastAsia" w:ascii="宋体" w:hAnsi="宋体" w:eastAsia="宋体" w:cs="宋体"/>
                <w:i w:val="0"/>
                <w:iCs w:val="0"/>
                <w:color w:val="auto"/>
                <w:sz w:val="21"/>
                <w:szCs w:val="21"/>
                <w:highlight w:val="none"/>
                <w:lang w:val="zh-CN"/>
              </w:rPr>
            </w:pPr>
          </w:p>
        </w:tc>
      </w:tr>
      <w:tr w14:paraId="116B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4D7CA5EE">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12</w:t>
            </w:r>
          </w:p>
        </w:tc>
        <w:tc>
          <w:tcPr>
            <w:tcW w:w="907" w:type="pct"/>
            <w:shd w:val="clear" w:color="auto" w:fill="auto"/>
            <w:vAlign w:val="center"/>
          </w:tcPr>
          <w:p w14:paraId="4DAFF46B">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暂估价</w:t>
            </w:r>
          </w:p>
        </w:tc>
        <w:tc>
          <w:tcPr>
            <w:tcW w:w="2762" w:type="pct"/>
            <w:shd w:val="clear" w:color="auto" w:fill="auto"/>
            <w:vAlign w:val="center"/>
          </w:tcPr>
          <w:p w14:paraId="4631CD40">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未改动暂列金、专业工程暂估价的；未改动材料、设备等暂估单价的</w:t>
            </w:r>
          </w:p>
        </w:tc>
        <w:tc>
          <w:tcPr>
            <w:tcW w:w="468" w:type="pct"/>
            <w:shd w:val="clear" w:color="auto" w:fill="auto"/>
            <w:vAlign w:val="center"/>
          </w:tcPr>
          <w:p w14:paraId="0CDC72D6">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3A811F5">
            <w:pPr>
              <w:pStyle w:val="48"/>
              <w:rPr>
                <w:rFonts w:hint="eastAsia" w:ascii="宋体" w:hAnsi="宋体" w:eastAsia="宋体" w:cs="宋体"/>
                <w:i w:val="0"/>
                <w:iCs w:val="0"/>
                <w:color w:val="auto"/>
                <w:sz w:val="21"/>
                <w:szCs w:val="21"/>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3CD6AABE">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13</w:t>
            </w:r>
          </w:p>
        </w:tc>
        <w:tc>
          <w:tcPr>
            <w:tcW w:w="907" w:type="pct"/>
            <w:vAlign w:val="center"/>
          </w:tcPr>
          <w:p w14:paraId="40726A5F">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其他无效情形</w:t>
            </w:r>
          </w:p>
        </w:tc>
        <w:tc>
          <w:tcPr>
            <w:tcW w:w="2762" w:type="pct"/>
            <w:shd w:val="clear" w:color="auto" w:fill="auto"/>
            <w:vAlign w:val="center"/>
          </w:tcPr>
          <w:p w14:paraId="05CC0303">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468" w:type="pct"/>
            <w:shd w:val="clear" w:color="auto" w:fill="auto"/>
            <w:vAlign w:val="center"/>
          </w:tcPr>
          <w:p w14:paraId="3A44DE13">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D1C94D8">
            <w:pPr>
              <w:pStyle w:val="48"/>
              <w:rPr>
                <w:rFonts w:hint="eastAsia" w:ascii="宋体" w:hAnsi="宋体" w:eastAsia="宋体" w:cs="宋体"/>
                <w:i w:val="0"/>
                <w:iCs w:val="0"/>
                <w:color w:val="auto"/>
                <w:sz w:val="21"/>
                <w:szCs w:val="21"/>
                <w:highlight w:val="none"/>
                <w:lang w:val="zh-CN"/>
              </w:rPr>
            </w:pPr>
          </w:p>
        </w:tc>
      </w:tr>
      <w:tr w14:paraId="105D0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65992B2F">
            <w:pPr>
              <w:pStyle w:val="48"/>
              <w:numPr>
                <w:ilvl w:val="0"/>
                <w:numId w:val="0"/>
              </w:numPr>
              <w:shd w:val="clea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p>
        </w:tc>
        <w:tc>
          <w:tcPr>
            <w:tcW w:w="907" w:type="pct"/>
            <w:vAlign w:val="center"/>
          </w:tcPr>
          <w:p w14:paraId="52767F5E">
            <w:pPr>
              <w:pStyle w:val="48"/>
              <w:shd w:val="clea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w:t>
            </w:r>
          </w:p>
        </w:tc>
        <w:tc>
          <w:tcPr>
            <w:tcW w:w="2762" w:type="pct"/>
            <w:shd w:val="clear" w:color="auto" w:fill="auto"/>
            <w:vAlign w:val="center"/>
          </w:tcPr>
          <w:p w14:paraId="018BE69C">
            <w:pPr>
              <w:pStyle w:val="48"/>
              <w:shd w:val="clear"/>
              <w:rPr>
                <w:rFonts w:hint="eastAsia" w:ascii="宋体" w:hAnsi="宋体" w:eastAsia="宋体" w:cs="宋体"/>
                <w:i w:val="0"/>
                <w:iCs w:val="0"/>
                <w:color w:val="auto"/>
                <w:sz w:val="21"/>
                <w:szCs w:val="21"/>
                <w:highlight w:val="none"/>
                <w:lang w:val="zh-CN" w:eastAsia="zh-CN"/>
              </w:rPr>
            </w:pPr>
          </w:p>
        </w:tc>
        <w:tc>
          <w:tcPr>
            <w:tcW w:w="468" w:type="pct"/>
            <w:shd w:val="clear" w:color="auto" w:fill="auto"/>
            <w:vAlign w:val="center"/>
          </w:tcPr>
          <w:p w14:paraId="4BD7EBEE">
            <w:pPr>
              <w:pStyle w:val="48"/>
              <w:shd w:val="clear"/>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F4076D0">
            <w:pPr>
              <w:pStyle w:val="48"/>
              <w:shd w:val="clear"/>
              <w:rPr>
                <w:rFonts w:hint="eastAsia" w:ascii="宋体" w:hAnsi="宋体" w:eastAsia="宋体" w:cs="宋体"/>
                <w:i w:val="0"/>
                <w:iCs w:val="0"/>
                <w:color w:val="auto"/>
                <w:sz w:val="21"/>
                <w:szCs w:val="21"/>
                <w:highlight w:val="none"/>
                <w:lang w:val="zh-CN"/>
              </w:rPr>
            </w:pPr>
          </w:p>
        </w:tc>
      </w:tr>
    </w:tbl>
    <w:p w14:paraId="0A735208">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158B050">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17169925">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AC43D96">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039C59A">
      <w:pPr>
        <w:shd w:val="clear" w:color="auto"/>
        <w:tabs>
          <w:tab w:val="left" w:pos="3045"/>
        </w:tabs>
        <w:autoSpaceDE w:val="0"/>
        <w:autoSpaceDN w:val="0"/>
        <w:adjustRightInd w:val="0"/>
        <w:snapToGrid w:val="0"/>
        <w:spacing w:line="360" w:lineRule="exact"/>
        <w:rPr>
          <w:rFonts w:hint="eastAsia"/>
          <w:color w:val="auto"/>
          <w:highlight w:val="none"/>
        </w:rPr>
      </w:pPr>
      <w:r>
        <w:rPr>
          <w:rFonts w:hint="eastAsia" w:ascii="宋体" w:hAnsi="宋体" w:cs="宋体"/>
          <w:b/>
          <w:color w:val="auto"/>
          <w:sz w:val="24"/>
          <w:highlight w:val="none"/>
        </w:rPr>
        <w:t>符合</w:t>
      </w:r>
      <w:r>
        <w:rPr>
          <w:rFonts w:hint="eastAsia" w:ascii="宋体" w:hAnsi="宋体" w:cs="宋体"/>
          <w:b/>
          <w:color w:val="auto"/>
          <w:sz w:val="24"/>
          <w:highlight w:val="none"/>
          <w:lang w:eastAsia="zh-CN"/>
        </w:rPr>
        <w:t>性</w:t>
      </w:r>
      <w:r>
        <w:rPr>
          <w:rFonts w:hint="eastAsia" w:ascii="宋体" w:hAnsi="宋体" w:cs="宋体"/>
          <w:b/>
          <w:color w:val="auto"/>
          <w:sz w:val="24"/>
          <w:highlight w:val="none"/>
        </w:rPr>
        <w:t>检查</w:t>
      </w:r>
      <w:r>
        <w:rPr>
          <w:rFonts w:hint="eastAsia" w:cs="宋体"/>
          <w:b/>
          <w:color w:val="auto"/>
          <w:sz w:val="24"/>
          <w:highlight w:val="none"/>
          <w:lang w:val="en-US" w:eastAsia="zh-CN"/>
        </w:rPr>
        <w:t>-</w:t>
      </w:r>
      <w:r>
        <w:rPr>
          <w:rFonts w:hint="eastAsia" w:ascii="宋体" w:hAnsi="宋体" w:cs="宋体"/>
          <w:b/>
          <w:color w:val="auto"/>
          <w:sz w:val="24"/>
          <w:highlight w:val="none"/>
        </w:rPr>
        <w:t>附表</w:t>
      </w:r>
    </w:p>
    <w:p w14:paraId="5B0DC6FD">
      <w:pPr>
        <w:pStyle w:val="4"/>
        <w:keepNext/>
        <w:keepLines/>
        <w:pageBreakBefore w:val="0"/>
        <w:widowControl w:val="0"/>
        <w:numPr>
          <w:ilvl w:val="0"/>
          <w:numId w:val="0"/>
        </w:numPr>
        <w:shd w:val="clea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467" w:name="_Toc29921"/>
      <w:r>
        <w:rPr>
          <w:rFonts w:hint="eastAsia" w:ascii="宋体" w:hAnsi="宋体" w:eastAsia="宋体" w:cstheme="minorBidi"/>
          <w:b/>
          <w:bCs/>
          <w:color w:val="auto"/>
          <w:kern w:val="2"/>
          <w:sz w:val="28"/>
          <w:szCs w:val="28"/>
          <w:highlight w:val="none"/>
          <w:lang w:val="zh-CN" w:eastAsia="zh-CN" w:bidi="ar-SA"/>
        </w:rPr>
        <w:t>实质性响应一览表</w:t>
      </w:r>
      <w:bookmarkEnd w:id="467"/>
    </w:p>
    <w:p w14:paraId="24AB75D6">
      <w:pPr>
        <w:shd w:val="clear" w:color="auto"/>
        <w:tabs>
          <w:tab w:val="left" w:pos="3045"/>
        </w:tabs>
        <w:autoSpaceDE w:val="0"/>
        <w:autoSpaceDN w:val="0"/>
        <w:adjustRightInd w:val="0"/>
        <w:snapToGrid w:val="0"/>
        <w:spacing w:line="360" w:lineRule="exact"/>
        <w:jc w:val="center"/>
        <w:rPr>
          <w:rFonts w:hint="eastAsia" w:ascii="宋体" w:hAnsi="宋体" w:cs="宋体"/>
          <w:b/>
          <w:color w:val="auto"/>
          <w:sz w:val="24"/>
          <w:highlight w:val="none"/>
        </w:rPr>
      </w:pPr>
      <w:r>
        <w:rPr>
          <w:rFonts w:hint="eastAsia" w:ascii="宋体" w:hAnsi="宋体" w:cs="宋体"/>
          <w:b w:val="0"/>
          <w:bCs/>
          <w:color w:val="auto"/>
          <w:sz w:val="24"/>
          <w:highlight w:val="none"/>
        </w:rPr>
        <w:t>（供应商须对本附表所有内容逐条响应且无负偏离，否则</w:t>
      </w:r>
      <w:r>
        <w:rPr>
          <w:rFonts w:hint="eastAsia" w:cs="宋体"/>
          <w:b/>
          <w:color w:val="auto"/>
          <w:sz w:val="24"/>
          <w:highlight w:val="none"/>
          <w:lang w:val="en-US" w:eastAsia="zh-CN"/>
        </w:rPr>
        <w:t>响应</w:t>
      </w:r>
      <w:r>
        <w:rPr>
          <w:rFonts w:hint="eastAsia" w:ascii="宋体" w:hAnsi="宋体" w:cs="宋体"/>
          <w:b/>
          <w:color w:val="auto"/>
          <w:sz w:val="24"/>
          <w:highlight w:val="none"/>
        </w:rPr>
        <w:t>无效</w:t>
      </w:r>
      <w:r>
        <w:rPr>
          <w:rFonts w:hint="eastAsia" w:ascii="宋体" w:hAnsi="宋体" w:cs="宋体"/>
          <w:b w:val="0"/>
          <w:bCs/>
          <w:color w:val="auto"/>
          <w:sz w:val="24"/>
          <w:highlight w:val="none"/>
        </w:rPr>
        <w:t>）</w:t>
      </w:r>
    </w:p>
    <w:p w14:paraId="400FC2BB">
      <w:pPr>
        <w:pStyle w:val="24"/>
        <w:shd w:val="clear"/>
        <w:rPr>
          <w:rFonts w:hint="eastAsia" w:ascii="宋体" w:hAnsi="宋体" w:cs="宋体"/>
          <w:color w:val="auto"/>
          <w:highlight w:val="none"/>
        </w:rPr>
      </w:pPr>
    </w:p>
    <w:tbl>
      <w:tblPr>
        <w:tblStyle w:val="31"/>
        <w:tblW w:w="5173"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26"/>
        <w:gridCol w:w="3215"/>
        <w:gridCol w:w="1920"/>
        <w:gridCol w:w="684"/>
      </w:tblGrid>
      <w:tr w14:paraId="140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1" w:type="pct"/>
            <w:vMerge w:val="restart"/>
            <w:noWrap w:val="0"/>
            <w:vAlign w:val="center"/>
          </w:tcPr>
          <w:p w14:paraId="7974C545">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141" w:type="pct"/>
            <w:gridSpan w:val="2"/>
            <w:noWrap w:val="0"/>
            <w:vAlign w:val="center"/>
          </w:tcPr>
          <w:p w14:paraId="4F79053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文件要求的实质性响应内容</w:t>
            </w:r>
          </w:p>
        </w:tc>
        <w:tc>
          <w:tcPr>
            <w:tcW w:w="1088" w:type="pct"/>
            <w:vMerge w:val="restart"/>
            <w:noWrap w:val="0"/>
            <w:vAlign w:val="center"/>
          </w:tcPr>
          <w:p w14:paraId="1DFD5A16">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文件具体</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内容</w:t>
            </w:r>
          </w:p>
        </w:tc>
        <w:tc>
          <w:tcPr>
            <w:tcW w:w="387" w:type="pct"/>
            <w:vMerge w:val="restart"/>
            <w:noWrap w:val="0"/>
            <w:vAlign w:val="center"/>
          </w:tcPr>
          <w:p w14:paraId="182E982A">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3C4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81" w:type="pct"/>
            <w:vMerge w:val="continue"/>
            <w:noWrap w:val="0"/>
            <w:vAlign w:val="center"/>
          </w:tcPr>
          <w:p w14:paraId="72371D4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p>
        </w:tc>
        <w:tc>
          <w:tcPr>
            <w:tcW w:w="1318" w:type="pct"/>
            <w:shd w:val="clear" w:color="auto" w:fill="auto"/>
            <w:noWrap w:val="0"/>
            <w:vAlign w:val="center"/>
          </w:tcPr>
          <w:p w14:paraId="1BF20816">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实质性要求</w:t>
            </w:r>
          </w:p>
        </w:tc>
        <w:tc>
          <w:tcPr>
            <w:tcW w:w="1822" w:type="pct"/>
            <w:shd w:val="clear" w:color="auto" w:fill="auto"/>
            <w:noWrap w:val="0"/>
            <w:vAlign w:val="center"/>
          </w:tcPr>
          <w:p w14:paraId="7E16D5CE">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磋商文件中的规定</w:t>
            </w:r>
          </w:p>
        </w:tc>
        <w:tc>
          <w:tcPr>
            <w:tcW w:w="1088" w:type="pct"/>
            <w:vMerge w:val="continue"/>
            <w:noWrap w:val="0"/>
            <w:vAlign w:val="center"/>
          </w:tcPr>
          <w:p w14:paraId="70107A50">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c>
          <w:tcPr>
            <w:tcW w:w="387" w:type="pct"/>
            <w:vMerge w:val="continue"/>
            <w:noWrap w:val="0"/>
            <w:vAlign w:val="center"/>
          </w:tcPr>
          <w:p w14:paraId="34815FA2">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r>
      <w:tr w14:paraId="6468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381" w:type="pct"/>
            <w:noWrap w:val="0"/>
            <w:vAlign w:val="center"/>
          </w:tcPr>
          <w:p w14:paraId="1D030E89">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318" w:type="pct"/>
            <w:noWrap w:val="0"/>
            <w:vAlign w:val="center"/>
          </w:tcPr>
          <w:p w14:paraId="2AE01BE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有效期</w:t>
            </w:r>
          </w:p>
        </w:tc>
        <w:tc>
          <w:tcPr>
            <w:tcW w:w="1822" w:type="pct"/>
            <w:noWrap w:val="0"/>
            <w:vAlign w:val="center"/>
          </w:tcPr>
          <w:p w14:paraId="27457AC5">
            <w:pPr>
              <w:keepNext w:val="0"/>
              <w:keepLines w:val="0"/>
              <w:pageBreakBefore w:val="0"/>
              <w:widowControl w:val="0"/>
              <w:shd w:val="clear" w:color="auto"/>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（磋商文件关于响应文件有效期的规定）</w:t>
            </w:r>
          </w:p>
        </w:tc>
        <w:tc>
          <w:tcPr>
            <w:tcW w:w="1088" w:type="pct"/>
            <w:noWrap w:val="0"/>
            <w:vAlign w:val="center"/>
          </w:tcPr>
          <w:p w14:paraId="1B8FC55E">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供应商在</w:t>
            </w:r>
            <w:r>
              <w:rPr>
                <w:rFonts w:hint="eastAsia" w:ascii="宋体" w:hAnsi="宋体" w:eastAsia="宋体" w:cs="宋体"/>
                <w:i w:val="0"/>
                <w:iCs w:val="0"/>
                <w:color w:val="auto"/>
                <w:sz w:val="21"/>
                <w:szCs w:val="21"/>
                <w:highlight w:val="none"/>
              </w:rPr>
              <w:t>此处填写</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lang w:val="en-US" w:eastAsia="zh-CN"/>
              </w:rPr>
              <w:t>文件的相关内容</w:t>
            </w:r>
            <w:r>
              <w:rPr>
                <w:rFonts w:hint="eastAsia" w:ascii="宋体" w:hAnsi="宋体" w:eastAsia="宋体" w:cs="宋体"/>
                <w:i w:val="0"/>
                <w:iCs w:val="0"/>
                <w:color w:val="auto"/>
                <w:sz w:val="21"/>
                <w:szCs w:val="21"/>
                <w:highlight w:val="none"/>
                <w:lang w:eastAsia="zh-CN"/>
              </w:rPr>
              <w:t>】</w:t>
            </w:r>
          </w:p>
        </w:tc>
        <w:tc>
          <w:tcPr>
            <w:tcW w:w="387" w:type="pct"/>
            <w:noWrap w:val="0"/>
            <w:vAlign w:val="center"/>
          </w:tcPr>
          <w:p w14:paraId="7AC04232">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160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501E13E9">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318" w:type="pct"/>
            <w:noWrap w:val="0"/>
            <w:vAlign w:val="center"/>
          </w:tcPr>
          <w:p w14:paraId="65BB59B1">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【根据项目需要自行填列及编制】</w:t>
            </w:r>
          </w:p>
        </w:tc>
        <w:tc>
          <w:tcPr>
            <w:tcW w:w="1822" w:type="pct"/>
            <w:noWrap w:val="0"/>
            <w:vAlign w:val="center"/>
          </w:tcPr>
          <w:p w14:paraId="0AAF3A88">
            <w:pPr>
              <w:keepNext w:val="0"/>
              <w:keepLines w:val="0"/>
              <w:pageBreakBefore w:val="0"/>
              <w:widowControl w:val="0"/>
              <w:shd w:val="clear" w:color="auto"/>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1"/>
                <w:szCs w:val="21"/>
                <w:highlight w:val="none"/>
                <w:lang w:eastAsia="zh-CN"/>
              </w:rPr>
            </w:pPr>
          </w:p>
        </w:tc>
        <w:tc>
          <w:tcPr>
            <w:tcW w:w="1088" w:type="pct"/>
            <w:noWrap w:val="0"/>
            <w:vAlign w:val="center"/>
          </w:tcPr>
          <w:p w14:paraId="0ED460E3">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79B8A0D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6CB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28CC6CFE">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318" w:type="pct"/>
            <w:noWrap w:val="0"/>
            <w:vAlign w:val="center"/>
          </w:tcPr>
          <w:p w14:paraId="1C9AFC62">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46223A2E">
            <w:pPr>
              <w:pStyle w:val="101"/>
              <w:keepNext w:val="0"/>
              <w:keepLines w:val="0"/>
              <w:pageBreakBefore w:val="0"/>
              <w:widowControl w:val="0"/>
              <w:shd w:val="clear" w:color="auto"/>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kern w:val="0"/>
                <w:sz w:val="21"/>
                <w:szCs w:val="21"/>
                <w:highlight w:val="none"/>
                <w:lang w:val="en-US" w:eastAsia="zh-CN" w:bidi="ar-SA"/>
              </w:rPr>
            </w:pPr>
          </w:p>
        </w:tc>
        <w:tc>
          <w:tcPr>
            <w:tcW w:w="1088" w:type="pct"/>
            <w:noWrap w:val="0"/>
            <w:vAlign w:val="center"/>
          </w:tcPr>
          <w:p w14:paraId="5A56FEBE">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135B649A">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F3F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3FE9665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1318" w:type="pct"/>
            <w:noWrap w:val="0"/>
            <w:vAlign w:val="center"/>
          </w:tcPr>
          <w:p w14:paraId="66957625">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5FCDF232">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p>
        </w:tc>
        <w:tc>
          <w:tcPr>
            <w:tcW w:w="1088" w:type="pct"/>
            <w:noWrap w:val="0"/>
            <w:vAlign w:val="center"/>
          </w:tcPr>
          <w:p w14:paraId="56E63EA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3CC63F88">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BAD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727A18F1">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1318" w:type="pct"/>
            <w:noWrap w:val="0"/>
            <w:vAlign w:val="center"/>
          </w:tcPr>
          <w:p w14:paraId="20EF89DA">
            <w:pPr>
              <w:pStyle w:val="101"/>
              <w:keepNext w:val="0"/>
              <w:keepLines w:val="0"/>
              <w:pageBreakBefore w:val="0"/>
              <w:widowControl w:val="0"/>
              <w:shd w:val="clear" w:color="auto"/>
              <w:kinsoku/>
              <w:wordWrap/>
              <w:overflowPunct/>
              <w:topLinePunct w:val="0"/>
              <w:bidi w:val="0"/>
              <w:adjustRightInd/>
              <w:snapToGrid/>
              <w:spacing w:line="360" w:lineRule="exact"/>
              <w:ind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2C049B56">
            <w:pPr>
              <w:keepNext w:val="0"/>
              <w:keepLines w:val="0"/>
              <w:pageBreakBefore w:val="0"/>
              <w:widowControl w:val="0"/>
              <w:shd w:val="clear" w:color="auto"/>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1"/>
                <w:szCs w:val="21"/>
                <w:highlight w:val="none"/>
                <w:lang w:val="en-US" w:eastAsia="zh-CN"/>
              </w:rPr>
            </w:pPr>
          </w:p>
        </w:tc>
        <w:tc>
          <w:tcPr>
            <w:tcW w:w="1088" w:type="pct"/>
            <w:noWrap w:val="0"/>
            <w:vAlign w:val="center"/>
          </w:tcPr>
          <w:p w14:paraId="419B9AA0">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5A561DC3">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578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1BF7767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1318" w:type="pct"/>
            <w:noWrap w:val="0"/>
            <w:vAlign w:val="center"/>
          </w:tcPr>
          <w:p w14:paraId="744B405B">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1E3501D9">
            <w:pPr>
              <w:keepNext w:val="0"/>
              <w:keepLines w:val="0"/>
              <w:pageBreakBefore w:val="0"/>
              <w:widowControl w:val="0"/>
              <w:shd w:val="clear" w:color="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tc>
        <w:tc>
          <w:tcPr>
            <w:tcW w:w="1088" w:type="pct"/>
            <w:noWrap w:val="0"/>
            <w:vAlign w:val="center"/>
          </w:tcPr>
          <w:p w14:paraId="2A85F157">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61702B29">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651E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259529F3">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1318" w:type="pct"/>
            <w:noWrap w:val="0"/>
            <w:vAlign w:val="center"/>
          </w:tcPr>
          <w:p w14:paraId="3D20E210">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535CE24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tc>
        <w:tc>
          <w:tcPr>
            <w:tcW w:w="1088" w:type="pct"/>
            <w:noWrap w:val="0"/>
            <w:vAlign w:val="center"/>
          </w:tcPr>
          <w:p w14:paraId="47072BF8">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18183047">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38E1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1" w:type="pct"/>
            <w:noWrap w:val="0"/>
            <w:vAlign w:val="center"/>
          </w:tcPr>
          <w:p w14:paraId="6E256795">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p>
        </w:tc>
        <w:tc>
          <w:tcPr>
            <w:tcW w:w="1318" w:type="pct"/>
            <w:shd w:val="clear" w:color="auto" w:fill="auto"/>
            <w:noWrap w:val="0"/>
            <w:vAlign w:val="center"/>
          </w:tcPr>
          <w:p w14:paraId="5982B57A">
            <w:pPr>
              <w:pStyle w:val="48"/>
              <w:shd w:val="clea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w:t>
            </w:r>
          </w:p>
        </w:tc>
        <w:tc>
          <w:tcPr>
            <w:tcW w:w="1822" w:type="pct"/>
            <w:noWrap w:val="0"/>
            <w:vAlign w:val="center"/>
          </w:tcPr>
          <w:p w14:paraId="70F27D8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eastAsia="zh-CN"/>
              </w:rPr>
            </w:pPr>
          </w:p>
        </w:tc>
        <w:tc>
          <w:tcPr>
            <w:tcW w:w="1088" w:type="pct"/>
            <w:noWrap w:val="0"/>
            <w:vAlign w:val="center"/>
          </w:tcPr>
          <w:p w14:paraId="479DF9B1">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387" w:type="pct"/>
            <w:noWrap w:val="0"/>
            <w:vAlign w:val="center"/>
          </w:tcPr>
          <w:p w14:paraId="4938D177">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bl>
    <w:p w14:paraId="679008A5">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DFE4AA9">
      <w:pPr>
        <w:shd w:val="clear" w:color="auto"/>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3C7580B">
      <w:pPr>
        <w:shd w:val="clear"/>
        <w:rPr>
          <w:rFonts w:hint="default" w:eastAsia="宋体"/>
          <w:b/>
          <w:bCs/>
          <w:i w:val="0"/>
          <w:iCs w:val="0"/>
          <w:color w:val="auto"/>
          <w:sz w:val="21"/>
          <w:szCs w:val="21"/>
          <w:highlight w:val="none"/>
          <w:lang w:val="en-US" w:eastAsia="zh-CN"/>
        </w:rPr>
      </w:pPr>
      <w:r>
        <w:rPr>
          <w:rFonts w:hint="eastAsia"/>
          <w:b/>
          <w:bCs/>
          <w:i w:val="0"/>
          <w:iCs w:val="0"/>
          <w:color w:val="auto"/>
          <w:sz w:val="21"/>
          <w:szCs w:val="21"/>
          <w:highlight w:val="none"/>
          <w:lang w:val="en-US" w:eastAsia="zh-CN"/>
        </w:rPr>
        <w:t>注：“实质性响应一览表”中的内容为参考，可根据项目情况自行设置。</w:t>
      </w:r>
    </w:p>
    <w:p w14:paraId="62141655">
      <w:pPr>
        <w:shd w:val="clear"/>
        <w:rPr>
          <w:rFonts w:hint="eastAsia"/>
          <w:i w:val="0"/>
          <w:iCs w:val="0"/>
          <w:color w:val="auto"/>
          <w:highlight w:val="none"/>
          <w:lang w:val="zh-CN" w:eastAsia="zh-CN"/>
        </w:rPr>
      </w:pPr>
    </w:p>
    <w:p w14:paraId="602ECD2C">
      <w:pPr>
        <w:shd w:val="clear"/>
        <w:rPr>
          <w:rFonts w:hint="eastAsia"/>
          <w:i w:val="0"/>
          <w:iCs w:val="0"/>
          <w:color w:val="auto"/>
          <w:highlight w:val="none"/>
          <w:lang w:val="zh-CN" w:eastAsia="zh-CN"/>
        </w:rPr>
      </w:pPr>
    </w:p>
    <w:p w14:paraId="10F4A5E2">
      <w:pPr>
        <w:shd w:val="clear"/>
        <w:rPr>
          <w:rFonts w:hint="eastAsia"/>
          <w:i w:val="0"/>
          <w:iCs w:val="0"/>
          <w:color w:val="auto"/>
          <w:highlight w:val="none"/>
          <w:lang w:val="zh-CN" w:eastAsia="zh-CN"/>
        </w:rPr>
      </w:pPr>
    </w:p>
    <w:p w14:paraId="3D420025">
      <w:pPr>
        <w:pStyle w:val="4"/>
        <w:keepNext w:val="0"/>
        <w:keepLines w:val="0"/>
        <w:pageBreakBefore w:val="0"/>
        <w:widowControl w:val="0"/>
        <w:numPr>
          <w:ilvl w:val="0"/>
          <w:numId w:val="0"/>
        </w:numPr>
        <w:shd w:val="clea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8" w:name="_Toc163493640"/>
      <w:bookmarkStart w:id="469" w:name="_Toc2759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评分标准</w:t>
      </w:r>
      <w:bookmarkEnd w:id="468"/>
      <w:bookmarkEnd w:id="469"/>
    </w:p>
    <w:p w14:paraId="06EEC6BD">
      <w:pPr>
        <w:rPr>
          <w:rFonts w:hint="default"/>
          <w:i w:val="0"/>
          <w:iCs w:val="0"/>
          <w:color w:val="auto"/>
          <w:sz w:val="21"/>
          <w:szCs w:val="21"/>
          <w:highlight w:val="none"/>
          <w:lang w:val="en-US" w:eastAsia="zh-CN"/>
        </w:rPr>
      </w:pPr>
      <w:r>
        <w:rPr>
          <w:rFonts w:hint="eastAsia"/>
          <w:i w:val="0"/>
          <w:iCs w:val="0"/>
          <w:color w:val="auto"/>
          <w:sz w:val="21"/>
          <w:szCs w:val="21"/>
          <w:highlight w:val="none"/>
          <w:lang w:val="en-US" w:eastAsia="zh-CN"/>
        </w:rPr>
        <w:t>注：以下评标分项根据项目实际情况可自行设置。</w:t>
      </w:r>
    </w:p>
    <w:tbl>
      <w:tblPr>
        <w:tblStyle w:val="31"/>
        <w:tblW w:w="5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584"/>
        <w:gridCol w:w="999"/>
        <w:gridCol w:w="6039"/>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3" w:type="pct"/>
            <w:shd w:val="clear" w:color="auto" w:fill="D8D8D8" w:themeFill="background1" w:themeFillShade="D9"/>
            <w:vAlign w:val="center"/>
          </w:tcPr>
          <w:p w14:paraId="4924CA4E">
            <w:pPr>
              <w:pStyle w:val="48"/>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评标项目</w:t>
            </w:r>
          </w:p>
        </w:tc>
        <w:tc>
          <w:tcPr>
            <w:tcW w:w="825" w:type="pct"/>
            <w:shd w:val="clear" w:color="auto" w:fill="D8D8D8" w:themeFill="background1" w:themeFillShade="D9"/>
            <w:vAlign w:val="center"/>
          </w:tcPr>
          <w:p w14:paraId="7A3DCB70">
            <w:pPr>
              <w:pStyle w:val="48"/>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评标分项</w:t>
            </w:r>
          </w:p>
        </w:tc>
        <w:tc>
          <w:tcPr>
            <w:tcW w:w="521" w:type="pct"/>
            <w:shd w:val="clear" w:color="auto" w:fill="D8D8D8" w:themeFill="background1" w:themeFillShade="D9"/>
            <w:vAlign w:val="center"/>
          </w:tcPr>
          <w:p w14:paraId="65B86E0D">
            <w:pPr>
              <w:pStyle w:val="48"/>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分值</w:t>
            </w:r>
          </w:p>
        </w:tc>
        <w:tc>
          <w:tcPr>
            <w:tcW w:w="3149" w:type="pct"/>
            <w:shd w:val="clear" w:color="auto" w:fill="D8D8D8" w:themeFill="background1" w:themeFillShade="D9"/>
            <w:vAlign w:val="center"/>
          </w:tcPr>
          <w:p w14:paraId="467A385D">
            <w:pPr>
              <w:pStyle w:val="48"/>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03" w:type="pct"/>
            <w:vAlign w:val="center"/>
          </w:tcPr>
          <w:p w14:paraId="187CB795">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价格</w:t>
            </w:r>
          </w:p>
          <w:p w14:paraId="3C480381">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部分</w:t>
            </w:r>
          </w:p>
          <w:p w14:paraId="375F38AD">
            <w:pPr>
              <w:pStyle w:val="4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r>
              <w:rPr>
                <w:rFonts w:hint="eastAsia" w:cs="宋体"/>
                <w:i w:val="0"/>
                <w:iCs w:val="0"/>
                <w:color w:val="auto"/>
                <w:sz w:val="21"/>
                <w:szCs w:val="21"/>
                <w:highlight w:val="none"/>
                <w:lang w:val="en-US" w:eastAsia="zh-CN"/>
              </w:rPr>
              <w:t>)</w:t>
            </w:r>
          </w:p>
        </w:tc>
        <w:tc>
          <w:tcPr>
            <w:tcW w:w="825" w:type="pct"/>
            <w:tcBorders>
              <w:bottom w:val="single" w:color="auto" w:sz="4" w:space="0"/>
            </w:tcBorders>
            <w:vAlign w:val="center"/>
          </w:tcPr>
          <w:p w14:paraId="7C2CA7B7">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w:t>
            </w:r>
          </w:p>
        </w:tc>
        <w:tc>
          <w:tcPr>
            <w:tcW w:w="521" w:type="pct"/>
            <w:vAlign w:val="center"/>
          </w:tcPr>
          <w:p w14:paraId="036F3EE6">
            <w:pPr>
              <w:pStyle w:val="4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lang w:val="en-US" w:eastAsia="zh-CN"/>
              </w:rPr>
              <w:t>分</w:t>
            </w:r>
          </w:p>
        </w:tc>
        <w:tc>
          <w:tcPr>
            <w:tcW w:w="3149" w:type="pct"/>
            <w:vAlign w:val="center"/>
          </w:tcPr>
          <w:p w14:paraId="43A167D2">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满足竞争性磋商文件要求且</w:t>
            </w: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报价最低的报价为评审基准价，其价格分为满分。其他供应商的价格分统一按照下列公式计算：</w:t>
            </w:r>
          </w:p>
          <w:p w14:paraId="11FD0F0D">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报价得分=（评审基准价／</w:t>
            </w: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报价)×价格</w:t>
            </w:r>
            <w:r>
              <w:rPr>
                <w:rFonts w:hint="eastAsia" w:ascii="宋体" w:hAnsi="宋体" w:eastAsia="宋体" w:cs="宋体"/>
                <w:i w:val="0"/>
                <w:iCs w:val="0"/>
                <w:color w:val="auto"/>
                <w:sz w:val="21"/>
                <w:szCs w:val="21"/>
                <w:highlight w:val="none"/>
                <w:lang w:val="en-US" w:eastAsia="zh-CN"/>
              </w:rPr>
              <w:t>分</w:t>
            </w:r>
            <w:r>
              <w:rPr>
                <w:rFonts w:hint="eastAsia" w:ascii="宋体" w:hAnsi="宋体" w:eastAsia="宋体" w:cs="宋体"/>
                <w:i w:val="0"/>
                <w:iCs w:val="0"/>
                <w:color w:val="auto"/>
                <w:sz w:val="21"/>
                <w:szCs w:val="21"/>
                <w:highlight w:val="none"/>
              </w:rPr>
              <w:t>值</w:t>
            </w:r>
          </w:p>
          <w:p w14:paraId="0E5B2CBA">
            <w:pPr>
              <w:pStyle w:val="48"/>
              <w:rPr>
                <w:rFonts w:hint="eastAsia" w:ascii="宋体" w:hAnsi="宋体" w:eastAsia="宋体" w:cs="宋体"/>
                <w:i w:val="0"/>
                <w:iCs w:val="0"/>
                <w:color w:val="auto"/>
                <w:sz w:val="21"/>
                <w:szCs w:val="21"/>
                <w:highlight w:val="none"/>
              </w:rPr>
            </w:pPr>
          </w:p>
          <w:p w14:paraId="08440A10">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备注：符合供应商须知中价格扣除规定的，在评审时予以价格扣除，用扣除后的</w:t>
            </w:r>
            <w:r>
              <w:rPr>
                <w:rFonts w:hint="eastAsia" w:ascii="宋体" w:hAnsi="宋体" w:eastAsia="宋体" w:cs="宋体"/>
                <w:i w:val="0"/>
                <w:iCs w:val="0"/>
                <w:color w:val="auto"/>
                <w:sz w:val="21"/>
                <w:szCs w:val="21"/>
                <w:highlight w:val="none"/>
                <w:lang w:val="en-US" w:eastAsia="zh-CN"/>
              </w:rPr>
              <w:t>最后报价</w:t>
            </w:r>
            <w:r>
              <w:rPr>
                <w:rFonts w:hint="eastAsia" w:ascii="宋体" w:hAnsi="宋体" w:eastAsia="宋体" w:cs="宋体"/>
                <w:i w:val="0"/>
                <w:iCs w:val="0"/>
                <w:color w:val="auto"/>
                <w:sz w:val="21"/>
                <w:szCs w:val="21"/>
                <w:highlight w:val="none"/>
              </w:rPr>
              <w:t>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3" w:type="pct"/>
            <w:vMerge w:val="restart"/>
            <w:vAlign w:val="center"/>
          </w:tcPr>
          <w:p w14:paraId="48AAF4F9">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商务</w:t>
            </w:r>
          </w:p>
          <w:p w14:paraId="0EA62830">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部分</w:t>
            </w:r>
          </w:p>
          <w:p w14:paraId="6C0619A6">
            <w:pPr>
              <w:pStyle w:val="4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rPr>
              <w:t>分</w:t>
            </w:r>
            <w:r>
              <w:rPr>
                <w:rFonts w:hint="eastAsia" w:cs="宋体"/>
                <w:i w:val="0"/>
                <w:iCs w:val="0"/>
                <w:color w:val="auto"/>
                <w:sz w:val="21"/>
                <w:szCs w:val="21"/>
                <w:highlight w:val="none"/>
                <w:lang w:val="en-US" w:eastAsia="zh-CN"/>
              </w:rPr>
              <w:t>)</w:t>
            </w:r>
          </w:p>
        </w:tc>
        <w:tc>
          <w:tcPr>
            <w:tcW w:w="825" w:type="pct"/>
            <w:tcBorders>
              <w:top w:val="single" w:color="auto" w:sz="4" w:space="0"/>
            </w:tcBorders>
            <w:vAlign w:val="center"/>
          </w:tcPr>
          <w:p w14:paraId="7B47B92D">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业绩</w:t>
            </w:r>
          </w:p>
        </w:tc>
        <w:tc>
          <w:tcPr>
            <w:tcW w:w="521" w:type="pct"/>
            <w:vAlign w:val="center"/>
          </w:tcPr>
          <w:p w14:paraId="4E7EA155">
            <w:pPr>
              <w:pStyle w:val="48"/>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val="en-US" w:eastAsia="zh-CN"/>
              </w:rPr>
              <w:t>分</w:t>
            </w:r>
          </w:p>
        </w:tc>
        <w:tc>
          <w:tcPr>
            <w:tcW w:w="6039" w:type="dxa"/>
            <w:vAlign w:val="center"/>
          </w:tcPr>
          <w:p w14:paraId="00872C1F">
            <w:pPr>
              <w:pStyle w:val="48"/>
              <w:numPr>
                <w:ilvl w:val="0"/>
                <w:numId w:val="0"/>
              </w:numPr>
              <w:ind w:left="0" w:leftChars="0" w:firstLine="0" w:firstLineChars="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highlight w:val="none"/>
                <w:lang w:eastAsia="zh-CN"/>
              </w:rPr>
              <w:t>近三年（</w:t>
            </w:r>
            <w:r>
              <w:rPr>
                <w:rFonts w:hint="eastAsia" w:ascii="宋体" w:hAnsi="宋体" w:eastAsia="宋体" w:cs="宋体"/>
                <w:color w:val="auto"/>
                <w:highlight w:val="none"/>
                <w:lang w:val="en-US" w:eastAsia="zh-CN"/>
              </w:rPr>
              <w:t>2022年至今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投标人完成类似项目得履行情况（提供类似项目业绩的合同</w:t>
            </w:r>
            <w:r>
              <w:rPr>
                <w:rFonts w:hint="eastAsia" w:ascii="宋体" w:hAnsi="宋体" w:eastAsia="宋体" w:cs="宋体"/>
                <w:color w:val="auto"/>
                <w:highlight w:val="none"/>
                <w:lang w:eastAsia="zh-CN"/>
              </w:rPr>
              <w:t>和</w:t>
            </w:r>
            <w:r>
              <w:rPr>
                <w:rFonts w:hint="eastAsia" w:ascii="宋体" w:hAnsi="宋体" w:eastAsia="宋体" w:cs="宋体"/>
                <w:color w:val="auto"/>
                <w:highlight w:val="none"/>
              </w:rPr>
              <w:t>中标通知书扫描件，同时具备方为一个有效业绩，缺任何一项该业绩无效）每提供一项业绩加</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分，最高加</w:t>
            </w:r>
            <w:r>
              <w:rPr>
                <w:rFonts w:hint="eastAsia" w:cs="宋体"/>
                <w:color w:val="auto"/>
                <w:highlight w:val="none"/>
                <w:lang w:val="en-US" w:eastAsia="zh-CN"/>
              </w:rPr>
              <w:t>3</w:t>
            </w:r>
            <w:r>
              <w:rPr>
                <w:rFonts w:hint="eastAsia" w:ascii="宋体" w:hAnsi="宋体" w:eastAsia="宋体" w:cs="宋体"/>
                <w:color w:val="auto"/>
                <w:highlight w:val="none"/>
              </w:rPr>
              <w:t>分；</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pct"/>
            <w:vMerge w:val="continue"/>
            <w:vAlign w:val="center"/>
          </w:tcPr>
          <w:p w14:paraId="052C663E">
            <w:pPr>
              <w:pStyle w:val="48"/>
              <w:jc w:val="center"/>
              <w:rPr>
                <w:rFonts w:hint="eastAsia" w:ascii="宋体" w:hAnsi="宋体" w:eastAsia="宋体" w:cs="宋体"/>
                <w:i w:val="0"/>
                <w:iCs w:val="0"/>
                <w:color w:val="auto"/>
                <w:sz w:val="21"/>
                <w:szCs w:val="21"/>
                <w:highlight w:val="none"/>
              </w:rPr>
            </w:pPr>
          </w:p>
        </w:tc>
        <w:tc>
          <w:tcPr>
            <w:tcW w:w="825" w:type="pct"/>
            <w:tcBorders>
              <w:top w:val="single" w:color="auto" w:sz="4" w:space="0"/>
            </w:tcBorders>
            <w:vAlign w:val="center"/>
          </w:tcPr>
          <w:p w14:paraId="460AF2C5">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val="en-US" w:eastAsia="zh-CN"/>
              </w:rPr>
              <w:t>管理团队</w:t>
            </w:r>
          </w:p>
        </w:tc>
        <w:tc>
          <w:tcPr>
            <w:tcW w:w="521" w:type="pct"/>
            <w:vAlign w:val="center"/>
          </w:tcPr>
          <w:p w14:paraId="628FC415">
            <w:pPr>
              <w:pStyle w:val="48"/>
              <w:jc w:val="center"/>
              <w:rPr>
                <w:rFonts w:hint="default"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6分</w:t>
            </w:r>
          </w:p>
        </w:tc>
        <w:tc>
          <w:tcPr>
            <w:tcW w:w="6039" w:type="dxa"/>
            <w:vAlign w:val="center"/>
          </w:tcPr>
          <w:p w14:paraId="3A2699C9">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项目团队人员具备</w:t>
            </w:r>
            <w:r>
              <w:rPr>
                <w:rFonts w:hint="eastAsia" w:cs="宋体"/>
                <w:i w:val="0"/>
                <w:iCs w:val="0"/>
                <w:color w:val="auto"/>
                <w:sz w:val="21"/>
                <w:szCs w:val="21"/>
                <w:highlight w:val="none"/>
                <w:lang w:val="en-US" w:eastAsia="zh-CN"/>
              </w:rPr>
              <w:t>机械电子、电气自动化、机电工程或通信专业中级及以上职称证书、</w:t>
            </w:r>
            <w:r>
              <w:rPr>
                <w:rFonts w:hint="eastAsia" w:ascii="宋体" w:hAnsi="宋体" w:eastAsia="宋体" w:cs="宋体"/>
                <w:i w:val="0"/>
                <w:iCs w:val="0"/>
                <w:color w:val="auto"/>
                <w:sz w:val="21"/>
                <w:szCs w:val="21"/>
                <w:highlight w:val="none"/>
              </w:rPr>
              <w:t>系统集成项目管理</w:t>
            </w:r>
            <w:r>
              <w:rPr>
                <w:rFonts w:hint="eastAsia" w:cs="宋体"/>
                <w:i w:val="0"/>
                <w:iCs w:val="0"/>
                <w:color w:val="auto"/>
                <w:sz w:val="21"/>
                <w:szCs w:val="21"/>
                <w:highlight w:val="none"/>
                <w:lang w:val="en-US" w:eastAsia="zh-CN"/>
              </w:rPr>
              <w:t>师</w:t>
            </w:r>
            <w:r>
              <w:rPr>
                <w:rFonts w:hint="eastAsia" w:ascii="宋体" w:hAnsi="宋体" w:eastAsia="宋体" w:cs="宋体"/>
                <w:i w:val="0"/>
                <w:iCs w:val="0"/>
                <w:color w:val="auto"/>
                <w:sz w:val="21"/>
                <w:szCs w:val="21"/>
                <w:highlight w:val="none"/>
              </w:rPr>
              <w:t>、注册信息安全工程师CISP资质证书、CISAW信息安全保障人员认证证书，每提供一个得1分，最多可得6分。</w:t>
            </w:r>
          </w:p>
          <w:p w14:paraId="43821736">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注1：需提供证书扫描件，以上人员一人一证，不可重复计分。</w:t>
            </w:r>
          </w:p>
          <w:p w14:paraId="69AD5D4C">
            <w:pPr>
              <w:pStyle w:val="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注2：以上涉及人员资质证书均需提供相应人员近一年内连续三个月在本单位缴纳社会保险证明可得分，不提供不得分。</w:t>
            </w:r>
          </w:p>
        </w:tc>
      </w:tr>
      <w:tr w14:paraId="5E37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3" w:type="pct"/>
            <w:vMerge w:val="continue"/>
            <w:vAlign w:val="center"/>
          </w:tcPr>
          <w:p w14:paraId="68DD28AD">
            <w:pPr>
              <w:pStyle w:val="48"/>
              <w:jc w:val="center"/>
              <w:rPr>
                <w:rFonts w:hint="eastAsia" w:ascii="宋体" w:hAnsi="宋体" w:eastAsia="宋体" w:cs="宋体"/>
                <w:i w:val="0"/>
                <w:iCs w:val="0"/>
                <w:color w:val="auto"/>
                <w:sz w:val="21"/>
                <w:szCs w:val="21"/>
                <w:highlight w:val="none"/>
              </w:rPr>
            </w:pPr>
          </w:p>
        </w:tc>
        <w:tc>
          <w:tcPr>
            <w:tcW w:w="825" w:type="pct"/>
            <w:vAlign w:val="center"/>
          </w:tcPr>
          <w:p w14:paraId="0232849C">
            <w:pPr>
              <w:pStyle w:val="48"/>
              <w:jc w:val="center"/>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lang w:val="en-US" w:eastAsia="zh-CN"/>
              </w:rPr>
              <w:t>项目负责人</w:t>
            </w:r>
          </w:p>
        </w:tc>
        <w:tc>
          <w:tcPr>
            <w:tcW w:w="521" w:type="pct"/>
            <w:vAlign w:val="center"/>
          </w:tcPr>
          <w:p w14:paraId="5BCC7C00">
            <w:pPr>
              <w:pStyle w:val="4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val="en-US" w:eastAsia="zh-CN"/>
              </w:rPr>
              <w:t>分</w:t>
            </w:r>
          </w:p>
        </w:tc>
        <w:tc>
          <w:tcPr>
            <w:tcW w:w="6039" w:type="dxa"/>
            <w:vAlign w:val="center"/>
          </w:tcPr>
          <w:p w14:paraId="1538245D">
            <w:pPr>
              <w:pStyle w:val="48"/>
              <w:numPr>
                <w:ilvl w:val="0"/>
                <w:numId w:val="8"/>
              </w:num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拟派项目负责人同时具有</w:t>
            </w:r>
            <w:r>
              <w:rPr>
                <w:rFonts w:hint="eastAsia" w:ascii="宋体" w:hAnsi="宋体" w:eastAsia="宋体" w:cs="宋体"/>
                <w:i w:val="0"/>
                <w:iCs w:val="0"/>
                <w:color w:val="auto"/>
                <w:sz w:val="21"/>
                <w:szCs w:val="21"/>
                <w:highlight w:val="none"/>
                <w:lang w:val="en-US" w:eastAsia="zh-CN"/>
              </w:rPr>
              <w:t>机械电子、电气自动化、机电工程或通信专业</w:t>
            </w:r>
            <w:r>
              <w:rPr>
                <w:rFonts w:hint="eastAsia" w:ascii="宋体" w:hAnsi="宋体" w:eastAsia="宋体" w:cs="宋体"/>
                <w:i w:val="0"/>
                <w:iCs w:val="0"/>
                <w:color w:val="auto"/>
                <w:sz w:val="21"/>
                <w:szCs w:val="21"/>
                <w:highlight w:val="none"/>
              </w:rPr>
              <w:t>高级工程师职称证书</w:t>
            </w:r>
            <w:r>
              <w:rPr>
                <w:rFonts w:hint="eastAsia" w:ascii="宋体" w:hAnsi="宋体" w:eastAsia="宋体" w:cs="宋体"/>
                <w:i w:val="0"/>
                <w:iCs w:val="0"/>
                <w:color w:val="auto"/>
                <w:sz w:val="21"/>
                <w:szCs w:val="21"/>
                <w:highlight w:val="none"/>
                <w:lang w:val="en-US" w:eastAsia="zh-CN"/>
              </w:rPr>
              <w:t>、机电专业二级（含二级）以上注册建造师职业资格及有效的安全生产考核合格证书</w:t>
            </w:r>
            <w:r>
              <w:rPr>
                <w:rFonts w:hint="eastAsia" w:ascii="宋体" w:hAnsi="宋体" w:eastAsia="宋体" w:cs="宋体"/>
                <w:i w:val="0"/>
                <w:iCs w:val="0"/>
                <w:color w:val="auto"/>
                <w:sz w:val="21"/>
                <w:szCs w:val="21"/>
                <w:highlight w:val="none"/>
              </w:rPr>
              <w:t>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分；未提供不得分。</w:t>
            </w:r>
          </w:p>
          <w:p w14:paraId="4EED3E31">
            <w:pPr>
              <w:pStyle w:val="48"/>
              <w:numPr>
                <w:ilvl w:val="0"/>
                <w:numId w:val="8"/>
              </w:num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拟派技术负责人同时具有</w:t>
            </w:r>
            <w:r>
              <w:rPr>
                <w:rFonts w:hint="eastAsia" w:ascii="宋体" w:hAnsi="宋体" w:eastAsia="宋体" w:cs="宋体"/>
                <w:i w:val="0"/>
                <w:iCs w:val="0"/>
                <w:color w:val="auto"/>
                <w:sz w:val="21"/>
                <w:szCs w:val="21"/>
                <w:highlight w:val="none"/>
                <w:lang w:val="en-US" w:eastAsia="zh-CN"/>
              </w:rPr>
              <w:t>机械电子、电气自动化、机电工程或通信专业中</w:t>
            </w:r>
            <w:r>
              <w:rPr>
                <w:rFonts w:hint="eastAsia" w:ascii="宋体" w:hAnsi="宋体" w:eastAsia="宋体" w:cs="宋体"/>
                <w:i w:val="0"/>
                <w:iCs w:val="0"/>
                <w:color w:val="auto"/>
                <w:sz w:val="21"/>
                <w:szCs w:val="21"/>
                <w:highlight w:val="none"/>
              </w:rPr>
              <w:t>级工程师职称证书</w:t>
            </w:r>
            <w:r>
              <w:rPr>
                <w:rFonts w:hint="eastAsia" w:ascii="宋体" w:hAnsi="宋体" w:eastAsia="宋体" w:cs="宋体"/>
                <w:i w:val="0"/>
                <w:iCs w:val="0"/>
                <w:color w:val="auto"/>
                <w:sz w:val="21"/>
                <w:szCs w:val="21"/>
                <w:highlight w:val="none"/>
                <w:lang w:val="en-US" w:eastAsia="zh-CN"/>
              </w:rPr>
              <w:t>及</w:t>
            </w:r>
            <w:r>
              <w:rPr>
                <w:rFonts w:hint="eastAsia" w:ascii="宋体" w:hAnsi="宋体" w:eastAsia="宋体" w:cs="宋体"/>
                <w:i w:val="0"/>
                <w:iCs w:val="0"/>
                <w:color w:val="auto"/>
                <w:sz w:val="21"/>
                <w:szCs w:val="21"/>
                <w:highlight w:val="none"/>
              </w:rPr>
              <w:t>注册信息安全工程师CISP资质证书得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分；未提供不得分。</w:t>
            </w:r>
          </w:p>
        </w:tc>
      </w:tr>
      <w:tr w14:paraId="0956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3" w:type="pct"/>
            <w:vMerge w:val="continue"/>
            <w:vAlign w:val="center"/>
          </w:tcPr>
          <w:p w14:paraId="4EF16E8B">
            <w:pPr>
              <w:pStyle w:val="48"/>
              <w:jc w:val="center"/>
              <w:rPr>
                <w:rFonts w:hint="eastAsia" w:ascii="宋体" w:hAnsi="宋体" w:eastAsia="宋体" w:cs="宋体"/>
                <w:i w:val="0"/>
                <w:iCs w:val="0"/>
                <w:color w:val="auto"/>
                <w:sz w:val="21"/>
                <w:szCs w:val="21"/>
                <w:highlight w:val="none"/>
              </w:rPr>
            </w:pPr>
          </w:p>
        </w:tc>
        <w:tc>
          <w:tcPr>
            <w:tcW w:w="825" w:type="pct"/>
            <w:tcBorders>
              <w:top w:val="single" w:color="auto" w:sz="4" w:space="0"/>
            </w:tcBorders>
            <w:shd w:val="clear" w:color="auto" w:fill="auto"/>
            <w:vAlign w:val="center"/>
          </w:tcPr>
          <w:p w14:paraId="23875990">
            <w:pPr>
              <w:pStyle w:val="48"/>
              <w:jc w:val="center"/>
              <w:rPr>
                <w:rFonts w:hint="eastAsia"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售后服务承诺及培训方案</w:t>
            </w:r>
          </w:p>
        </w:tc>
        <w:tc>
          <w:tcPr>
            <w:tcW w:w="521" w:type="pct"/>
            <w:shd w:val="clear" w:color="auto" w:fill="auto"/>
            <w:vAlign w:val="center"/>
          </w:tcPr>
          <w:p w14:paraId="057CBCEF">
            <w:pPr>
              <w:pStyle w:val="48"/>
              <w:jc w:val="center"/>
              <w:rPr>
                <w:rFonts w:hint="default"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2分</w:t>
            </w:r>
          </w:p>
        </w:tc>
        <w:tc>
          <w:tcPr>
            <w:tcW w:w="3149" w:type="pct"/>
            <w:shd w:val="clear" w:color="auto" w:fill="auto"/>
            <w:vAlign w:val="center"/>
          </w:tcPr>
          <w:p w14:paraId="001C1B46">
            <w:pPr>
              <w:pStyle w:val="48"/>
              <w:rPr>
                <w:rFonts w:hint="eastAsia"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供应商须针对本项目提供详细的售后服务方案（包含但不限于售后服务具体内容、售后服务人员信息及服务电话、服务响应时间和故障处理措施、备品备件保证、质量保证、</w:t>
            </w:r>
            <w:r>
              <w:rPr>
                <w:rFonts w:hint="eastAsia" w:ascii="宋体" w:hAnsi="宋体" w:eastAsia="宋体" w:cs="宋体"/>
                <w:i w:val="0"/>
                <w:iCs w:val="0"/>
                <w:color w:val="auto"/>
                <w:kern w:val="2"/>
                <w:sz w:val="21"/>
                <w:szCs w:val="21"/>
                <w:highlight w:val="none"/>
                <w:lang w:val="en-US" w:eastAsia="zh-CN" w:bidi="ar-SA"/>
              </w:rPr>
              <w:t>保修有承诺、有违约经济处罚</w:t>
            </w:r>
            <w:r>
              <w:rPr>
                <w:rFonts w:hint="eastAsia" w:cs="宋体"/>
                <w:i w:val="0"/>
                <w:iCs w:val="0"/>
                <w:color w:val="auto"/>
                <w:kern w:val="2"/>
                <w:sz w:val="21"/>
                <w:szCs w:val="21"/>
                <w:highlight w:val="none"/>
                <w:lang w:val="en-US" w:eastAsia="zh-CN" w:bidi="ar-SA"/>
              </w:rPr>
              <w:t>、质保期外维保方案、履约验收方案、项目培训方案等</w:t>
            </w:r>
            <w:r>
              <w:rPr>
                <w:rFonts w:hint="eastAsia" w:ascii="宋体" w:hAnsi="宋体" w:eastAsia="宋体" w:cs="宋体"/>
                <w:i w:val="0"/>
                <w:iCs w:val="0"/>
                <w:color w:val="auto"/>
                <w:kern w:val="2"/>
                <w:sz w:val="21"/>
                <w:szCs w:val="21"/>
                <w:highlight w:val="none"/>
                <w:lang w:val="en-US" w:eastAsia="zh-CN" w:bidi="ar-SA"/>
              </w:rPr>
              <w:t>措施全面</w:t>
            </w:r>
            <w:r>
              <w:rPr>
                <w:rFonts w:hint="eastAsia" w:cs="宋体"/>
                <w:i w:val="0"/>
                <w:iCs w:val="0"/>
                <w:color w:val="auto"/>
                <w:kern w:val="2"/>
                <w:sz w:val="21"/>
                <w:szCs w:val="21"/>
                <w:highlight w:val="none"/>
                <w:lang w:val="en-US" w:eastAsia="zh-CN" w:bidi="ar-SA"/>
              </w:rPr>
              <w:t>）共</w:t>
            </w:r>
            <w:r>
              <w:rPr>
                <w:rFonts w:hint="eastAsia" w:ascii="宋体" w:hAnsi="宋体" w:eastAsia="宋体" w:cs="宋体"/>
                <w:i w:val="0"/>
                <w:iCs w:val="0"/>
                <w:color w:val="auto"/>
                <w:kern w:val="2"/>
                <w:sz w:val="21"/>
                <w:szCs w:val="21"/>
                <w:highlight w:val="none"/>
                <w:lang w:val="en-US" w:eastAsia="zh-CN" w:bidi="ar-SA"/>
              </w:rPr>
              <w:t>得</w:t>
            </w:r>
            <w:r>
              <w:rPr>
                <w:rFonts w:hint="eastAsia" w:cs="宋体"/>
                <w:i w:val="0"/>
                <w:iCs w:val="0"/>
                <w:color w:val="auto"/>
                <w:kern w:val="2"/>
                <w:sz w:val="21"/>
                <w:szCs w:val="21"/>
                <w:highlight w:val="none"/>
                <w:lang w:val="en-US" w:eastAsia="zh-CN" w:bidi="ar-SA"/>
              </w:rPr>
              <w:t>2</w:t>
            </w:r>
            <w:r>
              <w:rPr>
                <w:rFonts w:hint="eastAsia" w:ascii="宋体" w:hAnsi="宋体" w:eastAsia="宋体" w:cs="宋体"/>
                <w:i w:val="0"/>
                <w:iCs w:val="0"/>
                <w:color w:val="auto"/>
                <w:kern w:val="2"/>
                <w:sz w:val="21"/>
                <w:szCs w:val="21"/>
                <w:highlight w:val="none"/>
                <w:lang w:val="en-US" w:eastAsia="zh-CN" w:bidi="ar-SA"/>
              </w:rPr>
              <w:t>分，</w:t>
            </w:r>
            <w:r>
              <w:rPr>
                <w:color w:val="auto"/>
                <w:spacing w:val="-6"/>
                <w:highlight w:val="none"/>
              </w:rPr>
              <w:t>每有一小项内容不完整或存在缺陷扣</w:t>
            </w:r>
            <w:r>
              <w:rPr>
                <w:rFonts w:hint="eastAsia"/>
                <w:color w:val="auto"/>
                <w:spacing w:val="-49"/>
                <w:highlight w:val="none"/>
                <w:lang w:val="en-US" w:eastAsia="zh-CN"/>
              </w:rPr>
              <w:t>0.5</w:t>
            </w:r>
            <w:r>
              <w:rPr>
                <w:color w:val="auto"/>
                <w:spacing w:val="-6"/>
                <w:highlight w:val="none"/>
              </w:rPr>
              <w:t>分，</w:t>
            </w:r>
            <w:r>
              <w:rPr>
                <w:color w:val="auto"/>
                <w:spacing w:val="-5"/>
                <w:highlight w:val="none"/>
              </w:rPr>
              <w:t>扣完为止，不提供不得分。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3" w:type="pct"/>
            <w:vMerge w:val="restart"/>
            <w:vAlign w:val="center"/>
          </w:tcPr>
          <w:p w14:paraId="738992F7">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w:t>
            </w:r>
          </w:p>
          <w:p w14:paraId="009533AC">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部分</w:t>
            </w:r>
          </w:p>
          <w:p w14:paraId="3C5A6CF4">
            <w:pPr>
              <w:pStyle w:val="4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(55</w:t>
            </w:r>
            <w:r>
              <w:rPr>
                <w:rFonts w:hint="eastAsia" w:ascii="宋体" w:hAnsi="宋体" w:eastAsia="宋体" w:cs="宋体"/>
                <w:i w:val="0"/>
                <w:iCs w:val="0"/>
                <w:color w:val="auto"/>
                <w:sz w:val="21"/>
                <w:szCs w:val="21"/>
                <w:highlight w:val="none"/>
              </w:rPr>
              <w:t>分</w:t>
            </w:r>
            <w:r>
              <w:rPr>
                <w:rFonts w:hint="eastAsia" w:cs="宋体"/>
                <w:i w:val="0"/>
                <w:iCs w:val="0"/>
                <w:color w:val="auto"/>
                <w:sz w:val="21"/>
                <w:szCs w:val="21"/>
                <w:highlight w:val="none"/>
                <w:lang w:val="en-US" w:eastAsia="zh-CN"/>
              </w:rPr>
              <w:t>)</w:t>
            </w:r>
          </w:p>
        </w:tc>
        <w:tc>
          <w:tcPr>
            <w:tcW w:w="825" w:type="pct"/>
            <w:tcBorders>
              <w:top w:val="single" w:color="auto" w:sz="4" w:space="0"/>
            </w:tcBorders>
            <w:vAlign w:val="center"/>
          </w:tcPr>
          <w:p w14:paraId="1ECFDBB7">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施工组织设计或施工</w:t>
            </w:r>
            <w:r>
              <w:rPr>
                <w:rFonts w:hint="eastAsia" w:ascii="宋体" w:hAnsi="宋体" w:eastAsia="宋体" w:cs="宋体"/>
                <w:i w:val="0"/>
                <w:iCs w:val="0"/>
                <w:color w:val="auto"/>
                <w:sz w:val="21"/>
                <w:szCs w:val="21"/>
                <w:highlight w:val="none"/>
              </w:rPr>
              <w:t>方案</w:t>
            </w:r>
          </w:p>
        </w:tc>
        <w:tc>
          <w:tcPr>
            <w:tcW w:w="521" w:type="pct"/>
            <w:vAlign w:val="center"/>
          </w:tcPr>
          <w:p w14:paraId="35C961A9">
            <w:pPr>
              <w:pStyle w:val="48"/>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20</w:t>
            </w:r>
            <w:r>
              <w:rPr>
                <w:rFonts w:hint="eastAsia" w:ascii="宋体" w:hAnsi="宋体" w:eastAsia="宋体" w:cs="宋体"/>
                <w:i w:val="0"/>
                <w:iCs w:val="0"/>
                <w:color w:val="auto"/>
                <w:sz w:val="21"/>
                <w:szCs w:val="21"/>
                <w:highlight w:val="none"/>
                <w:lang w:val="en-US" w:eastAsia="zh-CN"/>
              </w:rPr>
              <w:t>分</w:t>
            </w:r>
          </w:p>
        </w:tc>
        <w:tc>
          <w:tcPr>
            <w:tcW w:w="3149" w:type="pct"/>
            <w:vAlign w:val="center"/>
          </w:tcPr>
          <w:p w14:paraId="0582AF26">
            <w:pPr>
              <w:pStyle w:val="48"/>
              <w:rPr>
                <w:rFonts w:hint="eastAsia" w:eastAsia="宋体"/>
                <w:color w:val="auto"/>
                <w:spacing w:val="-8"/>
                <w:highlight w:val="none"/>
                <w:lang w:val="en-US" w:eastAsia="zh-CN"/>
              </w:rPr>
            </w:pPr>
            <w:r>
              <w:rPr>
                <w:color w:val="auto"/>
                <w:spacing w:val="-5"/>
                <w:highlight w:val="none"/>
              </w:rPr>
              <w:t>根据投标供应商响应文件中提供的</w:t>
            </w:r>
            <w:r>
              <w:rPr>
                <w:rFonts w:hint="eastAsia" w:ascii="宋体" w:hAnsi="宋体" w:eastAsia="宋体" w:cs="宋体"/>
                <w:i w:val="0"/>
                <w:iCs w:val="0"/>
                <w:color w:val="auto"/>
                <w:sz w:val="21"/>
                <w:szCs w:val="21"/>
                <w:highlight w:val="none"/>
                <w:lang w:val="en-US" w:eastAsia="zh-CN"/>
              </w:rPr>
              <w:t>施工组织设计或</w:t>
            </w:r>
            <w:r>
              <w:rPr>
                <w:color w:val="auto"/>
                <w:spacing w:val="-5"/>
                <w:highlight w:val="none"/>
              </w:rPr>
              <w:t>施工方案进行综合评审。</w:t>
            </w:r>
            <w:r>
              <w:rPr>
                <w:color w:val="auto"/>
                <w:spacing w:val="13"/>
                <w:highlight w:val="none"/>
              </w:rPr>
              <w:t xml:space="preserve"> </w:t>
            </w:r>
            <w:r>
              <w:rPr>
                <w:color w:val="auto"/>
                <w:spacing w:val="-8"/>
                <w:highlight w:val="none"/>
              </w:rPr>
              <w:t>（1）</w:t>
            </w:r>
            <w:r>
              <w:rPr>
                <w:rFonts w:hint="eastAsia" w:ascii="宋体" w:hAnsi="宋体" w:eastAsia="宋体" w:cs="宋体"/>
                <w:i w:val="0"/>
                <w:iCs w:val="0"/>
                <w:color w:val="auto"/>
                <w:kern w:val="2"/>
                <w:sz w:val="21"/>
                <w:szCs w:val="21"/>
                <w:highlight w:val="none"/>
                <w:lang w:val="en-US" w:eastAsia="zh-CN" w:bidi="ar-SA"/>
              </w:rPr>
              <w:t>在确保工程质量前提下</w:t>
            </w:r>
            <w:r>
              <w:rPr>
                <w:rFonts w:hint="eastAsia" w:cs="宋体"/>
                <w:i w:val="0"/>
                <w:iCs w:val="0"/>
                <w:color w:val="auto"/>
                <w:kern w:val="2"/>
                <w:sz w:val="21"/>
                <w:szCs w:val="21"/>
                <w:highlight w:val="none"/>
                <w:lang w:val="en-US" w:eastAsia="zh-CN" w:bidi="ar-SA"/>
              </w:rPr>
              <w:t>提供更优化的施工方案；</w:t>
            </w:r>
          </w:p>
          <w:p w14:paraId="5050357A">
            <w:pPr>
              <w:pStyle w:val="48"/>
              <w:rPr>
                <w:rFonts w:hint="eastAsia" w:ascii="宋体" w:hAnsi="宋体" w:eastAsia="宋体" w:cs="宋体"/>
                <w:i w:val="0"/>
                <w:iCs w:val="0"/>
                <w:color w:val="auto"/>
                <w:sz w:val="21"/>
                <w:szCs w:val="21"/>
                <w:highlight w:val="none"/>
              </w:rPr>
            </w:pPr>
            <w:r>
              <w:rPr>
                <w:rFonts w:hint="eastAsia"/>
                <w:color w:val="auto"/>
                <w:spacing w:val="-8"/>
                <w:highlight w:val="none"/>
                <w:lang w:eastAsia="zh-CN"/>
              </w:rPr>
              <w:t>（</w:t>
            </w:r>
            <w:r>
              <w:rPr>
                <w:rFonts w:hint="eastAsia"/>
                <w:color w:val="auto"/>
                <w:spacing w:val="-8"/>
                <w:highlight w:val="none"/>
                <w:lang w:val="en-US" w:eastAsia="zh-CN"/>
              </w:rPr>
              <w:t>2</w:t>
            </w:r>
            <w:r>
              <w:rPr>
                <w:rFonts w:hint="eastAsia"/>
                <w:color w:val="auto"/>
                <w:spacing w:val="-8"/>
                <w:highlight w:val="none"/>
                <w:lang w:eastAsia="zh-CN"/>
              </w:rPr>
              <w:t>）</w:t>
            </w:r>
            <w:r>
              <w:rPr>
                <w:color w:val="auto"/>
                <w:spacing w:val="-8"/>
                <w:highlight w:val="none"/>
              </w:rPr>
              <w:t>使用的施工材料、机具、劳动力安排合理（</w:t>
            </w:r>
            <w:r>
              <w:rPr>
                <w:rFonts w:hint="eastAsia"/>
                <w:color w:val="auto"/>
                <w:spacing w:val="-8"/>
                <w:highlight w:val="none"/>
                <w:lang w:val="en-US" w:eastAsia="zh-CN"/>
              </w:rPr>
              <w:t>3</w:t>
            </w:r>
            <w:r>
              <w:rPr>
                <w:color w:val="auto"/>
                <w:spacing w:val="-8"/>
                <w:highlight w:val="none"/>
              </w:rPr>
              <w:t>）有确保</w:t>
            </w:r>
            <w:r>
              <w:rPr>
                <w:color w:val="auto"/>
                <w:spacing w:val="2"/>
                <w:highlight w:val="none"/>
              </w:rPr>
              <w:t xml:space="preserve"> </w:t>
            </w:r>
            <w:r>
              <w:rPr>
                <w:color w:val="auto"/>
                <w:spacing w:val="-13"/>
                <w:highlight w:val="none"/>
              </w:rPr>
              <w:t>工程质量、安全措施的方案（</w:t>
            </w:r>
            <w:r>
              <w:rPr>
                <w:rFonts w:hint="eastAsia"/>
                <w:color w:val="auto"/>
                <w:spacing w:val="-13"/>
                <w:highlight w:val="none"/>
                <w:lang w:val="en-US" w:eastAsia="zh-CN"/>
              </w:rPr>
              <w:t>4</w:t>
            </w:r>
            <w:r>
              <w:rPr>
                <w:color w:val="auto"/>
                <w:spacing w:val="-13"/>
                <w:highlight w:val="none"/>
              </w:rPr>
              <w:t>）文明施工措施可信度高（</w:t>
            </w:r>
            <w:r>
              <w:rPr>
                <w:rFonts w:hint="eastAsia"/>
                <w:color w:val="auto"/>
                <w:spacing w:val="-13"/>
                <w:highlight w:val="none"/>
                <w:lang w:val="en-US" w:eastAsia="zh-CN"/>
              </w:rPr>
              <w:t>5</w:t>
            </w:r>
            <w:r>
              <w:rPr>
                <w:color w:val="auto"/>
                <w:spacing w:val="-13"/>
                <w:highlight w:val="none"/>
              </w:rPr>
              <w:t>）</w:t>
            </w:r>
            <w:r>
              <w:rPr>
                <w:color w:val="auto"/>
                <w:spacing w:val="8"/>
                <w:highlight w:val="none"/>
              </w:rPr>
              <w:t xml:space="preserve"> </w:t>
            </w:r>
            <w:r>
              <w:rPr>
                <w:color w:val="auto"/>
                <w:spacing w:val="-5"/>
                <w:highlight w:val="none"/>
              </w:rPr>
              <w:t>施工总进度计划合理，共</w:t>
            </w:r>
            <w:r>
              <w:rPr>
                <w:color w:val="auto"/>
                <w:spacing w:val="-37"/>
                <w:highlight w:val="none"/>
              </w:rPr>
              <w:t xml:space="preserve"> </w:t>
            </w:r>
            <w:r>
              <w:rPr>
                <w:color w:val="auto"/>
                <w:spacing w:val="-5"/>
                <w:highlight w:val="none"/>
              </w:rPr>
              <w:t>20</w:t>
            </w:r>
            <w:r>
              <w:rPr>
                <w:color w:val="auto"/>
                <w:spacing w:val="-49"/>
                <w:highlight w:val="none"/>
              </w:rPr>
              <w:t xml:space="preserve"> </w:t>
            </w:r>
            <w:r>
              <w:rPr>
                <w:color w:val="auto"/>
                <w:spacing w:val="-5"/>
                <w:highlight w:val="none"/>
              </w:rPr>
              <w:t>分。经专家评审，每缺少一项</w:t>
            </w:r>
            <w:r>
              <w:rPr>
                <w:color w:val="auto"/>
                <w:spacing w:val="-6"/>
                <w:highlight w:val="none"/>
              </w:rPr>
              <w:t>内容扣</w:t>
            </w:r>
            <w:r>
              <w:rPr>
                <w:rFonts w:hint="eastAsia"/>
                <w:color w:val="auto"/>
                <w:spacing w:val="-6"/>
                <w:highlight w:val="none"/>
                <w:lang w:val="en-US" w:eastAsia="zh-CN"/>
              </w:rPr>
              <w:t>4</w:t>
            </w:r>
            <w:r>
              <w:rPr>
                <w:color w:val="auto"/>
                <w:spacing w:val="-49"/>
                <w:highlight w:val="none"/>
              </w:rPr>
              <w:t xml:space="preserve"> </w:t>
            </w:r>
            <w:r>
              <w:rPr>
                <w:color w:val="auto"/>
                <w:spacing w:val="-6"/>
                <w:highlight w:val="none"/>
              </w:rPr>
              <w:t>分，每有一小项内容不完整或存在缺陷扣</w:t>
            </w:r>
            <w:r>
              <w:rPr>
                <w:color w:val="auto"/>
                <w:spacing w:val="-49"/>
                <w:highlight w:val="none"/>
              </w:rPr>
              <w:t xml:space="preserve"> </w:t>
            </w:r>
            <w:r>
              <w:rPr>
                <w:color w:val="auto"/>
                <w:spacing w:val="-6"/>
                <w:highlight w:val="none"/>
              </w:rPr>
              <w:t>2</w:t>
            </w:r>
            <w:r>
              <w:rPr>
                <w:color w:val="auto"/>
                <w:spacing w:val="-49"/>
                <w:highlight w:val="none"/>
              </w:rPr>
              <w:t xml:space="preserve"> </w:t>
            </w:r>
            <w:r>
              <w:rPr>
                <w:color w:val="auto"/>
                <w:spacing w:val="-6"/>
                <w:highlight w:val="none"/>
              </w:rPr>
              <w:t>分，</w:t>
            </w:r>
            <w:r>
              <w:rPr>
                <w:color w:val="auto"/>
                <w:highlight w:val="none"/>
              </w:rPr>
              <w:t xml:space="preserve"> </w:t>
            </w:r>
            <w:r>
              <w:rPr>
                <w:color w:val="auto"/>
                <w:spacing w:val="-5"/>
                <w:highlight w:val="none"/>
              </w:rPr>
              <w:t>扣完为止，不提供不得分。</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3" w:type="pct"/>
            <w:vMerge w:val="continue"/>
            <w:vAlign w:val="center"/>
          </w:tcPr>
          <w:p w14:paraId="24E10105">
            <w:pPr>
              <w:pStyle w:val="48"/>
              <w:jc w:val="center"/>
              <w:rPr>
                <w:rFonts w:hint="eastAsia" w:ascii="宋体" w:hAnsi="宋体" w:eastAsia="宋体" w:cs="宋体"/>
                <w:i w:val="0"/>
                <w:iCs w:val="0"/>
                <w:color w:val="auto"/>
                <w:sz w:val="21"/>
                <w:szCs w:val="21"/>
                <w:highlight w:val="none"/>
              </w:rPr>
            </w:pPr>
          </w:p>
        </w:tc>
        <w:tc>
          <w:tcPr>
            <w:tcW w:w="825" w:type="pct"/>
            <w:vAlign w:val="center"/>
          </w:tcPr>
          <w:p w14:paraId="34DA9F14">
            <w:pPr>
              <w:pStyle w:val="48"/>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方案的先进性</w:t>
            </w:r>
          </w:p>
          <w:p w14:paraId="12E016C7">
            <w:pPr>
              <w:pStyle w:val="48"/>
              <w:jc w:val="left"/>
              <w:rPr>
                <w:rFonts w:hint="eastAsia" w:ascii="宋体" w:hAnsi="宋体" w:eastAsia="宋体" w:cs="宋体"/>
                <w:i w:val="0"/>
                <w:iCs w:val="0"/>
                <w:color w:val="auto"/>
                <w:sz w:val="21"/>
                <w:szCs w:val="21"/>
                <w:highlight w:val="none"/>
                <w:lang w:val="en-US" w:eastAsia="zh-CN"/>
              </w:rPr>
            </w:pPr>
          </w:p>
        </w:tc>
        <w:tc>
          <w:tcPr>
            <w:tcW w:w="521" w:type="pct"/>
            <w:vAlign w:val="center"/>
          </w:tcPr>
          <w:p w14:paraId="773B4056">
            <w:pPr>
              <w:pStyle w:val="48"/>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10分</w:t>
            </w:r>
          </w:p>
        </w:tc>
        <w:tc>
          <w:tcPr>
            <w:tcW w:w="3149" w:type="pct"/>
            <w:vAlign w:val="top"/>
          </w:tcPr>
          <w:p w14:paraId="60B93D60">
            <w:pPr>
              <w:pStyle w:val="48"/>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（1）采用新工艺、新技术、新设备各得0.5分，共1.5分，没有不得分</w:t>
            </w:r>
          </w:p>
          <w:p w14:paraId="528120C0">
            <w:pPr>
              <w:pStyle w:val="48"/>
              <w:jc w:val="lef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（2）在确保工程质量前提下，①有效降低成本②缩短工期③减轻劳动强度提高进度提案④执行国家强制性条文、有切 实可行的保证措施。共8.5分，经专家评审，每缺少一项内容扣2分，每有一小项内容不完整或存在缺陷扣 1.5 分，扣 完为止，不提供不得分。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3" w:type="pct"/>
            <w:vMerge w:val="continue"/>
            <w:vAlign w:val="center"/>
          </w:tcPr>
          <w:p w14:paraId="6BC81CA5">
            <w:pPr>
              <w:pStyle w:val="48"/>
              <w:jc w:val="center"/>
              <w:rPr>
                <w:rFonts w:hint="eastAsia" w:ascii="宋体" w:hAnsi="宋体" w:eastAsia="宋体" w:cs="宋体"/>
                <w:i w:val="0"/>
                <w:iCs w:val="0"/>
                <w:color w:val="auto"/>
                <w:sz w:val="21"/>
                <w:szCs w:val="21"/>
                <w:highlight w:val="none"/>
              </w:rPr>
            </w:pPr>
          </w:p>
        </w:tc>
        <w:tc>
          <w:tcPr>
            <w:tcW w:w="825" w:type="pct"/>
            <w:vAlign w:val="center"/>
          </w:tcPr>
          <w:p w14:paraId="4252416B">
            <w:pPr>
              <w:pStyle w:val="48"/>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质量管理体系</w:t>
            </w:r>
          </w:p>
        </w:tc>
        <w:tc>
          <w:tcPr>
            <w:tcW w:w="521" w:type="pct"/>
            <w:vAlign w:val="center"/>
          </w:tcPr>
          <w:p w14:paraId="6DCBCB28">
            <w:pPr>
              <w:pStyle w:val="110"/>
              <w:spacing w:before="178" w:line="221"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10分</w:t>
            </w:r>
          </w:p>
        </w:tc>
        <w:tc>
          <w:tcPr>
            <w:tcW w:w="3149" w:type="pct"/>
            <w:vAlign w:val="top"/>
          </w:tcPr>
          <w:p w14:paraId="012BAC0B">
            <w:pPr>
              <w:pStyle w:val="110"/>
              <w:spacing w:before="157" w:line="344" w:lineRule="auto"/>
              <w:ind w:left="8" w:leftChars="0"/>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①质量管理体系健全、组织机构形式合理，②质量保证措施 详细、全面合理可行，完全满足项目需求。共 10 分，经专 家评审，每缺少一项内容扣 5 分，每有一小项内容不完整或 存在缺陷扣 2.5 分，扣完为止，不提供不得分。</w:t>
            </w:r>
          </w:p>
        </w:tc>
      </w:tr>
      <w:tr w14:paraId="7FC3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3" w:type="pct"/>
            <w:vMerge w:val="continue"/>
            <w:vAlign w:val="center"/>
          </w:tcPr>
          <w:p w14:paraId="46EA0BD2">
            <w:pPr>
              <w:pStyle w:val="48"/>
              <w:jc w:val="center"/>
              <w:rPr>
                <w:rFonts w:hint="eastAsia" w:ascii="宋体" w:hAnsi="宋体" w:eastAsia="宋体" w:cs="宋体"/>
                <w:i w:val="0"/>
                <w:iCs w:val="0"/>
                <w:color w:val="auto"/>
                <w:sz w:val="21"/>
                <w:szCs w:val="21"/>
                <w:highlight w:val="none"/>
              </w:rPr>
            </w:pPr>
          </w:p>
        </w:tc>
        <w:tc>
          <w:tcPr>
            <w:tcW w:w="825" w:type="pct"/>
            <w:vAlign w:val="center"/>
          </w:tcPr>
          <w:p w14:paraId="1FD015AF">
            <w:pPr>
              <w:pStyle w:val="48"/>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安全管理体系</w:t>
            </w:r>
          </w:p>
          <w:p w14:paraId="4E8A02A6">
            <w:pPr>
              <w:pStyle w:val="48"/>
              <w:jc w:val="center"/>
              <w:rPr>
                <w:rFonts w:hint="eastAsia" w:ascii="宋体" w:hAnsi="宋体" w:eastAsia="宋体" w:cs="宋体"/>
                <w:i w:val="0"/>
                <w:iCs w:val="0"/>
                <w:color w:val="auto"/>
                <w:kern w:val="2"/>
                <w:sz w:val="21"/>
                <w:szCs w:val="21"/>
                <w:highlight w:val="none"/>
                <w:lang w:val="en-US" w:eastAsia="zh-CN" w:bidi="ar-SA"/>
              </w:rPr>
            </w:pPr>
          </w:p>
        </w:tc>
        <w:tc>
          <w:tcPr>
            <w:tcW w:w="521" w:type="pct"/>
            <w:vAlign w:val="center"/>
          </w:tcPr>
          <w:p w14:paraId="7002423C">
            <w:pPr>
              <w:pStyle w:val="110"/>
              <w:spacing w:before="78" w:line="220" w:lineRule="auto"/>
              <w:ind w:left="104" w:lef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6 分</w:t>
            </w:r>
          </w:p>
        </w:tc>
        <w:tc>
          <w:tcPr>
            <w:tcW w:w="3149" w:type="pct"/>
            <w:vAlign w:val="top"/>
          </w:tcPr>
          <w:p w14:paraId="716914E8">
            <w:pPr>
              <w:pStyle w:val="110"/>
              <w:spacing w:before="136" w:line="341" w:lineRule="auto"/>
              <w:ind w:left="8" w:leftChars="0"/>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①安全管理体系、安全责任制和安全管理制度健全②提出具 体可行的文明施工保证措施。共 6 分，经专家评审，每缺少 一项内容扣 3 分，每有一小项内容不完整或存在缺陷扣 1.5 分，扣完为止，不提供不得分。</w:t>
            </w:r>
          </w:p>
        </w:tc>
      </w:tr>
      <w:tr w14:paraId="799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3" w:type="pct"/>
            <w:vMerge w:val="continue"/>
            <w:vAlign w:val="center"/>
          </w:tcPr>
          <w:p w14:paraId="2FA335A6">
            <w:pPr>
              <w:pStyle w:val="48"/>
              <w:jc w:val="center"/>
              <w:rPr>
                <w:rFonts w:hint="eastAsia" w:ascii="宋体" w:hAnsi="宋体" w:eastAsia="宋体" w:cs="宋体"/>
                <w:i w:val="0"/>
                <w:iCs w:val="0"/>
                <w:color w:val="auto"/>
                <w:sz w:val="21"/>
                <w:szCs w:val="21"/>
                <w:highlight w:val="none"/>
              </w:rPr>
            </w:pPr>
          </w:p>
        </w:tc>
        <w:tc>
          <w:tcPr>
            <w:tcW w:w="825" w:type="pct"/>
            <w:vAlign w:val="center"/>
          </w:tcPr>
          <w:p w14:paraId="3D66D448">
            <w:pPr>
              <w:pStyle w:val="48"/>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技术难点及</w:t>
            </w:r>
          </w:p>
          <w:p w14:paraId="792407B7">
            <w:pPr>
              <w:pStyle w:val="48"/>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解决方案</w:t>
            </w:r>
          </w:p>
        </w:tc>
        <w:tc>
          <w:tcPr>
            <w:tcW w:w="521" w:type="pct"/>
            <w:vAlign w:val="center"/>
          </w:tcPr>
          <w:p w14:paraId="70505736">
            <w:pPr>
              <w:pStyle w:val="110"/>
              <w:spacing w:before="119" w:line="220" w:lineRule="auto"/>
              <w:ind w:left="100" w:lef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5 分</w:t>
            </w:r>
          </w:p>
        </w:tc>
        <w:tc>
          <w:tcPr>
            <w:tcW w:w="3149" w:type="pct"/>
            <w:vAlign w:val="top"/>
          </w:tcPr>
          <w:p w14:paraId="6BF314AA">
            <w:pPr>
              <w:pStyle w:val="110"/>
              <w:spacing w:before="78" w:line="346" w:lineRule="auto"/>
              <w:ind w:left="9" w:leftChars="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有具体的施工重点、技术难点及相应解决方案得 5 分，未提 供施工重点、难点及解决方案每有一处扣 2.5 分，扣完为止。</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3" w:type="pct"/>
            <w:vMerge w:val="continue"/>
            <w:vAlign w:val="center"/>
          </w:tcPr>
          <w:p w14:paraId="65A13EAE">
            <w:pPr>
              <w:pStyle w:val="48"/>
              <w:jc w:val="center"/>
              <w:rPr>
                <w:rFonts w:hint="eastAsia" w:ascii="宋体" w:hAnsi="宋体" w:eastAsia="宋体" w:cs="宋体"/>
                <w:i w:val="0"/>
                <w:iCs w:val="0"/>
                <w:color w:val="auto"/>
                <w:sz w:val="21"/>
                <w:szCs w:val="21"/>
                <w:highlight w:val="none"/>
              </w:rPr>
            </w:pPr>
          </w:p>
        </w:tc>
        <w:tc>
          <w:tcPr>
            <w:tcW w:w="825" w:type="pct"/>
            <w:shd w:val="clear" w:color="auto" w:fill="auto"/>
            <w:vAlign w:val="center"/>
          </w:tcPr>
          <w:p w14:paraId="2C59B433">
            <w:pPr>
              <w:pStyle w:val="48"/>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工程结算移交</w:t>
            </w:r>
          </w:p>
        </w:tc>
        <w:tc>
          <w:tcPr>
            <w:tcW w:w="521" w:type="pct"/>
            <w:shd w:val="clear" w:color="auto" w:fill="auto"/>
            <w:vAlign w:val="top"/>
          </w:tcPr>
          <w:p w14:paraId="0F805813">
            <w:pPr>
              <w:spacing w:line="330" w:lineRule="auto"/>
              <w:rPr>
                <w:rFonts w:hint="eastAsia" w:ascii="宋体" w:hAnsi="宋体" w:eastAsia="宋体" w:cs="宋体"/>
                <w:i w:val="0"/>
                <w:iCs w:val="0"/>
                <w:color w:val="auto"/>
                <w:kern w:val="2"/>
                <w:sz w:val="21"/>
                <w:szCs w:val="21"/>
                <w:highlight w:val="none"/>
                <w:lang w:val="en-US" w:eastAsia="zh-CN" w:bidi="ar-SA"/>
              </w:rPr>
            </w:pPr>
          </w:p>
          <w:p w14:paraId="73BB3CAC">
            <w:pPr>
              <w:pStyle w:val="110"/>
              <w:spacing w:before="1" w:line="22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 分</w:t>
            </w:r>
          </w:p>
        </w:tc>
        <w:tc>
          <w:tcPr>
            <w:tcW w:w="3149" w:type="pct"/>
            <w:vAlign w:val="top"/>
          </w:tcPr>
          <w:p w14:paraId="17119387">
            <w:pPr>
              <w:pStyle w:val="110"/>
              <w:spacing w:before="117" w:line="336" w:lineRule="auto"/>
              <w:ind w:left="10" w:leftChars="0" w:firstLine="10" w:firstLineChars="0"/>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（1）工程结算资料移交方案完整及时、管理制度明确（2） 台账规范，交接制度具体，完全符合相关规定。共 4 分，经 专家评审，每缺少一项内容扣 2 分，每有一小项内容不完整 或存在缺陷扣 1 分，扣完为止，不提供不得分。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29" w:type="pct"/>
            <w:gridSpan w:val="2"/>
            <w:vAlign w:val="center"/>
          </w:tcPr>
          <w:p w14:paraId="1F1436FF">
            <w:pPr>
              <w:pStyle w:val="4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合计</w:t>
            </w:r>
          </w:p>
        </w:tc>
        <w:tc>
          <w:tcPr>
            <w:tcW w:w="521" w:type="pct"/>
            <w:tcBorders>
              <w:bottom w:val="single" w:color="auto" w:sz="4" w:space="0"/>
            </w:tcBorders>
            <w:vAlign w:val="center"/>
          </w:tcPr>
          <w:p w14:paraId="2C7F1184">
            <w:pPr>
              <w:pStyle w:val="48"/>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=SUM(ABOVE)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lang w:val="en-US" w:eastAsia="zh-CN"/>
              </w:rPr>
              <w:t>分</w:t>
            </w:r>
          </w:p>
        </w:tc>
        <w:tc>
          <w:tcPr>
            <w:tcW w:w="3149" w:type="pct"/>
            <w:tcBorders>
              <w:bottom w:val="single" w:color="auto" w:sz="4" w:space="0"/>
            </w:tcBorders>
            <w:vAlign w:val="center"/>
          </w:tcPr>
          <w:p w14:paraId="7EBD69F8">
            <w:pPr>
              <w:pStyle w:val="48"/>
              <w:rPr>
                <w:rFonts w:hint="eastAsia" w:ascii="宋体" w:hAnsi="宋体" w:eastAsia="宋体" w:cs="宋体"/>
                <w:i w:val="0"/>
                <w:iCs w:val="0"/>
                <w:color w:val="auto"/>
                <w:sz w:val="21"/>
                <w:szCs w:val="21"/>
                <w:highlight w:val="none"/>
              </w:rPr>
            </w:pPr>
          </w:p>
        </w:tc>
      </w:tr>
    </w:tbl>
    <w:p w14:paraId="3188AE72">
      <w:pPr>
        <w:pStyle w:val="13"/>
        <w:rPr>
          <w:rFonts w:hint="eastAsia"/>
          <w:i w:val="0"/>
          <w:iCs w:val="0"/>
          <w:color w:val="auto"/>
          <w:highlight w:val="none"/>
          <w:lang w:val="zh-CN" w:eastAsia="zh-CN"/>
        </w:rPr>
      </w:pPr>
    </w:p>
    <w:p w14:paraId="602FAA87">
      <w:pPr>
        <w:rPr>
          <w:i w:val="0"/>
          <w:iCs w:val="0"/>
          <w:color w:val="auto"/>
          <w:highlight w:val="none"/>
        </w:rPr>
        <w:sectPr>
          <w:footerReference r:id="rId9" w:type="default"/>
          <w:pgSz w:w="11906" w:h="16838"/>
          <w:pgMar w:top="1440" w:right="1800" w:bottom="1440" w:left="1800" w:header="851" w:footer="652" w:gutter="0"/>
          <w:pgNumType w:fmt="decimal"/>
          <w:cols w:space="0" w:num="1"/>
          <w:rtlGutter w:val="0"/>
          <w:docGrid w:type="lines" w:linePitch="312" w:charSpace="0"/>
        </w:sectPr>
      </w:pPr>
    </w:p>
    <w:p w14:paraId="641B48DF">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i w:val="0"/>
          <w:iCs w:val="0"/>
          <w:color w:val="auto"/>
          <w:highlight w:val="none"/>
        </w:rPr>
      </w:pPr>
      <w:bookmarkStart w:id="470" w:name="_Toc17336"/>
      <w:r>
        <w:rPr>
          <w:rFonts w:hint="eastAsia" w:ascii="宋体" w:hAnsi="宋体" w:eastAsia="宋体" w:cs="宋体"/>
          <w:b/>
          <w:bCs/>
          <w:color w:val="auto"/>
          <w:kern w:val="44"/>
          <w:sz w:val="36"/>
          <w:szCs w:val="36"/>
          <w:highlight w:val="none"/>
          <w:lang w:val="en-US" w:eastAsia="zh-CN" w:bidi="ar-SA"/>
        </w:rPr>
        <w:t xml:space="preserve">第五章 </w:t>
      </w:r>
      <w:r>
        <w:rPr>
          <w:rFonts w:hint="eastAsia" w:ascii="宋体" w:hAnsi="宋体" w:eastAsia="宋体" w:cs="宋体"/>
          <w:b/>
          <w:bCs/>
          <w:color w:val="auto"/>
          <w:kern w:val="44"/>
          <w:sz w:val="36"/>
          <w:szCs w:val="36"/>
          <w:highlight w:val="none"/>
          <w:lang w:val="zh-CN" w:eastAsia="zh-CN" w:bidi="ar-SA"/>
        </w:rPr>
        <w:t>合同草案</w:t>
      </w:r>
      <w:bookmarkEnd w:id="470"/>
    </w:p>
    <w:p w14:paraId="27F58999">
      <w:pPr>
        <w:pStyle w:val="4"/>
        <w:numPr>
          <w:ilvl w:val="0"/>
          <w:numId w:val="0"/>
        </w:numPr>
        <w:jc w:val="center"/>
        <w:rPr>
          <w:rFonts w:eastAsia="华文中宋"/>
          <w:b w:val="0"/>
          <w:color w:val="auto"/>
          <w:sz w:val="28"/>
          <w:szCs w:val="28"/>
          <w:highlight w:val="none"/>
        </w:rPr>
      </w:pPr>
      <w:bookmarkStart w:id="471" w:name="_Toc3995"/>
      <w:r>
        <w:rPr>
          <w:rFonts w:hAnsi="华文中宋" w:eastAsia="华文中宋"/>
          <w:color w:val="auto"/>
          <w:sz w:val="28"/>
          <w:szCs w:val="28"/>
          <w:highlight w:val="none"/>
        </w:rPr>
        <w:t>第</w:t>
      </w:r>
      <w:r>
        <w:rPr>
          <w:rFonts w:hint="eastAsia" w:hAnsi="华文中宋" w:eastAsia="华文中宋"/>
          <w:color w:val="auto"/>
          <w:sz w:val="28"/>
          <w:szCs w:val="28"/>
          <w:highlight w:val="none"/>
          <w:lang w:eastAsia="zh-CN"/>
        </w:rPr>
        <w:t>一章</w:t>
      </w:r>
      <w:r>
        <w:rPr>
          <w:rFonts w:hint="eastAsia" w:hAnsi="华文中宋" w:eastAsia="华文中宋"/>
          <w:color w:val="auto"/>
          <w:sz w:val="28"/>
          <w:szCs w:val="28"/>
          <w:highlight w:val="none"/>
          <w:lang w:val="en-US" w:eastAsia="zh-CN"/>
        </w:rPr>
        <w:t xml:space="preserve">   </w:t>
      </w:r>
      <w:r>
        <w:rPr>
          <w:rFonts w:hAnsi="华文中宋" w:eastAsia="华文中宋"/>
          <w:color w:val="auto"/>
          <w:sz w:val="28"/>
          <w:szCs w:val="28"/>
          <w:highlight w:val="none"/>
        </w:rPr>
        <w:t>合同协议书</w:t>
      </w:r>
    </w:p>
    <w:p w14:paraId="6C2E5E14">
      <w:pPr>
        <w:snapToGrid w:val="0"/>
        <w:spacing w:line="360" w:lineRule="auto"/>
        <w:rPr>
          <w:b/>
          <w:color w:val="auto"/>
          <w:sz w:val="24"/>
          <w:szCs w:val="24"/>
          <w:highlight w:val="none"/>
          <w:u w:val="single"/>
        </w:rPr>
      </w:pPr>
      <w:r>
        <w:rPr>
          <w:b/>
          <w:color w:val="auto"/>
          <w:sz w:val="24"/>
          <w:szCs w:val="24"/>
          <w:highlight w:val="none"/>
        </w:rPr>
        <w:t>发包人（全称）</w:t>
      </w:r>
      <w:r>
        <w:rPr>
          <w:rFonts w:hint="eastAsia"/>
          <w:b/>
          <w:color w:val="auto"/>
          <w:sz w:val="24"/>
          <w:szCs w:val="24"/>
          <w:highlight w:val="none"/>
        </w:rPr>
        <w:t>：</w:t>
      </w:r>
      <w:r>
        <w:rPr>
          <w:rFonts w:hint="eastAsia"/>
          <w:b/>
          <w:color w:val="auto"/>
          <w:sz w:val="24"/>
          <w:szCs w:val="24"/>
          <w:highlight w:val="none"/>
          <w:u w:val="single"/>
        </w:rPr>
        <w:t xml:space="preserve">        </w:t>
      </w:r>
      <w:r>
        <w:rPr>
          <w:b/>
          <w:color w:val="auto"/>
          <w:sz w:val="24"/>
          <w:szCs w:val="24"/>
          <w:highlight w:val="none"/>
          <w:u w:val="single"/>
        </w:rPr>
        <w:t xml:space="preserve">   </w:t>
      </w:r>
      <w:r>
        <w:rPr>
          <w:rFonts w:hint="eastAsia"/>
          <w:b/>
          <w:color w:val="auto"/>
          <w:sz w:val="24"/>
          <w:szCs w:val="24"/>
          <w:highlight w:val="none"/>
          <w:u w:val="single"/>
        </w:rPr>
        <w:t xml:space="preserve">   </w:t>
      </w:r>
      <w:r>
        <w:rPr>
          <w:rFonts w:hint="eastAsia"/>
          <w:b/>
          <w:color w:val="auto"/>
          <w:sz w:val="24"/>
          <w:szCs w:val="24"/>
          <w:highlight w:val="none"/>
          <w:u w:val="single"/>
          <w:lang w:val="en-US" w:eastAsia="zh-CN"/>
        </w:rPr>
        <w:t xml:space="preserve">              </w:t>
      </w:r>
      <w:r>
        <w:rPr>
          <w:rFonts w:hint="eastAsia"/>
          <w:b/>
          <w:color w:val="auto"/>
          <w:sz w:val="24"/>
          <w:szCs w:val="24"/>
          <w:highlight w:val="none"/>
          <w:u w:val="single"/>
        </w:rPr>
        <w:t xml:space="preserve">    </w:t>
      </w:r>
    </w:p>
    <w:p w14:paraId="504CB746">
      <w:pPr>
        <w:snapToGrid w:val="0"/>
        <w:spacing w:line="360" w:lineRule="auto"/>
        <w:rPr>
          <w:b/>
          <w:color w:val="auto"/>
          <w:sz w:val="24"/>
          <w:szCs w:val="24"/>
          <w:highlight w:val="none"/>
          <w:u w:val="single"/>
        </w:rPr>
      </w:pPr>
      <w:r>
        <w:rPr>
          <w:b/>
          <w:color w:val="auto"/>
          <w:sz w:val="24"/>
          <w:szCs w:val="24"/>
          <w:highlight w:val="none"/>
        </w:rPr>
        <w:t>承包人（全称）：</w:t>
      </w:r>
      <w:r>
        <w:rPr>
          <w:b/>
          <w:color w:val="auto"/>
          <w:sz w:val="24"/>
          <w:szCs w:val="24"/>
          <w:highlight w:val="none"/>
          <w:u w:val="single"/>
        </w:rPr>
        <w:t>                </w:t>
      </w:r>
    </w:p>
    <w:p w14:paraId="4D0328FC">
      <w:pPr>
        <w:snapToGrid w:val="0"/>
        <w:spacing w:line="440" w:lineRule="exact"/>
        <w:jc w:val="left"/>
        <w:rPr>
          <w:color w:val="auto"/>
          <w:sz w:val="24"/>
          <w:szCs w:val="24"/>
          <w:highlight w:val="none"/>
        </w:rPr>
      </w:pPr>
      <w:r>
        <w:rPr>
          <w:color w:val="auto"/>
          <w:sz w:val="24"/>
          <w:szCs w:val="24"/>
          <w:highlight w:val="none"/>
        </w:rPr>
        <w:t xml:space="preserve">    根据《中华人民共和国</w:t>
      </w:r>
      <w:r>
        <w:rPr>
          <w:rFonts w:hint="eastAsia"/>
          <w:color w:val="auto"/>
          <w:sz w:val="24"/>
          <w:szCs w:val="24"/>
          <w:highlight w:val="none"/>
          <w:lang w:eastAsia="zh-CN"/>
        </w:rPr>
        <w:t>民法典</w:t>
      </w:r>
      <w:r>
        <w:rPr>
          <w:color w:val="auto"/>
          <w:sz w:val="24"/>
          <w:szCs w:val="24"/>
          <w:highlight w:val="none"/>
        </w:rPr>
        <w:t>》、《中华人民共和国建筑法》及有关法律规定，遵循平等、自愿、公平和诚实信用的原则，双方就</w:t>
      </w:r>
      <w:r>
        <w:rPr>
          <w:rFonts w:hint="eastAsia"/>
          <w:color w:val="auto"/>
          <w:sz w:val="24"/>
          <w:szCs w:val="24"/>
          <w:highlight w:val="none"/>
          <w:u w:val="single" w:color="auto"/>
          <w:lang w:val="en-US" w:eastAsia="zh-CN"/>
        </w:rPr>
        <w:t xml:space="preserve">      </w:t>
      </w:r>
      <w:r>
        <w:rPr>
          <w:color w:val="auto"/>
          <w:sz w:val="24"/>
          <w:szCs w:val="24"/>
          <w:highlight w:val="none"/>
        </w:rPr>
        <w:t>及有关事项协商一致，共同达成如下协议：</w:t>
      </w:r>
    </w:p>
    <w:p w14:paraId="3D9CD89F">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2" w:name="_Toc351203481"/>
      <w:r>
        <w:rPr>
          <w:rFonts w:ascii="Times New Roman" w:hAnsi="Times New Roman" w:eastAsia="宋体"/>
          <w:bCs/>
          <w:color w:val="auto"/>
          <w:sz w:val="24"/>
          <w:szCs w:val="24"/>
          <w:highlight w:val="none"/>
        </w:rPr>
        <w:t>一、工程概况</w:t>
      </w:r>
      <w:bookmarkEnd w:id="472"/>
    </w:p>
    <w:p w14:paraId="4AD118E6">
      <w:pPr>
        <w:numPr>
          <w:ilvl w:val="0"/>
          <w:numId w:val="9"/>
        </w:numPr>
        <w:snapToGrid w:val="0"/>
        <w:spacing w:line="440" w:lineRule="exact"/>
        <w:ind w:firstLine="480"/>
        <w:jc w:val="left"/>
        <w:rPr>
          <w:rFonts w:hint="eastAsia" w:ascii="宋体" w:hAnsi="宋体"/>
          <w:color w:val="auto"/>
          <w:sz w:val="24"/>
          <w:szCs w:val="24"/>
          <w:highlight w:val="none"/>
          <w:u w:val="none"/>
        </w:rPr>
      </w:pPr>
      <w:r>
        <w:rPr>
          <w:bCs/>
          <w:color w:val="auto"/>
          <w:sz w:val="24"/>
          <w:szCs w:val="24"/>
          <w:highlight w:val="none"/>
        </w:rPr>
        <w:t>工程名称</w:t>
      </w:r>
      <w:r>
        <w:rPr>
          <w:color w:val="auto"/>
          <w:sz w:val="24"/>
          <w:szCs w:val="24"/>
          <w:highlight w:val="none"/>
        </w:rPr>
        <w:t>：</w:t>
      </w:r>
      <w:r>
        <w:rPr>
          <w:rFonts w:hint="eastAsia"/>
          <w:color w:val="auto"/>
          <w:sz w:val="24"/>
          <w:szCs w:val="24"/>
          <w:highlight w:val="none"/>
          <w:u w:val="single"/>
          <w:lang w:val="en-US" w:eastAsia="zh-CN"/>
        </w:rPr>
        <w:t xml:space="preserve"> 某单位安防设施设备更新及线路改造项目 </w:t>
      </w:r>
    </w:p>
    <w:p w14:paraId="512D9D94">
      <w:pPr>
        <w:snapToGrid w:val="0"/>
        <w:spacing w:line="440" w:lineRule="exact"/>
        <w:ind w:firstLine="470" w:firstLineChars="196"/>
        <w:rPr>
          <w:rFonts w:hint="default" w:eastAsia="宋体"/>
          <w:bCs/>
          <w:color w:val="auto"/>
          <w:sz w:val="24"/>
          <w:szCs w:val="24"/>
          <w:highlight w:val="none"/>
          <w:lang w:val="en-US" w:eastAsia="zh-CN"/>
        </w:rPr>
      </w:pPr>
      <w:r>
        <w:rPr>
          <w:bCs/>
          <w:color w:val="auto"/>
          <w:sz w:val="24"/>
          <w:szCs w:val="24"/>
          <w:highlight w:val="none"/>
        </w:rPr>
        <w:t>2.工程地点：</w:t>
      </w:r>
      <w:r>
        <w:rPr>
          <w:rFonts w:hint="eastAsia"/>
          <w:color w:val="auto"/>
          <w:sz w:val="24"/>
          <w:szCs w:val="24"/>
          <w:highlight w:val="none"/>
          <w:u w:val="single"/>
          <w:lang w:val="en-US" w:eastAsia="zh-CN"/>
        </w:rPr>
        <w:t xml:space="preserve"> 石河子 </w:t>
      </w:r>
    </w:p>
    <w:p w14:paraId="49D26A76">
      <w:pPr>
        <w:snapToGrid w:val="0"/>
        <w:spacing w:line="440" w:lineRule="exact"/>
        <w:ind w:firstLine="480" w:firstLineChars="200"/>
        <w:jc w:val="left"/>
        <w:rPr>
          <w:rFonts w:hint="default"/>
          <w:bCs/>
          <w:color w:val="auto"/>
          <w:sz w:val="24"/>
          <w:szCs w:val="24"/>
          <w:highlight w:val="none"/>
          <w:u w:val="single"/>
          <w:lang w:val="en-US"/>
        </w:rPr>
      </w:pPr>
      <w:r>
        <w:rPr>
          <w:bCs/>
          <w:color w:val="auto"/>
          <w:sz w:val="24"/>
          <w:szCs w:val="24"/>
          <w:highlight w:val="none"/>
        </w:rPr>
        <w:t>3.</w:t>
      </w:r>
      <w:r>
        <w:rPr>
          <w:rFonts w:hint="eastAsia"/>
          <w:bCs/>
          <w:color w:val="auto"/>
          <w:sz w:val="24"/>
          <w:szCs w:val="24"/>
          <w:highlight w:val="none"/>
          <w:lang w:eastAsia="zh-CN"/>
        </w:rPr>
        <w:t>采购计划</w:t>
      </w:r>
      <w:r>
        <w:rPr>
          <w:bCs/>
          <w:color w:val="auto"/>
          <w:sz w:val="24"/>
          <w:szCs w:val="24"/>
          <w:highlight w:val="none"/>
        </w:rPr>
        <w:t>批准文号：</w:t>
      </w:r>
      <w:r>
        <w:rPr>
          <w:rFonts w:hint="eastAsia" w:ascii="宋体" w:hAnsi="宋体"/>
          <w:color w:val="auto"/>
          <w:kern w:val="0"/>
          <w:sz w:val="24"/>
          <w:highlight w:val="none"/>
          <w:u w:val="single"/>
          <w:lang w:val="en-US" w:eastAsia="zh-CN"/>
        </w:rPr>
        <w:t xml:space="preserve"> </w:t>
      </w:r>
      <w:r>
        <w:rPr>
          <w:rFonts w:hint="eastAsia"/>
          <w:color w:val="auto"/>
          <w:kern w:val="0"/>
          <w:sz w:val="24"/>
          <w:highlight w:val="none"/>
          <w:u w:val="single"/>
          <w:lang w:val="en-US" w:eastAsia="zh-CN"/>
        </w:rPr>
        <w:t>XJBTBJ[2025]1830号</w:t>
      </w:r>
    </w:p>
    <w:p w14:paraId="45ED8E0B">
      <w:pPr>
        <w:snapToGrid w:val="0"/>
        <w:spacing w:line="440" w:lineRule="exact"/>
        <w:ind w:firstLine="480" w:firstLineChars="200"/>
        <w:jc w:val="left"/>
        <w:rPr>
          <w:rFonts w:hint="default" w:eastAsia="宋体"/>
          <w:bCs/>
          <w:color w:val="auto"/>
          <w:sz w:val="24"/>
          <w:szCs w:val="24"/>
          <w:highlight w:val="none"/>
          <w:u w:val="single"/>
          <w:lang w:val="en-US" w:eastAsia="zh-CN"/>
        </w:rPr>
      </w:pPr>
      <w:r>
        <w:rPr>
          <w:bCs/>
          <w:color w:val="auto"/>
          <w:sz w:val="24"/>
          <w:szCs w:val="24"/>
          <w:highlight w:val="none"/>
        </w:rPr>
        <w:t>4.资金来源：</w:t>
      </w:r>
      <w:r>
        <w:rPr>
          <w:rFonts w:hint="eastAsia"/>
          <w:bCs/>
          <w:color w:val="auto"/>
          <w:sz w:val="24"/>
          <w:szCs w:val="24"/>
          <w:highlight w:val="none"/>
          <w:u w:val="single"/>
          <w:lang w:val="en-US" w:eastAsia="zh-CN"/>
        </w:rPr>
        <w:t xml:space="preserve"> 预算资金  </w:t>
      </w:r>
    </w:p>
    <w:p w14:paraId="2577B1B6">
      <w:pPr>
        <w:snapToGrid w:val="0"/>
        <w:spacing w:line="440" w:lineRule="exact"/>
        <w:ind w:firstLine="470" w:firstLineChars="196"/>
        <w:rPr>
          <w:rFonts w:hint="eastAsia" w:ascii="宋体" w:hAnsi="宋体"/>
          <w:color w:val="auto"/>
          <w:sz w:val="24"/>
          <w:szCs w:val="24"/>
          <w:highlight w:val="none"/>
          <w:u w:val="single"/>
        </w:rPr>
      </w:pPr>
      <w:r>
        <w:rPr>
          <w:bCs/>
          <w:color w:val="auto"/>
          <w:sz w:val="24"/>
          <w:szCs w:val="24"/>
          <w:highlight w:val="none"/>
        </w:rPr>
        <w:t>5.工程内容</w:t>
      </w:r>
      <w:r>
        <w:rPr>
          <w:rFonts w:hint="eastAsia"/>
          <w:bCs/>
          <w:color w:val="auto"/>
          <w:sz w:val="24"/>
          <w:szCs w:val="24"/>
          <w:highlight w:val="none"/>
        </w:rPr>
        <w:t>：</w:t>
      </w:r>
      <w:r>
        <w:rPr>
          <w:rFonts w:hint="eastAsia" w:ascii="宋体" w:hAnsi="宋体" w:cs="宋体"/>
          <w:color w:val="auto"/>
          <w:kern w:val="0"/>
          <w:sz w:val="24"/>
          <w:highlight w:val="none"/>
          <w:u w:val="single"/>
          <w:lang w:val="en-US" w:eastAsia="zh-CN"/>
        </w:rPr>
        <w:t>本工程主要是石河子市某单位安防设施设备更新及线路改造项目；其中包含：机房装修、机房设备安装、核心机房网络设备升级、指挥中心网络升级改造、核心机房至各点网络传输改造、不间断电源更换、指挥中心室内Q1.2pro高清LED全彩显示屏改造、大厅室内Q2H全彩显示屏改造、新建线缆沟以及更换光缆及电源线、体征信息采集（床垫）系统、新增存储设备、AB门改造、男队分控LCD拼接屏安装、新建隔离网以及高墙区域周界报警设备改造、更换高清摄像头、安装无人机配套智能停机坪一套等设施</w:t>
      </w:r>
      <w:r>
        <w:rPr>
          <w:rFonts w:hint="eastAsia" w:ascii="宋体" w:hAnsi="宋体" w:cs="宋体"/>
          <w:color w:val="auto"/>
          <w:kern w:val="0"/>
          <w:sz w:val="24"/>
          <w:highlight w:val="none"/>
          <w:u w:val="single"/>
          <w:lang w:eastAsia="zh-CN"/>
        </w:rPr>
        <w:t>，包含</w:t>
      </w:r>
      <w:r>
        <w:rPr>
          <w:rFonts w:hint="eastAsia"/>
          <w:color w:val="auto"/>
          <w:sz w:val="24"/>
          <w:szCs w:val="24"/>
          <w:highlight w:val="none"/>
          <w:u w:val="single"/>
        </w:rPr>
        <w:t>设计施工图纸范围</w:t>
      </w:r>
      <w:r>
        <w:rPr>
          <w:rFonts w:hint="eastAsia"/>
          <w:color w:val="auto"/>
          <w:sz w:val="24"/>
          <w:szCs w:val="24"/>
          <w:highlight w:val="none"/>
          <w:u w:val="single"/>
          <w:lang w:eastAsia="zh-CN"/>
        </w:rPr>
        <w:t>、招标技术要求</w:t>
      </w:r>
      <w:r>
        <w:rPr>
          <w:rFonts w:hint="eastAsia"/>
          <w:color w:val="auto"/>
          <w:sz w:val="24"/>
          <w:szCs w:val="24"/>
          <w:highlight w:val="none"/>
          <w:u w:val="single"/>
        </w:rPr>
        <w:t>及工程量清单内所内容。</w:t>
      </w:r>
      <w:r>
        <w:rPr>
          <w:rFonts w:hint="eastAsia" w:ascii="宋体" w:hAnsi="宋体"/>
          <w:color w:val="auto"/>
          <w:sz w:val="24"/>
          <w:szCs w:val="24"/>
          <w:highlight w:val="none"/>
          <w:u w:val="single"/>
        </w:rPr>
        <w:t xml:space="preserve"> </w:t>
      </w:r>
    </w:p>
    <w:p w14:paraId="0BA4F42F">
      <w:pPr>
        <w:snapToGrid w:val="0"/>
        <w:spacing w:line="440" w:lineRule="exact"/>
        <w:ind w:firstLine="470" w:firstLineChars="196"/>
        <w:rPr>
          <w:bCs/>
          <w:color w:val="auto"/>
          <w:sz w:val="24"/>
          <w:szCs w:val="24"/>
          <w:highlight w:val="none"/>
        </w:rPr>
      </w:pPr>
      <w:r>
        <w:rPr>
          <w:color w:val="auto"/>
          <w:sz w:val="24"/>
          <w:szCs w:val="24"/>
          <w:highlight w:val="none"/>
        </w:rPr>
        <w:t>群体工程应附《承包人承揽工程项目一览表》（附件1）。</w:t>
      </w:r>
    </w:p>
    <w:p w14:paraId="16E34647">
      <w:pPr>
        <w:snapToGrid w:val="0"/>
        <w:spacing w:line="440" w:lineRule="exact"/>
        <w:ind w:firstLine="470" w:firstLineChars="196"/>
        <w:rPr>
          <w:rFonts w:hint="default" w:ascii="宋体" w:hAnsi="宋体" w:eastAsia="宋体"/>
          <w:color w:val="auto"/>
          <w:sz w:val="24"/>
          <w:szCs w:val="24"/>
          <w:highlight w:val="none"/>
          <w:u w:val="single"/>
          <w:lang w:val="en-US" w:eastAsia="zh-CN"/>
        </w:rPr>
      </w:pPr>
      <w:r>
        <w:rPr>
          <w:bCs/>
          <w:color w:val="auto"/>
          <w:sz w:val="24"/>
          <w:szCs w:val="24"/>
          <w:highlight w:val="none"/>
        </w:rPr>
        <w:t>6.工程承包范围：</w:t>
      </w:r>
      <w:r>
        <w:rPr>
          <w:rFonts w:hint="eastAsia" w:ascii="宋体" w:hAnsi="宋体"/>
          <w:color w:val="auto"/>
          <w:sz w:val="24"/>
          <w:szCs w:val="24"/>
          <w:highlight w:val="none"/>
          <w:u w:val="single"/>
        </w:rPr>
        <w:t xml:space="preserve"> </w:t>
      </w:r>
      <w:r>
        <w:rPr>
          <w:rFonts w:hint="eastAsia" w:ascii="宋体" w:hAnsi="宋体" w:cs="宋体"/>
          <w:color w:val="auto"/>
          <w:kern w:val="0"/>
          <w:sz w:val="24"/>
          <w:highlight w:val="none"/>
          <w:u w:val="single"/>
          <w:lang w:val="en-US" w:eastAsia="zh-CN"/>
        </w:rPr>
        <w:t>本工程主要是石河子市某单位安防设施设备更新及线路改造项目，</w:t>
      </w:r>
      <w:r>
        <w:rPr>
          <w:rFonts w:hint="eastAsia" w:ascii="宋体" w:hAnsi="宋体" w:cs="宋体"/>
          <w:color w:val="auto"/>
          <w:kern w:val="0"/>
          <w:sz w:val="24"/>
          <w:highlight w:val="none"/>
          <w:u w:val="single"/>
          <w:lang w:eastAsia="zh-CN"/>
        </w:rPr>
        <w:t>包含</w:t>
      </w:r>
      <w:r>
        <w:rPr>
          <w:rFonts w:hint="eastAsia"/>
          <w:color w:val="auto"/>
          <w:sz w:val="24"/>
          <w:szCs w:val="24"/>
          <w:highlight w:val="none"/>
          <w:u w:val="single"/>
        </w:rPr>
        <w:t>设计施工图纸范围</w:t>
      </w:r>
      <w:r>
        <w:rPr>
          <w:rFonts w:hint="eastAsia"/>
          <w:color w:val="auto"/>
          <w:sz w:val="24"/>
          <w:szCs w:val="24"/>
          <w:highlight w:val="none"/>
          <w:u w:val="single"/>
          <w:lang w:eastAsia="zh-CN"/>
        </w:rPr>
        <w:t>、招标技术要求</w:t>
      </w:r>
      <w:r>
        <w:rPr>
          <w:rFonts w:hint="eastAsia"/>
          <w:color w:val="auto"/>
          <w:sz w:val="24"/>
          <w:szCs w:val="24"/>
          <w:highlight w:val="none"/>
          <w:u w:val="single"/>
        </w:rPr>
        <w:t>及工程量清单内所内容</w:t>
      </w:r>
      <w:r>
        <w:rPr>
          <w:rFonts w:hint="eastAsia"/>
          <w:color w:val="auto"/>
          <w:sz w:val="24"/>
          <w:szCs w:val="24"/>
          <w:highlight w:val="none"/>
          <w:u w:val="none"/>
        </w:rPr>
        <w:t>。</w:t>
      </w:r>
      <w:r>
        <w:rPr>
          <w:rFonts w:hint="eastAsia" w:ascii="宋体" w:hAnsi="宋体"/>
          <w:color w:val="auto"/>
          <w:sz w:val="24"/>
          <w:szCs w:val="24"/>
          <w:highlight w:val="none"/>
          <w:u w:val="none"/>
          <w:lang w:val="en-US" w:eastAsia="zh-CN"/>
        </w:rPr>
        <w:t xml:space="preserve">  </w:t>
      </w:r>
    </w:p>
    <w:p w14:paraId="6EA834F5">
      <w:pPr>
        <w:pStyle w:val="5"/>
        <w:snapToGrid w:val="0"/>
        <w:spacing w:before="0" w:after="0" w:line="440" w:lineRule="exact"/>
        <w:rPr>
          <w:rFonts w:ascii="Times New Roman" w:hAnsi="Times New Roman" w:eastAsia="宋体"/>
          <w:b w:val="0"/>
          <w:color w:val="auto"/>
          <w:sz w:val="24"/>
          <w:szCs w:val="24"/>
          <w:highlight w:val="none"/>
        </w:rPr>
      </w:pPr>
      <w:r>
        <w:rPr>
          <w:rFonts w:ascii="Times New Roman" w:hAnsi="Times New Roman" w:eastAsia="宋体"/>
          <w:b w:val="0"/>
          <w:color w:val="auto"/>
          <w:sz w:val="24"/>
          <w:szCs w:val="24"/>
          <w:highlight w:val="none"/>
        </w:rPr>
        <w:t xml:space="preserve">   </w:t>
      </w:r>
      <w:bookmarkStart w:id="473" w:name="_Toc351203482"/>
      <w:r>
        <w:rPr>
          <w:rFonts w:ascii="Times New Roman" w:hAnsi="Times New Roman" w:eastAsia="宋体"/>
          <w:bCs/>
          <w:color w:val="auto"/>
          <w:sz w:val="24"/>
          <w:szCs w:val="24"/>
          <w:highlight w:val="none"/>
        </w:rPr>
        <w:t>二、合同工期</w:t>
      </w:r>
      <w:bookmarkEnd w:id="473"/>
    </w:p>
    <w:p w14:paraId="6713B043">
      <w:pPr>
        <w:widowControl/>
        <w:spacing w:line="260" w:lineRule="exact"/>
        <w:ind w:firstLine="480" w:firstLineChars="200"/>
        <w:rPr>
          <w:rFonts w:hint="eastAsia"/>
          <w:color w:val="auto"/>
          <w:sz w:val="24"/>
          <w:szCs w:val="24"/>
          <w:highlight w:val="none"/>
        </w:rPr>
      </w:pPr>
      <w:r>
        <w:rPr>
          <w:color w:val="auto"/>
          <w:sz w:val="24"/>
          <w:szCs w:val="24"/>
          <w:highlight w:val="none"/>
        </w:rPr>
        <w:t>计划开工日期：</w:t>
      </w:r>
      <w:r>
        <w:rPr>
          <w:rFonts w:hint="eastAsia"/>
          <w:color w:val="auto"/>
          <w:sz w:val="24"/>
          <w:szCs w:val="24"/>
          <w:highlight w:val="none"/>
          <w:lang w:val="en-US" w:eastAsia="zh-CN"/>
        </w:rPr>
        <w:t xml:space="preserve">     </w:t>
      </w:r>
      <w:r>
        <w:rPr>
          <w:rFonts w:hint="eastAsia"/>
          <w:color w:val="auto"/>
          <w:sz w:val="24"/>
          <w:szCs w:val="24"/>
          <w:highlight w:val="none"/>
          <w:u w:val="none" w:color="auto"/>
          <w:lang w:val="en-US" w:eastAsia="zh-CN"/>
        </w:rPr>
        <w:t xml:space="preserve">年  </w:t>
      </w:r>
      <w:r>
        <w:rPr>
          <w:color w:val="auto"/>
          <w:sz w:val="24"/>
          <w:szCs w:val="24"/>
          <w:highlight w:val="none"/>
        </w:rPr>
        <w:t>月</w:t>
      </w:r>
      <w:r>
        <w:rPr>
          <w:rFonts w:hint="eastAsia"/>
          <w:color w:val="auto"/>
          <w:sz w:val="24"/>
          <w:szCs w:val="24"/>
          <w:highlight w:val="none"/>
          <w:lang w:val="en-US" w:eastAsia="zh-CN"/>
        </w:rPr>
        <w:t xml:space="preserve">   </w:t>
      </w:r>
      <w:r>
        <w:rPr>
          <w:color w:val="auto"/>
          <w:sz w:val="24"/>
          <w:szCs w:val="24"/>
          <w:highlight w:val="none"/>
        </w:rPr>
        <w:t>日</w:t>
      </w:r>
      <w:r>
        <w:rPr>
          <w:rFonts w:hint="eastAsia"/>
          <w:color w:val="auto"/>
          <w:sz w:val="24"/>
          <w:szCs w:val="24"/>
          <w:highlight w:val="none"/>
        </w:rPr>
        <w:t>，</w:t>
      </w:r>
    </w:p>
    <w:p w14:paraId="04E6B56D">
      <w:pPr>
        <w:snapToGrid w:val="0"/>
        <w:spacing w:line="440" w:lineRule="exact"/>
        <w:ind w:firstLine="480" w:firstLineChars="200"/>
        <w:rPr>
          <w:rFonts w:hint="eastAsia" w:eastAsia="宋体"/>
          <w:color w:val="auto"/>
          <w:sz w:val="24"/>
          <w:szCs w:val="24"/>
          <w:highlight w:val="none"/>
          <w:lang w:eastAsia="zh-CN"/>
        </w:rPr>
      </w:pPr>
      <w:r>
        <w:rPr>
          <w:color w:val="auto"/>
          <w:sz w:val="24"/>
          <w:szCs w:val="24"/>
          <w:highlight w:val="none"/>
        </w:rPr>
        <w:t>计划</w:t>
      </w:r>
      <w:r>
        <w:rPr>
          <w:rFonts w:hint="eastAsia"/>
          <w:color w:val="auto"/>
          <w:sz w:val="24"/>
          <w:szCs w:val="24"/>
          <w:highlight w:val="none"/>
        </w:rPr>
        <w:t>竣工</w:t>
      </w:r>
      <w:r>
        <w:rPr>
          <w:color w:val="auto"/>
          <w:sz w:val="24"/>
          <w:szCs w:val="24"/>
          <w:highlight w:val="none"/>
        </w:rPr>
        <w:t>日期：</w:t>
      </w:r>
      <w:r>
        <w:rPr>
          <w:rFonts w:hint="eastAsia"/>
          <w:color w:val="auto"/>
          <w:sz w:val="24"/>
          <w:szCs w:val="24"/>
          <w:highlight w:val="none"/>
          <w:lang w:val="en-US" w:eastAsia="zh-CN"/>
        </w:rPr>
        <w:t xml:space="preserve">     </w:t>
      </w:r>
      <w:r>
        <w:rPr>
          <w:rFonts w:hint="eastAsia"/>
          <w:color w:val="auto"/>
          <w:sz w:val="24"/>
          <w:szCs w:val="24"/>
          <w:highlight w:val="none"/>
          <w:u w:val="none" w:color="auto"/>
          <w:lang w:val="en-US" w:eastAsia="zh-CN"/>
        </w:rPr>
        <w:t xml:space="preserve">年  </w:t>
      </w:r>
      <w:r>
        <w:rPr>
          <w:color w:val="auto"/>
          <w:sz w:val="24"/>
          <w:szCs w:val="24"/>
          <w:highlight w:val="none"/>
        </w:rPr>
        <w:t>月</w:t>
      </w:r>
      <w:r>
        <w:rPr>
          <w:rFonts w:hint="eastAsia"/>
          <w:color w:val="auto"/>
          <w:sz w:val="24"/>
          <w:szCs w:val="24"/>
          <w:highlight w:val="none"/>
          <w:lang w:val="en-US" w:eastAsia="zh-CN"/>
        </w:rPr>
        <w:t xml:space="preserve">   </w:t>
      </w:r>
      <w:r>
        <w:rPr>
          <w:color w:val="auto"/>
          <w:sz w:val="24"/>
          <w:szCs w:val="24"/>
          <w:highlight w:val="none"/>
        </w:rPr>
        <w:t>日</w:t>
      </w:r>
      <w:r>
        <w:rPr>
          <w:rFonts w:hint="eastAsia"/>
          <w:color w:val="auto"/>
          <w:sz w:val="24"/>
          <w:szCs w:val="24"/>
          <w:highlight w:val="none"/>
          <w:lang w:eastAsia="zh-CN"/>
        </w:rPr>
        <w:t>。</w:t>
      </w:r>
    </w:p>
    <w:p w14:paraId="4C333B27">
      <w:pPr>
        <w:snapToGrid w:val="0"/>
        <w:spacing w:line="440" w:lineRule="exact"/>
        <w:ind w:firstLine="459"/>
        <w:rPr>
          <w:color w:val="auto"/>
          <w:sz w:val="24"/>
          <w:szCs w:val="24"/>
          <w:highlight w:val="none"/>
        </w:rPr>
      </w:pPr>
      <w:r>
        <w:rPr>
          <w:color w:val="auto"/>
          <w:sz w:val="24"/>
          <w:szCs w:val="24"/>
          <w:highlight w:val="none"/>
        </w:rPr>
        <w:t>工期总日历天数：</w:t>
      </w:r>
      <w:r>
        <w:rPr>
          <w:rFonts w:hint="eastAsia"/>
          <w:color w:val="auto"/>
          <w:sz w:val="24"/>
          <w:szCs w:val="24"/>
          <w:highlight w:val="none"/>
          <w:u w:val="single"/>
          <w:lang w:val="en-US" w:eastAsia="zh-CN"/>
        </w:rPr>
        <w:t xml:space="preserve"> 90  </w:t>
      </w:r>
      <w:r>
        <w:rPr>
          <w:color w:val="auto"/>
          <w:sz w:val="24"/>
          <w:szCs w:val="24"/>
          <w:highlight w:val="none"/>
        </w:rPr>
        <w:t>天。工期总日历天数与根据前述计划开竣工日期计算的工期天数不一致的，以工期总日历天数为准。</w:t>
      </w:r>
    </w:p>
    <w:p w14:paraId="19AC7310">
      <w:pPr>
        <w:pStyle w:val="5"/>
        <w:snapToGrid w:val="0"/>
        <w:spacing w:before="0" w:after="0" w:line="440" w:lineRule="exact"/>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bookmarkStart w:id="474" w:name="_Toc351203483"/>
      <w:r>
        <w:rPr>
          <w:rFonts w:ascii="Times New Roman" w:hAnsi="Times New Roman" w:eastAsia="宋体"/>
          <w:bCs/>
          <w:color w:val="auto"/>
          <w:sz w:val="24"/>
          <w:szCs w:val="24"/>
          <w:highlight w:val="none"/>
        </w:rPr>
        <w:t>三、质量标准</w:t>
      </w:r>
      <w:bookmarkEnd w:id="474"/>
    </w:p>
    <w:p w14:paraId="151AE469">
      <w:pPr>
        <w:snapToGrid w:val="0"/>
        <w:spacing w:line="440" w:lineRule="exact"/>
        <w:ind w:firstLine="459"/>
        <w:rPr>
          <w:color w:val="auto"/>
          <w:sz w:val="24"/>
          <w:szCs w:val="24"/>
          <w:highlight w:val="none"/>
        </w:rPr>
      </w:pPr>
      <w:r>
        <w:rPr>
          <w:color w:val="auto"/>
          <w:sz w:val="24"/>
          <w:szCs w:val="24"/>
          <w:highlight w:val="none"/>
        </w:rPr>
        <w:t>工程质量符合</w:t>
      </w:r>
      <w:r>
        <w:rPr>
          <w:rFonts w:hint="eastAsia"/>
          <w:color w:val="auto"/>
          <w:sz w:val="24"/>
          <w:szCs w:val="24"/>
          <w:highlight w:val="none"/>
          <w:u w:val="single"/>
        </w:rPr>
        <w:t xml:space="preserve"> </w:t>
      </w:r>
      <w:r>
        <w:rPr>
          <w:color w:val="auto"/>
          <w:sz w:val="24"/>
          <w:szCs w:val="24"/>
          <w:highlight w:val="none"/>
          <w:u w:val="single"/>
        </w:rPr>
        <w:t>合格</w:t>
      </w:r>
      <w:r>
        <w:rPr>
          <w:rFonts w:hint="eastAsia"/>
          <w:color w:val="auto"/>
          <w:sz w:val="24"/>
          <w:szCs w:val="24"/>
          <w:highlight w:val="none"/>
          <w:u w:val="single"/>
        </w:rPr>
        <w:t xml:space="preserve"> </w:t>
      </w:r>
      <w:r>
        <w:rPr>
          <w:color w:val="auto"/>
          <w:sz w:val="24"/>
          <w:szCs w:val="24"/>
          <w:highlight w:val="none"/>
        </w:rPr>
        <w:t>标准。</w:t>
      </w:r>
    </w:p>
    <w:p w14:paraId="3B34535B">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5" w:name="_Toc351203484"/>
      <w:r>
        <w:rPr>
          <w:rFonts w:ascii="Times New Roman" w:hAnsi="Times New Roman" w:eastAsia="宋体"/>
          <w:bCs/>
          <w:color w:val="auto"/>
          <w:sz w:val="24"/>
          <w:szCs w:val="24"/>
          <w:highlight w:val="none"/>
        </w:rPr>
        <w:t>四、签约合同价与合同价格形式</w:t>
      </w:r>
      <w:bookmarkEnd w:id="475"/>
      <w:r>
        <w:rPr>
          <w:rFonts w:ascii="Times New Roman" w:hAnsi="Times New Roman" w:eastAsia="宋体"/>
          <w:b w:val="0"/>
          <w:color w:val="auto"/>
          <w:sz w:val="24"/>
          <w:szCs w:val="24"/>
          <w:highlight w:val="none"/>
        </w:rPr>
        <w:tab/>
      </w:r>
    </w:p>
    <w:p w14:paraId="2AC9A1F5">
      <w:pPr>
        <w:snapToGrid w:val="0"/>
        <w:spacing w:line="360" w:lineRule="auto"/>
        <w:ind w:firstLine="480" w:firstLineChars="200"/>
        <w:rPr>
          <w:color w:val="auto"/>
          <w:sz w:val="24"/>
          <w:szCs w:val="24"/>
          <w:highlight w:val="none"/>
        </w:rPr>
      </w:pPr>
      <w:r>
        <w:rPr>
          <w:color w:val="auto"/>
          <w:sz w:val="24"/>
          <w:szCs w:val="24"/>
          <w:highlight w:val="none"/>
        </w:rPr>
        <w:t>1.签约合同价为：</w:t>
      </w:r>
    </w:p>
    <w:p w14:paraId="0BBFA9F0">
      <w:pPr>
        <w:snapToGrid w:val="0"/>
        <w:spacing w:line="360" w:lineRule="auto"/>
        <w:ind w:firstLine="600" w:firstLineChars="250"/>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color w:val="auto"/>
          <w:sz w:val="24"/>
          <w:szCs w:val="24"/>
          <w:highlight w:val="none"/>
        </w:rPr>
        <w:t>(¥</w:t>
      </w:r>
      <w:r>
        <w:rPr>
          <w:color w:val="auto"/>
          <w:sz w:val="24"/>
          <w:szCs w:val="24"/>
          <w:highlight w:val="none"/>
          <w:u w:val="single"/>
        </w:rPr>
        <w:t xml:space="preserve">            </w:t>
      </w:r>
      <w:r>
        <w:rPr>
          <w:color w:val="auto"/>
          <w:sz w:val="24"/>
          <w:szCs w:val="24"/>
          <w:highlight w:val="none"/>
        </w:rPr>
        <w:t>元)；</w:t>
      </w:r>
    </w:p>
    <w:p w14:paraId="249027C0">
      <w:pPr>
        <w:snapToGrid w:val="0"/>
        <w:spacing w:line="360" w:lineRule="auto"/>
        <w:ind w:firstLine="480" w:firstLineChars="200"/>
        <w:rPr>
          <w:color w:val="auto"/>
          <w:sz w:val="24"/>
          <w:szCs w:val="24"/>
          <w:highlight w:val="none"/>
        </w:rPr>
      </w:pPr>
      <w:r>
        <w:rPr>
          <w:color w:val="auto"/>
          <w:sz w:val="24"/>
          <w:szCs w:val="24"/>
          <w:highlight w:val="none"/>
        </w:rPr>
        <w:t>其中：</w:t>
      </w:r>
    </w:p>
    <w:p w14:paraId="74E79A5F">
      <w:pPr>
        <w:snapToGrid w:val="0"/>
        <w:spacing w:line="360" w:lineRule="auto"/>
        <w:ind w:firstLine="480" w:firstLineChars="200"/>
        <w:rPr>
          <w:color w:val="auto"/>
          <w:sz w:val="24"/>
          <w:szCs w:val="24"/>
          <w:highlight w:val="none"/>
        </w:rPr>
      </w:pPr>
      <w:r>
        <w:rPr>
          <w:color w:val="auto"/>
          <w:sz w:val="24"/>
          <w:szCs w:val="24"/>
          <w:highlight w:val="none"/>
        </w:rPr>
        <w:t>（1）暂列金额：</w:t>
      </w:r>
    </w:p>
    <w:p w14:paraId="56D360BA">
      <w:pPr>
        <w:snapToGrid w:val="0"/>
        <w:spacing w:line="360" w:lineRule="auto"/>
        <w:ind w:firstLine="1080" w:firstLineChars="450"/>
        <w:rPr>
          <w:rFonts w:hint="eastAsia"/>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color w:val="auto"/>
          <w:sz w:val="24"/>
          <w:szCs w:val="24"/>
          <w:highlight w:val="none"/>
        </w:rPr>
        <w:t xml:space="preserve"> (¥</w:t>
      </w:r>
      <w:r>
        <w:rPr>
          <w:color w:val="auto"/>
          <w:sz w:val="24"/>
          <w:szCs w:val="24"/>
          <w:highlight w:val="none"/>
          <w:u w:val="single"/>
        </w:rPr>
        <w:t xml:space="preserve">          </w:t>
      </w:r>
      <w:r>
        <w:rPr>
          <w:color w:val="auto"/>
          <w:sz w:val="24"/>
          <w:szCs w:val="24"/>
          <w:highlight w:val="none"/>
        </w:rPr>
        <w:t>元)。</w:t>
      </w:r>
    </w:p>
    <w:p w14:paraId="7D2C609D">
      <w:pPr>
        <w:numPr>
          <w:ilvl w:val="0"/>
          <w:numId w:val="10"/>
        </w:numPr>
        <w:snapToGrid w:val="0"/>
        <w:spacing w:line="360" w:lineRule="auto"/>
        <w:ind w:firstLine="480" w:firstLineChars="200"/>
        <w:rPr>
          <w:color w:val="auto"/>
          <w:sz w:val="24"/>
          <w:szCs w:val="24"/>
          <w:highlight w:val="none"/>
        </w:rPr>
      </w:pPr>
      <w:r>
        <w:rPr>
          <w:color w:val="auto"/>
          <w:sz w:val="24"/>
          <w:szCs w:val="24"/>
          <w:highlight w:val="none"/>
        </w:rPr>
        <w:t>合同价格形式：</w:t>
      </w:r>
      <w:r>
        <w:rPr>
          <w:color w:val="auto"/>
          <w:sz w:val="24"/>
          <w:szCs w:val="24"/>
          <w:highlight w:val="none"/>
          <w:u w:val="single"/>
        </w:rPr>
        <w:t></w:t>
      </w:r>
      <w:r>
        <w:rPr>
          <w:rFonts w:hint="eastAsia"/>
          <w:b/>
          <w:bCs/>
          <w:color w:val="auto"/>
          <w:sz w:val="24"/>
          <w:szCs w:val="24"/>
          <w:highlight w:val="none"/>
          <w:u w:val="single"/>
          <w:lang w:eastAsia="zh-CN"/>
        </w:rPr>
        <w:t>总</w:t>
      </w:r>
      <w:r>
        <w:rPr>
          <w:b/>
          <w:bCs/>
          <w:color w:val="auto"/>
          <w:sz w:val="24"/>
          <w:szCs w:val="24"/>
          <w:highlight w:val="none"/>
          <w:u w:val="single"/>
        </w:rPr>
        <w:t>价合同</w:t>
      </w:r>
      <w:r>
        <w:rPr>
          <w:color w:val="auto"/>
          <w:sz w:val="24"/>
          <w:szCs w:val="24"/>
          <w:highlight w:val="none"/>
          <w:u w:val="single"/>
        </w:rPr>
        <w:t xml:space="preserve">    </w:t>
      </w:r>
      <w:r>
        <w:rPr>
          <w:color w:val="auto"/>
          <w:sz w:val="24"/>
          <w:szCs w:val="24"/>
          <w:highlight w:val="none"/>
        </w:rPr>
        <w:t>。</w:t>
      </w:r>
    </w:p>
    <w:p w14:paraId="22D49405">
      <w:pPr>
        <w:pStyle w:val="113"/>
        <w:rPr>
          <w:rFonts w:hint="eastAsia"/>
          <w:b/>
          <w:bCs/>
          <w:color w:val="auto"/>
          <w:sz w:val="24"/>
          <w:szCs w:val="24"/>
          <w:highlight w:val="none"/>
          <w:lang w:eastAsia="zh-CN"/>
        </w:rPr>
      </w:pPr>
      <w:r>
        <w:rPr>
          <w:rFonts w:hint="eastAsia"/>
          <w:b/>
          <w:bCs/>
          <w:color w:val="auto"/>
          <w:sz w:val="24"/>
          <w:szCs w:val="24"/>
          <w:highlight w:val="none"/>
          <w:lang w:eastAsia="zh-CN"/>
        </w:rPr>
        <w:t>其他条款：</w:t>
      </w:r>
    </w:p>
    <w:p w14:paraId="2640FB32">
      <w:pPr>
        <w:pStyle w:val="113"/>
        <w:rPr>
          <w:rFonts w:hint="eastAsia" w:eastAsia="宋体"/>
          <w:color w:val="auto"/>
          <w:highlight w:val="none"/>
          <w:lang w:eastAsia="zh-CN"/>
        </w:rPr>
      </w:pPr>
      <w:r>
        <w:rPr>
          <w:rFonts w:hint="eastAsia"/>
          <w:color w:val="auto"/>
          <w:sz w:val="24"/>
          <w:szCs w:val="24"/>
          <w:highlight w:val="none"/>
          <w:lang w:val="en-US" w:eastAsia="zh-CN"/>
        </w:rPr>
        <w:t>承包人需开具合法、真实、有效的经税务部门出具的发票。如因发票问题造成的税务处罚及法律责任，均由承包人承担。</w:t>
      </w:r>
    </w:p>
    <w:p w14:paraId="6354A098">
      <w:pPr>
        <w:pStyle w:val="5"/>
        <w:snapToGrid w:val="0"/>
        <w:spacing w:before="0" w:after="0" w:line="360" w:lineRule="auto"/>
        <w:rPr>
          <w:rFonts w:ascii="Times New Roman" w:hAnsi="Times New Roman" w:eastAsia="宋体"/>
          <w:b w:val="0"/>
          <w:color w:val="auto"/>
          <w:sz w:val="24"/>
          <w:szCs w:val="24"/>
          <w:highlight w:val="none"/>
        </w:rPr>
      </w:pPr>
      <w:r>
        <w:rPr>
          <w:rFonts w:ascii="Times New Roman" w:hAnsi="Times New Roman" w:eastAsia="宋体"/>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6" w:name="_Toc351203485"/>
      <w:r>
        <w:rPr>
          <w:rFonts w:ascii="Times New Roman" w:hAnsi="Times New Roman" w:eastAsia="宋体"/>
          <w:bCs/>
          <w:color w:val="auto"/>
          <w:sz w:val="24"/>
          <w:szCs w:val="24"/>
          <w:highlight w:val="none"/>
        </w:rPr>
        <w:t>五、</w:t>
      </w:r>
      <w:bookmarkEnd w:id="476"/>
      <w:r>
        <w:rPr>
          <w:rFonts w:ascii="Times New Roman" w:hAnsi="Times New Roman" w:eastAsia="宋体"/>
          <w:bCs/>
          <w:color w:val="auto"/>
          <w:sz w:val="24"/>
          <w:szCs w:val="24"/>
          <w:highlight w:val="none"/>
        </w:rPr>
        <w:t>项目经理</w:t>
      </w:r>
    </w:p>
    <w:p w14:paraId="7D330E6B">
      <w:pPr>
        <w:snapToGrid w:val="0"/>
        <w:spacing w:line="360" w:lineRule="auto"/>
        <w:ind w:firstLine="480" w:firstLineChars="200"/>
        <w:rPr>
          <w:color w:val="auto"/>
          <w:sz w:val="24"/>
          <w:szCs w:val="24"/>
          <w:highlight w:val="none"/>
        </w:rPr>
      </w:pPr>
      <w:r>
        <w:rPr>
          <w:color w:val="auto"/>
          <w:sz w:val="24"/>
          <w:szCs w:val="24"/>
          <w:highlight w:val="none"/>
        </w:rPr>
        <w:t>承包人项目经理：</w:t>
      </w:r>
      <w:r>
        <w:rPr>
          <w:color w:val="auto"/>
          <w:sz w:val="24"/>
          <w:szCs w:val="24"/>
          <w:highlight w:val="none"/>
          <w:u w:val="single"/>
        </w:rPr>
        <w:t>                     </w:t>
      </w:r>
      <w:r>
        <w:rPr>
          <w:color w:val="auto"/>
          <w:sz w:val="24"/>
          <w:szCs w:val="24"/>
          <w:highlight w:val="none"/>
        </w:rPr>
        <w:t>。</w:t>
      </w:r>
    </w:p>
    <w:p w14:paraId="755AF1E1">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7" w:name="_Toc351203486"/>
      <w:r>
        <w:rPr>
          <w:rFonts w:ascii="Times New Roman" w:hAnsi="Times New Roman" w:eastAsia="宋体"/>
          <w:bCs/>
          <w:color w:val="auto"/>
          <w:sz w:val="24"/>
          <w:szCs w:val="24"/>
          <w:highlight w:val="none"/>
        </w:rPr>
        <w:t>六、合同文件构成</w:t>
      </w:r>
      <w:bookmarkEnd w:id="477"/>
    </w:p>
    <w:p w14:paraId="48905697">
      <w:pPr>
        <w:snapToGrid w:val="0"/>
        <w:spacing w:line="360" w:lineRule="auto"/>
        <w:ind w:firstLine="480" w:firstLineChars="200"/>
        <w:rPr>
          <w:bCs/>
          <w:color w:val="auto"/>
          <w:sz w:val="24"/>
          <w:szCs w:val="24"/>
          <w:highlight w:val="none"/>
        </w:rPr>
      </w:pPr>
      <w:r>
        <w:rPr>
          <w:bCs/>
          <w:color w:val="auto"/>
          <w:sz w:val="24"/>
          <w:szCs w:val="24"/>
          <w:highlight w:val="none"/>
        </w:rPr>
        <w:t>本协议书与下列文件一起构成合同文件：</w:t>
      </w:r>
    </w:p>
    <w:p w14:paraId="5DF94BD0">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（1）中标通知书；</w:t>
      </w:r>
    </w:p>
    <w:p w14:paraId="179CB92A">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 xml:space="preserve">（2）投标函及其附录； </w:t>
      </w:r>
    </w:p>
    <w:p w14:paraId="4BC142E1">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（3）专用合同条款及其附件；</w:t>
      </w:r>
    </w:p>
    <w:p w14:paraId="0E264118">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（4）通用合同条款；</w:t>
      </w:r>
    </w:p>
    <w:p w14:paraId="1EE676F0">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（5）技术标准和要求；</w:t>
      </w:r>
      <w:r>
        <w:rPr>
          <w:rFonts w:hint="eastAsia"/>
          <w:color w:val="auto"/>
          <w:sz w:val="24"/>
          <w:szCs w:val="24"/>
          <w:highlight w:val="none"/>
        </w:rPr>
        <w:t xml:space="preserve">     </w:t>
      </w:r>
    </w:p>
    <w:p w14:paraId="6EB4FA50">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（6）图纸；</w:t>
      </w:r>
    </w:p>
    <w:p w14:paraId="6717016F">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（7）已标价工程量清单或预算书；</w:t>
      </w:r>
    </w:p>
    <w:p w14:paraId="67E977CF">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（8）其他合同文件。</w:t>
      </w:r>
    </w:p>
    <w:p w14:paraId="49F1D55A">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在合同订立及履行过程中形成的与合同有关的文件均构成合同文件组成部分。</w:t>
      </w:r>
    </w:p>
    <w:p w14:paraId="1EC6CFA1">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91772F7">
      <w:pPr>
        <w:pStyle w:val="5"/>
        <w:snapToGrid w:val="0"/>
        <w:spacing w:before="0" w:after="0" w:line="360" w:lineRule="auto"/>
        <w:rPr>
          <w:rFonts w:ascii="Times New Roman" w:hAnsi="Times New Roman" w:eastAsia="宋体"/>
          <w:b w:val="0"/>
          <w:bCs/>
          <w:color w:val="auto"/>
          <w:sz w:val="24"/>
          <w:szCs w:val="24"/>
          <w:highlight w:val="none"/>
        </w:rPr>
      </w:pPr>
      <w:r>
        <w:rPr>
          <w:rFonts w:ascii="Times New Roman" w:hAnsi="Times New Roman" w:eastAsia="宋体"/>
          <w:b w:val="0"/>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78" w:name="_Toc351203487"/>
      <w:r>
        <w:rPr>
          <w:rFonts w:ascii="Times New Roman" w:hAnsi="Times New Roman" w:eastAsia="宋体"/>
          <w:bCs/>
          <w:color w:val="auto"/>
          <w:sz w:val="24"/>
          <w:szCs w:val="24"/>
          <w:highlight w:val="none"/>
        </w:rPr>
        <w:t>七、承诺</w:t>
      </w:r>
      <w:bookmarkEnd w:id="478"/>
    </w:p>
    <w:p w14:paraId="529A50BB">
      <w:pPr>
        <w:snapToGrid w:val="0"/>
        <w:spacing w:line="360" w:lineRule="auto"/>
        <w:ind w:firstLine="480" w:firstLineChars="200"/>
        <w:rPr>
          <w:bCs/>
          <w:color w:val="auto"/>
          <w:sz w:val="24"/>
          <w:szCs w:val="24"/>
          <w:highlight w:val="none"/>
        </w:rPr>
      </w:pPr>
      <w:r>
        <w:rPr>
          <w:bCs/>
          <w:color w:val="auto"/>
          <w:sz w:val="24"/>
          <w:szCs w:val="24"/>
          <w:highlight w:val="none"/>
        </w:rPr>
        <w:t>1.发包人承诺按照法律规定履行项目审批手续、筹集工程建设资金并按照合同约定的期限和方式支付合同价款。</w:t>
      </w:r>
    </w:p>
    <w:p w14:paraId="3912A03C">
      <w:pPr>
        <w:snapToGrid w:val="0"/>
        <w:spacing w:line="360" w:lineRule="auto"/>
        <w:ind w:firstLine="480" w:firstLineChars="200"/>
        <w:rPr>
          <w:bCs/>
          <w:color w:val="auto"/>
          <w:sz w:val="24"/>
          <w:szCs w:val="24"/>
          <w:highlight w:val="none"/>
        </w:rPr>
      </w:pPr>
      <w:r>
        <w:rPr>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5FF985E">
      <w:pPr>
        <w:snapToGrid w:val="0"/>
        <w:spacing w:line="360" w:lineRule="auto"/>
        <w:ind w:firstLine="480" w:firstLineChars="200"/>
        <w:rPr>
          <w:rFonts w:hint="eastAsia"/>
          <w:bCs/>
          <w:color w:val="auto"/>
          <w:sz w:val="24"/>
          <w:szCs w:val="24"/>
          <w:highlight w:val="none"/>
        </w:rPr>
      </w:pPr>
      <w:r>
        <w:rPr>
          <w:bCs/>
          <w:color w:val="auto"/>
          <w:sz w:val="24"/>
          <w:szCs w:val="24"/>
          <w:highlight w:val="none"/>
        </w:rPr>
        <w:t>3.发包人和承包人通过招投标形式签订合同的，双方理解并承诺不再就同一工程另行签订与合同实质性内容相背离的协议。</w:t>
      </w:r>
    </w:p>
    <w:p w14:paraId="6A1266D4">
      <w:pPr>
        <w:snapToGrid w:val="0"/>
        <w:spacing w:line="360" w:lineRule="auto"/>
        <w:ind w:firstLine="480" w:firstLineChars="200"/>
        <w:rPr>
          <w:bCs/>
          <w:color w:val="auto"/>
          <w:sz w:val="24"/>
          <w:szCs w:val="24"/>
          <w:highlight w:val="none"/>
        </w:rPr>
      </w:pPr>
      <w:r>
        <w:rPr>
          <w:rFonts w:hint="eastAsia"/>
          <w:bCs/>
          <w:color w:val="auto"/>
          <w:sz w:val="24"/>
          <w:szCs w:val="24"/>
          <w:highlight w:val="none"/>
        </w:rPr>
        <w:t>4. 承包人承诺施工单位进场到工程竣工验收，协调工作及费用由施工单位负责；如有异议，双方协商确定。</w:t>
      </w:r>
    </w:p>
    <w:p w14:paraId="271F3584">
      <w:pPr>
        <w:snapToGrid w:val="0"/>
        <w:spacing w:line="360" w:lineRule="auto"/>
        <w:rPr>
          <w:bCs/>
          <w:color w:val="auto"/>
          <w:sz w:val="24"/>
          <w:szCs w:val="24"/>
          <w:highlight w:val="none"/>
        </w:rPr>
      </w:pPr>
      <w:bookmarkStart w:id="479" w:name="_Toc351203488"/>
      <w:r>
        <w:rPr>
          <w:b/>
          <w:color w:val="auto"/>
          <w:sz w:val="24"/>
          <w:szCs w:val="24"/>
          <w:highlight w:val="none"/>
        </w:rPr>
        <w:t xml:space="preserve">    八、词语含义</w:t>
      </w:r>
      <w:bookmarkEnd w:id="479"/>
    </w:p>
    <w:p w14:paraId="1FA49D6C">
      <w:pPr>
        <w:snapToGrid w:val="0"/>
        <w:spacing w:line="360" w:lineRule="auto"/>
        <w:ind w:firstLine="480" w:firstLineChars="200"/>
        <w:rPr>
          <w:bCs/>
          <w:color w:val="auto"/>
          <w:sz w:val="24"/>
          <w:szCs w:val="24"/>
          <w:highlight w:val="none"/>
        </w:rPr>
      </w:pPr>
      <w:r>
        <w:rPr>
          <w:bCs/>
          <w:color w:val="auto"/>
          <w:sz w:val="24"/>
          <w:szCs w:val="24"/>
          <w:highlight w:val="none"/>
        </w:rPr>
        <w:t>本协议书中词语含义与第二部分通用合同条款中赋予的含义相同。</w:t>
      </w:r>
    </w:p>
    <w:p w14:paraId="7D248C56">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r>
        <w:rPr>
          <w:rFonts w:ascii="Times New Roman" w:hAnsi="Times New Roman" w:eastAsia="宋体"/>
          <w:b w:val="0"/>
          <w:color w:val="auto"/>
          <w:sz w:val="24"/>
          <w:szCs w:val="24"/>
          <w:highlight w:val="none"/>
        </w:rPr>
        <w:t xml:space="preserve">  </w:t>
      </w:r>
      <w:bookmarkStart w:id="480" w:name="_Toc351203489"/>
      <w:r>
        <w:rPr>
          <w:rFonts w:ascii="Times New Roman" w:hAnsi="Times New Roman" w:eastAsia="宋体"/>
          <w:bCs/>
          <w:color w:val="auto"/>
          <w:sz w:val="24"/>
          <w:szCs w:val="24"/>
          <w:highlight w:val="none"/>
        </w:rPr>
        <w:t>九、签订时间</w:t>
      </w:r>
      <w:bookmarkEnd w:id="480"/>
    </w:p>
    <w:p w14:paraId="46914257">
      <w:pPr>
        <w:snapToGrid w:val="0"/>
        <w:spacing w:line="360" w:lineRule="auto"/>
        <w:ind w:firstLine="480" w:firstLineChars="200"/>
        <w:rPr>
          <w:bCs/>
          <w:color w:val="auto"/>
          <w:sz w:val="24"/>
          <w:szCs w:val="24"/>
          <w:highlight w:val="none"/>
        </w:rPr>
      </w:pPr>
      <w:r>
        <w:rPr>
          <w:bCs/>
          <w:color w:val="auto"/>
          <w:sz w:val="24"/>
          <w:szCs w:val="24"/>
          <w:highlight w:val="none"/>
        </w:rPr>
        <w:t>本合同于</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bCs/>
          <w:color w:val="auto"/>
          <w:sz w:val="24"/>
          <w:szCs w:val="24"/>
          <w:highlight w:val="none"/>
        </w:rPr>
        <w:t>年</w:t>
      </w:r>
      <w:r>
        <w:rPr>
          <w:bCs/>
          <w:color w:val="auto"/>
          <w:sz w:val="24"/>
          <w:szCs w:val="24"/>
          <w:highlight w:val="none"/>
          <w:u w:val="single"/>
        </w:rPr>
        <w:t xml:space="preserve">    </w:t>
      </w:r>
      <w:r>
        <w:rPr>
          <w:bCs/>
          <w:color w:val="auto"/>
          <w:sz w:val="24"/>
          <w:szCs w:val="24"/>
          <w:highlight w:val="none"/>
        </w:rPr>
        <w:t>月</w:t>
      </w:r>
      <w:r>
        <w:rPr>
          <w:bCs/>
          <w:color w:val="auto"/>
          <w:sz w:val="24"/>
          <w:szCs w:val="24"/>
          <w:highlight w:val="none"/>
          <w:u w:val="single"/>
        </w:rPr>
        <w:t xml:space="preserve">    </w:t>
      </w:r>
      <w:r>
        <w:rPr>
          <w:bCs/>
          <w:color w:val="auto"/>
          <w:sz w:val="24"/>
          <w:szCs w:val="24"/>
          <w:highlight w:val="none"/>
        </w:rPr>
        <w:t>日签订。</w:t>
      </w:r>
    </w:p>
    <w:p w14:paraId="2CCB5F37">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bookmarkStart w:id="481" w:name="_Toc351203490"/>
      <w:r>
        <w:rPr>
          <w:rFonts w:ascii="Times New Roman" w:hAnsi="Times New Roman" w:eastAsia="宋体"/>
          <w:bCs/>
          <w:color w:val="auto"/>
          <w:sz w:val="24"/>
          <w:szCs w:val="24"/>
          <w:highlight w:val="none"/>
        </w:rPr>
        <w:t>十、签订地点</w:t>
      </w:r>
      <w:bookmarkEnd w:id="481"/>
    </w:p>
    <w:p w14:paraId="4FCE702E">
      <w:pPr>
        <w:snapToGrid w:val="0"/>
        <w:spacing w:line="360" w:lineRule="auto"/>
        <w:ind w:firstLine="480" w:firstLineChars="200"/>
        <w:rPr>
          <w:bCs/>
          <w:color w:val="auto"/>
          <w:sz w:val="24"/>
          <w:szCs w:val="24"/>
          <w:highlight w:val="none"/>
        </w:rPr>
      </w:pPr>
      <w:r>
        <w:rPr>
          <w:bCs/>
          <w:color w:val="auto"/>
          <w:sz w:val="24"/>
          <w:szCs w:val="24"/>
          <w:highlight w:val="none"/>
        </w:rPr>
        <w:t>本合同在</w:t>
      </w:r>
      <w:r>
        <w:rPr>
          <w:bCs/>
          <w:color w:val="auto"/>
          <w:sz w:val="24"/>
          <w:szCs w:val="24"/>
          <w:highlight w:val="none"/>
          <w:u w:val="single"/>
        </w:rPr>
        <w:t xml:space="preserve"> 石河子市 </w:t>
      </w:r>
      <w:r>
        <w:rPr>
          <w:bCs/>
          <w:color w:val="auto"/>
          <w:sz w:val="24"/>
          <w:szCs w:val="24"/>
          <w:highlight w:val="none"/>
        </w:rPr>
        <w:t>签订。</w:t>
      </w:r>
    </w:p>
    <w:p w14:paraId="7E02BBEC">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bookmarkStart w:id="482" w:name="OLE_LINK6"/>
      <w:bookmarkStart w:id="483" w:name="OLE_LINK7"/>
      <w:r>
        <w:rPr>
          <w:rFonts w:ascii="Times New Roman" w:hAnsi="Times New Roman" w:eastAsia="宋体"/>
          <w:bCs/>
          <w:color w:val="auto"/>
          <w:sz w:val="24"/>
          <w:szCs w:val="24"/>
          <w:highlight w:val="none"/>
        </w:rPr>
        <w:t xml:space="preserve"> </w:t>
      </w:r>
      <w:bookmarkStart w:id="484" w:name="_Toc351203491"/>
      <w:r>
        <w:rPr>
          <w:rFonts w:ascii="Times New Roman" w:hAnsi="Times New Roman" w:eastAsia="宋体"/>
          <w:bCs/>
          <w:color w:val="auto"/>
          <w:sz w:val="24"/>
          <w:szCs w:val="24"/>
          <w:highlight w:val="none"/>
        </w:rPr>
        <w:t>十一、补充协议</w:t>
      </w:r>
      <w:bookmarkEnd w:id="484"/>
    </w:p>
    <w:p w14:paraId="77EA0210">
      <w:pPr>
        <w:snapToGrid w:val="0"/>
        <w:spacing w:line="360" w:lineRule="auto"/>
        <w:ind w:firstLine="480" w:firstLineChars="200"/>
        <w:rPr>
          <w:b/>
          <w:bCs/>
          <w:color w:val="auto"/>
          <w:sz w:val="24"/>
          <w:szCs w:val="24"/>
          <w:highlight w:val="none"/>
        </w:rPr>
      </w:pPr>
      <w:r>
        <w:rPr>
          <w:bCs/>
          <w:color w:val="auto"/>
          <w:sz w:val="24"/>
          <w:szCs w:val="24"/>
          <w:highlight w:val="none"/>
        </w:rPr>
        <w:t>合同未尽事宜，合同当事人另行签订补充协议，补充协议是合同的组成部分。</w:t>
      </w:r>
      <w:bookmarkEnd w:id="482"/>
    </w:p>
    <w:p w14:paraId="6D9790BE">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bookmarkStart w:id="485" w:name="_Toc351203492"/>
      <w:r>
        <w:rPr>
          <w:rFonts w:ascii="Times New Roman" w:hAnsi="Times New Roman" w:eastAsia="宋体"/>
          <w:bCs/>
          <w:color w:val="auto"/>
          <w:sz w:val="24"/>
          <w:szCs w:val="24"/>
          <w:highlight w:val="none"/>
        </w:rPr>
        <w:t>十二、合同生效</w:t>
      </w:r>
      <w:bookmarkEnd w:id="485"/>
    </w:p>
    <w:p w14:paraId="2F456B10">
      <w:pPr>
        <w:snapToGrid w:val="0"/>
        <w:spacing w:line="360" w:lineRule="auto"/>
        <w:ind w:firstLine="480" w:firstLineChars="200"/>
        <w:rPr>
          <w:bCs/>
          <w:color w:val="auto"/>
          <w:sz w:val="24"/>
          <w:szCs w:val="24"/>
          <w:highlight w:val="none"/>
        </w:rPr>
      </w:pPr>
      <w:r>
        <w:rPr>
          <w:bCs/>
          <w:color w:val="auto"/>
          <w:sz w:val="24"/>
          <w:szCs w:val="24"/>
          <w:highlight w:val="none"/>
        </w:rPr>
        <w:t>本合同自</w:t>
      </w:r>
      <w:r>
        <w:rPr>
          <w:bCs/>
          <w:color w:val="auto"/>
          <w:sz w:val="24"/>
          <w:szCs w:val="24"/>
          <w:highlight w:val="none"/>
          <w:u w:val="single"/>
        </w:rPr>
        <w:t xml:space="preserve"> 发包方和承包方的法定代表人或其授权代理人在协议书上签字并盖单位章后 </w:t>
      </w:r>
      <w:r>
        <w:rPr>
          <w:bCs/>
          <w:color w:val="auto"/>
          <w:sz w:val="24"/>
          <w:szCs w:val="24"/>
          <w:highlight w:val="none"/>
        </w:rPr>
        <w:t>生效。</w:t>
      </w:r>
    </w:p>
    <w:p w14:paraId="35CD9F3C">
      <w:pPr>
        <w:pStyle w:val="5"/>
        <w:snapToGrid w:val="0"/>
        <w:spacing w:before="0" w:after="0" w:line="360" w:lineRule="auto"/>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 xml:space="preserve">    </w:t>
      </w:r>
      <w:bookmarkStart w:id="486" w:name="_Toc351203493"/>
      <w:r>
        <w:rPr>
          <w:rFonts w:ascii="Times New Roman" w:hAnsi="Times New Roman" w:eastAsia="宋体"/>
          <w:bCs/>
          <w:color w:val="auto"/>
          <w:sz w:val="24"/>
          <w:szCs w:val="24"/>
          <w:highlight w:val="none"/>
        </w:rPr>
        <w:t>十三、合同份数</w:t>
      </w:r>
      <w:bookmarkEnd w:id="486"/>
    </w:p>
    <w:p w14:paraId="6EAAA03D">
      <w:pPr>
        <w:snapToGrid w:val="0"/>
        <w:spacing w:line="360" w:lineRule="auto"/>
        <w:ind w:firstLine="480" w:firstLineChars="200"/>
        <w:rPr>
          <w:color w:val="auto"/>
          <w:sz w:val="24"/>
          <w:szCs w:val="24"/>
          <w:highlight w:val="none"/>
        </w:rPr>
      </w:pPr>
      <w:r>
        <w:rPr>
          <w:bCs/>
          <w:color w:val="auto"/>
          <w:sz w:val="24"/>
          <w:szCs w:val="24"/>
          <w:highlight w:val="none"/>
        </w:rPr>
        <w:t>本合同一式</w:t>
      </w:r>
      <w:r>
        <w:rPr>
          <w:bCs/>
          <w:color w:val="auto"/>
          <w:sz w:val="24"/>
          <w:szCs w:val="24"/>
          <w:highlight w:val="none"/>
          <w:u w:val="single"/>
        </w:rPr>
        <w:t xml:space="preserve"> 壹拾贰 </w:t>
      </w:r>
      <w:r>
        <w:rPr>
          <w:bCs/>
          <w:color w:val="auto"/>
          <w:sz w:val="24"/>
          <w:szCs w:val="24"/>
          <w:highlight w:val="none"/>
        </w:rPr>
        <w:t>份，均具有同等法律效力，发包人执</w:t>
      </w:r>
      <w:r>
        <w:rPr>
          <w:bCs/>
          <w:color w:val="auto"/>
          <w:sz w:val="24"/>
          <w:szCs w:val="24"/>
          <w:highlight w:val="none"/>
          <w:u w:val="single"/>
        </w:rPr>
        <w:t xml:space="preserve"> 陆 </w:t>
      </w:r>
      <w:r>
        <w:rPr>
          <w:bCs/>
          <w:color w:val="auto"/>
          <w:sz w:val="24"/>
          <w:szCs w:val="24"/>
          <w:highlight w:val="none"/>
        </w:rPr>
        <w:t>份，承包人执</w:t>
      </w:r>
      <w:r>
        <w:rPr>
          <w:bCs/>
          <w:color w:val="auto"/>
          <w:sz w:val="24"/>
          <w:szCs w:val="24"/>
          <w:highlight w:val="none"/>
          <w:u w:val="single"/>
        </w:rPr>
        <w:t xml:space="preserve"> 陆 </w:t>
      </w:r>
      <w:r>
        <w:rPr>
          <w:bCs/>
          <w:color w:val="auto"/>
          <w:sz w:val="24"/>
          <w:szCs w:val="24"/>
          <w:highlight w:val="none"/>
        </w:rPr>
        <w:t>份。</w:t>
      </w:r>
    </w:p>
    <w:p w14:paraId="52A663E9">
      <w:pPr>
        <w:pStyle w:val="113"/>
        <w:rPr>
          <w:color w:val="auto"/>
          <w:highlight w:val="none"/>
        </w:rPr>
      </w:pPr>
    </w:p>
    <w:p w14:paraId="10B2C67C">
      <w:pPr>
        <w:spacing w:line="360" w:lineRule="auto"/>
        <w:ind w:left="0" w:leftChars="0" w:firstLine="420" w:firstLineChars="175"/>
        <w:rPr>
          <w:color w:val="auto"/>
          <w:sz w:val="24"/>
          <w:szCs w:val="24"/>
          <w:highlight w:val="none"/>
          <w:u w:val="single"/>
        </w:rPr>
      </w:pPr>
      <w:r>
        <w:rPr>
          <w:color w:val="auto"/>
          <w:sz w:val="24"/>
          <w:szCs w:val="24"/>
          <w:highlight w:val="none"/>
        </w:rPr>
        <w:t xml:space="preserve">发包人：  (公章)             承包人：  (公章)                               </w:t>
      </w:r>
    </w:p>
    <w:p w14:paraId="675BBF64">
      <w:pPr>
        <w:spacing w:line="360" w:lineRule="auto"/>
        <w:ind w:left="0" w:leftChars="0" w:firstLine="420" w:firstLineChars="175"/>
        <w:rPr>
          <w:color w:val="auto"/>
          <w:sz w:val="24"/>
          <w:szCs w:val="24"/>
          <w:highlight w:val="none"/>
        </w:rPr>
      </w:pPr>
      <w:r>
        <w:rPr>
          <w:color w:val="auto"/>
          <w:sz w:val="24"/>
          <w:szCs w:val="24"/>
          <w:highlight w:val="none"/>
        </w:rPr>
        <w:t>法定代表人或其委托代理人：  法定代表人或其委托代理人：</w:t>
      </w:r>
    </w:p>
    <w:p w14:paraId="41BA816B">
      <w:pPr>
        <w:spacing w:line="360" w:lineRule="auto"/>
        <w:ind w:left="0" w:leftChars="0" w:firstLine="420" w:firstLineChars="175"/>
        <w:rPr>
          <w:color w:val="auto"/>
          <w:sz w:val="24"/>
          <w:szCs w:val="24"/>
          <w:highlight w:val="none"/>
        </w:rPr>
      </w:pPr>
      <w:r>
        <w:rPr>
          <w:color w:val="auto"/>
          <w:sz w:val="24"/>
          <w:szCs w:val="24"/>
          <w:highlight w:val="none"/>
        </w:rPr>
        <w:t>（签字）                    （签字）</w:t>
      </w:r>
    </w:p>
    <w:p w14:paraId="6F966D28">
      <w:pPr>
        <w:tabs>
          <w:tab w:val="left" w:pos="4410"/>
        </w:tabs>
        <w:spacing w:line="360" w:lineRule="auto"/>
        <w:ind w:left="0" w:leftChars="0" w:firstLine="420" w:firstLineChars="175"/>
        <w:rPr>
          <w:color w:val="auto"/>
          <w:sz w:val="24"/>
          <w:szCs w:val="24"/>
          <w:highlight w:val="none"/>
        </w:rPr>
      </w:pPr>
      <w:r>
        <w:rPr>
          <w:color w:val="auto"/>
          <w:sz w:val="24"/>
          <w:szCs w:val="24"/>
          <w:highlight w:val="none"/>
        </w:rPr>
        <w:t>组织机构代码：</w:t>
      </w:r>
      <w:r>
        <w:rPr>
          <w:color w:val="auto"/>
          <w:sz w:val="24"/>
          <w:szCs w:val="24"/>
          <w:highlight w:val="none"/>
          <w:u w:val="single"/>
        </w:rPr>
        <w:t xml:space="preserve">       </w:t>
      </w:r>
      <w:r>
        <w:rPr>
          <w:color w:val="auto"/>
          <w:sz w:val="24"/>
          <w:szCs w:val="24"/>
          <w:highlight w:val="none"/>
        </w:rPr>
        <w:t xml:space="preserve">  组织机构代码：</w:t>
      </w:r>
      <w:r>
        <w:rPr>
          <w:color w:val="auto"/>
          <w:sz w:val="24"/>
          <w:szCs w:val="24"/>
          <w:highlight w:val="none"/>
          <w:u w:val="single"/>
        </w:rPr>
        <w:t xml:space="preserve">          </w:t>
      </w:r>
      <w:r>
        <w:rPr>
          <w:color w:val="auto"/>
          <w:sz w:val="24"/>
          <w:szCs w:val="24"/>
          <w:highlight w:val="none"/>
        </w:rPr>
        <w:t xml:space="preserve"> </w:t>
      </w:r>
    </w:p>
    <w:p w14:paraId="424AA029">
      <w:pPr>
        <w:spacing w:line="360" w:lineRule="auto"/>
        <w:ind w:left="0" w:leftChars="0" w:firstLine="420" w:firstLineChars="175"/>
        <w:rPr>
          <w:color w:val="auto"/>
          <w:sz w:val="24"/>
          <w:szCs w:val="24"/>
          <w:highlight w:val="none"/>
        </w:rPr>
      </w:pPr>
      <w:r>
        <w:rPr>
          <w:color w:val="auto"/>
          <w:sz w:val="24"/>
          <w:szCs w:val="24"/>
          <w:highlight w:val="none"/>
        </w:rPr>
        <w:t>地  址：</w:t>
      </w:r>
      <w:r>
        <w:rPr>
          <w:color w:val="auto"/>
          <w:sz w:val="24"/>
          <w:szCs w:val="24"/>
          <w:highlight w:val="none"/>
          <w:u w:val="single"/>
        </w:rPr>
        <w:t xml:space="preserve">     </w:t>
      </w:r>
      <w:r>
        <w:rPr>
          <w:color w:val="auto"/>
          <w:sz w:val="24"/>
          <w:szCs w:val="24"/>
          <w:highlight w:val="none"/>
        </w:rPr>
        <w:t xml:space="preserve">  地  址：</w:t>
      </w:r>
      <w:r>
        <w:rPr>
          <w:color w:val="auto"/>
          <w:sz w:val="24"/>
          <w:szCs w:val="24"/>
          <w:highlight w:val="none"/>
          <w:u w:val="single"/>
        </w:rPr>
        <w:t xml:space="preserve">        </w:t>
      </w:r>
    </w:p>
    <w:p w14:paraId="0B9A99A1">
      <w:pPr>
        <w:spacing w:line="360" w:lineRule="auto"/>
        <w:ind w:left="0" w:leftChars="0" w:firstLine="420" w:firstLineChars="175"/>
        <w:rPr>
          <w:color w:val="auto"/>
          <w:sz w:val="24"/>
          <w:szCs w:val="24"/>
          <w:highlight w:val="none"/>
        </w:rPr>
      </w:pPr>
      <w:r>
        <w:rPr>
          <w:color w:val="auto"/>
          <w:sz w:val="24"/>
          <w:szCs w:val="24"/>
          <w:highlight w:val="none"/>
        </w:rPr>
        <w:t>邮政编码：</w:t>
      </w:r>
      <w:r>
        <w:rPr>
          <w:color w:val="auto"/>
          <w:sz w:val="24"/>
          <w:szCs w:val="24"/>
          <w:highlight w:val="none"/>
          <w:u w:val="single"/>
        </w:rPr>
        <w:t xml:space="preserve">      </w:t>
      </w:r>
      <w:r>
        <w:rPr>
          <w:color w:val="auto"/>
          <w:sz w:val="24"/>
          <w:szCs w:val="24"/>
          <w:highlight w:val="none"/>
        </w:rPr>
        <w:t xml:space="preserve">  邮政编码：</w:t>
      </w:r>
      <w:r>
        <w:rPr>
          <w:color w:val="auto"/>
          <w:sz w:val="24"/>
          <w:szCs w:val="24"/>
          <w:highlight w:val="none"/>
          <w:u w:val="single"/>
        </w:rPr>
        <w:t xml:space="preserve">   </w:t>
      </w:r>
    </w:p>
    <w:p w14:paraId="48B90869">
      <w:pPr>
        <w:spacing w:line="360" w:lineRule="auto"/>
        <w:ind w:left="0" w:leftChars="0" w:firstLine="420" w:firstLineChars="175"/>
        <w:rPr>
          <w:color w:val="auto"/>
          <w:sz w:val="24"/>
          <w:szCs w:val="24"/>
          <w:highlight w:val="none"/>
        </w:rPr>
      </w:pPr>
      <w:r>
        <w:rPr>
          <w:color w:val="auto"/>
          <w:sz w:val="24"/>
          <w:szCs w:val="24"/>
          <w:highlight w:val="none"/>
        </w:rPr>
        <w:t>法定代表人：</w:t>
      </w:r>
      <w:r>
        <w:rPr>
          <w:color w:val="auto"/>
          <w:sz w:val="24"/>
          <w:szCs w:val="24"/>
          <w:highlight w:val="none"/>
          <w:u w:val="single"/>
        </w:rPr>
        <w:t xml:space="preserve">           </w:t>
      </w:r>
      <w:r>
        <w:rPr>
          <w:color w:val="auto"/>
          <w:sz w:val="24"/>
          <w:szCs w:val="24"/>
          <w:highlight w:val="none"/>
        </w:rPr>
        <w:t xml:space="preserve">  法定代表人：</w:t>
      </w:r>
      <w:r>
        <w:rPr>
          <w:color w:val="auto"/>
          <w:sz w:val="24"/>
          <w:szCs w:val="24"/>
          <w:highlight w:val="none"/>
          <w:u w:val="single"/>
        </w:rPr>
        <w:t xml:space="preserve">             </w:t>
      </w:r>
    </w:p>
    <w:p w14:paraId="324ABB37">
      <w:pPr>
        <w:spacing w:line="360" w:lineRule="auto"/>
        <w:ind w:left="0" w:leftChars="0" w:firstLine="420" w:firstLineChars="175"/>
        <w:rPr>
          <w:color w:val="auto"/>
          <w:sz w:val="24"/>
          <w:szCs w:val="24"/>
          <w:highlight w:val="none"/>
        </w:rPr>
      </w:pPr>
      <w:r>
        <w:rPr>
          <w:color w:val="auto"/>
          <w:sz w:val="24"/>
          <w:szCs w:val="24"/>
          <w:highlight w:val="none"/>
        </w:rPr>
        <w:t>委托代理人：</w:t>
      </w:r>
      <w:r>
        <w:rPr>
          <w:color w:val="auto"/>
          <w:sz w:val="24"/>
          <w:szCs w:val="24"/>
          <w:highlight w:val="none"/>
          <w:u w:val="single"/>
        </w:rPr>
        <w:t xml:space="preserve">           </w:t>
      </w:r>
      <w:r>
        <w:rPr>
          <w:color w:val="auto"/>
          <w:sz w:val="24"/>
          <w:szCs w:val="24"/>
          <w:highlight w:val="none"/>
        </w:rPr>
        <w:t xml:space="preserve">  委托代理人：</w:t>
      </w:r>
      <w:r>
        <w:rPr>
          <w:color w:val="auto"/>
          <w:sz w:val="24"/>
          <w:szCs w:val="24"/>
          <w:highlight w:val="none"/>
          <w:u w:val="single"/>
        </w:rPr>
        <w:t xml:space="preserve">             </w:t>
      </w:r>
    </w:p>
    <w:p w14:paraId="64ECA4FA">
      <w:pPr>
        <w:spacing w:line="360" w:lineRule="auto"/>
        <w:ind w:left="0" w:leftChars="0" w:firstLine="420" w:firstLineChars="175"/>
        <w:rPr>
          <w:color w:val="auto"/>
          <w:sz w:val="24"/>
          <w:szCs w:val="24"/>
          <w:highlight w:val="none"/>
        </w:rPr>
      </w:pPr>
      <w:r>
        <w:rPr>
          <w:color w:val="auto"/>
          <w:sz w:val="24"/>
          <w:szCs w:val="24"/>
          <w:highlight w:val="none"/>
        </w:rPr>
        <w:t>电  话：</w:t>
      </w:r>
      <w:r>
        <w:rPr>
          <w:color w:val="auto"/>
          <w:sz w:val="24"/>
          <w:szCs w:val="24"/>
          <w:highlight w:val="none"/>
          <w:u w:val="single"/>
        </w:rPr>
        <w:t xml:space="preserve">   </w:t>
      </w:r>
      <w:r>
        <w:rPr>
          <w:color w:val="auto"/>
          <w:sz w:val="24"/>
          <w:szCs w:val="24"/>
          <w:highlight w:val="none"/>
        </w:rPr>
        <w:t xml:space="preserve">  电  话：</w:t>
      </w:r>
      <w:r>
        <w:rPr>
          <w:color w:val="auto"/>
          <w:sz w:val="24"/>
          <w:szCs w:val="24"/>
          <w:highlight w:val="none"/>
          <w:u w:val="single"/>
        </w:rPr>
        <w:t xml:space="preserve">     </w:t>
      </w:r>
    </w:p>
    <w:p w14:paraId="7C129116">
      <w:pPr>
        <w:spacing w:line="360" w:lineRule="auto"/>
        <w:ind w:left="0" w:leftChars="0" w:firstLine="420" w:firstLineChars="175"/>
        <w:rPr>
          <w:color w:val="auto"/>
          <w:sz w:val="24"/>
          <w:szCs w:val="24"/>
          <w:highlight w:val="none"/>
        </w:rPr>
      </w:pPr>
      <w:r>
        <w:rPr>
          <w:color w:val="auto"/>
          <w:sz w:val="24"/>
          <w:szCs w:val="24"/>
          <w:highlight w:val="none"/>
        </w:rPr>
        <w:t>传  真：</w:t>
      </w:r>
      <w:r>
        <w:rPr>
          <w:color w:val="auto"/>
          <w:sz w:val="24"/>
          <w:szCs w:val="24"/>
          <w:highlight w:val="none"/>
          <w:u w:val="single"/>
        </w:rPr>
        <w:t xml:space="preserve">   </w:t>
      </w:r>
      <w:r>
        <w:rPr>
          <w:color w:val="auto"/>
          <w:sz w:val="24"/>
          <w:szCs w:val="24"/>
          <w:highlight w:val="none"/>
        </w:rPr>
        <w:t xml:space="preserve">  传  真：</w:t>
      </w:r>
      <w:r>
        <w:rPr>
          <w:color w:val="auto"/>
          <w:sz w:val="24"/>
          <w:szCs w:val="24"/>
          <w:highlight w:val="none"/>
          <w:u w:val="single"/>
        </w:rPr>
        <w:t xml:space="preserve">     </w:t>
      </w:r>
    </w:p>
    <w:p w14:paraId="506AC0B5">
      <w:pPr>
        <w:spacing w:line="360" w:lineRule="auto"/>
        <w:ind w:left="0" w:leftChars="0" w:firstLine="420" w:firstLineChars="175"/>
        <w:rPr>
          <w:color w:val="auto"/>
          <w:sz w:val="24"/>
          <w:szCs w:val="24"/>
          <w:highlight w:val="none"/>
        </w:rPr>
      </w:pPr>
      <w:r>
        <w:rPr>
          <w:color w:val="auto"/>
          <w:sz w:val="24"/>
          <w:szCs w:val="24"/>
          <w:highlight w:val="none"/>
        </w:rPr>
        <w:t>电子信箱：</w:t>
      </w:r>
      <w:r>
        <w:rPr>
          <w:color w:val="auto"/>
          <w:sz w:val="24"/>
          <w:szCs w:val="24"/>
          <w:highlight w:val="none"/>
          <w:u w:val="single"/>
        </w:rPr>
        <w:t xml:space="preserve">                 </w:t>
      </w:r>
      <w:r>
        <w:rPr>
          <w:color w:val="auto"/>
          <w:sz w:val="24"/>
          <w:szCs w:val="24"/>
          <w:highlight w:val="none"/>
        </w:rPr>
        <w:t xml:space="preserve">  电子信箱：</w:t>
      </w:r>
      <w:r>
        <w:rPr>
          <w:color w:val="auto"/>
          <w:sz w:val="24"/>
          <w:szCs w:val="24"/>
          <w:highlight w:val="none"/>
          <w:u w:val="single"/>
        </w:rPr>
        <w:t xml:space="preserve">   </w:t>
      </w:r>
    </w:p>
    <w:p w14:paraId="62C611DD">
      <w:pPr>
        <w:spacing w:line="360" w:lineRule="auto"/>
        <w:ind w:left="0" w:leftChars="0" w:firstLine="420" w:firstLineChars="175"/>
        <w:rPr>
          <w:color w:val="auto"/>
          <w:sz w:val="24"/>
          <w:szCs w:val="24"/>
          <w:highlight w:val="none"/>
        </w:rPr>
      </w:pPr>
      <w:r>
        <w:rPr>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开户银行：</w:t>
      </w:r>
      <w:r>
        <w:rPr>
          <w:color w:val="auto"/>
          <w:sz w:val="24"/>
          <w:szCs w:val="24"/>
          <w:highlight w:val="none"/>
          <w:u w:val="single"/>
        </w:rPr>
        <w:t xml:space="preserve">   </w:t>
      </w:r>
    </w:p>
    <w:p w14:paraId="13297B42">
      <w:pPr>
        <w:spacing w:line="360" w:lineRule="auto"/>
        <w:ind w:left="0" w:leftChars="0" w:firstLine="420" w:firstLineChars="175"/>
        <w:rPr>
          <w:color w:val="auto"/>
          <w:sz w:val="24"/>
          <w:szCs w:val="24"/>
          <w:highlight w:val="none"/>
        </w:rPr>
      </w:pPr>
      <w:r>
        <w:rPr>
          <w:color w:val="auto"/>
          <w:sz w:val="24"/>
          <w:szCs w:val="24"/>
          <w:highlight w:val="none"/>
        </w:rPr>
        <w:t>账  号：</w:t>
      </w:r>
      <w:r>
        <w:rPr>
          <w:color w:val="auto"/>
          <w:sz w:val="24"/>
          <w:szCs w:val="24"/>
          <w:highlight w:val="none"/>
          <w:u w:val="single"/>
        </w:rPr>
        <w:t xml:space="preserve">       </w:t>
      </w:r>
      <w:r>
        <w:rPr>
          <w:color w:val="auto"/>
          <w:sz w:val="24"/>
          <w:szCs w:val="24"/>
          <w:highlight w:val="none"/>
        </w:rPr>
        <w:t xml:space="preserve">   账  号：</w:t>
      </w:r>
      <w:r>
        <w:rPr>
          <w:color w:val="auto"/>
          <w:sz w:val="24"/>
          <w:szCs w:val="24"/>
          <w:highlight w:val="none"/>
          <w:u w:val="single"/>
        </w:rPr>
        <w:t xml:space="preserve">     </w:t>
      </w:r>
    </w:p>
    <w:bookmarkEnd w:id="483"/>
    <w:p w14:paraId="242261B1">
      <w:pPr>
        <w:spacing w:line="360" w:lineRule="auto"/>
        <w:jc w:val="center"/>
        <w:rPr>
          <w:b/>
          <w:bCs/>
          <w:color w:val="auto"/>
          <w:sz w:val="36"/>
          <w:highlight w:val="none"/>
        </w:rPr>
      </w:pPr>
      <w:r>
        <w:rPr>
          <w:rFonts w:hint="eastAsia" w:ascii="Times New Roman" w:hAnsi="华文中宋" w:eastAsia="华文中宋" w:cs="Times New Roman"/>
          <w:b/>
          <w:bCs/>
          <w:color w:val="auto"/>
          <w:kern w:val="0"/>
          <w:sz w:val="28"/>
          <w:szCs w:val="28"/>
          <w:highlight w:val="none"/>
          <w:lang w:val="en-US" w:eastAsia="zh-CN" w:bidi="ar-SA"/>
        </w:rPr>
        <w:t>第二章   通用条款</w:t>
      </w:r>
    </w:p>
    <w:p w14:paraId="081F3851">
      <w:pPr>
        <w:spacing w:line="360" w:lineRule="auto"/>
        <w:jc w:val="center"/>
        <w:rPr>
          <w:rFonts w:hint="eastAsia" w:ascii="宋体" w:hAnsi="宋体" w:eastAsia="宋体" w:cs="宋体"/>
          <w:color w:val="auto"/>
          <w:sz w:val="24"/>
          <w:szCs w:val="24"/>
          <w:highlight w:val="none"/>
        </w:rPr>
      </w:pPr>
      <w:r>
        <w:rPr>
          <w:color w:val="auto"/>
          <w:kern w:val="0"/>
          <w:sz w:val="21"/>
          <w:szCs w:val="21"/>
          <w:highlight w:val="none"/>
        </w:rPr>
        <w:t>（参见《建设工程施工合同》GF-201</w:t>
      </w:r>
      <w:r>
        <w:rPr>
          <w:rFonts w:hint="eastAsia"/>
          <w:color w:val="auto"/>
          <w:kern w:val="0"/>
          <w:sz w:val="21"/>
          <w:szCs w:val="21"/>
          <w:highlight w:val="none"/>
        </w:rPr>
        <w:t>7</w:t>
      </w:r>
      <w:r>
        <w:rPr>
          <w:color w:val="auto"/>
          <w:kern w:val="0"/>
          <w:sz w:val="21"/>
          <w:szCs w:val="21"/>
          <w:highlight w:val="none"/>
        </w:rPr>
        <w:t>-0201通用条款）</w:t>
      </w:r>
    </w:p>
    <w:p w14:paraId="3B5E1B13">
      <w:pPr>
        <w:keepNext w:val="0"/>
        <w:keepLines w:val="0"/>
        <w:pageBreakBefore w:val="0"/>
        <w:widowControl/>
        <w:kinsoku/>
        <w:wordWrap w:val="0"/>
        <w:overflowPunct/>
        <w:topLinePunct/>
        <w:autoSpaceDE w:val="0"/>
        <w:autoSpaceDN w:val="0"/>
        <w:bidi w:val="0"/>
        <w:adjustRightInd w:val="0"/>
        <w:snapToGrid w:val="0"/>
        <w:spacing w:before="104" w:line="400" w:lineRule="exact"/>
        <w:ind w:left="29"/>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1.一般约定</w:t>
      </w:r>
    </w:p>
    <w:p w14:paraId="679D32D7">
      <w:pPr>
        <w:keepNext w:val="0"/>
        <w:keepLines w:val="0"/>
        <w:pageBreakBefore w:val="0"/>
        <w:widowControl/>
        <w:kinsoku/>
        <w:wordWrap w:val="0"/>
        <w:overflowPunct/>
        <w:topLinePunct/>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p w14:paraId="41E85F8B">
      <w:pPr>
        <w:keepNext w:val="0"/>
        <w:keepLines w:val="0"/>
        <w:pageBreakBefore w:val="0"/>
        <w:widowControl/>
        <w:kinsoku/>
        <w:wordWrap w:val="0"/>
        <w:overflowPunct/>
        <w:topLinePunct/>
        <w:autoSpaceDE w:val="0"/>
        <w:autoSpaceDN w:val="0"/>
        <w:bidi w:val="0"/>
        <w:adjustRightInd w:val="0"/>
        <w:snapToGrid w:val="0"/>
        <w:spacing w:before="98" w:line="400" w:lineRule="exact"/>
        <w:ind w:left="6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 词语定义与解释</w:t>
      </w:r>
    </w:p>
    <w:p w14:paraId="1F494D72">
      <w:pPr>
        <w:keepNext w:val="0"/>
        <w:keepLines w:val="0"/>
        <w:pageBreakBefore w:val="0"/>
        <w:widowControl/>
        <w:kinsoku/>
        <w:wordWrap w:val="0"/>
        <w:overflowPunct/>
        <w:topLinePunct/>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p w14:paraId="3AF5D0FA">
      <w:pPr>
        <w:keepNext w:val="0"/>
        <w:keepLines w:val="0"/>
        <w:pageBreakBefore w:val="0"/>
        <w:widowControl/>
        <w:kinsoku/>
        <w:wordWrap w:val="0"/>
        <w:overflowPunct/>
        <w:topLinePunct/>
        <w:autoSpaceDE w:val="0"/>
        <w:autoSpaceDN w:val="0"/>
        <w:bidi w:val="0"/>
        <w:adjustRightInd w:val="0"/>
        <w:snapToGrid w:val="0"/>
        <w:spacing w:before="98" w:line="400" w:lineRule="exact"/>
        <w:ind w:right="72"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合同协议书、通用、专用合同条款中的下列词语具有本款所赋予</w:t>
      </w:r>
      <w:r>
        <w:rPr>
          <w:rFonts w:hint="eastAsia" w:ascii="宋体" w:hAnsi="宋体" w:eastAsia="宋体" w:cs="宋体"/>
          <w:color w:val="auto"/>
          <w:spacing w:val="-22"/>
          <w:sz w:val="24"/>
          <w:szCs w:val="24"/>
          <w:highlight w:val="none"/>
        </w:rPr>
        <w:t>的含义：</w:t>
      </w:r>
    </w:p>
    <w:p w14:paraId="75233643">
      <w:pPr>
        <w:keepNext w:val="0"/>
        <w:keepLines w:val="0"/>
        <w:pageBreakBefore w:val="0"/>
        <w:widowControl/>
        <w:kinsoku/>
        <w:wordWrap w:val="0"/>
        <w:overflowPunct/>
        <w:topLinePunct/>
        <w:autoSpaceDE w:val="0"/>
        <w:autoSpaceDN w:val="0"/>
        <w:bidi w:val="0"/>
        <w:adjustRightInd w:val="0"/>
        <w:snapToGrid w:val="0"/>
        <w:spacing w:before="1" w:line="400" w:lineRule="exact"/>
        <w:ind w:left="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1.1.1</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合同</w:t>
      </w:r>
    </w:p>
    <w:p w14:paraId="4963EE3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1.1.1.1 合同：是指根据法律规定和合同当事人约定</w:t>
      </w:r>
      <w:r>
        <w:rPr>
          <w:rFonts w:hint="eastAsia" w:ascii="宋体" w:hAnsi="宋体" w:eastAsia="宋体" w:cs="宋体"/>
          <w:color w:val="auto"/>
          <w:spacing w:val="-2"/>
          <w:sz w:val="24"/>
          <w:szCs w:val="24"/>
          <w:highlight w:val="none"/>
        </w:rPr>
        <w:t>具有约束力的</w:t>
      </w:r>
      <w:r>
        <w:rPr>
          <w:rFonts w:hint="eastAsia" w:ascii="宋体" w:hAnsi="宋体" w:eastAsia="宋体" w:cs="宋体"/>
          <w:color w:val="auto"/>
          <w:sz w:val="24"/>
          <w:szCs w:val="24"/>
          <w:highlight w:val="none"/>
        </w:rPr>
        <w:t>文件，构成合同的文件包括合同协议书、中</w:t>
      </w:r>
      <w:r>
        <w:rPr>
          <w:rFonts w:hint="eastAsia" w:ascii="宋体" w:hAnsi="宋体" w:eastAsia="宋体" w:cs="宋体"/>
          <w:color w:val="auto"/>
          <w:spacing w:val="-1"/>
          <w:sz w:val="24"/>
          <w:szCs w:val="24"/>
          <w:highlight w:val="none"/>
        </w:rPr>
        <w:t>标通知书（如果有）、投</w:t>
      </w:r>
      <w:r>
        <w:rPr>
          <w:rFonts w:hint="eastAsia" w:ascii="宋体" w:hAnsi="宋体" w:eastAsia="宋体" w:cs="宋体"/>
          <w:color w:val="auto"/>
          <w:spacing w:val="-2"/>
          <w:sz w:val="24"/>
          <w:szCs w:val="24"/>
          <w:highlight w:val="none"/>
        </w:rPr>
        <w:t>标函及其附录（如果有）、专用合同条款及其附件、通用合</w:t>
      </w:r>
      <w:r>
        <w:rPr>
          <w:rFonts w:hint="eastAsia" w:ascii="宋体" w:hAnsi="宋体" w:eastAsia="宋体" w:cs="宋体"/>
          <w:color w:val="auto"/>
          <w:spacing w:val="-3"/>
          <w:sz w:val="24"/>
          <w:szCs w:val="24"/>
          <w:highlight w:val="none"/>
        </w:rPr>
        <w:t>同条款、</w:t>
      </w:r>
    </w:p>
    <w:p w14:paraId="016A16FB">
      <w:pPr>
        <w:keepNext w:val="0"/>
        <w:keepLines w:val="0"/>
        <w:pageBreakBefore w:val="0"/>
        <w:widowControl/>
        <w:kinsoku/>
        <w:wordWrap w:val="0"/>
        <w:overflowPunct/>
        <w:topLinePunct/>
        <w:autoSpaceDE w:val="0"/>
        <w:autoSpaceDN w:val="0"/>
        <w:bidi w:val="0"/>
        <w:adjustRightInd w:val="0"/>
        <w:snapToGrid w:val="0"/>
        <w:spacing w:before="269" w:line="400" w:lineRule="exact"/>
        <w:ind w:right="72" w:firstLine="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技术标准和要求、图纸、已标价工程量清单或预算书以及其他合同文</w:t>
      </w:r>
      <w:r>
        <w:rPr>
          <w:rFonts w:hint="eastAsia" w:ascii="宋体" w:hAnsi="宋体" w:eastAsia="宋体" w:cs="宋体"/>
          <w:color w:val="auto"/>
          <w:spacing w:val="-18"/>
          <w:sz w:val="24"/>
          <w:szCs w:val="24"/>
          <w:highlight w:val="none"/>
        </w:rPr>
        <w:t>件。</w:t>
      </w:r>
    </w:p>
    <w:p w14:paraId="0D5FDD99">
      <w:pPr>
        <w:keepNext w:val="0"/>
        <w:keepLines w:val="0"/>
        <w:pageBreakBefore w:val="0"/>
        <w:widowControl/>
        <w:kinsoku/>
        <w:wordWrap w:val="0"/>
        <w:overflowPunct/>
        <w:topLinePunct/>
        <w:autoSpaceDE w:val="0"/>
        <w:autoSpaceDN w:val="0"/>
        <w:bidi w:val="0"/>
        <w:adjustRightInd w:val="0"/>
        <w:snapToGrid w:val="0"/>
        <w:spacing w:before="271" w:line="400" w:lineRule="exact"/>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1.1.1.2 合同协议书：是指构成合同的由发包人和承</w:t>
      </w:r>
      <w:r>
        <w:rPr>
          <w:rFonts w:hint="eastAsia" w:ascii="宋体" w:hAnsi="宋体" w:eastAsia="宋体" w:cs="宋体"/>
          <w:color w:val="auto"/>
          <w:spacing w:val="-2"/>
          <w:sz w:val="24"/>
          <w:szCs w:val="24"/>
          <w:highlight w:val="none"/>
        </w:rPr>
        <w:t>包人共同签署</w:t>
      </w:r>
      <w:r>
        <w:rPr>
          <w:rFonts w:hint="eastAsia" w:ascii="宋体" w:hAnsi="宋体" w:eastAsia="宋体" w:cs="宋体"/>
          <w:color w:val="auto"/>
          <w:spacing w:val="-6"/>
          <w:sz w:val="24"/>
          <w:szCs w:val="24"/>
          <w:highlight w:val="none"/>
        </w:rPr>
        <w:t>的称为“合同协议书”的书面文件。</w:t>
      </w:r>
    </w:p>
    <w:p w14:paraId="1DB4FF1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中标通知书：是指构成合同的由发包人通知承包人中标的书面文件。</w:t>
      </w:r>
    </w:p>
    <w:p w14:paraId="4F3A8F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1.1.1.4  投标函：是指构成合同的由承包人填写并签署的用于投标的称为“投标函”的文件。</w:t>
      </w:r>
    </w:p>
    <w:p w14:paraId="39B8F92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1.1.1.5  投标函附录：是指构成合同的附在投标函后的称为“投标函附录”的文件。</w:t>
      </w:r>
    </w:p>
    <w:p w14:paraId="55F4388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1.1.1.6  技术标准和要求：是指构成合同的施工应当遵守的或指导施工的国家、行业或地方的技术标准和要求，以及合同约定的技术标准和要求。</w:t>
      </w:r>
    </w:p>
    <w:p w14:paraId="10E45BC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6627A6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1.1.1.8 已标价工程量清单：是指构成合同的由承包人按照规定的格式和要求填写并标明价格的工程量清单，包括说明和表格。</w:t>
      </w:r>
    </w:p>
    <w:p w14:paraId="50ECB0F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1.1.1.9 预算书：是指构成合同的由承包人按照发包人规定的格式和要求编制的工程预算文件。</w:t>
      </w:r>
    </w:p>
    <w:p w14:paraId="61EEA44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fldChar w:fldCharType="begin"/>
      </w:r>
      <w:r>
        <w:rPr>
          <w:rFonts w:hint="eastAsia" w:ascii="宋体" w:hAnsi="宋体" w:eastAsia="宋体" w:cs="宋体"/>
          <w:color w:val="auto"/>
          <w:spacing w:val="-1"/>
          <w:sz w:val="24"/>
          <w:szCs w:val="24"/>
          <w:highlight w:val="none"/>
        </w:rPr>
        <w:instrText xml:space="preserve"> HYPERLINK "1.1.1.10" </w:instrText>
      </w:r>
      <w:r>
        <w:rPr>
          <w:rFonts w:hint="eastAsia" w:ascii="宋体" w:hAnsi="宋体" w:eastAsia="宋体" w:cs="宋体"/>
          <w:color w:val="auto"/>
          <w:spacing w:val="-1"/>
          <w:sz w:val="24"/>
          <w:szCs w:val="24"/>
          <w:highlight w:val="none"/>
        </w:rPr>
        <w:fldChar w:fldCharType="separate"/>
      </w:r>
      <w:r>
        <w:rPr>
          <w:rFonts w:hint="eastAsia" w:ascii="宋体" w:hAnsi="宋体" w:eastAsia="宋体" w:cs="宋体"/>
          <w:color w:val="auto"/>
          <w:spacing w:val="-1"/>
          <w:sz w:val="24"/>
          <w:szCs w:val="24"/>
          <w:highlight w:val="none"/>
        </w:rPr>
        <w:t>1.1.1.10</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 xml:space="preserve"> 其他合同文件：是指经合同当事人约定的与工程施工有关的具有合同约束力的文件或书面协议。合同当事人可以在专用合同条款中进行约定。</w:t>
      </w:r>
    </w:p>
    <w:p w14:paraId="4240D4C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 合同当事人及其他相关方</w:t>
      </w:r>
    </w:p>
    <w:p w14:paraId="116AC7D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1.1.2.1 合同当事人：是指发包人和（或）承包人。</w:t>
      </w:r>
    </w:p>
    <w:p w14:paraId="02B1DA4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1.1.2.2 发包人：是指与承包人签订合同协议书的当事人及取得该当事人资格的合法继承人。</w:t>
      </w:r>
    </w:p>
    <w:p w14:paraId="6CAD74A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1.1.2.3 承包人：是指与发包人签订合同协议书的，具有相应工程施工承包资质的当事人及取得该当事人资格的合法继承人。</w:t>
      </w:r>
    </w:p>
    <w:p w14:paraId="4E0B712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1.1.2.4 监理人：是指在专用合同条款中指明的，受发包人委托按 照法律规定进行工程监督管理的法人或其他组织。</w:t>
      </w:r>
    </w:p>
    <w:p w14:paraId="2923966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1.1.2.5  设计人：是指在专用合同条款中指明的，受发包人委托负 责工程设计并具备相应工程设计资质的法人或其他组织。</w:t>
      </w:r>
    </w:p>
    <w:p w14:paraId="1587C2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1.1.2.6  分包人：是指按照法律规定和合同约定，分包部分工程或 工作，并与承包人签订分包合同的具有相应资质的法人。</w:t>
      </w:r>
    </w:p>
    <w:p w14:paraId="1F87B83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1.1.2.7  发包人代表：是指由发包人任命并派驻施工现场在发包人授权范围内行使发包人权利的人。</w:t>
      </w:r>
    </w:p>
    <w:p w14:paraId="46A06AD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1.1.2.8 项目经理：是指由承包人任命并派驻施工现场，在承包人授权范围内负责合同履行，且按照法律规定具有相应资格的项目负责人。</w:t>
      </w:r>
    </w:p>
    <w:p w14:paraId="1275F91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1.1.2.9 总监理工程师：是指由监理人任命并派驻施工现场进行工程监理的总负责人。</w:t>
      </w:r>
    </w:p>
    <w:p w14:paraId="63EB90A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 工程和设备</w:t>
      </w:r>
    </w:p>
    <w:p w14:paraId="2DA6764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1.1.3.1 工程：是指与合同协议书中工程承包范围对应的永久工程和（或）临时工程。</w:t>
      </w:r>
    </w:p>
    <w:p w14:paraId="211227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1.1.3.2 永久工程：是指按合同约定建造并移交给发包人的工程，包括工程设备。</w:t>
      </w:r>
    </w:p>
    <w:p w14:paraId="6B8B2C8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1.1.3.3 临时工程：是指为完成合同约定的永久工程所修建的各类临时性工程，不包括施工设备。</w:t>
      </w:r>
    </w:p>
    <w:p w14:paraId="578E57B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1.1.3.4 单位工程：是指在合同协议书中指明的，具备独立施工条件并能形成独立使用功能的永久工程。</w:t>
      </w:r>
    </w:p>
    <w:p w14:paraId="3D273B1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1.1.3.5 工程设备：是指构成永久工程的机电设备、金属结构设备、仪器及其他类似的设备和装置。1.1.3.6  施工设备：是指为完成合同约定的各项工作所需的设备、 器具和其他物品，但不包括工程设备、临时工程和材料。</w:t>
      </w:r>
    </w:p>
    <w:p w14:paraId="3083414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1.1.3.7  施工现场：是指用于工程施工的场所，以及在专用合同条款中指明作为施工场所组成部分的其他场所，包括永久占地和临时占地。</w:t>
      </w:r>
    </w:p>
    <w:p w14:paraId="117C83A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1.1.3.8 临时设施：是指为完成合同约定的各项工作所服务的临时性生产和生活设施。</w:t>
      </w:r>
    </w:p>
    <w:p w14:paraId="1A6CB50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1.1.3.9 永久占地：是指专用合同条款中指明为实施工程需永久占用的土地。</w:t>
      </w:r>
    </w:p>
    <w:p w14:paraId="7AAAF81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fldChar w:fldCharType="begin"/>
      </w:r>
      <w:r>
        <w:rPr>
          <w:rFonts w:hint="eastAsia" w:ascii="宋体" w:hAnsi="宋体" w:eastAsia="宋体" w:cs="宋体"/>
          <w:color w:val="auto"/>
          <w:spacing w:val="-1"/>
          <w:sz w:val="24"/>
          <w:szCs w:val="24"/>
          <w:highlight w:val="none"/>
        </w:rPr>
        <w:instrText xml:space="preserve"> HYPERLINK "1.1.3.10" </w:instrText>
      </w:r>
      <w:r>
        <w:rPr>
          <w:rFonts w:hint="eastAsia" w:ascii="宋体" w:hAnsi="宋体" w:eastAsia="宋体" w:cs="宋体"/>
          <w:color w:val="auto"/>
          <w:spacing w:val="-1"/>
          <w:sz w:val="24"/>
          <w:szCs w:val="24"/>
          <w:highlight w:val="none"/>
        </w:rPr>
        <w:fldChar w:fldCharType="separate"/>
      </w:r>
      <w:r>
        <w:rPr>
          <w:rFonts w:hint="eastAsia" w:ascii="宋体" w:hAnsi="宋体" w:eastAsia="宋体" w:cs="宋体"/>
          <w:color w:val="auto"/>
          <w:spacing w:val="-1"/>
          <w:sz w:val="24"/>
          <w:szCs w:val="24"/>
          <w:highlight w:val="none"/>
        </w:rPr>
        <w:t>1.1.3.10</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 xml:space="preserve"> 临时占地：是指专用合同条款中指明为实施工程需要临时占用的土地。</w:t>
      </w:r>
    </w:p>
    <w:p w14:paraId="02959D3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  日期和期限</w:t>
      </w:r>
    </w:p>
    <w:p w14:paraId="23DCFB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1.1.4.1 开工日期：包括计划开工日期和实际开工日期。计划开工日期是指合同协议书约定的开工日期；实际开工日期是指监理人按照第 7.3.2项〔开工通知〕约定发出的符合法律规定的开工通知中载明的开工日期。</w:t>
      </w:r>
    </w:p>
    <w:p w14:paraId="5FC7453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1.1.4.2 竣工日期：包括计划竣工日期和实际竣工日期。计划竣工日期是指合同协议书约定的竣工日期；实际竣工日期按照第13.2.3项〔竣工日期〕的约定确定。</w:t>
      </w:r>
    </w:p>
    <w:p w14:paraId="2AE1783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1.1.4.3 工期：是指在合同协议书约定的承包人完成工程所需的期限，包括按照合同约定所作的期限变更。</w:t>
      </w:r>
    </w:p>
    <w:p w14:paraId="0308526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1.1.4.4 缺陷责任期：是指承包人按照合同约定承担缺陷修复义务，且发包人预留质量保证金的期限，自工程实际竣工日期起计算。</w:t>
      </w:r>
    </w:p>
    <w:p w14:paraId="0D51315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1.1.4.5 保修期：是指承包人按照合同约定对工程承担保修责任的期限，从工程竣工验收合格之日起计算。</w:t>
      </w:r>
    </w:p>
    <w:p w14:paraId="177B4E6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1.1.4.6 基准日期：招标发包的工程以投标截止日前 28天的日期为基准日期，直接发包的工程以合同签订日前28天的日期为基准日期。</w:t>
      </w:r>
    </w:p>
    <w:p w14:paraId="10C92EB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1.1.4.7 天：除特别指明外，均指日历天。合同中按天计算时间的，开始当天不计入，从次日开始计算，期限最后一天的截止时间为当天24:00时。</w:t>
      </w:r>
    </w:p>
    <w:p w14:paraId="564EEF2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 合同价格和费用</w:t>
      </w:r>
    </w:p>
    <w:p w14:paraId="7B7295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1.1.5.1 签约合同价：是指发包人和承包人在合同协议书中确定的总金额，包括安全文明施工费、暂估价及暂列金额等。</w:t>
      </w:r>
    </w:p>
    <w:p w14:paraId="01AD50F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1.1.5.2 合同价格：是指发包人用于支付承包人按照合同约定完成承包范围内全部工作的金额，包括合同履行过程中按合同约定发生的价格变化。</w:t>
      </w:r>
    </w:p>
    <w:p w14:paraId="7A06371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1.1.5.3 费用：是指为履行合同所发生的或将要发生的所有必需的开支，包括管理费和应分摊的其他费用，但不包括利润。</w:t>
      </w:r>
    </w:p>
    <w:p w14:paraId="0CF03E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1.1.5.4 暂估价：是指发包人在工程量清单或预算书中提供的用于支付必然发生但暂时不能确定价格的材料、工程设备的单价、专业工程以及服务工作的金额。</w:t>
      </w:r>
    </w:p>
    <w:p w14:paraId="7C2D19F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62C894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1.1.5.6 计日工：是指合同履行过程中，承包人完成发包人提出的零星工作或需要采用计日工计价的变更工作时，按合同中约定的单价计价的一种方式。</w:t>
      </w:r>
    </w:p>
    <w:p w14:paraId="24E4D42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1.1.5.7 质量保证金：是指按照第15.3款〔质量保证金〕约定承包人用于保证其在缺陷责任期内履行缺陷修补义务的担保。</w:t>
      </w:r>
    </w:p>
    <w:p w14:paraId="035C77E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1.1.5.8 总价项目：是指在现行国家、行业以及地方的计量规则中无工程量计算规则，在已标价工程量清单或预算书中以总价或以费率形式计算的项目。</w:t>
      </w:r>
    </w:p>
    <w:p w14:paraId="1C56FEB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1.1.6 其他</w:t>
      </w:r>
    </w:p>
    <w:p w14:paraId="50F611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1.1.6.1 书面形式：是指合同文件、信函、电报、传真等可以有形</w:t>
      </w:r>
      <w:bookmarkStart w:id="487" w:name="bookmark70"/>
      <w:bookmarkEnd w:id="487"/>
      <w:r>
        <w:rPr>
          <w:rFonts w:hint="eastAsia" w:ascii="宋体" w:hAnsi="宋体" w:eastAsia="宋体" w:cs="宋体"/>
          <w:color w:val="auto"/>
          <w:spacing w:val="-1"/>
          <w:sz w:val="24"/>
          <w:szCs w:val="24"/>
          <w:highlight w:val="none"/>
        </w:rPr>
        <w:t>地表现所载内容的形式。</w:t>
      </w:r>
    </w:p>
    <w:p w14:paraId="172B580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 语言文字</w:t>
      </w:r>
    </w:p>
    <w:p w14:paraId="6ABB7D1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合同以中国的汉语简体文字编写、解释和说明。合同当事人在专用合同条款中约定使用两种以上语言时，汉语为优先解释和说明合同</w:t>
      </w:r>
      <w:bookmarkStart w:id="488" w:name="bookmark71"/>
      <w:bookmarkEnd w:id="488"/>
      <w:r>
        <w:rPr>
          <w:rFonts w:hint="eastAsia" w:ascii="宋体" w:hAnsi="宋体" w:eastAsia="宋体" w:cs="宋体"/>
          <w:color w:val="auto"/>
          <w:spacing w:val="-1"/>
          <w:sz w:val="24"/>
          <w:szCs w:val="24"/>
          <w:highlight w:val="none"/>
        </w:rPr>
        <w:t>的语言。</w:t>
      </w:r>
    </w:p>
    <w:p w14:paraId="314D888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 法律</w:t>
      </w:r>
    </w:p>
    <w:p w14:paraId="2B65CF0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合同所称法律是指中华人民共和国法律、行政法规、部门规章，以及工程所在地的地方性法规、自治条例、单行条例和地方政府规章等。</w:t>
      </w:r>
    </w:p>
    <w:p w14:paraId="0254BC5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合同当事人可以在专用合同条款中约定合同适用的其他规范性文</w:t>
      </w:r>
      <w:bookmarkStart w:id="489" w:name="bookmark72"/>
      <w:bookmarkEnd w:id="489"/>
      <w:r>
        <w:rPr>
          <w:rFonts w:hint="eastAsia" w:ascii="宋体" w:hAnsi="宋体" w:eastAsia="宋体" w:cs="宋体"/>
          <w:color w:val="auto"/>
          <w:spacing w:val="-1"/>
          <w:sz w:val="24"/>
          <w:szCs w:val="24"/>
          <w:highlight w:val="none"/>
        </w:rPr>
        <w:t>件。</w:t>
      </w:r>
    </w:p>
    <w:p w14:paraId="69EA5D5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 标准和规范</w:t>
      </w:r>
    </w:p>
    <w:p w14:paraId="1B1F5D7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1.4.1 适用于工程的国家标准、行业标准、工程所在地的地方性标准，以及相应的规范、规程等，合同当事人有特别要求的，应在专用合同条款中约定。</w:t>
      </w:r>
    </w:p>
    <w:p w14:paraId="1FD1AAE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1.4.2 发包人要求使用国外标准、规范的，发包人负责提供原文版本和中文译本，并在专用合同条款中约定提供标准规范的名称、份数和时间。</w:t>
      </w:r>
    </w:p>
    <w:p w14:paraId="66FD7B0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02D9F6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490" w:name="bookmark73"/>
      <w:bookmarkEnd w:id="490"/>
      <w:r>
        <w:rPr>
          <w:rFonts w:hint="eastAsia" w:ascii="宋体" w:hAnsi="宋体" w:eastAsia="宋体" w:cs="宋体"/>
          <w:color w:val="auto"/>
          <w:spacing w:val="-1"/>
          <w:sz w:val="24"/>
          <w:szCs w:val="24"/>
          <w:highlight w:val="none"/>
        </w:rPr>
        <w:t>1.5 合同文件的优先顺序</w:t>
      </w:r>
    </w:p>
    <w:p w14:paraId="40A7F5C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组成合同的各项文件应互相解释，互为说明。除专用合同条款另有约定外，解释合同文件的优先顺序如下：</w:t>
      </w:r>
    </w:p>
    <w:p w14:paraId="7CE2B6F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1）合同协议书；</w:t>
      </w:r>
    </w:p>
    <w:p w14:paraId="49A9CD6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（2）中标通知书（如果有）；</w:t>
      </w:r>
    </w:p>
    <w:p w14:paraId="0B2242A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（3）投标函及其附录（如果有）；</w:t>
      </w:r>
    </w:p>
    <w:p w14:paraId="1F4A89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（4）专用合同条款及其附件；</w:t>
      </w:r>
    </w:p>
    <w:p w14:paraId="6D3FD5A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（5）通用合同条款；</w:t>
      </w:r>
    </w:p>
    <w:p w14:paraId="1015751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（6）技术标准和要求；</w:t>
      </w:r>
    </w:p>
    <w:p w14:paraId="64C02B0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（7）图纸；</w:t>
      </w:r>
    </w:p>
    <w:p w14:paraId="27D0CFE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（8）已标价工程量清单或预算书；</w:t>
      </w:r>
    </w:p>
    <w:p w14:paraId="0216F8B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（9）其他合同文件。</w:t>
      </w:r>
    </w:p>
    <w:p w14:paraId="3BE66AC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上述各项合同文件包括合同当事人就该项合同文件所作出的补充和修改，属于同一类内容的文件，应以最新签署的为准。</w:t>
      </w:r>
    </w:p>
    <w:p w14:paraId="074EFC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在合同订立及履行过程中形成的与合同有关的文件均构成合同文件组成部分，并根据其性质确定优先解释顺序。</w:t>
      </w:r>
      <w:bookmarkStart w:id="491" w:name="bookmark74"/>
      <w:bookmarkEnd w:id="491"/>
    </w:p>
    <w:p w14:paraId="4CA72DD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 图纸和承包人文件</w:t>
      </w:r>
    </w:p>
    <w:p w14:paraId="36BAC1D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 图纸的提供和交底</w:t>
      </w:r>
    </w:p>
    <w:p w14:paraId="19399B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发包人应按照专用合同条款约定的期限、数量和内容向承包人免费提供图纸，并组织承包人、监理人和设计人进行图纸会审和设计交底。发包人至迟不得晚于第 7.3.2项〔开工通知〕载明的开工日期前14天向承包人提供图纸。</w:t>
      </w:r>
    </w:p>
    <w:p w14:paraId="6284DDF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因发包人未按合同约定提供图纸导致承包人费用增加和（或）工期延误的，按照第7.5.1 项〔因发包人原因导致工期延误〕约定办理。</w:t>
      </w:r>
    </w:p>
    <w:p w14:paraId="5709D21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 图纸的错误</w:t>
      </w:r>
    </w:p>
    <w:p w14:paraId="6D08B99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承包人在收到发包人提供的图纸后，发现图纸存在差错、遗漏或 缺陷的，应及时通知监理人。监理人接到该通知后，应附具相关意见 并立即报送发包人，发包人应在收到监理人报送的通知后的合理时间 内作出决定。合理时间是指发包人在收到监理人的报送通知后，尽其 努力且不懈怠地完成图纸修改补充所需的时间。</w:t>
      </w:r>
    </w:p>
    <w:p w14:paraId="74F895F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1.6.3 图纸的修改和补充</w:t>
      </w:r>
    </w:p>
    <w:p w14:paraId="7DB98F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4C2D37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1.6.4 承包人文件</w:t>
      </w:r>
    </w:p>
    <w:p w14:paraId="6EEF804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承包人应按照专用合同条款的约定提供应当由其编制的与工程施工有关的文件，并按照专用合同条款约定的期限、数量和形式提交监理人，并由监理人报送发包人。</w:t>
      </w:r>
    </w:p>
    <w:p w14:paraId="5CA849C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9A670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1.6.5 图纸和承包人文件的保管</w:t>
      </w:r>
    </w:p>
    <w:p w14:paraId="3FBA68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除专用合同条款另有约定外，承包人应在施工现场另外保存一套完整的图纸和承包人文件，供发包人、监理人及有关人员进行工程检</w:t>
      </w:r>
      <w:bookmarkStart w:id="492" w:name="bookmark75"/>
      <w:bookmarkEnd w:id="492"/>
      <w:r>
        <w:rPr>
          <w:rFonts w:hint="eastAsia" w:ascii="宋体" w:hAnsi="宋体" w:eastAsia="宋体" w:cs="宋体"/>
          <w:color w:val="auto"/>
          <w:spacing w:val="-1"/>
          <w:sz w:val="24"/>
          <w:szCs w:val="24"/>
          <w:highlight w:val="none"/>
        </w:rPr>
        <w:t>查时使用。</w:t>
      </w:r>
    </w:p>
    <w:p w14:paraId="79AA2FF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 联络</w:t>
      </w:r>
    </w:p>
    <w:p w14:paraId="5BCFA6E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1.7.1 与合同有关的通知、批准、证明、证书、指示、指令、要求、请求、同意、意见、确定和决定等，均应采用书面形式，并应在合同约定的期限内送达接收人和送达地点。</w:t>
      </w:r>
    </w:p>
    <w:p w14:paraId="6838462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4EE3C57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1.7.3 发包人和承包人应当及时签收另一方送达至送达地点和指定接收人的来往信函。拒不签收的，由此增加的费用和（或）延误的</w:t>
      </w:r>
      <w:bookmarkStart w:id="493" w:name="bookmark76"/>
      <w:bookmarkEnd w:id="493"/>
      <w:r>
        <w:rPr>
          <w:rFonts w:hint="eastAsia" w:ascii="宋体" w:hAnsi="宋体" w:eastAsia="宋体" w:cs="宋体"/>
          <w:color w:val="auto"/>
          <w:spacing w:val="-1"/>
          <w:sz w:val="24"/>
          <w:szCs w:val="24"/>
          <w:highlight w:val="none"/>
        </w:rPr>
        <w:t>工期由拒绝接收一方承担。</w:t>
      </w:r>
    </w:p>
    <w:p w14:paraId="5C92A93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 严禁贿赂</w:t>
      </w:r>
    </w:p>
    <w:p w14:paraId="17D9174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合同当事人不得以贿赂或变相贿赂的方式，谋取非法利益或损害对方权益。因一方合同当事人的贿赂造成对方损失的，应赔偿损失，并承担相应的法律责任。</w:t>
      </w:r>
    </w:p>
    <w:p w14:paraId="4438561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432126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494" w:name="bookmark77"/>
      <w:bookmarkEnd w:id="494"/>
      <w:r>
        <w:rPr>
          <w:rFonts w:hint="eastAsia" w:ascii="宋体" w:hAnsi="宋体" w:eastAsia="宋体" w:cs="宋体"/>
          <w:color w:val="auto"/>
          <w:spacing w:val="-1"/>
          <w:sz w:val="24"/>
          <w:szCs w:val="24"/>
          <w:highlight w:val="none"/>
        </w:rPr>
        <w:t>1.9 化石、文物</w:t>
      </w:r>
    </w:p>
    <w:p w14:paraId="3E555C9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95263E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发包人、监理人和承包人应按有关政府行政管理部门要求采取妥善的保护措施，由此增加的费用和（或）延误的工期由发包人承担。</w:t>
      </w:r>
    </w:p>
    <w:p w14:paraId="22ECFD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承包人发现文物后不及时报告或隐瞒不报，致使文物丢失或损坏的，应赔偿损失，并承担相应的法律责任。</w:t>
      </w:r>
    </w:p>
    <w:p w14:paraId="1AF849F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495" w:name="bookmark78"/>
      <w:bookmarkEnd w:id="495"/>
      <w:r>
        <w:rPr>
          <w:rFonts w:hint="eastAsia" w:ascii="宋体" w:hAnsi="宋体" w:eastAsia="宋体" w:cs="宋体"/>
          <w:color w:val="auto"/>
          <w:spacing w:val="-1"/>
          <w:sz w:val="24"/>
          <w:szCs w:val="24"/>
          <w:highlight w:val="none"/>
        </w:rPr>
        <w:t>1.10 交通运输</w:t>
      </w:r>
    </w:p>
    <w:p w14:paraId="616A873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1.10.1 出入现场的权利</w:t>
      </w:r>
    </w:p>
    <w:p w14:paraId="5426A683">
      <w:pPr>
        <w:keepNext w:val="0"/>
        <w:keepLines w:val="0"/>
        <w:pageBreakBefore w:val="0"/>
        <w:widowControl/>
        <w:kinsoku/>
        <w:wordWrap w:val="0"/>
        <w:overflowPunct/>
        <w:topLinePunct/>
        <w:autoSpaceDE w:val="0"/>
        <w:autoSpaceDN w:val="0"/>
        <w:bidi w:val="0"/>
        <w:adjustRightInd w:val="0"/>
        <w:snapToGrid w:val="0"/>
        <w:spacing w:before="271" w:line="400" w:lineRule="exact"/>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除专用合同条款另有约定外，发包人应根据施工需要</w:t>
      </w:r>
      <w:r>
        <w:rPr>
          <w:rFonts w:hint="eastAsia" w:ascii="宋体" w:hAnsi="宋体" w:eastAsia="宋体" w:cs="宋体"/>
          <w:color w:val="auto"/>
          <w:spacing w:val="-2"/>
          <w:sz w:val="24"/>
          <w:szCs w:val="24"/>
          <w:highlight w:val="none"/>
        </w:rPr>
        <w:t>，负责取得</w:t>
      </w:r>
      <w:r>
        <w:rPr>
          <w:rFonts w:hint="eastAsia" w:ascii="宋体" w:hAnsi="宋体" w:eastAsia="宋体" w:cs="宋体"/>
          <w:color w:val="auto"/>
          <w:spacing w:val="-1"/>
          <w:sz w:val="24"/>
          <w:szCs w:val="24"/>
          <w:highlight w:val="none"/>
        </w:rPr>
        <w:t>出入施工现场所需的批准手续和全部权利，以及取得因施工所需修建道路、桥梁以及其他基础设施的权利，并承担相关手续费用和建设费用。承包人应协助发包人办理修建场内外道路、桥梁以及其他基础设</w:t>
      </w:r>
      <w:r>
        <w:rPr>
          <w:rFonts w:hint="eastAsia" w:ascii="宋体" w:hAnsi="宋体" w:eastAsia="宋体" w:cs="宋体"/>
          <w:color w:val="auto"/>
          <w:spacing w:val="-12"/>
          <w:sz w:val="24"/>
          <w:szCs w:val="24"/>
          <w:highlight w:val="none"/>
        </w:rPr>
        <w:t>施的手续。</w:t>
      </w:r>
    </w:p>
    <w:p w14:paraId="5CE2E333">
      <w:pPr>
        <w:keepNext w:val="0"/>
        <w:keepLines w:val="0"/>
        <w:pageBreakBefore w:val="0"/>
        <w:widowControl/>
        <w:kinsoku/>
        <w:wordWrap w:val="0"/>
        <w:overflowPunct/>
        <w:topLinePunct/>
        <w:autoSpaceDE w:val="0"/>
        <w:autoSpaceDN w:val="0"/>
        <w:bidi w:val="0"/>
        <w:adjustRightInd w:val="0"/>
        <w:snapToGrid w:val="0"/>
        <w:spacing w:line="400" w:lineRule="exact"/>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承包人应在订立合同前查勘施工现场，并根据工程规模及技术参数合理预见工程施工所需的进出施工现场的方式、手段、路径等。因</w:t>
      </w:r>
      <w:r>
        <w:rPr>
          <w:rFonts w:hint="eastAsia" w:ascii="宋体" w:hAnsi="宋体" w:eastAsia="宋体" w:cs="宋体"/>
          <w:color w:val="auto"/>
          <w:spacing w:val="-3"/>
          <w:sz w:val="24"/>
          <w:szCs w:val="24"/>
          <w:highlight w:val="none"/>
        </w:rPr>
        <w:t>承包人未合理预见所增加的费用和（或）延误的工期由承包人承担。</w:t>
      </w:r>
    </w:p>
    <w:p w14:paraId="13819AA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1.10.2 场外交通</w:t>
      </w:r>
    </w:p>
    <w:p w14:paraId="0413B6B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6E82F3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1.10.3 场内交通</w:t>
      </w:r>
    </w:p>
    <w:p w14:paraId="580831F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除发包人按照合同约定提供的场内道路和交通设施外，承包人负责修建、维修、养护和管理施工所需的其他场内临时道路和交通设施。发包人和监理人可以为实现合同目的使用承包人修建的场内临时道路和交通设施。场外交通和场内交通的边界由合同当事人在专用合同条款中约定。</w:t>
      </w:r>
    </w:p>
    <w:p w14:paraId="291CECD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1.10.4 超大件和超重件的运输</w:t>
      </w:r>
    </w:p>
    <w:p w14:paraId="1BD8734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844A17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1.10.5 道路和桥梁的损坏责任</w:t>
      </w:r>
    </w:p>
    <w:p w14:paraId="62937A3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因承包人运输造成施工场地内外公共道路和桥梁损坏的，由承包人承担修复损坏的全部费用和可能引起的赔偿。</w:t>
      </w:r>
    </w:p>
    <w:p w14:paraId="28892DE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1.10.6 水路和航空运输</w:t>
      </w:r>
    </w:p>
    <w:p w14:paraId="0F19103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本款前述各项的内容适用于水路运输和航空运输，其中“道路”一词的涵义包括河道、航线、船闸、机场、码头、堤防以及水路或航空</w:t>
      </w:r>
      <w:bookmarkStart w:id="496" w:name="bookmark79"/>
      <w:bookmarkEnd w:id="496"/>
      <w:r>
        <w:rPr>
          <w:rFonts w:hint="eastAsia" w:ascii="宋体" w:hAnsi="宋体" w:eastAsia="宋体" w:cs="宋体"/>
          <w:color w:val="auto"/>
          <w:spacing w:val="-1"/>
          <w:sz w:val="24"/>
          <w:szCs w:val="24"/>
          <w:highlight w:val="none"/>
        </w:rPr>
        <w:t>运输中其他相似结构物；“车辆”一词的涵义包括船舶和飞机等。</w:t>
      </w:r>
    </w:p>
    <w:p w14:paraId="78B25C6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 知识产权</w:t>
      </w:r>
    </w:p>
    <w:p w14:paraId="4F55B65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8CD7B4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643F95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AFEA0A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1.11.4 除专用合同条款另有约定外，承包人在合同签订前和签订时已确定采用的专利、专有技术、技术秘密的使用费已包含在签约合同价</w:t>
      </w:r>
      <w:bookmarkStart w:id="497" w:name="bookmark80"/>
      <w:bookmarkEnd w:id="497"/>
      <w:r>
        <w:rPr>
          <w:rFonts w:hint="eastAsia" w:ascii="宋体" w:hAnsi="宋体" w:eastAsia="宋体" w:cs="宋体"/>
          <w:color w:val="auto"/>
          <w:spacing w:val="-1"/>
          <w:sz w:val="24"/>
          <w:szCs w:val="24"/>
          <w:highlight w:val="none"/>
        </w:rPr>
        <w:t>中。</w:t>
      </w:r>
    </w:p>
    <w:p w14:paraId="5CFFF06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 保密</w:t>
      </w:r>
    </w:p>
    <w:p w14:paraId="2B834C7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除法律规定或合同另有约定外，未经发包人同意，承包人不得将发包人提供的图纸、文件以及声明需要保密的资料信息等商业秘密泄露给第三方。</w:t>
      </w:r>
    </w:p>
    <w:p w14:paraId="25DDC37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除法律规定或合同另有约定外，未经承包人同意，发包人不得将承包人提供的技术秘密及声明需要保密的资料信息等商业秘密泄露给</w:t>
      </w:r>
      <w:bookmarkStart w:id="498" w:name="bookmark81"/>
      <w:bookmarkEnd w:id="498"/>
      <w:r>
        <w:rPr>
          <w:rFonts w:hint="eastAsia" w:ascii="宋体" w:hAnsi="宋体" w:eastAsia="宋体" w:cs="宋体"/>
          <w:color w:val="auto"/>
          <w:spacing w:val="-1"/>
          <w:sz w:val="24"/>
          <w:szCs w:val="24"/>
          <w:highlight w:val="none"/>
        </w:rPr>
        <w:t>第三方。</w:t>
      </w:r>
    </w:p>
    <w:p w14:paraId="712FB83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1.13 工程量清单错误的修正</w:t>
      </w:r>
    </w:p>
    <w:p w14:paraId="492F574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除专用合同条款另有约定外，发包人提供的工程量清单，应被认为是准确的和完整的。出现下列情形之一时，发包人应予以修正，并相应调整合同价格：</w:t>
      </w:r>
    </w:p>
    <w:p w14:paraId="3064214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（1）工程量清单存在缺项、漏项的；</w:t>
      </w:r>
    </w:p>
    <w:p w14:paraId="6ABC468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（2）工程量清单偏差超出专用合同条款约定的工程量偏差范围的；</w:t>
      </w:r>
    </w:p>
    <w:p w14:paraId="3789359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（3）未按照国家现行计量规范强制性规定计量的。</w:t>
      </w:r>
    </w:p>
    <w:p w14:paraId="093D0341">
      <w:pPr>
        <w:keepNext w:val="0"/>
        <w:keepLines w:val="0"/>
        <w:pageBreakBefore w:val="0"/>
        <w:widowControl/>
        <w:kinsoku/>
        <w:wordWrap w:val="0"/>
        <w:overflowPunct/>
        <w:topLinePunct/>
        <w:autoSpaceDE w:val="0"/>
        <w:autoSpaceDN w:val="0"/>
        <w:bidi w:val="0"/>
        <w:adjustRightInd w:val="0"/>
        <w:snapToGrid w:val="0"/>
        <w:spacing w:before="105" w:line="400" w:lineRule="exact"/>
        <w:textAlignment w:val="baseline"/>
        <w:rPr>
          <w:rFonts w:hint="eastAsia" w:ascii="宋体" w:hAnsi="宋体" w:eastAsia="宋体" w:cs="宋体"/>
          <w:b/>
          <w:bCs/>
          <w:color w:val="auto"/>
          <w:sz w:val="24"/>
          <w:szCs w:val="24"/>
          <w:highlight w:val="none"/>
        </w:rPr>
      </w:pPr>
      <w:bookmarkStart w:id="499" w:name="bookmark82"/>
      <w:bookmarkEnd w:id="499"/>
      <w:bookmarkStart w:id="500" w:name="bookmark83"/>
      <w:bookmarkEnd w:id="500"/>
      <w:r>
        <w:rPr>
          <w:rFonts w:hint="eastAsia" w:ascii="宋体" w:hAnsi="宋体" w:eastAsia="宋体" w:cs="宋体"/>
          <w:b/>
          <w:bCs/>
          <w:color w:val="auto"/>
          <w:spacing w:val="-4"/>
          <w:sz w:val="24"/>
          <w:szCs w:val="24"/>
          <w:highlight w:val="none"/>
        </w:rPr>
        <w:t>2.</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b/>
          <w:bCs/>
          <w:color w:val="auto"/>
          <w:spacing w:val="-4"/>
          <w:sz w:val="24"/>
          <w:szCs w:val="24"/>
          <w:highlight w:val="none"/>
        </w:rPr>
        <w:t>发包人</w:t>
      </w:r>
    </w:p>
    <w:p w14:paraId="27AB0AB9">
      <w:pPr>
        <w:keepNext w:val="0"/>
        <w:keepLines w:val="0"/>
        <w:pageBreakBefore w:val="0"/>
        <w:widowControl/>
        <w:kinsoku/>
        <w:wordWrap w:val="0"/>
        <w:overflowPunct/>
        <w:topLinePunct/>
        <w:autoSpaceDE w:val="0"/>
        <w:autoSpaceDN w:val="0"/>
        <w:bidi w:val="0"/>
        <w:adjustRightInd w:val="0"/>
        <w:snapToGrid w:val="0"/>
        <w:spacing w:before="97" w:line="400" w:lineRule="exact"/>
        <w:ind w:left="599"/>
        <w:textAlignment w:val="baseline"/>
        <w:rPr>
          <w:rFonts w:hint="eastAsia" w:ascii="宋体" w:hAnsi="宋体" w:eastAsia="宋体" w:cs="宋体"/>
          <w:color w:val="auto"/>
          <w:spacing w:val="-1"/>
          <w:sz w:val="24"/>
          <w:szCs w:val="24"/>
          <w:highlight w:val="none"/>
        </w:rPr>
      </w:pPr>
    </w:p>
    <w:p w14:paraId="6D7C8926">
      <w:pPr>
        <w:keepNext w:val="0"/>
        <w:keepLines w:val="0"/>
        <w:pageBreakBefore w:val="0"/>
        <w:widowControl/>
        <w:kinsoku/>
        <w:wordWrap w:val="0"/>
        <w:overflowPunct/>
        <w:topLinePunct/>
        <w:autoSpaceDE w:val="0"/>
        <w:autoSpaceDN w:val="0"/>
        <w:bidi w:val="0"/>
        <w:adjustRightInd w:val="0"/>
        <w:snapToGrid w:val="0"/>
        <w:spacing w:before="97" w:line="400" w:lineRule="exact"/>
        <w:ind w:left="5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 许可或批准</w:t>
      </w:r>
    </w:p>
    <w:p w14:paraId="254F7E7D">
      <w:pPr>
        <w:keepNext w:val="0"/>
        <w:keepLines w:val="0"/>
        <w:pageBreakBefore w:val="0"/>
        <w:widowControl/>
        <w:kinsoku/>
        <w:wordWrap w:val="0"/>
        <w:overflowPunct/>
        <w:topLinePunct/>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p w14:paraId="5D1ECC1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94C817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因发包人原因未能及时办理完毕前述许可、批准或备案，由发包人承担由此增加的费用和（或）延误的工期，并支付承包人合理的利</w:t>
      </w:r>
      <w:bookmarkStart w:id="501" w:name="bookmark84"/>
      <w:bookmarkEnd w:id="501"/>
      <w:r>
        <w:rPr>
          <w:rFonts w:hint="eastAsia" w:ascii="宋体" w:hAnsi="宋体" w:eastAsia="宋体" w:cs="宋体"/>
          <w:color w:val="auto"/>
          <w:spacing w:val="-1"/>
          <w:sz w:val="24"/>
          <w:szCs w:val="24"/>
          <w:highlight w:val="none"/>
        </w:rPr>
        <w:t>润。</w:t>
      </w:r>
    </w:p>
    <w:p w14:paraId="2E3D36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 发包人代表</w:t>
      </w:r>
    </w:p>
    <w:p w14:paraId="498095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ADD2E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发包人代表不能按照合同约定履行其职责及义务，并导致合同无法继续正常履行的，承包人可以要求发包人撤换发包人代表。</w:t>
      </w:r>
    </w:p>
    <w:p w14:paraId="7914849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不属于法定必须监理的工程，监理人的职权可以由发包人代表或</w:t>
      </w:r>
      <w:bookmarkStart w:id="502" w:name="bookmark85"/>
      <w:bookmarkEnd w:id="502"/>
      <w:r>
        <w:rPr>
          <w:rFonts w:hint="eastAsia" w:ascii="宋体" w:hAnsi="宋体" w:eastAsia="宋体" w:cs="宋体"/>
          <w:color w:val="auto"/>
          <w:spacing w:val="-1"/>
          <w:sz w:val="24"/>
          <w:szCs w:val="24"/>
          <w:highlight w:val="none"/>
        </w:rPr>
        <w:t>发包人指定的其他人员行使。</w:t>
      </w:r>
    </w:p>
    <w:p w14:paraId="46BE8D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2.3 发包人人员</w:t>
      </w:r>
    </w:p>
    <w:p w14:paraId="05CD30C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要求在施工现场的发包人人员遵守法律及有关安全、质量、环境保护、文明施工等规定，并保障承包人免于承受因发包人人员未遵守上述要求给承包人造成的损失和责任。发包人人员包括发包人代表及其他由发包人派驻施工现场的人员。</w:t>
      </w:r>
    </w:p>
    <w:p w14:paraId="48DCF02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 施工现场、施工条件和基础资料的提供</w:t>
      </w:r>
    </w:p>
    <w:p w14:paraId="17ED3C5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2.4.1 提供施工现场</w:t>
      </w:r>
    </w:p>
    <w:p w14:paraId="2A77F5A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除专用合同条款另有约定外，发包人应最迟于开工日期7天前向承包人移交施工现场。</w:t>
      </w:r>
    </w:p>
    <w:p w14:paraId="2F4AAE4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2.4.2 提供施工条件</w:t>
      </w:r>
    </w:p>
    <w:p w14:paraId="214C963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除专用合同条款另有约定外，发包人应负责提供施工所需要的条件，包括：</w:t>
      </w:r>
    </w:p>
    <w:p w14:paraId="7F0B433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 ）将施工用水、电力、通讯线路等施工所必需的条件接至施工 现场内；</w:t>
      </w:r>
    </w:p>
    <w:p w14:paraId="31E89D4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（2）保证向承包人提供正常施工所需要的进入施工现场的交通条 件；</w:t>
      </w:r>
    </w:p>
    <w:p w14:paraId="60699A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（3）协调处理施工现场周围地下管线和邻近建筑物、构筑物、古 树名木的保护工作，并承担相关费用；</w:t>
      </w:r>
    </w:p>
    <w:p w14:paraId="160A63D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（4）按照专用合同条款约定应提供的其他设施和条件。</w:t>
      </w:r>
    </w:p>
    <w:p w14:paraId="744922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2.4.3 提供基础资料</w:t>
      </w:r>
    </w:p>
    <w:p w14:paraId="615CE5B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0BF5D1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按照法律规定确需在开工后方能提供的基础资料，发包人应尽其努力及时地在相应工程施工前的合理期限内提供，合理期限应以不影响承包人的正常施工为限。</w:t>
      </w:r>
    </w:p>
    <w:p w14:paraId="2A6E838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2.4.4 逾期提供的责任</w:t>
      </w:r>
    </w:p>
    <w:p w14:paraId="25F2F93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因发包人原因未能按合同约定及时向承包人提供施工现场、施工条件、基础资料的，由发包人承担由此增加的费用和（或）延误的工期。</w:t>
      </w:r>
    </w:p>
    <w:p w14:paraId="634C9C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2.5 资金来源证明及支付担保</w:t>
      </w:r>
    </w:p>
    <w:p w14:paraId="3F5D2AA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6BCDF59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bookmarkStart w:id="503" w:name="bookmark86"/>
      <w:bookmarkEnd w:id="503"/>
    </w:p>
    <w:p w14:paraId="761C688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2.6 支付合同价款</w:t>
      </w:r>
    </w:p>
    <w:p w14:paraId="0C4909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发包人应按合同约定向承包人及时支付合同价款。</w:t>
      </w:r>
    </w:p>
    <w:p w14:paraId="7AED6D4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2.7 组织竣工验收</w:t>
      </w:r>
    </w:p>
    <w:p w14:paraId="708B79C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发包人应按合同约定及时组织竣工验收。</w:t>
      </w:r>
    </w:p>
    <w:p w14:paraId="343EECD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2.8 现场统一管理协议</w:t>
      </w:r>
    </w:p>
    <w:p w14:paraId="063E1AB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发包人应与承包人、由发包人直接发包的专业工程的承包人签订施工现场统一管理协议，明确各方的权利义务。施工现场统一管理协议作为专用合同条款的附件。</w:t>
      </w:r>
      <w:bookmarkStart w:id="504" w:name="bookmark87"/>
      <w:bookmarkEnd w:id="504"/>
    </w:p>
    <w:p w14:paraId="0BADF786">
      <w:pPr>
        <w:keepNext w:val="0"/>
        <w:keepLines w:val="0"/>
        <w:pageBreakBefore w:val="0"/>
        <w:widowControl/>
        <w:numPr>
          <w:ilvl w:val="0"/>
          <w:numId w:val="11"/>
        </w:numPr>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承包人</w:t>
      </w:r>
    </w:p>
    <w:p w14:paraId="4EC9CB42">
      <w:pPr>
        <w:keepNext w:val="0"/>
        <w:keepLines w:val="0"/>
        <w:pageBreakBefore w:val="0"/>
        <w:widowControl/>
        <w:numPr>
          <w:ilvl w:val="0"/>
          <w:numId w:val="0"/>
        </w:numPr>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3.1 承包人的一般义务</w:t>
      </w:r>
    </w:p>
    <w:p w14:paraId="1083C03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承包人在履行合同过程中应遵守法律和工程建设标准规范，并履行以下义务：</w:t>
      </w:r>
    </w:p>
    <w:p w14:paraId="2C1A101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（1）办理法律规定应由承包人办理的许可和批准，并将办理结果书面报送发包人留存；</w:t>
      </w:r>
    </w:p>
    <w:p w14:paraId="64B0B6B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（2）按法律规定和合同约定完成工程，并在保修期内承担保修义务；</w:t>
      </w:r>
    </w:p>
    <w:p w14:paraId="203A090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（3）按法律规定和合同约定采取施工安全和环境保护措施，办理工伤保险，确保工程及人员、材料、设备和设施的安全；</w:t>
      </w:r>
    </w:p>
    <w:p w14:paraId="493ECEC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按合同约定的工作内容和施工进度要求，编制施工组织设计和施工措施计划，并对所有施工作业和施工方法的完备性和安全可靠性负责；</w:t>
      </w:r>
    </w:p>
    <w:p w14:paraId="784FA91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245396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（6）按照第6.3款〔环境保护〕约定负责施工场地及其周边环境与生态的保护工作；</w:t>
      </w:r>
    </w:p>
    <w:p w14:paraId="7DC7D47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（7）按第6.1款〔安全文明施工〕约定采取施工安全措施，确保工程及其人员、材料、设备和设施的安全，防止因工程施工造成的人身伤害和财产损失；</w:t>
      </w:r>
    </w:p>
    <w:p w14:paraId="09A95AE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（8）将发包人按合同约定支付的各项价款专用于合同工程，且应及时支付其雇用人员工资，并及时向分包人支付合同价款；</w:t>
      </w:r>
    </w:p>
    <w:p w14:paraId="3B958BE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（9）按照法律规定和合同约定编制竣工资料，完成竣工资料立卷及归档，并按专用合同条款约定的竣工资料的套数、内容、时间等要求移交发包人；</w:t>
      </w:r>
    </w:p>
    <w:p w14:paraId="660B8BA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05" w:name="bookmark88"/>
      <w:bookmarkEnd w:id="505"/>
      <w:r>
        <w:rPr>
          <w:rFonts w:hint="eastAsia" w:ascii="宋体" w:hAnsi="宋体" w:eastAsia="宋体" w:cs="宋体"/>
          <w:color w:val="auto"/>
          <w:spacing w:val="-1"/>
          <w:sz w:val="24"/>
          <w:szCs w:val="24"/>
          <w:highlight w:val="none"/>
        </w:rPr>
        <w:t>（ 10）应履行的其他义务。</w:t>
      </w:r>
    </w:p>
    <w:p w14:paraId="7CAF064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 项目经理</w:t>
      </w:r>
    </w:p>
    <w:p w14:paraId="3D62EDA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05336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E8A166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承包人违反上述约定的，应按照专用合同条款的约定，承担违约责任。</w:t>
      </w:r>
    </w:p>
    <w:p w14:paraId="692BA84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46B146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CA8296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9BE489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DA9351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06" w:name="bookmark89"/>
      <w:bookmarkEnd w:id="506"/>
      <w:r>
        <w:rPr>
          <w:rFonts w:hint="eastAsia" w:ascii="宋体" w:hAnsi="宋体" w:eastAsia="宋体" w:cs="宋体"/>
          <w:color w:val="auto"/>
          <w:spacing w:val="-1"/>
          <w:sz w:val="24"/>
          <w:szCs w:val="24"/>
          <w:highlight w:val="none"/>
        </w:rPr>
        <w:t>3.3 承包人人员</w:t>
      </w:r>
    </w:p>
    <w:p w14:paraId="205C35D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4F1C82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616D1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特殊工种作业人员均应持有相应的资格证明，监理人可以随时检查。</w:t>
      </w:r>
    </w:p>
    <w:p w14:paraId="023A99A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32D243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w:t>
      </w:r>
    </w:p>
    <w:p w14:paraId="2D0EA5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该人员应具备履行相应职责的资格和能力，且应征得监理人或发包人的同意。</w:t>
      </w:r>
    </w:p>
    <w:p w14:paraId="5DDBDD6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3.3.5 承包人擅自更换主要施工管理人员，或前述人员未经监理人或发包人同意擅自离开施工现场的，应按照专用合同条款约定承担违约责任。</w:t>
      </w:r>
    </w:p>
    <w:p w14:paraId="2B413C8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3.4 承包人现场查勘</w:t>
      </w:r>
    </w:p>
    <w:p w14:paraId="324F7D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4F96118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w:t>
      </w:r>
      <w:bookmarkStart w:id="507" w:name="bookmark90"/>
      <w:bookmarkEnd w:id="507"/>
      <w:r>
        <w:rPr>
          <w:rFonts w:hint="eastAsia" w:ascii="宋体" w:hAnsi="宋体" w:eastAsia="宋体" w:cs="宋体"/>
          <w:color w:val="auto"/>
          <w:spacing w:val="-1"/>
          <w:sz w:val="24"/>
          <w:szCs w:val="24"/>
          <w:highlight w:val="none"/>
        </w:rPr>
        <w:t>的工期。</w:t>
      </w:r>
    </w:p>
    <w:p w14:paraId="5A58495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 分包</w:t>
      </w:r>
    </w:p>
    <w:p w14:paraId="2A62C56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3.5.1 分包的一般约定</w:t>
      </w:r>
    </w:p>
    <w:p w14:paraId="6D1EBAD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920F7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承包人不得以劳务分包的名义转包或违法分包工程。</w:t>
      </w:r>
    </w:p>
    <w:p w14:paraId="73B5A6A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3.5.2 分包的确定</w:t>
      </w:r>
    </w:p>
    <w:p w14:paraId="625AFDB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994E87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3.5.3 分包管理</w:t>
      </w:r>
    </w:p>
    <w:p w14:paraId="69DECB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承包人应向监理人提交分包人的主要施工管理人员表，并对分包人的施工人员进行实名制管理，包括但不限于进出场管理、登记造册以及各种证照的办理。</w:t>
      </w:r>
    </w:p>
    <w:p w14:paraId="514C924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3.5.4 分包合同价款</w:t>
      </w:r>
    </w:p>
    <w:p w14:paraId="12E561A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（1）除本项第（2）目约定的情况或专用合同条款另有约定外，分包合同价款由承包人与分包人结算，未经承包人同意，发包人不得向分包人支付分包工程价款；</w:t>
      </w:r>
    </w:p>
    <w:p w14:paraId="1081D05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（2）生效法律文书要求发包人向分包人支付分包合同价款的，发包人有权从应付承包人工程款中扣除该部分款项。</w:t>
      </w:r>
    </w:p>
    <w:p w14:paraId="0F0ADE9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3.5.5 分包合同权益的转让</w:t>
      </w:r>
    </w:p>
    <w:p w14:paraId="6F84265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63ACC15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3.6 工程照管与成品、半成品保护</w:t>
      </w:r>
    </w:p>
    <w:p w14:paraId="63630EC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除专用合同条款另有约定外，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或）延误的工期。</w:t>
      </w:r>
    </w:p>
    <w:p w14:paraId="20E6400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C5210D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08" w:name="bookmark91"/>
      <w:bookmarkEnd w:id="508"/>
      <w:r>
        <w:rPr>
          <w:rFonts w:hint="eastAsia" w:ascii="宋体" w:hAnsi="宋体" w:eastAsia="宋体" w:cs="宋体"/>
          <w:color w:val="auto"/>
          <w:spacing w:val="-1"/>
          <w:sz w:val="24"/>
          <w:szCs w:val="24"/>
          <w:highlight w:val="none"/>
        </w:rPr>
        <w:t>3.7履约担保</w:t>
      </w:r>
    </w:p>
    <w:p w14:paraId="624EE07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BA1C2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因承包人原因导致工期延长的，继续提供履约担保所增加的费用由承包人承担；非因承包人原因导致工期延长的，继续提供履约担保所增加的费用由发包人承担。</w:t>
      </w:r>
    </w:p>
    <w:p w14:paraId="406AE32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 联合体</w:t>
      </w:r>
    </w:p>
    <w:p w14:paraId="4FBB79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3.8.1 联合体各方应共同与发包人签订合同协议书。联合体各方应为履行合同向发包人承担连带责任。</w:t>
      </w:r>
    </w:p>
    <w:p w14:paraId="10A839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3.8.2 联合体协议经发包人确认后作为合同附件。在履行合同过程中，未经发包人同意，不得修改联合体协议。</w:t>
      </w:r>
    </w:p>
    <w:p w14:paraId="36DC51B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3.8.3 联合体牵头人负责与发包人和监理人联系，并接受指示，负责组织联合体各成员全面履行合同。</w:t>
      </w:r>
    </w:p>
    <w:p w14:paraId="7E7AA5D1">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4. 监理人</w:t>
      </w:r>
    </w:p>
    <w:p w14:paraId="51F9AD3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4.1 监理人的一般规定</w:t>
      </w:r>
    </w:p>
    <w:p w14:paraId="5324C9F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F123DD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除专用合同条款另有约定外，监理人在施工现场的办公场所、生活场所由承包人提供，所发生的费用由发包人承担。</w:t>
      </w:r>
    </w:p>
    <w:p w14:paraId="3794FCA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09" w:name="bookmark92"/>
      <w:bookmarkEnd w:id="509"/>
      <w:r>
        <w:rPr>
          <w:rFonts w:hint="eastAsia" w:ascii="宋体" w:hAnsi="宋体" w:eastAsia="宋体" w:cs="宋体"/>
          <w:color w:val="auto"/>
          <w:spacing w:val="-1"/>
          <w:sz w:val="24"/>
          <w:szCs w:val="24"/>
          <w:highlight w:val="none"/>
        </w:rPr>
        <w:t>4.2 监理人员</w:t>
      </w:r>
    </w:p>
    <w:p w14:paraId="393F50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0BD1E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0" w:name="bookmark93"/>
      <w:bookmarkEnd w:id="510"/>
      <w:r>
        <w:rPr>
          <w:rFonts w:hint="eastAsia" w:ascii="宋体" w:hAnsi="宋体" w:eastAsia="宋体" w:cs="宋体"/>
          <w:color w:val="auto"/>
          <w:spacing w:val="-1"/>
          <w:sz w:val="24"/>
          <w:szCs w:val="24"/>
          <w:highlight w:val="none"/>
        </w:rPr>
        <w:t>4.3 监理人的指示</w:t>
      </w:r>
    </w:p>
    <w:p w14:paraId="4A0E495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监理人发出的指示应送达承包人项目经理或经项目经理授权接收</w:t>
      </w:r>
    </w:p>
    <w:p w14:paraId="27A217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29D917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7ADD999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CE85C6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1" w:name="bookmark94"/>
      <w:bookmarkEnd w:id="511"/>
      <w:r>
        <w:rPr>
          <w:rFonts w:hint="eastAsia" w:ascii="宋体" w:hAnsi="宋体" w:eastAsia="宋体" w:cs="宋体"/>
          <w:color w:val="auto"/>
          <w:spacing w:val="-1"/>
          <w:sz w:val="24"/>
          <w:szCs w:val="24"/>
          <w:highlight w:val="none"/>
        </w:rPr>
        <w:t>4.4 商定或确定</w:t>
      </w:r>
    </w:p>
    <w:p w14:paraId="0E5A0BC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合同当事人进行商定或确定时，总监理工程师应当会同合同当事人尽量通过协商达成一致，不能达成一致的，由总监理工程师按照合同约定审慎做出公正的确定。</w:t>
      </w:r>
    </w:p>
    <w:p w14:paraId="5D30540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A79EB9B">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12" w:name="bookmark95"/>
      <w:bookmarkEnd w:id="512"/>
      <w:r>
        <w:rPr>
          <w:rFonts w:hint="eastAsia" w:ascii="宋体" w:hAnsi="宋体" w:eastAsia="宋体" w:cs="宋体"/>
          <w:b/>
          <w:bCs/>
          <w:color w:val="auto"/>
          <w:spacing w:val="-1"/>
          <w:sz w:val="24"/>
          <w:szCs w:val="24"/>
          <w:highlight w:val="none"/>
        </w:rPr>
        <w:t>5. 工程质量</w:t>
      </w:r>
    </w:p>
    <w:p w14:paraId="68EEA63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5.1 质量要求</w:t>
      </w:r>
    </w:p>
    <w:p w14:paraId="153592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5.1.1 工程质量标准必须符合现行国家有关工程施工质量验收规范和标准的要求。有关工程质量的特殊标准或要求由合同当事人在专用合同条款中约定。</w:t>
      </w:r>
    </w:p>
    <w:p w14:paraId="313DD83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5.1.2 因发包人原因造成工程质量未达到合同约定标准的，由发包人承担由此增加的费用和（或）延误的工期，并支付承包人合理的利润。</w:t>
      </w:r>
    </w:p>
    <w:p w14:paraId="283F989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4059347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3" w:name="bookmark96"/>
      <w:bookmarkEnd w:id="513"/>
      <w:r>
        <w:rPr>
          <w:rFonts w:hint="eastAsia" w:ascii="宋体" w:hAnsi="宋体" w:eastAsia="宋体" w:cs="宋体"/>
          <w:color w:val="auto"/>
          <w:spacing w:val="-1"/>
          <w:sz w:val="24"/>
          <w:szCs w:val="24"/>
          <w:highlight w:val="none"/>
        </w:rPr>
        <w:t>5.2 质量保证措施</w:t>
      </w:r>
    </w:p>
    <w:p w14:paraId="724F7B8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5.2.1 发包人的质量管理</w:t>
      </w:r>
    </w:p>
    <w:p w14:paraId="528694D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发包人应按照法律规定及合同约定完成与工程质量有关的各项工作。</w:t>
      </w:r>
    </w:p>
    <w:p w14:paraId="1789CD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5.2.2 承包人的质量管理</w:t>
      </w:r>
    </w:p>
    <w:p w14:paraId="4D8DC90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1AB48E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对施工人员进行质量教育和技术培训，定期考核施工人员的劳动技能，严格执行施工规范和操作规程。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F3CA1A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5.2.3 监理人的质量检查和检验</w:t>
      </w:r>
    </w:p>
    <w:p w14:paraId="00A0627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E71563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w:t>
      </w:r>
      <w:bookmarkStart w:id="514" w:name="bookmark97"/>
      <w:bookmarkEnd w:id="514"/>
      <w:r>
        <w:rPr>
          <w:rFonts w:hint="eastAsia" w:ascii="宋体" w:hAnsi="宋体" w:eastAsia="宋体" w:cs="宋体"/>
          <w:color w:val="auto"/>
          <w:spacing w:val="-1"/>
          <w:sz w:val="24"/>
          <w:szCs w:val="24"/>
          <w:highlight w:val="none"/>
        </w:rPr>
        <w:t>用和（或）延误的工期由发包人承担。</w:t>
      </w:r>
    </w:p>
    <w:p w14:paraId="7152E5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5.3 隐蔽工程检查</w:t>
      </w:r>
    </w:p>
    <w:p w14:paraId="724124E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5.3.1 承包人自检承包人应当对工程隐蔽部位进行自检，并经自检确认是否具备覆盖条件。</w:t>
      </w:r>
    </w:p>
    <w:p w14:paraId="2A9F8A2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5.3.2检查程序</w:t>
      </w:r>
    </w:p>
    <w:p w14:paraId="01F4A0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D3F63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1AA3D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67C803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5.3.3 重新检查</w:t>
      </w:r>
    </w:p>
    <w:p w14:paraId="50FCA07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1CB3E0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5.3.4 承包人私自覆盖</w:t>
      </w:r>
    </w:p>
    <w:p w14:paraId="384AA21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DD5A0C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5" w:name="bookmark98"/>
      <w:bookmarkEnd w:id="515"/>
      <w:r>
        <w:rPr>
          <w:rFonts w:hint="eastAsia" w:ascii="宋体" w:hAnsi="宋体" w:eastAsia="宋体" w:cs="宋体"/>
          <w:color w:val="auto"/>
          <w:spacing w:val="-1"/>
          <w:sz w:val="24"/>
          <w:szCs w:val="24"/>
          <w:highlight w:val="none"/>
        </w:rPr>
        <w:t>5.4 不合格工程的处理</w:t>
      </w:r>
    </w:p>
    <w:p w14:paraId="0205B59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02D47D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5.4.2 因发包人原因造成工程不合格的，由此增加的费用和（或）延误的工期由发包人承担，并支付承包人合理的利润。</w:t>
      </w:r>
    </w:p>
    <w:p w14:paraId="0A4EF5F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5.5 质量争议检测</w:t>
      </w:r>
    </w:p>
    <w:p w14:paraId="027075F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对工程质量有争议的，由双方协商确定的工程质量检测机构鉴定，由此产生的费用及因此造成的损失，由责任方承担。合同当事人均有责任的，由双方根据其责任分别承担。合同当事人无法达成一致的，按照第4.4款〔商定或确定〕执行。</w:t>
      </w:r>
    </w:p>
    <w:p w14:paraId="15766B88">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16" w:name="bookmark100"/>
      <w:bookmarkEnd w:id="516"/>
      <w:bookmarkStart w:id="517" w:name="bookmark99"/>
      <w:bookmarkEnd w:id="517"/>
      <w:r>
        <w:rPr>
          <w:rFonts w:hint="eastAsia" w:ascii="宋体" w:hAnsi="宋体" w:eastAsia="宋体" w:cs="宋体"/>
          <w:b/>
          <w:bCs/>
          <w:color w:val="auto"/>
          <w:spacing w:val="-1"/>
          <w:sz w:val="24"/>
          <w:szCs w:val="24"/>
          <w:highlight w:val="none"/>
        </w:rPr>
        <w:t>6. 安全文明施工与环境保护</w:t>
      </w:r>
    </w:p>
    <w:p w14:paraId="5B9BC53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 安全文明施工</w:t>
      </w:r>
    </w:p>
    <w:p w14:paraId="46F4F5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6.1.1 安全生产要求</w:t>
      </w:r>
    </w:p>
    <w:p w14:paraId="3A194E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F37903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8F1689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因安全生产需要暂停施工的，按照第7.8款〔暂停施工〕的约定执行。</w:t>
      </w:r>
    </w:p>
    <w:p w14:paraId="677F9B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6.1.2 安全生产保证措施</w:t>
      </w:r>
    </w:p>
    <w:p w14:paraId="47CAB7D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31713E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6.1.3 特别安全生产事项</w:t>
      </w:r>
    </w:p>
    <w:p w14:paraId="349350C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B72337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68918FB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0FD36B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需单独编制危险性较大分部分项专项工程施工方案的，及要求进行专家论证的超过一定规模的危险性较大的分部分项工程，承包人应及时编制和组织论证。</w:t>
      </w:r>
    </w:p>
    <w:p w14:paraId="1A1E269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6.1.4 治安保卫</w:t>
      </w:r>
    </w:p>
    <w:p w14:paraId="436D972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19E1C6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发包人和承包人除应协助现场治安管理机构或联防组织维护施工场地的社会治安外，还应做好包括生活区在内的各自管辖区的治安保卫工作。</w:t>
      </w:r>
    </w:p>
    <w:p w14:paraId="695449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366825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6.1.5 文明施工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74E3A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075E23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6.1.6 安全文明施工费</w:t>
      </w:r>
    </w:p>
    <w:p w14:paraId="117F7DA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736031D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30C233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54951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1CFAE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6.1.7 紧急情况处理</w:t>
      </w:r>
    </w:p>
    <w:p w14:paraId="6853C9E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D4212B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6.1.8 事故处理</w:t>
      </w:r>
    </w:p>
    <w:p w14:paraId="61C6F88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7A4A10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6.1.9 安全生产责任</w:t>
      </w:r>
    </w:p>
    <w:p w14:paraId="3AEF06C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6.1.9.1 发包人的安全责任</w:t>
      </w:r>
    </w:p>
    <w:p w14:paraId="1D319EE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发包人应负责赔偿以下各种情况造成的损失：</w:t>
      </w:r>
    </w:p>
    <w:p w14:paraId="0EC7A6D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（1）工程或工程的任何部分对土地的占用所造成的第三者财产损失；</w:t>
      </w:r>
    </w:p>
    <w:p w14:paraId="653F4D1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（2）由于发包人原因在施工场地及其毗邻地带造成的第三者人身伤亡和财产损失；</w:t>
      </w:r>
    </w:p>
    <w:p w14:paraId="5DB36E9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（3）由于发包人原因对承包人、监理人造成的人员人身伤亡和财产损失；</w:t>
      </w:r>
    </w:p>
    <w:p w14:paraId="7C9BD48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（4）由于发包人原因造成的发包人自身人员的人身伤害以及财产损失。</w:t>
      </w:r>
    </w:p>
    <w:p w14:paraId="573F739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6.1.9.2 承包人的安全责任</w:t>
      </w:r>
    </w:p>
    <w:p w14:paraId="01E68F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由于承包人原因在施工场地内及其毗邻地带造成的发包人、监理人以及第三者人员伤亡和财产损失，由承包人负责赔偿。</w:t>
      </w:r>
    </w:p>
    <w:p w14:paraId="4D564B9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8" w:name="bookmark101"/>
      <w:bookmarkEnd w:id="518"/>
      <w:r>
        <w:rPr>
          <w:rFonts w:hint="eastAsia" w:ascii="宋体" w:hAnsi="宋体" w:eastAsia="宋体" w:cs="宋体"/>
          <w:color w:val="auto"/>
          <w:spacing w:val="-1"/>
          <w:sz w:val="24"/>
          <w:szCs w:val="24"/>
          <w:highlight w:val="none"/>
        </w:rPr>
        <w:t>6.2 职业健康</w:t>
      </w:r>
    </w:p>
    <w:p w14:paraId="5DA56E4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6.2.1 劳动保护</w:t>
      </w:r>
    </w:p>
    <w:p w14:paraId="0AC6D47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9B2F1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FF6601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5F69621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6.2.2 生活条件</w:t>
      </w:r>
    </w:p>
    <w:p w14:paraId="6B4CA8F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69E7D0E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19" w:name="bookmark102"/>
      <w:bookmarkEnd w:id="519"/>
      <w:r>
        <w:rPr>
          <w:rFonts w:hint="eastAsia" w:ascii="宋体" w:hAnsi="宋体" w:eastAsia="宋体" w:cs="宋体"/>
          <w:color w:val="auto"/>
          <w:spacing w:val="-1"/>
          <w:sz w:val="24"/>
          <w:szCs w:val="24"/>
          <w:highlight w:val="none"/>
        </w:rPr>
        <w:t>6.3 环境保护</w:t>
      </w:r>
    </w:p>
    <w:p w14:paraId="6038DDA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CF258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承包人应当承担因其原因引起的环境污染侵权损害赔偿责任，因上述环境污染引起纠纷而导致暂停施工的，由此增加的费用和（或）延误的工期由承包人承担。</w:t>
      </w:r>
    </w:p>
    <w:p w14:paraId="36CDA882">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20" w:name="bookmark104"/>
      <w:bookmarkEnd w:id="520"/>
      <w:bookmarkStart w:id="521" w:name="bookmark103"/>
      <w:bookmarkEnd w:id="521"/>
      <w:r>
        <w:rPr>
          <w:rFonts w:hint="eastAsia" w:ascii="宋体" w:hAnsi="宋体" w:eastAsia="宋体" w:cs="宋体"/>
          <w:b/>
          <w:bCs/>
          <w:color w:val="auto"/>
          <w:spacing w:val="-1"/>
          <w:sz w:val="24"/>
          <w:szCs w:val="24"/>
          <w:highlight w:val="none"/>
        </w:rPr>
        <w:t>7. 工期和进度</w:t>
      </w:r>
    </w:p>
    <w:p w14:paraId="60A176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7.1 施工组织设计</w:t>
      </w:r>
    </w:p>
    <w:p w14:paraId="4CB62DC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7.1.1 施工组织设计的内容</w:t>
      </w:r>
    </w:p>
    <w:p w14:paraId="16443D6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施工组织设计应包含以下内容：</w:t>
      </w:r>
    </w:p>
    <w:p w14:paraId="606B9D2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1）施工方案；</w:t>
      </w:r>
    </w:p>
    <w:p w14:paraId="07E83FC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（2）施工现场平面布置图；</w:t>
      </w:r>
    </w:p>
    <w:p w14:paraId="50AF184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（3）施工进度计划和保证措施；</w:t>
      </w:r>
    </w:p>
    <w:p w14:paraId="289BC1A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（4）劳动力及材料供应计划；</w:t>
      </w:r>
    </w:p>
    <w:p w14:paraId="60137C3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（5）施工机械设备的选用；</w:t>
      </w:r>
    </w:p>
    <w:p w14:paraId="65C4FC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（6）质量保证体系及措施；</w:t>
      </w:r>
    </w:p>
    <w:p w14:paraId="0DE934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（7）安全生产、文明施工措施；</w:t>
      </w:r>
    </w:p>
    <w:p w14:paraId="3DE8DDA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（8）环境保护、成本控制措施；</w:t>
      </w:r>
    </w:p>
    <w:p w14:paraId="7AF8A39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（9）合同当事人约定的其他内容。</w:t>
      </w:r>
    </w:p>
    <w:p w14:paraId="0ECAA7E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7.1.2 施工组织设计的提交和修改</w:t>
      </w:r>
    </w:p>
    <w:p w14:paraId="7CAA25E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16B8E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施工进度计划的编制和修改按照第7.2款〔施工进度计划〕执行。</w:t>
      </w:r>
    </w:p>
    <w:p w14:paraId="14EAC71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22" w:name="bookmark105"/>
      <w:bookmarkEnd w:id="522"/>
      <w:r>
        <w:rPr>
          <w:rFonts w:hint="eastAsia" w:ascii="宋体" w:hAnsi="宋体" w:eastAsia="宋体" w:cs="宋体"/>
          <w:color w:val="auto"/>
          <w:spacing w:val="-1"/>
          <w:sz w:val="24"/>
          <w:szCs w:val="24"/>
          <w:highlight w:val="none"/>
        </w:rPr>
        <w:t>7.2 施工进度计划</w:t>
      </w:r>
    </w:p>
    <w:p w14:paraId="7B629EE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7.2.1 施工进度计划的编制</w:t>
      </w:r>
    </w:p>
    <w:p w14:paraId="3FD5105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C1F1DF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7.2.2 施工进度计划的修订</w:t>
      </w:r>
    </w:p>
    <w:p w14:paraId="79AB2A1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32A117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7.3 开工</w:t>
      </w:r>
    </w:p>
    <w:p w14:paraId="5DAC7B0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7.3.1 开工准备</w:t>
      </w:r>
    </w:p>
    <w:p w14:paraId="6CBE55E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6EFE51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除专用合同条款另有约定外，合同当事人应按约定完成开工准备工作。</w:t>
      </w:r>
    </w:p>
    <w:p w14:paraId="5E7EF7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7.3.2 开工通知</w:t>
      </w:r>
    </w:p>
    <w:p w14:paraId="784FCBC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ADEC29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ED6EE0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7.4 测量放线</w:t>
      </w:r>
    </w:p>
    <w:p w14:paraId="795BE9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9B29EB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244D1C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w:t>
      </w:r>
      <w:bookmarkStart w:id="523" w:name="bookmark106"/>
      <w:bookmarkEnd w:id="523"/>
      <w:r>
        <w:rPr>
          <w:rFonts w:hint="eastAsia" w:ascii="宋体" w:hAnsi="宋体" w:eastAsia="宋体" w:cs="宋体"/>
          <w:color w:val="auto"/>
          <w:spacing w:val="-1"/>
          <w:sz w:val="24"/>
          <w:szCs w:val="24"/>
          <w:highlight w:val="none"/>
        </w:rPr>
        <w:t>定位负责。</w:t>
      </w:r>
    </w:p>
    <w:p w14:paraId="426E4A2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施工过程中对施工现场内水准点等测量标志物的保护工作由承包人负责。</w:t>
      </w:r>
    </w:p>
    <w:p w14:paraId="1A81B7C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7.5 工期延误</w:t>
      </w:r>
    </w:p>
    <w:p w14:paraId="24427FB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7.5.1 因发包人原因导致工期延误</w:t>
      </w:r>
    </w:p>
    <w:p w14:paraId="601D74A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在合同履行过程中，因下列情况导致工期延误和（或）费用增加的，由发包人承担由此延误的工期和（或）增加的费用，且发包人应支付承包人合理的利润：</w:t>
      </w:r>
    </w:p>
    <w:p w14:paraId="684318A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（1）发包人未能按合同约定提供图纸或所提供图纸不符合合同约定的；</w:t>
      </w:r>
    </w:p>
    <w:p w14:paraId="12BAD4C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（2）发包人未能按合同约定提供施工现场、施工条件、基础资料、许可、批准等开工条件的；</w:t>
      </w:r>
    </w:p>
    <w:p w14:paraId="61FEB38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（3）发包人提供的测量基准点、基准线和水准点及其书面资料存在错误或疏漏的；</w:t>
      </w:r>
    </w:p>
    <w:p w14:paraId="43D94C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（4）发包人未能在计划开工日期之日起7天内同意下达开工通知的；</w:t>
      </w:r>
    </w:p>
    <w:p w14:paraId="46E9C2A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（5）发包人未能按合同约定日期支付工程预付款、进度款或竣工结算款的；</w:t>
      </w:r>
    </w:p>
    <w:p w14:paraId="20AA8D8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（6）监理人未按合同约定发出指示、批准等文件的；</w:t>
      </w:r>
    </w:p>
    <w:p w14:paraId="4183BED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（7）专用合同条款中约定的其他情形。</w:t>
      </w:r>
    </w:p>
    <w:p w14:paraId="16CB497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因发包人原因未按计划开工日期开工的，发包人应按实际开工日期顺延竣工日期，确保实际工期不低于合同约定的工期总日历天数。</w:t>
      </w:r>
    </w:p>
    <w:p w14:paraId="453C10B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因发包人原因导致工期延误需要修订施工进度计划的，按照第7.2.2项〔施工进度计划的修订〕执行。</w:t>
      </w:r>
    </w:p>
    <w:p w14:paraId="079B2B0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7.5.2 因承包人原因导致工期延误</w:t>
      </w:r>
    </w:p>
    <w:p w14:paraId="4A3E377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4AD436E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24" w:name="bookmark107"/>
      <w:bookmarkEnd w:id="524"/>
      <w:r>
        <w:rPr>
          <w:rFonts w:hint="eastAsia" w:ascii="宋体" w:hAnsi="宋体" w:eastAsia="宋体" w:cs="宋体"/>
          <w:color w:val="auto"/>
          <w:spacing w:val="-1"/>
          <w:sz w:val="24"/>
          <w:szCs w:val="24"/>
          <w:highlight w:val="none"/>
        </w:rPr>
        <w:t>7.6 不利物质条件</w:t>
      </w:r>
    </w:p>
    <w:p w14:paraId="56274C1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117AF0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CC5082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25" w:name="bookmark108"/>
      <w:bookmarkEnd w:id="525"/>
      <w:r>
        <w:rPr>
          <w:rFonts w:hint="eastAsia" w:ascii="宋体" w:hAnsi="宋体" w:eastAsia="宋体" w:cs="宋体"/>
          <w:color w:val="auto"/>
          <w:spacing w:val="-1"/>
          <w:sz w:val="24"/>
          <w:szCs w:val="24"/>
          <w:highlight w:val="none"/>
        </w:rPr>
        <w:t>7.7 异常恶劣的气候条件</w:t>
      </w:r>
    </w:p>
    <w:p w14:paraId="67439A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AC9C6F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7534E0B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暂停施工</w:t>
      </w:r>
    </w:p>
    <w:p w14:paraId="0817945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7.8.1 发包人原因引起的暂停施工</w:t>
      </w:r>
    </w:p>
    <w:p w14:paraId="2D83995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184EC5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因发包人原因引起的暂停施工，发包人应承担由此增加的费用和（或）延误的工期，并支付承包人合理的利润。</w:t>
      </w:r>
    </w:p>
    <w:p w14:paraId="242FCCF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7.8.2 承包人原因引起的暂停施工</w:t>
      </w:r>
    </w:p>
    <w:p w14:paraId="09764A9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FD09C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7.8.3 指示暂停施工</w:t>
      </w:r>
    </w:p>
    <w:p w14:paraId="42C1817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监理人认为有必要时，并经发包人批准后，可向承包人作出暂停施工的指示，承包人应按监理人指示暂停施工。</w:t>
      </w:r>
    </w:p>
    <w:p w14:paraId="50CE16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7.8.4 紧急情况下的暂停施工</w:t>
      </w:r>
    </w:p>
    <w:p w14:paraId="46EE6FE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因紧急情况需暂停施工，且监理人未及时下达暂停施工指示的，</w:t>
      </w:r>
    </w:p>
    <w:p w14:paraId="1F3EF39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C115DE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7.8.5 暂停施工后的复工</w:t>
      </w:r>
    </w:p>
    <w:p w14:paraId="1D72ECA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0635A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承包人无故拖延和拒绝复工的，承包人承担由此增加的费用和（或）延误的工期；因发包人原因无法按时复工的，按照第 7.5.1项〔因发包人原因导致工期延误〕约定办理。</w:t>
      </w:r>
    </w:p>
    <w:p w14:paraId="280CB1B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7.8.6 暂停施工持续56天以上</w:t>
      </w:r>
    </w:p>
    <w:p w14:paraId="16C3E4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监理人发出暂停施工指示后56天内未向承包人发出复工通知，除该项停工属于第 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F5AB76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BF1A98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7.8.7暂停施工期间的工程照管</w:t>
      </w:r>
    </w:p>
    <w:p w14:paraId="2A33174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暂停施工期间，承包人应负责妥善照管工程并提供安全保障，由此增加的费用由责任方承担。</w:t>
      </w:r>
    </w:p>
    <w:p w14:paraId="1E709E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7.8.8暂停施工的措施</w:t>
      </w:r>
    </w:p>
    <w:p w14:paraId="129632C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暂停施工期间，发包人和承包人均应采取必要的措施确保工程质量及安全，防止因暂停施工扩大损失。</w:t>
      </w:r>
    </w:p>
    <w:p w14:paraId="0F4939D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26" w:name="bookmark109"/>
      <w:bookmarkEnd w:id="526"/>
      <w:r>
        <w:rPr>
          <w:rFonts w:hint="eastAsia" w:ascii="宋体" w:hAnsi="宋体" w:eastAsia="宋体" w:cs="宋体"/>
          <w:color w:val="auto"/>
          <w:spacing w:val="-1"/>
          <w:sz w:val="24"/>
          <w:szCs w:val="24"/>
          <w:highlight w:val="none"/>
        </w:rPr>
        <w:t>7.9提前竣工</w:t>
      </w:r>
    </w:p>
    <w:p w14:paraId="405F1BB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88B75D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7.9.2 发包人要求承包人提前竣工，或承包人提出提前竣工的建议能够给发包人带来效益的，合同当事人可以在专用合同条款中约定提前竣工的奖励。</w:t>
      </w:r>
    </w:p>
    <w:p w14:paraId="4A222B04">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27" w:name="bookmark110"/>
      <w:bookmarkEnd w:id="527"/>
      <w:r>
        <w:rPr>
          <w:rFonts w:hint="eastAsia" w:ascii="宋体" w:hAnsi="宋体" w:eastAsia="宋体" w:cs="宋体"/>
          <w:b/>
          <w:bCs/>
          <w:color w:val="auto"/>
          <w:spacing w:val="-1"/>
          <w:sz w:val="24"/>
          <w:szCs w:val="24"/>
          <w:highlight w:val="none"/>
        </w:rPr>
        <w:t>8. 材料与设备</w:t>
      </w:r>
    </w:p>
    <w:p w14:paraId="38D928F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8.1 发包人供应材料与工程设备</w:t>
      </w:r>
    </w:p>
    <w:p w14:paraId="0901E24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2A76118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0CC66B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8.2 承包人采购材料与工程设备</w:t>
      </w:r>
    </w:p>
    <w:p w14:paraId="03497E7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DC55E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8.3 材料与工程设备的接收与拒收</w:t>
      </w:r>
    </w:p>
    <w:p w14:paraId="1041845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发包人提供的材料和工程设备的规格、数量或质量不符合合同约定的，或因发包人原因导致交货日期延误或交货地点变更等情况的，按照第16.1款〔发包人违约〕约定办理。</w:t>
      </w:r>
    </w:p>
    <w:p w14:paraId="20D72CF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9CE74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8.4 材料与工程设备的保管与使用</w:t>
      </w:r>
    </w:p>
    <w:p w14:paraId="492D2FE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8.4.1 发包人供应材料与工程设备的保管与使用</w:t>
      </w:r>
    </w:p>
    <w:p w14:paraId="2F5C45D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F65CEC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发包人供应的材料和工程设备使用前，由承包人负责检验，检验费用由发包人承担，不合格的不得使用。</w:t>
      </w:r>
    </w:p>
    <w:p w14:paraId="52783FA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8.4.2 承包人采购材料与工程设备的保管与使用</w:t>
      </w:r>
    </w:p>
    <w:p w14:paraId="075FF0E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56F8BF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发包人或监理人发现承包人使用不符合设计或有关标准要求的材</w:t>
      </w:r>
      <w:bookmarkStart w:id="528" w:name="bookmark111"/>
      <w:bookmarkEnd w:id="528"/>
      <w:r>
        <w:rPr>
          <w:rFonts w:hint="eastAsia" w:ascii="宋体" w:hAnsi="宋体" w:eastAsia="宋体" w:cs="宋体"/>
          <w:color w:val="auto"/>
          <w:spacing w:val="-1"/>
          <w:sz w:val="24"/>
          <w:szCs w:val="24"/>
          <w:highlight w:val="none"/>
        </w:rPr>
        <w:t>料和工程设备时，有权要求承包人进行修复、拆除或重新采购，由此增加的费用和（或）延误的工期，由承包人承担。</w:t>
      </w:r>
    </w:p>
    <w:p w14:paraId="23F9B8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8.5 禁止使用不合格的材料和工程设备</w:t>
      </w:r>
    </w:p>
    <w:p w14:paraId="37CC64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723AF05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8.5.2 监理人发现承包人使用了不合格的材料和工程设备，承包人应按照监理人的指示立即改正，并禁止在工程中继续使用不合格的材料和工程设备。</w:t>
      </w:r>
    </w:p>
    <w:p w14:paraId="6B5FE69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108EA5D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8.6 样品</w:t>
      </w:r>
    </w:p>
    <w:p w14:paraId="28453A2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8.6.1 样品的报送与封存需要承包人报送样品的材料或工程设备，样品的种类、名称、规格、数量等要求均应在专用合同条款中约定。样品的报送程序如下：</w:t>
      </w:r>
    </w:p>
    <w:p w14:paraId="1D5B9B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BB42F4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EA8804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7457F92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445FE9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29" w:name="bookmark112"/>
      <w:bookmarkEnd w:id="529"/>
      <w:r>
        <w:rPr>
          <w:rFonts w:hint="eastAsia" w:ascii="宋体" w:hAnsi="宋体" w:eastAsia="宋体" w:cs="宋体"/>
          <w:color w:val="auto"/>
          <w:spacing w:val="-1"/>
          <w:sz w:val="24"/>
          <w:szCs w:val="24"/>
          <w:highlight w:val="none"/>
        </w:rPr>
        <w:t>8.6.2 样品的保管</w:t>
      </w:r>
    </w:p>
    <w:p w14:paraId="0A18D43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经批准的样品应由监理人负责封存于现场，承包人应在现场为保存样品提供适当和固定的场所并保持适当和良好的存储环境条件。</w:t>
      </w:r>
    </w:p>
    <w:p w14:paraId="0645E09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8.7 材料与工程设备的替代</w:t>
      </w:r>
    </w:p>
    <w:p w14:paraId="4B5CC7E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8.7.1 出现下列情况需要使用替代材料和工程设备的，承包人应按照第8.7.2项约定的程序执行：</w:t>
      </w:r>
    </w:p>
    <w:p w14:paraId="699B9F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1）基准日期后生效的法律规定禁止使用的；</w:t>
      </w:r>
    </w:p>
    <w:p w14:paraId="5884CDB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（2）发包人要求使用替代品的；</w:t>
      </w:r>
    </w:p>
    <w:p w14:paraId="16D08AB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（3）因其他原因必须使用替代品的。</w:t>
      </w:r>
    </w:p>
    <w:p w14:paraId="1B588C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8.7.2 承包人应在使用替代材料和工程设备28天前书面通知监理人，并附下列文件：（1）被替代的材料和工程设备的名称、数量、规格、型号、品牌、性能、价格及其他相关资料；</w:t>
      </w:r>
    </w:p>
    <w:p w14:paraId="433350F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（2）替代品的名称、数量、规格、型号、品牌、性能、价格及其他相关资料；</w:t>
      </w:r>
    </w:p>
    <w:p w14:paraId="7B7DF89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（3）替代品与被替代产品之间的差异以及使用替代品可能对工程产生的影响；</w:t>
      </w:r>
    </w:p>
    <w:p w14:paraId="3FCCCBE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（4）替代品与被替代产品的价格差异；</w:t>
      </w:r>
    </w:p>
    <w:p w14:paraId="5DEC36F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（5）使用替代品的理由和原因说明；</w:t>
      </w:r>
    </w:p>
    <w:p w14:paraId="275C0B5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（6）监理人要求的其他文件。</w:t>
      </w:r>
    </w:p>
    <w:p w14:paraId="14213C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监理人应在收到通知后14天内向承包人发出经发包人签认的书面指示；监理人逾期发出书面指示的，视为发包人和监理人同意使用替代品。</w:t>
      </w:r>
    </w:p>
    <w:p w14:paraId="1CB31D9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C26B4E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8.8 施工设备和临时设施</w:t>
      </w:r>
    </w:p>
    <w:p w14:paraId="50A3313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8.8.1 承包人提供的施工设备和临时设施</w:t>
      </w:r>
    </w:p>
    <w:p w14:paraId="2A7432F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114CBB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除专用合同条款另有约定外，承包人应自行承担修建临时设施的费用，需要临时占地的，应由发包人办理申请手续并承担相应费用。</w:t>
      </w:r>
    </w:p>
    <w:p w14:paraId="20BA1D7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8.8.2发包人提供的施工设备和临时设施</w:t>
      </w:r>
    </w:p>
    <w:p w14:paraId="3AE528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发包人提供的施工设备或临时设施在专用合同条款中约定。</w:t>
      </w:r>
    </w:p>
    <w:p w14:paraId="58DD3A3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8.8.3要求承包人增加或更换施工设备</w:t>
      </w:r>
    </w:p>
    <w:p w14:paraId="2B111FA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9BA4D4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8.9 材料与设备专用要求</w:t>
      </w:r>
    </w:p>
    <w:p w14:paraId="30265E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0DC3473">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30" w:name="bookmark113"/>
      <w:bookmarkEnd w:id="530"/>
      <w:r>
        <w:rPr>
          <w:rFonts w:hint="eastAsia" w:ascii="宋体" w:hAnsi="宋体" w:eastAsia="宋体" w:cs="宋体"/>
          <w:b/>
          <w:bCs/>
          <w:color w:val="auto"/>
          <w:spacing w:val="-1"/>
          <w:sz w:val="24"/>
          <w:szCs w:val="24"/>
          <w:highlight w:val="none"/>
        </w:rPr>
        <w:t>9. 试验与检验</w:t>
      </w:r>
    </w:p>
    <w:p w14:paraId="1459194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9.1 试验设备与试验人员</w:t>
      </w:r>
    </w:p>
    <w:p w14:paraId="65B2F74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0C4B06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9.1.2 承包人应按专用合同条款的约定提供试验设备、取样装置、试验场所和试验条件，并向监理人提交相应进场计划表。</w:t>
      </w:r>
    </w:p>
    <w:p w14:paraId="275B8A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承包人配置的试验设备要符合相应试验规程的要求并经过具有资质的检测单位检测，且在正式使用该试验设备前，需要经过监理人与承包人共同校定。</w:t>
      </w:r>
    </w:p>
    <w:p w14:paraId="78CAD57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7ECAC89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9.2 取样</w:t>
      </w:r>
    </w:p>
    <w:p w14:paraId="14A8F01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试验属于自检性质的，承包人可以单独取样。试验属于监理人抽检性质的，可由监理人取样，也可由承包人的试验人员在监理人的监</w:t>
      </w:r>
      <w:bookmarkStart w:id="531" w:name="bookmark114"/>
      <w:bookmarkEnd w:id="531"/>
      <w:r>
        <w:rPr>
          <w:rFonts w:hint="eastAsia" w:ascii="宋体" w:hAnsi="宋体" w:eastAsia="宋体" w:cs="宋体"/>
          <w:color w:val="auto"/>
          <w:spacing w:val="-1"/>
          <w:sz w:val="24"/>
          <w:szCs w:val="24"/>
          <w:highlight w:val="none"/>
        </w:rPr>
        <w:t>督下取样。</w:t>
      </w:r>
    </w:p>
    <w:p w14:paraId="1147677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 材料、工程设备和工程的试验和检验</w:t>
      </w:r>
    </w:p>
    <w:p w14:paraId="5AADA15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50500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93F67D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w:t>
      </w:r>
      <w:bookmarkStart w:id="532" w:name="bookmark115"/>
      <w:bookmarkEnd w:id="532"/>
      <w:r>
        <w:rPr>
          <w:rFonts w:hint="eastAsia" w:ascii="宋体" w:hAnsi="宋体" w:eastAsia="宋体" w:cs="宋体"/>
          <w:color w:val="auto"/>
          <w:spacing w:val="-1"/>
          <w:sz w:val="24"/>
          <w:szCs w:val="24"/>
          <w:highlight w:val="none"/>
        </w:rPr>
        <w:t>承担。</w:t>
      </w:r>
    </w:p>
    <w:p w14:paraId="31E6415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9.4 现场工艺试验</w:t>
      </w:r>
    </w:p>
    <w:p w14:paraId="011DB37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F284B20">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33" w:name="bookmark116"/>
      <w:bookmarkEnd w:id="533"/>
      <w:r>
        <w:rPr>
          <w:rFonts w:hint="eastAsia" w:ascii="宋体" w:hAnsi="宋体" w:eastAsia="宋体" w:cs="宋体"/>
          <w:b/>
          <w:bCs/>
          <w:color w:val="auto"/>
          <w:spacing w:val="-1"/>
          <w:sz w:val="24"/>
          <w:szCs w:val="24"/>
          <w:highlight w:val="none"/>
        </w:rPr>
        <w:t>10. 变更</w:t>
      </w:r>
    </w:p>
    <w:p w14:paraId="0DEA7F7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10.1 变更的范围</w:t>
      </w:r>
    </w:p>
    <w:p w14:paraId="413F997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除专用合同条款另有约定外，合同履行过程中发生以下情形的，应按照本条约定进行变更：</w:t>
      </w:r>
    </w:p>
    <w:p w14:paraId="1F79959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（1）增加或减少合同中任何工作，或追加额外的工作；</w:t>
      </w:r>
    </w:p>
    <w:p w14:paraId="13EE8AD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（2）取消合同中任何工作，但转由他人实施的工作除外；</w:t>
      </w:r>
    </w:p>
    <w:p w14:paraId="261E27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（3）改变合同中任何工作的质量标准或其他特性；</w:t>
      </w:r>
    </w:p>
    <w:p w14:paraId="16E7B68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（4）改变工程的基线、标高、位置和尺寸；</w:t>
      </w:r>
    </w:p>
    <w:p w14:paraId="1779CA7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（5）改变工程的时间安排或实施顺序。</w:t>
      </w:r>
    </w:p>
    <w:p w14:paraId="5871E1A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34" w:name="bookmark117"/>
      <w:bookmarkEnd w:id="534"/>
      <w:r>
        <w:rPr>
          <w:rFonts w:hint="eastAsia" w:ascii="宋体" w:hAnsi="宋体" w:eastAsia="宋体" w:cs="宋体"/>
          <w:color w:val="auto"/>
          <w:spacing w:val="-1"/>
          <w:sz w:val="24"/>
          <w:szCs w:val="24"/>
          <w:highlight w:val="none"/>
        </w:rPr>
        <w:t>10.2 变更权</w:t>
      </w:r>
    </w:p>
    <w:p w14:paraId="011141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0439F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涉及设计变更的，应由设计人提供变更后的图纸和说明。如变更超过原设计标准或批准的建设规模时，发包人应及时办理规划、设计变更等审批手续。</w:t>
      </w:r>
    </w:p>
    <w:p w14:paraId="13462C4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10.3 变更程序</w:t>
      </w:r>
    </w:p>
    <w:p w14:paraId="65ADDD4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10.3.1 发包人提出变更</w:t>
      </w:r>
    </w:p>
    <w:p w14:paraId="62C8AFE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发包人提出变更的，应通过监理人向承包人发出变更指示，变更指示应说明计划变更的工程范围和变更的内容。</w:t>
      </w:r>
    </w:p>
    <w:p w14:paraId="1EDEBF0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10.3.2 监理人提出变更建议</w:t>
      </w:r>
    </w:p>
    <w:p w14:paraId="7438354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2E8C86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10.3.3 变更执行</w:t>
      </w:r>
    </w:p>
    <w:p w14:paraId="6E911A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BC90A1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35" w:name="bookmark118"/>
      <w:bookmarkEnd w:id="535"/>
      <w:r>
        <w:rPr>
          <w:rFonts w:hint="eastAsia" w:ascii="宋体" w:hAnsi="宋体" w:eastAsia="宋体" w:cs="宋体"/>
          <w:color w:val="auto"/>
          <w:spacing w:val="-1"/>
          <w:sz w:val="24"/>
          <w:szCs w:val="24"/>
          <w:highlight w:val="none"/>
        </w:rPr>
        <w:t>10.4 变更估价</w:t>
      </w:r>
    </w:p>
    <w:p w14:paraId="714CBF6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10.4.1 变更估价原则</w:t>
      </w:r>
    </w:p>
    <w:p w14:paraId="50E2C6D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除专用合同条款另有约定外，变更估价按照本款约定处理：</w:t>
      </w:r>
    </w:p>
    <w:p w14:paraId="2A0CFD0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（1）已标价工程量清单或预算书有相同项目的，按照相同项目单价认定；</w:t>
      </w:r>
    </w:p>
    <w:p w14:paraId="3C62739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（2）已标价工程量清单或预算书中无相同项目，但有类似项目的，参照类似项目的单价认定；</w:t>
      </w:r>
    </w:p>
    <w:p w14:paraId="7CEFF4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33464B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10.4.2 变更估价程序</w:t>
      </w:r>
    </w:p>
    <w:p w14:paraId="310956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承包人应在收到变更指示后14天内，向监理人提交变更估价申请。监理人应在收到承包人提交的变更估价申请后7天内审查完毕并报送</w:t>
      </w:r>
    </w:p>
    <w:p w14:paraId="7E2B6C6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发包人，监理人对变更估价申请有异议，通知承包人修改后重新提交。发包人应在承包人提交变更估价申请后14天内审批完毕。发包人逾期未完成审批或未提出异议的，视为认可承包人提交的变更估价申请。</w:t>
      </w:r>
    </w:p>
    <w:p w14:paraId="15286A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因变更引起的价格调整应计入最近一期的进度款中支付。</w:t>
      </w:r>
    </w:p>
    <w:p w14:paraId="287A23E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36" w:name="bookmark120"/>
      <w:bookmarkEnd w:id="536"/>
      <w:bookmarkStart w:id="537" w:name="bookmark119"/>
      <w:bookmarkEnd w:id="537"/>
      <w:r>
        <w:rPr>
          <w:rFonts w:hint="eastAsia" w:ascii="宋体" w:hAnsi="宋体" w:eastAsia="宋体" w:cs="宋体"/>
          <w:color w:val="auto"/>
          <w:spacing w:val="-1"/>
          <w:sz w:val="24"/>
          <w:szCs w:val="24"/>
          <w:highlight w:val="none"/>
        </w:rPr>
        <w:t>10.5 承包人的合理化建议</w:t>
      </w:r>
    </w:p>
    <w:p w14:paraId="0525A35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承包人提出合理化建议的，应向监理人提交合理化建议说明，说明建议的内容和理由，以及实施该建议对合同价格和工期的影响。</w:t>
      </w:r>
    </w:p>
    <w:p w14:paraId="23DB0A8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350E5F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合理化建议降低了合同价格或者提高了工程经济效益的，发包人可对承包人给予奖励，奖励的方法和金额在专用合同条款中约定。</w:t>
      </w:r>
    </w:p>
    <w:p w14:paraId="3FC827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10.6 变更引起的工期调整</w:t>
      </w:r>
    </w:p>
    <w:p w14:paraId="0073FC4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因变更引起工期变化的，合同当事人均可要求调整合同工期，由合同当事人按照第4.4款〔商定或确定〕并参考工程所在地的工期定额</w:t>
      </w:r>
      <w:bookmarkStart w:id="538" w:name="bookmark121"/>
      <w:bookmarkEnd w:id="538"/>
      <w:r>
        <w:rPr>
          <w:rFonts w:hint="eastAsia" w:ascii="宋体" w:hAnsi="宋体" w:eastAsia="宋体" w:cs="宋体"/>
          <w:color w:val="auto"/>
          <w:spacing w:val="-1"/>
          <w:sz w:val="24"/>
          <w:szCs w:val="24"/>
          <w:highlight w:val="none"/>
        </w:rPr>
        <w:t>标准确定增减工期天数。</w:t>
      </w:r>
    </w:p>
    <w:p w14:paraId="16C509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10.7 暂估价</w:t>
      </w:r>
    </w:p>
    <w:p w14:paraId="3C12766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暂估价专业分包工程、服务、材料和工程设备的明细由合同当事人在专用合同条款中约定。</w:t>
      </w:r>
    </w:p>
    <w:p w14:paraId="1577F1A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10.7.1 依法必须招标的暂估价项目</w:t>
      </w:r>
    </w:p>
    <w:p w14:paraId="3E87F95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对于依法必须招标的暂估价项目，采取以下第1种方式确定。合同当事人也可以在专用合同条款中选择其他招标方式。</w:t>
      </w:r>
    </w:p>
    <w:p w14:paraId="1C08942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第1种方式：对于依法必须招标的暂估价项目，由承包人招标，对该暂估价项目的确认和批准按照以下约定执行：</w:t>
      </w:r>
    </w:p>
    <w:p w14:paraId="2FE0F69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C70DE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10CD30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C1EEBB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DE897A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10.7.2不属于依法必须招标的暂估价项目除专用合同条款另有约定外，对于不属于依法必须招标的暂估价项目，采取以下第1种方式确定：</w:t>
      </w:r>
    </w:p>
    <w:p w14:paraId="1A82639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第1种方式：对于不属于依法必须招标的暂估价项目，按本项约定确认和批准：</w:t>
      </w:r>
    </w:p>
    <w:p w14:paraId="1EAC271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3AFBDE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（2）发包人认为承包人确定的供应商、分包人无法满足工程质量或合同要求的，发包人可以要求承包人重新确定暂估价项目的供应商、分包人;</w:t>
      </w:r>
    </w:p>
    <w:p w14:paraId="5B4C41A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（3）承包人应当在签订暂估价合同后7天内，将暂估价合同副本报送发包人留存。</w:t>
      </w:r>
    </w:p>
    <w:p w14:paraId="4362B06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第2种方式：承包人按照第10.7.1项〔依法必须招标的暂估价项目〕约定的第1种方式确定暂估价项目。</w:t>
      </w:r>
    </w:p>
    <w:p w14:paraId="2BB7E6E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第3种方式：承包人直接实施的暂估价项目</w:t>
      </w:r>
    </w:p>
    <w:p w14:paraId="3BC7FF8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承包人具备实施暂估价项目的资格和条件的，经发包人和承包人协商一致后，可由承包人自行实施暂估价项目，合同当事人可以在专用合同条款约定具体事项。</w:t>
      </w:r>
    </w:p>
    <w:p w14:paraId="6524D88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w:t>
      </w:r>
      <w:bookmarkStart w:id="539" w:name="bookmark122"/>
      <w:bookmarkEnd w:id="539"/>
      <w:r>
        <w:rPr>
          <w:rFonts w:hint="eastAsia" w:ascii="宋体" w:hAnsi="宋体" w:eastAsia="宋体" w:cs="宋体"/>
          <w:color w:val="auto"/>
          <w:spacing w:val="-1"/>
          <w:sz w:val="24"/>
          <w:szCs w:val="24"/>
          <w:highlight w:val="none"/>
        </w:rPr>
        <w:t>用和（或）延误的工期由承包人承担。</w:t>
      </w:r>
    </w:p>
    <w:p w14:paraId="2FDBC1C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10.8暂列金额</w:t>
      </w:r>
    </w:p>
    <w:p w14:paraId="526860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暂列金额应按照发包人的要求使用，发包人的要求应通过监理人</w:t>
      </w:r>
      <w:bookmarkStart w:id="540" w:name="bookmark123"/>
      <w:bookmarkEnd w:id="540"/>
      <w:r>
        <w:rPr>
          <w:rFonts w:hint="eastAsia" w:ascii="宋体" w:hAnsi="宋体" w:eastAsia="宋体" w:cs="宋体"/>
          <w:color w:val="auto"/>
          <w:spacing w:val="-1"/>
          <w:sz w:val="24"/>
          <w:szCs w:val="24"/>
          <w:highlight w:val="none"/>
        </w:rPr>
        <w:t>发出。合同当事人可以在专用合同条款中协商确定有关事项。</w:t>
      </w:r>
    </w:p>
    <w:p w14:paraId="407AE07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10.9 计日工</w:t>
      </w:r>
    </w:p>
    <w:p w14:paraId="234D21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724979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采用计日工计价的任何一项工作，承包人应在该项工作实施过程中，每天提交以下报表和有关凭证报送监理人审查：</w:t>
      </w:r>
    </w:p>
    <w:p w14:paraId="207F20F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（1）工作名称、内容和数量；</w:t>
      </w:r>
    </w:p>
    <w:p w14:paraId="44EAD5C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（2）投入该工作的所有人员的姓名、专业、工种、级别和耗用工时；</w:t>
      </w:r>
    </w:p>
    <w:p w14:paraId="26B9684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（3）投入该工作的材料类别和数量；</w:t>
      </w:r>
    </w:p>
    <w:p w14:paraId="430F216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（4）投入该工作的施工设备型号、台数和耗用台时；</w:t>
      </w:r>
    </w:p>
    <w:p w14:paraId="2DB73E8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（5）其他有关资料和凭证。</w:t>
      </w:r>
    </w:p>
    <w:p w14:paraId="0617DDE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计日工由承包人汇总后，列入最近一期进度付款申请单，由监理人审查并经发包人批准后列入进度付款。</w:t>
      </w:r>
    </w:p>
    <w:p w14:paraId="43F23E1D">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41" w:name="bookmark125"/>
      <w:bookmarkEnd w:id="541"/>
      <w:bookmarkStart w:id="542" w:name="bookmark124"/>
      <w:bookmarkEnd w:id="542"/>
      <w:r>
        <w:rPr>
          <w:rFonts w:hint="eastAsia" w:ascii="宋体" w:hAnsi="宋体" w:eastAsia="宋体" w:cs="宋体"/>
          <w:b/>
          <w:bCs/>
          <w:color w:val="auto"/>
          <w:spacing w:val="-1"/>
          <w:sz w:val="24"/>
          <w:szCs w:val="24"/>
          <w:highlight w:val="none"/>
        </w:rPr>
        <w:t>11. 价格调整</w:t>
      </w:r>
    </w:p>
    <w:p w14:paraId="6B8E14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11.1 市场价格波动引起的调整</w:t>
      </w:r>
    </w:p>
    <w:p w14:paraId="3F3ACF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002CA8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第1种方式：采用价格指数进行价格调整。</w:t>
      </w:r>
    </w:p>
    <w:p w14:paraId="3C1D2E6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（1）价格调整公式</w:t>
      </w:r>
    </w:p>
    <w:p w14:paraId="0C6D98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因人工、材料和设备等价格波动影响合同价格时，根据专用合同条款中约定的数据，按以下公式计算差额并调整合同价格：</w:t>
      </w:r>
    </w:p>
    <w:p w14:paraId="3C3837D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drawing>
          <wp:inline distT="0" distB="0" distL="0" distR="0">
            <wp:extent cx="4507230" cy="530860"/>
            <wp:effectExtent l="0" t="0" r="7620" b="254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4507817" cy="530860"/>
                    </a:xfrm>
                    <a:prstGeom prst="rect">
                      <a:avLst/>
                    </a:prstGeom>
                  </pic:spPr>
                </pic:pic>
              </a:graphicData>
            </a:graphic>
          </wp:inline>
        </w:drawing>
      </w:r>
    </w:p>
    <w:p w14:paraId="32A11F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公式中：ΔP——需调整的价格差额；</w:t>
      </w:r>
    </w:p>
    <w:p w14:paraId="553A511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P0——约定的付款证书中承包人应得到的已完成工程量的金额。此项金额应不包括价格调整、不计质量保证金的扣留和支付、预付款的支付和扣回。约定的变更及其他金额已按现行价格计价的，</w:t>
      </w:r>
    </w:p>
    <w:p w14:paraId="2179C52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也不计在内；</w:t>
      </w:r>
    </w:p>
    <w:p w14:paraId="36FE078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A——定值权重（即不调部分的权重）；</w:t>
      </w:r>
    </w:p>
    <w:p w14:paraId="72A1D4D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B1;B2;B3......Bn——各可调因子的变值权重（即可调部分的权重），为各可调因子在签约合同价中所占的比例；</w:t>
      </w:r>
    </w:p>
    <w:p w14:paraId="3E5CFDA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Ft1;Ft2;Ft3......Ftn——各可调因子的现行价格指数，指约定的付款证书相关周期最后一天的前42天的各可调因子的价格指数；</w:t>
      </w:r>
    </w:p>
    <w:p w14:paraId="2B04F99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F01;F02;F03......F0n——各可调因子的基本价格指数，指基准日期的各可调因子的价格指数。</w:t>
      </w:r>
    </w:p>
    <w:p w14:paraId="2B13840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098E3A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（2）暂时确定调整差额</w:t>
      </w:r>
    </w:p>
    <w:p w14:paraId="78B8E85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在计算调整差额时无现行价格指数的，合同当事人同意暂用前次价格指数计算。实际价格指数有调整的，合同当事人进行相应调整。</w:t>
      </w:r>
    </w:p>
    <w:p w14:paraId="2C5C890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（3）权重的调整</w:t>
      </w:r>
    </w:p>
    <w:p w14:paraId="707FE0C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因变更导致合同约定的权重不合理时，按照第4.4款〔商定或确定〕执行。</w:t>
      </w:r>
    </w:p>
    <w:p w14:paraId="11E666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（4）因承包人原因工期延误后的价格调整</w:t>
      </w:r>
    </w:p>
    <w:p w14:paraId="724FDCA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B4109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第2种方式：采用造价信息进行价格调整。</w:t>
      </w:r>
    </w:p>
    <w:p w14:paraId="3379B2B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1E6BE9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1327C2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（2）材料、工程设备价格变化的价款调整按照发包人提供的基准价格，按以下风险范围规定执行:</w:t>
      </w:r>
    </w:p>
    <w:p w14:paraId="5763FF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CE5AC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227579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40BE54B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FE7AB2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99922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（3）施工机械台班单价或施工机械使用费发生变化超过省级或行业建设主管部门或其授权的工程造价管理机构规定的范围时，按规定调整合同价格。</w:t>
      </w:r>
    </w:p>
    <w:p w14:paraId="4B495CE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43" w:name="bookmark126"/>
      <w:bookmarkEnd w:id="543"/>
      <w:r>
        <w:rPr>
          <w:rFonts w:hint="eastAsia" w:ascii="宋体" w:hAnsi="宋体" w:eastAsia="宋体" w:cs="宋体"/>
          <w:color w:val="auto"/>
          <w:spacing w:val="-1"/>
          <w:sz w:val="24"/>
          <w:szCs w:val="24"/>
          <w:highlight w:val="none"/>
        </w:rPr>
        <w:t>第3种方式：专用合同条款约定的其他方式。</w:t>
      </w:r>
    </w:p>
    <w:p w14:paraId="10F7652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11.2 法律变化引起的调整</w:t>
      </w:r>
    </w:p>
    <w:p w14:paraId="4784E6D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w:t>
      </w:r>
    </w:p>
    <w:p w14:paraId="3EBF6EE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基准日期后，因法律变化造成工期延误时，工期应予以顺延。</w:t>
      </w:r>
    </w:p>
    <w:p w14:paraId="231C929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因法律变化引起的合同价格和工期调整，合同当事人无法达成一致的，由总监理工程师按第4.4款〔商定或确定〕的约定处理。</w:t>
      </w:r>
    </w:p>
    <w:p w14:paraId="5D52050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因承包人原因造成工期延误，在工期延误期间出现法律变化的，由此增加的费用和（或）延误的工期由承包人承担。</w:t>
      </w:r>
    </w:p>
    <w:p w14:paraId="1ED00CA1">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44" w:name="bookmark127"/>
      <w:bookmarkEnd w:id="544"/>
      <w:r>
        <w:rPr>
          <w:rFonts w:hint="eastAsia" w:ascii="宋体" w:hAnsi="宋体" w:eastAsia="宋体" w:cs="宋体"/>
          <w:b/>
          <w:bCs/>
          <w:color w:val="auto"/>
          <w:spacing w:val="-1"/>
          <w:sz w:val="24"/>
          <w:szCs w:val="24"/>
          <w:highlight w:val="none"/>
        </w:rPr>
        <w:t>12. 合同价格、计量与支付</w:t>
      </w:r>
    </w:p>
    <w:p w14:paraId="7C4196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12.1 合同价格形式</w:t>
      </w:r>
    </w:p>
    <w:p w14:paraId="276CD78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发包人和承包人应在合同协议书中选择下列一种合同价格形式：</w:t>
      </w:r>
    </w:p>
    <w:p w14:paraId="3E008FF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1.单价合同</w:t>
      </w:r>
    </w:p>
    <w:p w14:paraId="680FE7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E119F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2.总价合同</w:t>
      </w:r>
    </w:p>
    <w:p w14:paraId="2D0AC95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0FFE5D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3.其它价格形式</w:t>
      </w:r>
    </w:p>
    <w:p w14:paraId="0553C7A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合同当事人可在专用合同条款中约定其他合同价格形式。</w:t>
      </w:r>
    </w:p>
    <w:p w14:paraId="5026440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45" w:name="bookmark128"/>
      <w:bookmarkEnd w:id="545"/>
      <w:r>
        <w:rPr>
          <w:rFonts w:hint="eastAsia" w:ascii="宋体" w:hAnsi="宋体" w:eastAsia="宋体" w:cs="宋体"/>
          <w:color w:val="auto"/>
          <w:spacing w:val="-1"/>
          <w:sz w:val="24"/>
          <w:szCs w:val="24"/>
          <w:highlight w:val="none"/>
        </w:rPr>
        <w:t>12.2预付款</w:t>
      </w:r>
    </w:p>
    <w:p w14:paraId="16A408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12.2.1预付款的支付</w:t>
      </w:r>
    </w:p>
    <w:p w14:paraId="3E5BBD0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00AE2A0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除专用合同条款另有约定外，预付款在进度付款中同比例扣回。在颁发工程接收证书前，提前解除合同的，尚未扣完的预付款应与合同价款一并结算。</w:t>
      </w:r>
    </w:p>
    <w:p w14:paraId="0913C85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36E576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12.2.2 预付款担保</w:t>
      </w:r>
    </w:p>
    <w:p w14:paraId="790246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FEE553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发包人在工程款中逐期扣回预付款后，预付款担保额度应相应减少，但剩余的预付款担保金额不得低于未被扣回的预付款金额。</w:t>
      </w:r>
    </w:p>
    <w:p w14:paraId="3765995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 计量</w:t>
      </w:r>
    </w:p>
    <w:p w14:paraId="44ADEF4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12.3.1 计量原则</w:t>
      </w:r>
    </w:p>
    <w:p w14:paraId="042A2B8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1EDCD19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12.3.2 计量周期</w:t>
      </w:r>
    </w:p>
    <w:p w14:paraId="19F8535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除专用合同条款另有约定外，工程量的计量按月进行。</w:t>
      </w:r>
    </w:p>
    <w:p w14:paraId="5CD1C19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12.3.3 单价合同的计量除专用合同条款另有约定外，单价合同的计量按照本项约定执行：</w:t>
      </w:r>
    </w:p>
    <w:p w14:paraId="6FBAC1A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（1）承包人应于每月25日向监理人报送上月20日至当月19日已完成的工程量报告，并附具进度付款申请单、已完成工程量报表和有关资料。</w:t>
      </w:r>
    </w:p>
    <w:p w14:paraId="414024C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62E726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（3）监理人未在收到承包人提交的工程量报表后的7天内完成审核的，承包人报送的工程量报告中的工程量视为承包人实际完成的工程量，据此计算工程价款。</w:t>
      </w:r>
    </w:p>
    <w:p w14:paraId="7049576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12.3.4 总价合同的计量</w:t>
      </w:r>
    </w:p>
    <w:p w14:paraId="78D71C5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除专用合同条款另有约定外，按月计量支付的总价合同，按照本项约定执行：</w:t>
      </w:r>
    </w:p>
    <w:p w14:paraId="7E71A03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（1）承包人应于每月25日向监理人报送上月20日至当月19日已完成的工程量报告，并附具进度付款申请单、已完成工程量报表和有关资料。</w:t>
      </w:r>
    </w:p>
    <w:p w14:paraId="6DE51DD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（2）监理人应在收到承包人提交的工程量报告后 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w:t>
      </w:r>
    </w:p>
    <w:p w14:paraId="343FE42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监理人审核或修正的工程量视为承包人实际完成的工程量。</w:t>
      </w:r>
    </w:p>
    <w:p w14:paraId="3E8F897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（3）监理人未在收到承包人提交的工程量报表后的7天内完成复核的，承包人提交的工程量报告中的工程量视为承包人实际完成的工程量。</w:t>
      </w:r>
    </w:p>
    <w:p w14:paraId="31837E3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12.3.5 总价合同采用支付分解表计量支付的，可以按照第12.3.4项〔总价合同的计量〕约定进行计量，但合同价款按照支付分解表进</w:t>
      </w:r>
      <w:bookmarkStart w:id="546" w:name="bookmark129"/>
      <w:bookmarkEnd w:id="546"/>
      <w:r>
        <w:rPr>
          <w:rFonts w:hint="eastAsia" w:ascii="宋体" w:hAnsi="宋体" w:eastAsia="宋体" w:cs="宋体"/>
          <w:color w:val="auto"/>
          <w:spacing w:val="-1"/>
          <w:sz w:val="24"/>
          <w:szCs w:val="24"/>
          <w:highlight w:val="none"/>
        </w:rPr>
        <w:t>行支付。</w:t>
      </w:r>
    </w:p>
    <w:p w14:paraId="6118111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12.3.6 其他价格形式合同的计量合同当事人可在专用合同条款中约定其他价格形式合同的计量方 式和程序。</w:t>
      </w:r>
    </w:p>
    <w:p w14:paraId="71F026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 工程进度款支付</w:t>
      </w:r>
    </w:p>
    <w:p w14:paraId="53C92E5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12.4.1 付款周期</w:t>
      </w:r>
    </w:p>
    <w:p w14:paraId="7D8C15D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除专用合同条款另有约定外，付款周期应按照第12.3.2项〔计量周期〕的约定与计量周期保持一致。</w:t>
      </w:r>
    </w:p>
    <w:p w14:paraId="37EF08B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12.4.2 进度付款申请单的编制</w:t>
      </w:r>
    </w:p>
    <w:p w14:paraId="2CDAC9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除专用合同条款另有约定外，进度付款申请单应包括下列内容：</w:t>
      </w:r>
    </w:p>
    <w:p w14:paraId="1ADE0E1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1）截至本次付款周期已完成工作对应的金额；</w:t>
      </w:r>
    </w:p>
    <w:p w14:paraId="7931793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（2）根据第10条〔变更〕应增加和扣减的变更金额；</w:t>
      </w:r>
    </w:p>
    <w:p w14:paraId="5936A7F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（3）根据第12.2款〔预付款〕约定应支付的预付款和扣减的返还预付款；</w:t>
      </w:r>
    </w:p>
    <w:p w14:paraId="48448B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（4）根据第15.3款〔质量保证金〕约定应扣减的质量保证金；</w:t>
      </w:r>
    </w:p>
    <w:p w14:paraId="0DBD9B4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（5）根据第19条〔索赔〕应增加和扣减的索赔金额；</w:t>
      </w:r>
    </w:p>
    <w:p w14:paraId="0D48D50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（6）对已签发的进度款支付证书中出现错误的修正，应在本次进度付款中支付或扣除的金额；</w:t>
      </w:r>
    </w:p>
    <w:p w14:paraId="07DB1F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（7）根据合同约定应增加和扣减的其他金额。</w:t>
      </w:r>
    </w:p>
    <w:p w14:paraId="54DD4EA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12.4.3 进度付款申请单的提交</w:t>
      </w:r>
    </w:p>
    <w:p w14:paraId="144DC0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（1）单价合同进度付款申请单的提交</w:t>
      </w:r>
    </w:p>
    <w:p w14:paraId="078BD2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47C688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（2）总价合同进度付款申请单的提交</w:t>
      </w:r>
    </w:p>
    <w:p w14:paraId="74E8BFD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总价合同按月计量支付的，承包人按照第12.3.4项〔总价合同的计量〕约定的时间按月向监理人提交进度付款申请单，并附上已完成工程量报表和有关资料。</w:t>
      </w:r>
    </w:p>
    <w:p w14:paraId="46B0B74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总价合同按支付分解表支付的，承包人应按照第12.4.6项〔支付分解表〕及第12.4.2项〔进度付款申请单的编制〕的约定向监理人提交进度付款申请单。</w:t>
      </w:r>
    </w:p>
    <w:p w14:paraId="309C588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（3）其他价格形式合同的进度付款申请单的提交</w:t>
      </w:r>
    </w:p>
    <w:p w14:paraId="524590C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合同当事人可在专用合同条款中约定其他价格形式合同的进度付款申请单的编制和提交程序。</w:t>
      </w:r>
    </w:p>
    <w:p w14:paraId="67242D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12.4.4 进度款审核和支付</w:t>
      </w:r>
    </w:p>
    <w:p w14:paraId="17DDC03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8595DF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w:t>
      </w:r>
    </w:p>
    <w:p w14:paraId="6CDB86E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完成审查并报送发包人，发包人应在收到监理人报送的进度付款申请单及相关资料后7天内，向承包人签发无异议部分的临时进度款支付证书。存在争议的部分，按照第20条〔争议解决〕的约定处理。</w:t>
      </w:r>
    </w:p>
    <w:p w14:paraId="52FDDF2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8F573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（3）发包人签发进度款支付证书或临时进度款支付证书，不表明发包人已同意、批准或接受了承包人完成的相应部分的工作。</w:t>
      </w:r>
    </w:p>
    <w:p w14:paraId="655F231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12.4.5 进度付款的修正在对已签发的进度款支付证书进行阶段汇总和复核中发现错误、遗漏或重复的，发包人和承包人均有权提出修正申请。经发包人和承包人同意的修正，应在下期进度付款中支付或扣除。</w:t>
      </w:r>
    </w:p>
    <w:p w14:paraId="38A939D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12.4.6 支付分解表</w:t>
      </w:r>
    </w:p>
    <w:p w14:paraId="2AFA816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1.支付分解表的编制要求</w:t>
      </w:r>
    </w:p>
    <w:p w14:paraId="683AB71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（1）支付分解表中所列的每期付款金额，应为第12.4.2项〔进度付款申请单的编制〕第（1）目的估算金额；</w:t>
      </w:r>
    </w:p>
    <w:p w14:paraId="7C2857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（2）实际进度与施工进度计划不一致的，合同当事人可按照第</w:t>
      </w:r>
    </w:p>
    <w:p w14:paraId="6CB6937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4.4款〔商定或确定〕修改支付分解表；</w:t>
      </w:r>
    </w:p>
    <w:p w14:paraId="029574A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（3）不采用支付分解表的，承包人应向发包人和监理人提交按季度编制的支付估算分解表，用于支付参考。</w:t>
      </w:r>
    </w:p>
    <w:p w14:paraId="4C4C50D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2.总价合同支付分解表的编制与审批</w:t>
      </w:r>
    </w:p>
    <w:p w14:paraId="352AA4E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53A923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224908D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（3）发包人逾期未完成支付分解表审批的，也未及时要求承包人进行修正和提供补充资料的，则承包人提交的支付分解表视为已经获得发包人批准。</w:t>
      </w:r>
    </w:p>
    <w:p w14:paraId="02A719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3.单价合同的总价项目支付分解表的编制与审批</w:t>
      </w:r>
    </w:p>
    <w:p w14:paraId="516869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7EDE97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47" w:name="bookmark130"/>
      <w:bookmarkEnd w:id="547"/>
      <w:r>
        <w:rPr>
          <w:rFonts w:hint="eastAsia" w:ascii="宋体" w:hAnsi="宋体" w:eastAsia="宋体" w:cs="宋体"/>
          <w:color w:val="auto"/>
          <w:spacing w:val="-1"/>
          <w:sz w:val="24"/>
          <w:szCs w:val="24"/>
          <w:highlight w:val="none"/>
        </w:rPr>
        <w:t>12.5支付账户</w:t>
      </w:r>
    </w:p>
    <w:p w14:paraId="3BD4A56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发包人应将合同价款支付至合同协议书中约定的承包人账户。</w:t>
      </w:r>
    </w:p>
    <w:p w14:paraId="7821A0DD">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48" w:name="bookmark132"/>
      <w:bookmarkEnd w:id="548"/>
      <w:bookmarkStart w:id="549" w:name="bookmark131"/>
      <w:bookmarkEnd w:id="549"/>
      <w:r>
        <w:rPr>
          <w:rFonts w:hint="eastAsia" w:ascii="宋体" w:hAnsi="宋体" w:eastAsia="宋体" w:cs="宋体"/>
          <w:b/>
          <w:bCs/>
          <w:color w:val="auto"/>
          <w:spacing w:val="-1"/>
          <w:sz w:val="24"/>
          <w:szCs w:val="24"/>
          <w:highlight w:val="none"/>
        </w:rPr>
        <w:t>13.验收和工程试车</w:t>
      </w:r>
    </w:p>
    <w:p w14:paraId="66C0F1B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13.1分部分项工程验收</w:t>
      </w:r>
    </w:p>
    <w:p w14:paraId="6C466C1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13.1.1分部分项工程质量应符合国家有关工程施工验收规范、标准及合同约定，承包人应按照施工组织设计的要求完成分部分项工程施工。</w:t>
      </w:r>
    </w:p>
    <w:p w14:paraId="0B92A64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分部分项工程的验收资料应当作为竣工资料的组成部分。</w:t>
      </w:r>
    </w:p>
    <w:p w14:paraId="2DAD076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0" w:name="bookmark133"/>
      <w:bookmarkEnd w:id="550"/>
      <w:r>
        <w:rPr>
          <w:rFonts w:hint="eastAsia" w:ascii="宋体" w:hAnsi="宋体" w:eastAsia="宋体" w:cs="宋体"/>
          <w:color w:val="auto"/>
          <w:spacing w:val="-1"/>
          <w:sz w:val="24"/>
          <w:szCs w:val="24"/>
          <w:highlight w:val="none"/>
        </w:rPr>
        <w:t>13.2竣工验收</w:t>
      </w:r>
    </w:p>
    <w:p w14:paraId="2DCBCE2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13.2.1竣工验收条件</w:t>
      </w:r>
    </w:p>
    <w:p w14:paraId="3572B65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工程具备以下条件的，承包人可以申请竣工验收：</w:t>
      </w:r>
    </w:p>
    <w:p w14:paraId="05FD243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（1）除发包人同意的甩项工作和缺陷修补工作外，合同范围内的全部工程以及有关工作，包括合同要求的试验、试运行以及检验均已完成，并符合合同要求；</w:t>
      </w:r>
    </w:p>
    <w:p w14:paraId="5858DB0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（2）已按合同约定编制了甩项工作和缺陷修补工作清单以及相应的施工计划；</w:t>
      </w:r>
    </w:p>
    <w:p w14:paraId="189B408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（3）已按合同约定的内容和份数备齐竣工资料。</w:t>
      </w:r>
    </w:p>
    <w:p w14:paraId="45BD29B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13.2.2竣工验收程序</w:t>
      </w:r>
    </w:p>
    <w:p w14:paraId="2957C12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除专用合同条款另有约定外，承包人申请竣工验收的，应当按照以下程序进行：</w:t>
      </w:r>
    </w:p>
    <w:p w14:paraId="5146709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66309D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AF73DA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1E05A1F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C46872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3D5F90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DA69B8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13.2.3 竣工日期</w:t>
      </w:r>
    </w:p>
    <w:p w14:paraId="4D839CB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55D5B29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13.2.4 拒绝接收全部或部分工程</w:t>
      </w:r>
    </w:p>
    <w:p w14:paraId="537D61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1F17C4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13.2.5 移交、接收全部与部分工程</w:t>
      </w:r>
    </w:p>
    <w:p w14:paraId="3D6823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除专用合同条款另有约定外，合同当事人应当在颁发工程接收证书后7天内完成工程的移交。</w:t>
      </w:r>
    </w:p>
    <w:p w14:paraId="5B15D28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1483263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ACC07B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1" w:name="bookmark134"/>
      <w:bookmarkEnd w:id="551"/>
      <w:r>
        <w:rPr>
          <w:rFonts w:hint="eastAsia" w:ascii="宋体" w:hAnsi="宋体" w:eastAsia="宋体" w:cs="宋体"/>
          <w:color w:val="auto"/>
          <w:spacing w:val="-1"/>
          <w:sz w:val="24"/>
          <w:szCs w:val="24"/>
          <w:highlight w:val="none"/>
        </w:rPr>
        <w:t>13.3 工程试车</w:t>
      </w:r>
    </w:p>
    <w:p w14:paraId="3FF6351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13.3.1 试车程序</w:t>
      </w:r>
    </w:p>
    <w:p w14:paraId="446CE6C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工程需要试车的，除专用合同条款另有约定外，试车内容应与承包人承包范围相一致，试车费用由承包人承担。工程试车应按如下程序进行：</w:t>
      </w:r>
    </w:p>
    <w:p w14:paraId="05CBEFF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A3CC60B">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33940D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80DF04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13.3.2 试车中的责任</w:t>
      </w:r>
    </w:p>
    <w:p w14:paraId="15A967B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7B79D8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09B071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13.3.3 投料试车</w:t>
      </w:r>
    </w:p>
    <w:p w14:paraId="712C8A5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1CF68DF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2A9C12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2" w:name="bookmark135"/>
      <w:bookmarkEnd w:id="552"/>
      <w:r>
        <w:rPr>
          <w:rFonts w:hint="eastAsia" w:ascii="宋体" w:hAnsi="宋体" w:eastAsia="宋体" w:cs="宋体"/>
          <w:color w:val="auto"/>
          <w:spacing w:val="-1"/>
          <w:sz w:val="24"/>
          <w:szCs w:val="24"/>
          <w:highlight w:val="none"/>
        </w:rPr>
        <w:t>13.4提前交付单位工程的验收</w:t>
      </w:r>
    </w:p>
    <w:p w14:paraId="4AC1BE7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4CBE43E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7E88DE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13.4.2 发包人要求在工程竣工前交付单位工程，由此导致承包人费用增加和（或）工期延误的，由发包人承担由此增加的费用和（或）延误的工期，并支付承包人合理的利润。</w:t>
      </w:r>
    </w:p>
    <w:p w14:paraId="360201D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3" w:name="bookmark136"/>
      <w:bookmarkEnd w:id="553"/>
      <w:r>
        <w:rPr>
          <w:rFonts w:hint="eastAsia" w:ascii="宋体" w:hAnsi="宋体" w:eastAsia="宋体" w:cs="宋体"/>
          <w:color w:val="auto"/>
          <w:spacing w:val="-1"/>
          <w:sz w:val="24"/>
          <w:szCs w:val="24"/>
          <w:highlight w:val="none"/>
        </w:rPr>
        <w:t>13.5 施工期运行</w:t>
      </w:r>
    </w:p>
    <w:p w14:paraId="2F63837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4" w:name="bookmark138"/>
      <w:bookmarkEnd w:id="554"/>
      <w:r>
        <w:rPr>
          <w:rFonts w:hint="eastAsia" w:ascii="宋体" w:hAnsi="宋体" w:eastAsia="宋体" w:cs="宋体"/>
          <w:color w:val="auto"/>
          <w:spacing w:val="-1"/>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FC421E9">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13.5.2 在施工期运行中发现工程或工程设备损坏或存在缺陷的，由承包人按第15.2款〔缺陷责任期〕约定进行修复。</w:t>
      </w:r>
    </w:p>
    <w:p w14:paraId="5CA7B3C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5" w:name="bookmark137"/>
      <w:bookmarkEnd w:id="555"/>
      <w:r>
        <w:rPr>
          <w:rFonts w:hint="eastAsia" w:ascii="宋体" w:hAnsi="宋体" w:eastAsia="宋体" w:cs="宋体"/>
          <w:color w:val="auto"/>
          <w:spacing w:val="-1"/>
          <w:sz w:val="24"/>
          <w:szCs w:val="24"/>
          <w:highlight w:val="none"/>
        </w:rPr>
        <w:t>13.6 竣工退场</w:t>
      </w:r>
    </w:p>
    <w:p w14:paraId="544466A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13.6.1 竣工退场颁发工程接收证书后，承包人应按以下要求对施工现场进行清理：</w:t>
      </w:r>
    </w:p>
    <w:p w14:paraId="4651BA0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（1）施工现场内残留的垃圾已全部清除出场；</w:t>
      </w:r>
    </w:p>
    <w:p w14:paraId="4323F62F">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（2）临时工程已拆除，场地已进行清理、平整或复原；</w:t>
      </w:r>
    </w:p>
    <w:p w14:paraId="2020E63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（3）按合同约定应撤离的人员、承包人施工设备和剩余的材料，包括废弃的施工设备和材料，已按计划撤离施工现场；</w:t>
      </w:r>
    </w:p>
    <w:p w14:paraId="3FCBA21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（4）施工现场周边及其附近道路、河道的施工堆积物，已全部清理；</w:t>
      </w:r>
    </w:p>
    <w:p w14:paraId="088B088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（5）施工现场其他场地清理工作已全部完成。</w:t>
      </w:r>
    </w:p>
    <w:p w14:paraId="2D1A50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C17D3B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13.6.2 地表还原</w:t>
      </w:r>
    </w:p>
    <w:p w14:paraId="67D3092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BE1406B">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bookmarkStart w:id="556" w:name="bookmark139"/>
      <w:bookmarkEnd w:id="556"/>
      <w:r>
        <w:rPr>
          <w:rFonts w:hint="eastAsia" w:ascii="宋体" w:hAnsi="宋体" w:eastAsia="宋体" w:cs="宋体"/>
          <w:b/>
          <w:bCs/>
          <w:color w:val="auto"/>
          <w:spacing w:val="-1"/>
          <w:sz w:val="24"/>
          <w:szCs w:val="24"/>
          <w:highlight w:val="none"/>
        </w:rPr>
        <w:t>14. 竣工结算</w:t>
      </w:r>
    </w:p>
    <w:p w14:paraId="045D4560">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14.1 竣工结算申请</w:t>
      </w:r>
    </w:p>
    <w:p w14:paraId="1FC1718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424E33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除专用合同条款另有约定外，竣工结算申请单应包括以下内容：</w:t>
      </w:r>
    </w:p>
    <w:p w14:paraId="64315DB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（1）竣工结算合同价格；</w:t>
      </w:r>
    </w:p>
    <w:p w14:paraId="73B6266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（2）发包人已支付承包人的款项；</w:t>
      </w:r>
    </w:p>
    <w:p w14:paraId="061E78E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（3）应扣留的质量保证金。</w:t>
      </w:r>
    </w:p>
    <w:p w14:paraId="36D9A7A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（4）发包人应支付承包人的合同价款。</w:t>
      </w:r>
    </w:p>
    <w:p w14:paraId="19319EA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57" w:name="bookmark140"/>
      <w:bookmarkEnd w:id="557"/>
      <w:r>
        <w:rPr>
          <w:rFonts w:hint="eastAsia" w:ascii="宋体" w:hAnsi="宋体" w:eastAsia="宋体" w:cs="宋体"/>
          <w:color w:val="auto"/>
          <w:spacing w:val="-1"/>
          <w:sz w:val="24"/>
          <w:szCs w:val="24"/>
          <w:highlight w:val="none"/>
        </w:rPr>
        <w:t>14.2 竣工结算审核</w:t>
      </w:r>
    </w:p>
    <w:p w14:paraId="589AA3E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B0A938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4C4777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3AD8066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w:t>
      </w:r>
      <w:bookmarkStart w:id="558" w:name="bookmark141"/>
      <w:bookmarkEnd w:id="558"/>
      <w:r>
        <w:rPr>
          <w:rFonts w:hint="eastAsia" w:ascii="宋体" w:hAnsi="宋体" w:eastAsia="宋体" w:cs="宋体"/>
          <w:color w:val="auto"/>
          <w:spacing w:val="-1"/>
          <w:sz w:val="24"/>
          <w:szCs w:val="24"/>
          <w:highlight w:val="none"/>
        </w:rPr>
        <w:t>为认可发包人的审批结果。</w:t>
      </w:r>
    </w:p>
    <w:p w14:paraId="5C1AF7F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14.3 甩项竣工协议</w:t>
      </w:r>
    </w:p>
    <w:p w14:paraId="60D3AD6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w:t>
      </w:r>
      <w:bookmarkStart w:id="559" w:name="bookmark142"/>
      <w:bookmarkEnd w:id="559"/>
      <w:r>
        <w:rPr>
          <w:rFonts w:hint="eastAsia" w:ascii="宋体" w:hAnsi="宋体" w:eastAsia="宋体" w:cs="宋体"/>
          <w:color w:val="auto"/>
          <w:spacing w:val="-1"/>
          <w:sz w:val="24"/>
          <w:szCs w:val="24"/>
          <w:highlight w:val="none"/>
        </w:rPr>
        <w:t>相应合同价款。</w:t>
      </w:r>
    </w:p>
    <w:p w14:paraId="4280EFB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14.4 最终结清</w:t>
      </w:r>
    </w:p>
    <w:p w14:paraId="1CC6390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14.4.1 最终结清申请单</w:t>
      </w:r>
    </w:p>
    <w:p w14:paraId="1D605E0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专用合同条款另有约定外，承包人应在缺陷责任期终止证书颁发后7天内，按专用合同条款约定的份数向发包人提交最终结清申请单，并提供相关证明材料。除专用合同条款另有约定外，最终结清申请单应列明质量保证金、</w:t>
      </w:r>
      <w:bookmarkStart w:id="560" w:name="bookmark143"/>
      <w:bookmarkEnd w:id="560"/>
      <w:r>
        <w:rPr>
          <w:rFonts w:hint="eastAsia" w:ascii="宋体" w:hAnsi="宋体" w:eastAsia="宋体" w:cs="宋体"/>
          <w:color w:val="auto"/>
          <w:spacing w:val="-1"/>
          <w:sz w:val="24"/>
          <w:szCs w:val="24"/>
          <w:highlight w:val="none"/>
        </w:rPr>
        <w:t>应扣除的质量保证金、缺陷责任期内发生的增减费用。</w:t>
      </w:r>
    </w:p>
    <w:p w14:paraId="1CE11DF8">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（2）发包人对最终结清申请单内容有异议的，有权要求承包人进行修正和提供补充资料，承包人应向发包人提交修正后的最终结清申请单。</w:t>
      </w:r>
    </w:p>
    <w:p w14:paraId="5E8FF24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14.4.2最终结清证书和支付</w:t>
      </w:r>
    </w:p>
    <w:p w14:paraId="0776342E">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7498AF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A7E6F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（3）承包人对发包人颁发的最终结清证书有异议的，按第20条〔争议解决〕的约定办理。</w:t>
      </w:r>
    </w:p>
    <w:p w14:paraId="3016D50D">
      <w:pPr>
        <w:keepNext w:val="0"/>
        <w:keepLines w:val="0"/>
        <w:pageBreakBefore w:val="0"/>
        <w:widowControl/>
        <w:kinsoku/>
        <w:wordWrap w:val="0"/>
        <w:overflowPunct/>
        <w:topLinePunct/>
        <w:autoSpaceDE w:val="0"/>
        <w:autoSpaceDN w:val="0"/>
        <w:bidi w:val="0"/>
        <w:adjustRightInd w:val="0"/>
        <w:snapToGrid w:val="0"/>
        <w:spacing w:before="270" w:line="400" w:lineRule="exact"/>
        <w:textAlignment w:val="baseline"/>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15.缺陷责任与保修</w:t>
      </w:r>
    </w:p>
    <w:p w14:paraId="1AD38E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15.1工程保修的原则</w:t>
      </w:r>
    </w:p>
    <w:p w14:paraId="752F63D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3D9638A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bookmarkStart w:id="561" w:name="bookmark144"/>
      <w:bookmarkEnd w:id="561"/>
      <w:r>
        <w:rPr>
          <w:rFonts w:hint="eastAsia" w:ascii="宋体" w:hAnsi="宋体" w:eastAsia="宋体" w:cs="宋体"/>
          <w:color w:val="auto"/>
          <w:spacing w:val="-1"/>
          <w:sz w:val="24"/>
          <w:szCs w:val="24"/>
          <w:highlight w:val="none"/>
        </w:rPr>
        <w:t>15.2 缺陷责任期</w:t>
      </w:r>
    </w:p>
    <w:p w14:paraId="0F72669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15.2.1 缺陷责任期从工程通过竣工验收之日起计算，合同当事人应在专用合同条款约定缺陷责任期的具体期限，但该期限最长不超过24个月。</w:t>
      </w:r>
    </w:p>
    <w:p w14:paraId="1E6A4BE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C8B17CA">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56C9772">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由他人原因造成的缺陷，发包人负责组织维修，承包人不承担费用，且发包人不得从保证金中扣除费用。</w:t>
      </w:r>
    </w:p>
    <w:p w14:paraId="4A975A7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15.2.3任何一项缺陷或损坏修复后，经检查证明其影响了工程或工程设备的使用性能，承包人应重新进行合同约定的试验和试运行，试验和试运行的全部费用应由责任方承担。</w:t>
      </w:r>
    </w:p>
    <w:p w14:paraId="4193B4DC">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15.2.4除专用合同条款另有约定外，承包人应于缺陷责任期届满后7天内向发包人发出缺陷责任期届满通知，发包人应在收到缺陷责任期满</w:t>
      </w:r>
      <w:bookmarkStart w:id="562" w:name="bookmark145"/>
      <w:bookmarkEnd w:id="562"/>
      <w:r>
        <w:rPr>
          <w:rFonts w:hint="eastAsia" w:ascii="宋体" w:hAnsi="宋体" w:eastAsia="宋体" w:cs="宋体"/>
          <w:color w:val="auto"/>
          <w:spacing w:val="-1"/>
          <w:sz w:val="24"/>
          <w:szCs w:val="24"/>
          <w:highlight w:val="none"/>
        </w:rPr>
        <w:t>通知后14天内核实承包人是否履行缺陷修复义务，承包人未能履行缺陷修复义务的，发包人有权扣除相应金额的维修费用。发包人应在收到缺陷责任期届满通知后14天内，向承包人颁发缺陷责任期终止证书。</w:t>
      </w:r>
    </w:p>
    <w:p w14:paraId="727C46A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15.3 质量保证金</w:t>
      </w:r>
    </w:p>
    <w:p w14:paraId="1739D0E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经合同当事人协商一致扣留质量保证金的，应在专用合同条款中予以明确。在工程项目竣工前，承包人已经提供履约担保的，发包人不得同时预留工程质量保证金。</w:t>
      </w:r>
    </w:p>
    <w:p w14:paraId="33C3CA73">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15.3.1 承包人提供质量保证金的方式</w:t>
      </w:r>
    </w:p>
    <w:p w14:paraId="3AE63C27">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承包人提供质量保证金有以下三种方式：</w:t>
      </w:r>
    </w:p>
    <w:p w14:paraId="2897BD24">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1）质量保证金保函；</w:t>
      </w:r>
    </w:p>
    <w:p w14:paraId="333E7EED">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（2）相应比例的工程款；</w:t>
      </w:r>
    </w:p>
    <w:p w14:paraId="1048A585">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（3）双方约定的其他方式。</w:t>
      </w:r>
    </w:p>
    <w:p w14:paraId="5C1FC186">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除专用合同条款另有约定外，质量保证金原则上采用上述第（1）种方式。</w:t>
      </w:r>
    </w:p>
    <w:p w14:paraId="3D9046A1">
      <w:pPr>
        <w:keepNext w:val="0"/>
        <w:keepLines w:val="0"/>
        <w:pageBreakBefore w:val="0"/>
        <w:widowControl/>
        <w:kinsoku/>
        <w:wordWrap w:val="0"/>
        <w:overflowPunct/>
        <w:topLinePunct/>
        <w:autoSpaceDE w:val="0"/>
        <w:autoSpaceDN w:val="0"/>
        <w:bidi w:val="0"/>
        <w:adjustRightInd w:val="0"/>
        <w:snapToGrid w:val="0"/>
        <w:spacing w:before="270" w:line="40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15.3.2质量保证金的扣留</w:t>
      </w:r>
    </w:p>
    <w:p w14:paraId="3874412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质量保证金的扣留有以下三种方式：</w:t>
      </w:r>
    </w:p>
    <w:p w14:paraId="6E4B9CF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（1）在支付工程进度款时逐次扣留，在此情形下，质量保证金的计算基数不包括预付款的支付、扣回以及价格调整的金额；</w:t>
      </w:r>
    </w:p>
    <w:p w14:paraId="158F085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（2）工程竣工结算时一次性扣留质量保证金；</w:t>
      </w:r>
    </w:p>
    <w:p w14:paraId="11A8958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（3）双方约定的其他扣留方式。</w:t>
      </w:r>
    </w:p>
    <w:p w14:paraId="6691BAA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除专用合同条款另有约定外，质量保证金的扣留原则上采用上述第（1）种方式。</w:t>
      </w:r>
    </w:p>
    <w:p w14:paraId="4A2391E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发包人累计扣留的质量保证金不得超过工程价款结算总额的3%。如承包人在发包人签发竣工付款证书后28天内提交质量保证金保函，</w:t>
      </w:r>
    </w:p>
    <w:p w14:paraId="4D51FA6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发包人应同时退还扣留的作为质量保证金的工程价款；保函金额不得超过工程价款结算总额的3%。</w:t>
      </w:r>
    </w:p>
    <w:p w14:paraId="5A228CC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发包人在退还质量保证金的同时按照中国人民银行发布的同期同类贷款基准利率支付利息。</w:t>
      </w:r>
    </w:p>
    <w:p w14:paraId="7EB9A61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15.3.3 质量保证金的退还</w:t>
      </w:r>
    </w:p>
    <w:p w14:paraId="7E8A98B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缺陷责任期内，承包人认真履行合同约定的责任，到期后，承包人可向发包人申请返还保证金。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65DCA0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发包人和承包人对保证金预留、返还以及工程维修质量、费用有争议的，按本合同第20条约定的争议和纠纷解决程序处理。</w:t>
      </w:r>
    </w:p>
    <w:p w14:paraId="51A2F1A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 保修</w:t>
      </w:r>
    </w:p>
    <w:p w14:paraId="7A25A13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15.4.1 保修责任</w:t>
      </w:r>
    </w:p>
    <w:p w14:paraId="6F68C83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985DE0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发包人未经竣工验收擅自使用工程的，保修期自转移占有之日起算。</w:t>
      </w:r>
    </w:p>
    <w:p w14:paraId="4F9C87B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15.4.2 修复费用</w:t>
      </w:r>
    </w:p>
    <w:p w14:paraId="451D25A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保修期内，修复的费用按照以下约定处理：</w:t>
      </w:r>
    </w:p>
    <w:p w14:paraId="790E1DB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（1）保修期内，因承包人原因造成工程的缺陷、损坏，承包人应负责修复，并承担修复的费用以及因工程的缺陷、损坏造成的人身伤害和财产损失；</w:t>
      </w:r>
    </w:p>
    <w:p w14:paraId="19F5188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（2）保修期内，因发包人使用不当造成工程的缺陷、损坏，可以委托承包人修复，但发包人应承担修复的费用，并支付承包人合理利润；</w:t>
      </w:r>
    </w:p>
    <w:p w14:paraId="24D96D8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2EB1752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15.4.3 修复通知</w:t>
      </w:r>
    </w:p>
    <w:p w14:paraId="4AD1607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23F449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15.4.4 未能修复</w:t>
      </w:r>
    </w:p>
    <w:p w14:paraId="18E69A8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599E5A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15.4.5 承包人出入权</w:t>
      </w:r>
    </w:p>
    <w:p w14:paraId="0C468A9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在保修期内，为了修复缺陷或损坏，承包人有权出入工程现场，</w:t>
      </w:r>
    </w:p>
    <w:p w14:paraId="0B21BAA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1F60BA3">
      <w:pPr>
        <w:keepNext w:val="0"/>
        <w:keepLines w:val="0"/>
        <w:pageBreakBefore w:val="0"/>
        <w:widowControl/>
        <w:kinsoku/>
        <w:wordWrap w:val="0"/>
        <w:overflowPunct/>
        <w:topLinePunct/>
        <w:autoSpaceDE w:val="0"/>
        <w:autoSpaceDN w:val="0"/>
        <w:bidi w:val="0"/>
        <w:adjustRightInd w:val="0"/>
        <w:snapToGrid w:val="0"/>
        <w:spacing w:before="270" w:line="380" w:lineRule="exact"/>
        <w:textAlignment w:val="baseline"/>
        <w:rPr>
          <w:rFonts w:hint="eastAsia" w:ascii="宋体" w:hAnsi="宋体" w:eastAsia="宋体" w:cs="宋体"/>
          <w:b/>
          <w:bCs/>
          <w:color w:val="auto"/>
          <w:spacing w:val="-1"/>
          <w:sz w:val="24"/>
          <w:szCs w:val="24"/>
          <w:highlight w:val="none"/>
        </w:rPr>
      </w:pPr>
      <w:bookmarkStart w:id="563" w:name="bookmark147"/>
      <w:bookmarkEnd w:id="563"/>
      <w:bookmarkStart w:id="564" w:name="bookmark146"/>
      <w:bookmarkEnd w:id="564"/>
      <w:r>
        <w:rPr>
          <w:rFonts w:hint="eastAsia" w:ascii="宋体" w:hAnsi="宋体" w:eastAsia="宋体" w:cs="宋体"/>
          <w:b/>
          <w:bCs/>
          <w:color w:val="auto"/>
          <w:spacing w:val="-1"/>
          <w:sz w:val="24"/>
          <w:szCs w:val="24"/>
          <w:highlight w:val="none"/>
        </w:rPr>
        <w:t>16. 违约</w:t>
      </w:r>
    </w:p>
    <w:p w14:paraId="28160E9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 发包人违约</w:t>
      </w:r>
    </w:p>
    <w:p w14:paraId="46207C0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16.1.1 发包人违约的情形</w:t>
      </w:r>
    </w:p>
    <w:p w14:paraId="18645EE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在合同履行过程中发生的下列情形，属于发包人违约：</w:t>
      </w:r>
    </w:p>
    <w:p w14:paraId="3901835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（1）因发包人原因未能在计划开工日期前7天内下达开工通知的；</w:t>
      </w:r>
    </w:p>
    <w:p w14:paraId="5F08E40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（2）因发包人原因未能按合同约定支付合同价款的；</w:t>
      </w:r>
    </w:p>
    <w:p w14:paraId="207BAAE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（3）发包人违反第10.1款〔变更的范围〕第（2）项约定，自行实施被取消的工作或转由他人实施的；</w:t>
      </w:r>
    </w:p>
    <w:p w14:paraId="3851251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（4）发包人提供的材料、工程设备的规格、数量或质量不符合合同约定，或因发包人原因导致交货日期延误或交货地点变更等情况的；</w:t>
      </w:r>
    </w:p>
    <w:p w14:paraId="21A5ED6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（5）因发包人违反合同约定造成暂停施工的；</w:t>
      </w:r>
    </w:p>
    <w:p w14:paraId="39E202B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（6）发包人无正当理由没有在约定期限内发出复工指示，导致承包人无法复工的；</w:t>
      </w:r>
    </w:p>
    <w:p w14:paraId="1FD6353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（7）发包人明确表示或者以其行为表明不履行合同主要义务的；</w:t>
      </w:r>
    </w:p>
    <w:p w14:paraId="7704398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（8）发包人未能按照合同约定履行其他义务的。</w:t>
      </w:r>
    </w:p>
    <w:p w14:paraId="726333A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FDDB21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16.1.2 发包人违约的责任</w:t>
      </w:r>
    </w:p>
    <w:p w14:paraId="11F7EF1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6031F30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16.1.3 因发包人违约解除合同</w:t>
      </w:r>
    </w:p>
    <w:p w14:paraId="13E1691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E7DF22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16.1.4 因发包人违约解除合同后的付款</w:t>
      </w:r>
    </w:p>
    <w:p w14:paraId="2377440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承包人按照本款约定解除合同的，发包人应在解除合同后28天内支付下列款项，并解除履约担保：</w:t>
      </w:r>
    </w:p>
    <w:p w14:paraId="138CC4D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（1）合同解除前所完成工作的价款；</w:t>
      </w:r>
    </w:p>
    <w:p w14:paraId="2D72B95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（2）承包人为工程施工订购并已付款的材料、工程设备和其他物品的价款；</w:t>
      </w:r>
    </w:p>
    <w:p w14:paraId="73F614E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（3）承包人撤离施工现场以及遣散承包人人员的款项；</w:t>
      </w:r>
    </w:p>
    <w:p w14:paraId="3D265E0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（4）按照合同约定在合同解除前应支付的违约金；</w:t>
      </w:r>
    </w:p>
    <w:p w14:paraId="1258751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（5）按照合同约定应当支付给承包人的其他款项；</w:t>
      </w:r>
    </w:p>
    <w:p w14:paraId="4608B01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（6）按照合同约定应退还的质量保证金；</w:t>
      </w:r>
    </w:p>
    <w:p w14:paraId="5F8B020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（7）因解除合同给承包人造成的损失。</w:t>
      </w:r>
    </w:p>
    <w:p w14:paraId="5EE6F2B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合同当事人未能就解除合同后的结清达成一致的，按照第20条〔争议解决〕的约定处理。</w:t>
      </w:r>
    </w:p>
    <w:p w14:paraId="7C9F49F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承包人应妥善做好已完工程和与工程有关的已购材料、工程设备的保护和移交工作，并将施工设备和人员撤出施工现场，发包人应为</w:t>
      </w:r>
      <w:bookmarkStart w:id="565" w:name="bookmark148"/>
      <w:bookmarkEnd w:id="565"/>
      <w:r>
        <w:rPr>
          <w:rFonts w:hint="eastAsia" w:ascii="宋体" w:hAnsi="宋体" w:eastAsia="宋体" w:cs="宋体"/>
          <w:color w:val="auto"/>
          <w:spacing w:val="-1"/>
          <w:sz w:val="24"/>
          <w:szCs w:val="24"/>
          <w:highlight w:val="none"/>
        </w:rPr>
        <w:t>承包人撤出提供必要条件。</w:t>
      </w:r>
    </w:p>
    <w:p w14:paraId="6D6E252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16.2承包人违约</w:t>
      </w:r>
    </w:p>
    <w:p w14:paraId="15FD97F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16.2.1承包人违约的情形</w:t>
      </w:r>
    </w:p>
    <w:p w14:paraId="12548DB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在合同履行过程中发生的下列情形，属于承包人违约：</w:t>
      </w:r>
    </w:p>
    <w:p w14:paraId="1B44497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（1）承包人违反合同约定进行转包或违法分包的；</w:t>
      </w:r>
    </w:p>
    <w:p w14:paraId="2196562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（2）承包人违反合同约定采购和使用不合格的材料和工程设备的；</w:t>
      </w:r>
    </w:p>
    <w:p w14:paraId="17C6877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（3）因承包人原因导致工程质量不符合合同要求的；</w:t>
      </w:r>
    </w:p>
    <w:p w14:paraId="4A9EFA8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（4）承包人违反第8.9款〔材料与设备专用要求〕的约定，未经批准，私自将已按照合同约定进入施工现场的材料或设备撤离施工现场的；</w:t>
      </w:r>
    </w:p>
    <w:p w14:paraId="3851882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（5）承包人未能按施工进度计划及时完成合同约定的工作，造成工期延误的；</w:t>
      </w:r>
    </w:p>
    <w:p w14:paraId="465F188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（6）承包人在缺陷责任期及保修期内，未能在合理期限对工程缺陷进行修复，或拒绝按发包人要求进行修复的；</w:t>
      </w:r>
    </w:p>
    <w:p w14:paraId="47B8D67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（7）承包人明确表示或者以其行为表明不履行合同主要义务的；</w:t>
      </w:r>
    </w:p>
    <w:p w14:paraId="39880AF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（8）承包人未能按照合同约定履行其他义务的。</w:t>
      </w:r>
    </w:p>
    <w:p w14:paraId="5300B7F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承包人发生除本项第（7）目约定以外的其他违约情况时，监理人可向承包人发出整改通知，要求其在指定的期限内改正。</w:t>
      </w:r>
    </w:p>
    <w:p w14:paraId="031F1E8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16.2.2 承包人违约的责任</w:t>
      </w:r>
    </w:p>
    <w:p w14:paraId="74C3C2D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承包人应承担因其违约行为而增加的费用和（或）延误的工期。此外，合同当事人可在专用合同条款中另行约定承包人违约责任的承</w:t>
      </w:r>
      <w:bookmarkStart w:id="566" w:name="bookmark149"/>
      <w:bookmarkEnd w:id="566"/>
      <w:r>
        <w:rPr>
          <w:rFonts w:hint="eastAsia" w:ascii="宋体" w:hAnsi="宋体" w:eastAsia="宋体" w:cs="宋体"/>
          <w:color w:val="auto"/>
          <w:spacing w:val="-1"/>
          <w:sz w:val="24"/>
          <w:szCs w:val="24"/>
          <w:highlight w:val="none"/>
        </w:rPr>
        <w:t>担方式和计算方法。</w:t>
      </w:r>
    </w:p>
    <w:p w14:paraId="3FDDF0E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16.2.3 因承包人违约解除合同</w:t>
      </w:r>
    </w:p>
    <w:p w14:paraId="7AE085B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0C940F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16.2.4 因承包人违约解除合同后的处理</w:t>
      </w:r>
    </w:p>
    <w:p w14:paraId="7871BCB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因承包人原因导致合同解除的，则合同当事人应在合同解除后28天内完成估价、付款和清算，并按以下约定执行：</w:t>
      </w:r>
    </w:p>
    <w:p w14:paraId="30D83DE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（1）合同解除后，按第4.4款〔商定或确定〕商定或确定承包人实际完成工作对应的合同价款，以及承包人已提供的材料、工程设备、施工设备和临时工程等的价值；</w:t>
      </w:r>
    </w:p>
    <w:p w14:paraId="71A9364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（2）合同解除后，承包人应支付的违约金；</w:t>
      </w:r>
    </w:p>
    <w:p w14:paraId="4775B45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（3）合同解除后，因解除合同给发包人造成的损失；</w:t>
      </w:r>
    </w:p>
    <w:p w14:paraId="57E6EBA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（4）合同解除后，承包人应按照发包人要求和监理人的指示完成现场的清理和撤离；</w:t>
      </w:r>
    </w:p>
    <w:p w14:paraId="00271D6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（5）发包人和承包人应在合同解除后进行清算，出具最终结清付款证书，结清全部款项。</w:t>
      </w:r>
    </w:p>
    <w:p w14:paraId="2092C7C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640BFB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16.2.5 采购合同权益转让</w:t>
      </w:r>
    </w:p>
    <w:p w14:paraId="270A61D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4F322E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16.3 第三人造成的违约</w:t>
      </w:r>
    </w:p>
    <w:p w14:paraId="267DEEE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在履行合同过程中，一方当事人因第三人的原因造成违约的，应当向对方当事人承担违约责任。一方当事人和第三人之间的纠纷，依照法律规定或者按照约定解决。</w:t>
      </w:r>
    </w:p>
    <w:p w14:paraId="59A0C6BF">
      <w:pPr>
        <w:keepNext w:val="0"/>
        <w:keepLines w:val="0"/>
        <w:pageBreakBefore w:val="0"/>
        <w:widowControl/>
        <w:kinsoku/>
        <w:wordWrap w:val="0"/>
        <w:overflowPunct/>
        <w:topLinePunct/>
        <w:autoSpaceDE w:val="0"/>
        <w:autoSpaceDN w:val="0"/>
        <w:bidi w:val="0"/>
        <w:adjustRightInd w:val="0"/>
        <w:snapToGrid w:val="0"/>
        <w:spacing w:before="270" w:line="380" w:lineRule="exact"/>
        <w:textAlignment w:val="baseline"/>
        <w:rPr>
          <w:rFonts w:hint="eastAsia" w:ascii="宋体" w:hAnsi="宋体" w:eastAsia="宋体" w:cs="宋体"/>
          <w:b/>
          <w:bCs/>
          <w:color w:val="auto"/>
          <w:spacing w:val="-1"/>
          <w:sz w:val="24"/>
          <w:szCs w:val="24"/>
          <w:highlight w:val="none"/>
        </w:rPr>
      </w:pPr>
      <w:bookmarkStart w:id="567" w:name="bookmark150"/>
      <w:bookmarkEnd w:id="567"/>
      <w:bookmarkStart w:id="568" w:name="bookmark151"/>
      <w:bookmarkEnd w:id="568"/>
      <w:r>
        <w:rPr>
          <w:rFonts w:hint="eastAsia" w:ascii="宋体" w:hAnsi="宋体" w:eastAsia="宋体" w:cs="宋体"/>
          <w:b/>
          <w:bCs/>
          <w:color w:val="auto"/>
          <w:spacing w:val="-1"/>
          <w:sz w:val="24"/>
          <w:szCs w:val="24"/>
          <w:highlight w:val="none"/>
        </w:rPr>
        <w:t>17. 不可抗力</w:t>
      </w:r>
    </w:p>
    <w:p w14:paraId="7C8848E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17.1 不可抗力的确认</w:t>
      </w:r>
    </w:p>
    <w:p w14:paraId="1FD20A6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727AC4B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w:t>
      </w:r>
      <w:bookmarkStart w:id="569" w:name="bookmark152"/>
      <w:bookmarkEnd w:id="569"/>
      <w:r>
        <w:rPr>
          <w:rFonts w:hint="eastAsia" w:ascii="宋体" w:hAnsi="宋体" w:eastAsia="宋体" w:cs="宋体"/>
          <w:color w:val="auto"/>
          <w:spacing w:val="-1"/>
          <w:sz w:val="24"/>
          <w:szCs w:val="24"/>
          <w:highlight w:val="none"/>
        </w:rPr>
        <w:t>约定处理。</w:t>
      </w:r>
    </w:p>
    <w:p w14:paraId="44360BE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17.2 不可抗力的通知</w:t>
      </w:r>
    </w:p>
    <w:p w14:paraId="7ADD3E3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一方当事人遇到不可抗力事件，使其履行合同义务受到阻碍时，应立即通知合同另一方当事人和监理人，书面说明不可抗力和受阻碍的详细情况，并提供必要的证明。不可抗力持续发生的，合同一方当事人应及时向合同另一方当事人和监理人提交中间报告，说明不可抗力和履行合同受阻的情况，并于不可抗力事件结束后28天内提交最终报告及有关资料。</w:t>
      </w:r>
    </w:p>
    <w:p w14:paraId="225153A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70" w:name="bookmark153"/>
      <w:bookmarkEnd w:id="570"/>
      <w:r>
        <w:rPr>
          <w:rFonts w:hint="eastAsia" w:ascii="宋体" w:hAnsi="宋体" w:eastAsia="宋体" w:cs="宋体"/>
          <w:color w:val="auto"/>
          <w:spacing w:val="-1"/>
          <w:sz w:val="24"/>
          <w:szCs w:val="24"/>
          <w:highlight w:val="none"/>
        </w:rPr>
        <w:t>17.3 不可抗力后果的承担</w:t>
      </w:r>
    </w:p>
    <w:p w14:paraId="0F46E89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17.3.1 不可抗力引起的后果及造成的损失由合同当事人按照法律规定及合同约定各自承担。不可抗力发生前已完成的工程应当按照合同约定进行计量支付。</w:t>
      </w:r>
    </w:p>
    <w:p w14:paraId="2221793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17.3.2 不可抗力导致的人员伤亡、财产损失、费用增加和（或）工期延误等后果，由合同当事人按以下原则承担：</w:t>
      </w:r>
    </w:p>
    <w:p w14:paraId="318C526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（1）永久工程、已运至施工现场的材料和工程设备的损坏，以及因工程损坏造成的第三人人员伤亡和财产损失由发包人承担；</w:t>
      </w:r>
    </w:p>
    <w:p w14:paraId="31982C8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（2）承包人施工设备的损坏由承包人承担；</w:t>
      </w:r>
    </w:p>
    <w:p w14:paraId="2136A30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（3）发包人和承包人承担各自人员伤亡和财产的损失；</w:t>
      </w:r>
    </w:p>
    <w:p w14:paraId="6B9F8BE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60C71C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（5）因不可抗力引起或将引起工期延误，发包人要求赶工的，由此增加的赶工费用由发包人承担；</w:t>
      </w:r>
    </w:p>
    <w:p w14:paraId="417C497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承包人在停工期间按照发包人要求照管、清理和修复工程的费用由发包人承担。不可抗力发生后，合同当事人均应采取措施尽量避免和减少损失的扩大，任何一方当事人没有采取有效措施导致损失扩大的，应对扩大的损失承担责任。因合同一方迟延履行合同义务，在迟延履行期间遭遇不可抗力的，</w:t>
      </w:r>
      <w:bookmarkStart w:id="571" w:name="bookmark154"/>
      <w:bookmarkEnd w:id="571"/>
      <w:r>
        <w:rPr>
          <w:rFonts w:hint="eastAsia" w:ascii="宋体" w:hAnsi="宋体" w:eastAsia="宋体" w:cs="宋体"/>
          <w:color w:val="auto"/>
          <w:spacing w:val="-1"/>
          <w:sz w:val="24"/>
          <w:szCs w:val="24"/>
          <w:highlight w:val="none"/>
        </w:rPr>
        <w:t>不免除其违约责任。</w:t>
      </w:r>
    </w:p>
    <w:p w14:paraId="26FF7E5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17.4 因不可抗力解除合同</w:t>
      </w:r>
    </w:p>
    <w:p w14:paraId="72327A3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因不可抗力导致合同无法履行连续超过84 天或累计超过 140 天的， 发包人和承包人均有权解除合同。合同解除后，由双方当事人按照第4.4 款〔商定或确定〕商定或确定发包人应支付的款项，该款项包括：</w:t>
      </w:r>
    </w:p>
    <w:p w14:paraId="20B1C2A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1 ）合同解除前承包人已完成工作的价款；</w:t>
      </w:r>
    </w:p>
    <w:p w14:paraId="08853A2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（2）承包人为工程订购的并已交付给承包人，或承包人有责任接 受交付的材料、工程设备和其他物品的价款；</w:t>
      </w:r>
    </w:p>
    <w:p w14:paraId="119AB3D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 ）发包人要求承包人退货或解除订货合同而产生的费用，或因 不能退货或解除合同而产生的损失；</w:t>
      </w:r>
    </w:p>
    <w:p w14:paraId="79493A7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（4）承包人撤离施工现场以及遣散承包人人员的费用；</w:t>
      </w:r>
    </w:p>
    <w:p w14:paraId="5DC1A73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（5）按照合同约定在合同解除前应支付给承包人的其他款项；</w:t>
      </w:r>
    </w:p>
    <w:p w14:paraId="26CA1C8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（6）扣减承包人按照合同约定应向发包人支付的款项；</w:t>
      </w:r>
    </w:p>
    <w:p w14:paraId="21AC053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（7）双方商定或确定的其他款项。</w:t>
      </w:r>
    </w:p>
    <w:p w14:paraId="150D96A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除专用合同条款另有约定外，合同解除后，发包人应在商定或确 定上述款项后 28 天内完成上述款项的支付。</w:t>
      </w:r>
    </w:p>
    <w:p w14:paraId="601D8CD2">
      <w:pPr>
        <w:keepNext w:val="0"/>
        <w:keepLines w:val="0"/>
        <w:pageBreakBefore w:val="0"/>
        <w:widowControl/>
        <w:kinsoku/>
        <w:wordWrap w:val="0"/>
        <w:overflowPunct/>
        <w:topLinePunct/>
        <w:autoSpaceDE w:val="0"/>
        <w:autoSpaceDN w:val="0"/>
        <w:bidi w:val="0"/>
        <w:adjustRightInd w:val="0"/>
        <w:snapToGrid w:val="0"/>
        <w:spacing w:before="270" w:line="380" w:lineRule="exact"/>
        <w:textAlignment w:val="baseline"/>
        <w:rPr>
          <w:rFonts w:hint="eastAsia" w:ascii="宋体" w:hAnsi="宋体" w:eastAsia="宋体" w:cs="宋体"/>
          <w:b/>
          <w:bCs/>
          <w:color w:val="auto"/>
          <w:spacing w:val="-1"/>
          <w:sz w:val="24"/>
          <w:szCs w:val="24"/>
          <w:highlight w:val="none"/>
        </w:rPr>
      </w:pPr>
      <w:bookmarkStart w:id="572" w:name="bookmark155"/>
      <w:bookmarkEnd w:id="572"/>
      <w:bookmarkStart w:id="573" w:name="bookmark156"/>
      <w:bookmarkEnd w:id="573"/>
      <w:r>
        <w:rPr>
          <w:rFonts w:hint="eastAsia" w:ascii="宋体" w:hAnsi="宋体" w:eastAsia="宋体" w:cs="宋体"/>
          <w:b/>
          <w:bCs/>
          <w:color w:val="auto"/>
          <w:spacing w:val="-1"/>
          <w:sz w:val="24"/>
          <w:szCs w:val="24"/>
          <w:highlight w:val="none"/>
        </w:rPr>
        <w:t>18.保险</w:t>
      </w:r>
    </w:p>
    <w:p w14:paraId="34130C8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18.1  工程保险</w:t>
      </w:r>
    </w:p>
    <w:p w14:paraId="272067E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除专用合同条款另有约定外，发包人应投保建筑工程一切险或安装工程一切险；发包人委托承包人投保的，因投保产生的保险费和其</w:t>
      </w:r>
      <w:bookmarkStart w:id="574" w:name="bookmark157"/>
      <w:bookmarkEnd w:id="574"/>
      <w:r>
        <w:rPr>
          <w:rFonts w:hint="eastAsia" w:ascii="宋体" w:hAnsi="宋体" w:eastAsia="宋体" w:cs="宋体"/>
          <w:color w:val="auto"/>
          <w:spacing w:val="-1"/>
          <w:sz w:val="24"/>
          <w:szCs w:val="24"/>
          <w:highlight w:val="none"/>
        </w:rPr>
        <w:t>他相关费用由发包人承担。</w:t>
      </w:r>
    </w:p>
    <w:p w14:paraId="407B44A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18.2工伤保险</w:t>
      </w:r>
    </w:p>
    <w:p w14:paraId="638390E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18.2.1发包人应依照法律规定参加工伤保险，并为在施工现场的全部员工办理工伤保险，缴纳工伤保险费，并要求监理人及由发包人为履行合同聘请的第三方依法参加工伤保险。</w:t>
      </w:r>
    </w:p>
    <w:p w14:paraId="2E75FC9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18.2.2承包人应依照法律规定参加工伤保险，并为其履行合同的全部员工办理工伤保险，缴纳工伤保险费，并要求分包人及由承包人为履行合同聘请的第三方依法参加工伤保险。</w:t>
      </w:r>
    </w:p>
    <w:p w14:paraId="3F04FA6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75" w:name="bookmark158"/>
      <w:bookmarkEnd w:id="575"/>
      <w:r>
        <w:rPr>
          <w:rFonts w:hint="eastAsia" w:ascii="宋体" w:hAnsi="宋体" w:eastAsia="宋体" w:cs="宋体"/>
          <w:color w:val="auto"/>
          <w:spacing w:val="-1"/>
          <w:sz w:val="24"/>
          <w:szCs w:val="24"/>
          <w:highlight w:val="none"/>
        </w:rPr>
        <w:t>18.3其他保险</w:t>
      </w:r>
    </w:p>
    <w:p w14:paraId="2BD9E05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17AF2B2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除专用合同条款另有约定外，承包人应为其施工设备等办理财产</w:t>
      </w:r>
      <w:bookmarkStart w:id="576" w:name="bookmark159"/>
      <w:bookmarkEnd w:id="576"/>
      <w:r>
        <w:rPr>
          <w:rFonts w:hint="eastAsia" w:ascii="宋体" w:hAnsi="宋体" w:eastAsia="宋体" w:cs="宋体"/>
          <w:color w:val="auto"/>
          <w:spacing w:val="-1"/>
          <w:sz w:val="24"/>
          <w:szCs w:val="24"/>
          <w:highlight w:val="none"/>
        </w:rPr>
        <w:t>保险。</w:t>
      </w:r>
    </w:p>
    <w:p w14:paraId="51ED98E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18.4持续保险</w:t>
      </w:r>
    </w:p>
    <w:p w14:paraId="5F6534C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合同当事人应与保险人保持联系，使保险人能够随时了解工程实施中的变动，并确保按保险合同条款要求持续保险。</w:t>
      </w:r>
    </w:p>
    <w:p w14:paraId="2784519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77" w:name="bookmark160"/>
      <w:bookmarkEnd w:id="577"/>
      <w:r>
        <w:rPr>
          <w:rFonts w:hint="eastAsia" w:ascii="宋体" w:hAnsi="宋体" w:eastAsia="宋体" w:cs="宋体"/>
          <w:color w:val="auto"/>
          <w:spacing w:val="-1"/>
          <w:sz w:val="24"/>
          <w:szCs w:val="24"/>
          <w:highlight w:val="none"/>
        </w:rPr>
        <w:t>18.5保险凭证</w:t>
      </w:r>
    </w:p>
    <w:p w14:paraId="02345A6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合同当事人应及时向另一方当事人提交其已投保的各项保险的凭</w:t>
      </w:r>
      <w:bookmarkStart w:id="578" w:name="bookmark161"/>
      <w:bookmarkEnd w:id="578"/>
      <w:r>
        <w:rPr>
          <w:rFonts w:hint="eastAsia" w:ascii="宋体" w:hAnsi="宋体" w:eastAsia="宋体" w:cs="宋体"/>
          <w:color w:val="auto"/>
          <w:spacing w:val="-1"/>
          <w:sz w:val="24"/>
          <w:szCs w:val="24"/>
          <w:highlight w:val="none"/>
        </w:rPr>
        <w:t>证和保险单复印件。</w:t>
      </w:r>
    </w:p>
    <w:p w14:paraId="2BF6A47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18.6未按约定投保的补救</w:t>
      </w:r>
    </w:p>
    <w:p w14:paraId="206977F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853272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33E4B5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79" w:name="bookmark162"/>
      <w:bookmarkEnd w:id="579"/>
      <w:r>
        <w:rPr>
          <w:rFonts w:hint="eastAsia" w:ascii="宋体" w:hAnsi="宋体" w:eastAsia="宋体" w:cs="宋体"/>
          <w:color w:val="auto"/>
          <w:spacing w:val="-1"/>
          <w:sz w:val="24"/>
          <w:szCs w:val="24"/>
          <w:highlight w:val="none"/>
        </w:rPr>
        <w:t>18.7通知义务</w:t>
      </w:r>
    </w:p>
    <w:p w14:paraId="1466215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F7B59E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保险事故发生时，投保人应按照保险合同规定的条件和期限及时向保险人报告。发包人和承包人应当在知道保险事故发生后及时通知对方。</w:t>
      </w:r>
    </w:p>
    <w:p w14:paraId="23506AD1">
      <w:pPr>
        <w:keepNext w:val="0"/>
        <w:keepLines w:val="0"/>
        <w:pageBreakBefore w:val="0"/>
        <w:widowControl/>
        <w:kinsoku/>
        <w:wordWrap w:val="0"/>
        <w:overflowPunct/>
        <w:topLinePunct/>
        <w:autoSpaceDE w:val="0"/>
        <w:autoSpaceDN w:val="0"/>
        <w:bidi w:val="0"/>
        <w:adjustRightInd w:val="0"/>
        <w:snapToGrid w:val="0"/>
        <w:spacing w:before="270" w:line="380" w:lineRule="exact"/>
        <w:textAlignment w:val="baseline"/>
        <w:rPr>
          <w:rFonts w:hint="eastAsia" w:ascii="宋体" w:hAnsi="宋体" w:eastAsia="宋体" w:cs="宋体"/>
          <w:b/>
          <w:bCs/>
          <w:color w:val="auto"/>
          <w:spacing w:val="-1"/>
          <w:sz w:val="24"/>
          <w:szCs w:val="24"/>
          <w:highlight w:val="none"/>
        </w:rPr>
      </w:pPr>
      <w:bookmarkStart w:id="580" w:name="bookmark163"/>
      <w:bookmarkEnd w:id="580"/>
      <w:bookmarkStart w:id="581" w:name="bookmark164"/>
      <w:bookmarkEnd w:id="581"/>
      <w:r>
        <w:rPr>
          <w:rFonts w:hint="eastAsia" w:ascii="宋体" w:hAnsi="宋体" w:eastAsia="宋体" w:cs="宋体"/>
          <w:b/>
          <w:bCs/>
          <w:color w:val="auto"/>
          <w:spacing w:val="-1"/>
          <w:sz w:val="24"/>
          <w:szCs w:val="24"/>
          <w:highlight w:val="none"/>
        </w:rPr>
        <w:t>19.索赔</w:t>
      </w:r>
    </w:p>
    <w:p w14:paraId="6DAFE85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19.1承包人的索赔</w:t>
      </w:r>
    </w:p>
    <w:p w14:paraId="0F8F963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根据合同约定，承包人认为有权得到追加付款和（或）延长工期的，应按以下程序向发包人提出索赔：</w:t>
      </w:r>
    </w:p>
    <w:p w14:paraId="44029AF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EBAE47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6C67EC8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（3）索赔事件具有持续影响的，承包人应按合理时间间隔继续递交延续索赔通知，说明持续影响的实际情况和记录，列出累计的追加付款金额和（或）工期延长天数；</w:t>
      </w:r>
    </w:p>
    <w:p w14:paraId="340F097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（4）在索赔事件影响结束后28天内，承包人应向监理人递交最终索赔报告，说明最终要求索赔的追加付款金额和（或）延长的工期，</w:t>
      </w:r>
      <w:bookmarkStart w:id="582" w:name="bookmark165"/>
      <w:bookmarkEnd w:id="582"/>
      <w:r>
        <w:rPr>
          <w:rFonts w:hint="eastAsia" w:ascii="宋体" w:hAnsi="宋体" w:eastAsia="宋体" w:cs="宋体"/>
          <w:color w:val="auto"/>
          <w:spacing w:val="-1"/>
          <w:sz w:val="24"/>
          <w:szCs w:val="24"/>
          <w:highlight w:val="none"/>
        </w:rPr>
        <w:t>并附必要的记录和证明材料。</w:t>
      </w:r>
    </w:p>
    <w:p w14:paraId="1F84C23B">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19.2对承包人索赔的处理</w:t>
      </w:r>
    </w:p>
    <w:p w14:paraId="3B2D982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对承包人索赔的处理如下：</w:t>
      </w:r>
    </w:p>
    <w:p w14:paraId="25AE0ED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（1）监理人应在收到索赔报告后14天内完成审查并报送发包人。监理人对索赔报告存在异议的，有权要求承包人提交全部原始记录副本；</w:t>
      </w:r>
    </w:p>
    <w:p w14:paraId="3CEA852F">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1E21D4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（3）承包人接受索赔处理结果的，索赔款项在当期进度款中进行支付；承包人不接受索赔处理结果的，按照第20条〔争议解决〕约定</w:t>
      </w:r>
      <w:bookmarkStart w:id="583" w:name="bookmark166"/>
      <w:bookmarkEnd w:id="583"/>
      <w:r>
        <w:rPr>
          <w:rFonts w:hint="eastAsia" w:ascii="宋体" w:hAnsi="宋体" w:eastAsia="宋体" w:cs="宋体"/>
          <w:color w:val="auto"/>
          <w:spacing w:val="-1"/>
          <w:sz w:val="24"/>
          <w:szCs w:val="24"/>
          <w:highlight w:val="none"/>
        </w:rPr>
        <w:t>处理。</w:t>
      </w:r>
    </w:p>
    <w:p w14:paraId="5BAF953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19.3发包人的索赔</w:t>
      </w:r>
    </w:p>
    <w:p w14:paraId="0CA66156">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根据合同约定，发包人认为有权得到赔付金额和（或）延长缺陷责任期的，监理人应向承包人发出通知并附有详细的证明。</w:t>
      </w:r>
    </w:p>
    <w:p w14:paraId="1CB49E5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发包人应在知道或应当知道索赔事件发生后28天内通过监理人向</w:t>
      </w:r>
      <w:bookmarkStart w:id="584" w:name="bookmark167"/>
      <w:bookmarkEnd w:id="584"/>
      <w:r>
        <w:rPr>
          <w:rFonts w:hint="eastAsia" w:ascii="宋体" w:hAnsi="宋体" w:eastAsia="宋体" w:cs="宋体"/>
          <w:color w:val="auto"/>
          <w:spacing w:val="-1"/>
          <w:sz w:val="24"/>
          <w:szCs w:val="24"/>
          <w:highlight w:val="none"/>
        </w:rPr>
        <w:t>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BC0680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19.4</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对发包人索赔的处理</w:t>
      </w:r>
    </w:p>
    <w:p w14:paraId="6965C62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对发包人索赔的处理如下：</w:t>
      </w:r>
    </w:p>
    <w:p w14:paraId="11305D0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（1）承包人收到发包人提交的索赔报告后，应及时审查索赔报告的内容、查验发包人证明材料；</w:t>
      </w:r>
    </w:p>
    <w:p w14:paraId="4E7C4510">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3CF62BC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（3）承包人接受索赔处理结果的，发包人可从应支付给承包人的合同价款中扣除赔付的金额或延长缺陷责任期；发包人不接受索赔处</w:t>
      </w:r>
      <w:bookmarkStart w:id="585" w:name="bookmark168"/>
      <w:bookmarkEnd w:id="585"/>
      <w:r>
        <w:rPr>
          <w:rFonts w:hint="eastAsia" w:ascii="宋体" w:hAnsi="宋体" w:eastAsia="宋体" w:cs="宋体"/>
          <w:color w:val="auto"/>
          <w:spacing w:val="-1"/>
          <w:sz w:val="24"/>
          <w:szCs w:val="24"/>
          <w:highlight w:val="none"/>
        </w:rPr>
        <w:t>理结果的，按第20条〔争议解决〕约定处理。</w:t>
      </w:r>
    </w:p>
    <w:p w14:paraId="455A223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19.5</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提出索赔的期限</w:t>
      </w:r>
    </w:p>
    <w:p w14:paraId="0ED95BE9">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（1）承包人按第14.2款〔竣工结算审核〕约定接收竣工付款证书后，应被视为已无权再提出在工程接收证书颁发前所发生的任何索赔。</w:t>
      </w:r>
    </w:p>
    <w:p w14:paraId="2AF9F3B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（2）承包人按第14.4款〔最终结清〕提交的最终结清申请单中，只限于提出工程接收证书颁发后发生的索赔。提出索赔的期限自接受最终结清证书时终止。</w:t>
      </w:r>
    </w:p>
    <w:p w14:paraId="33D753E2">
      <w:pPr>
        <w:keepNext w:val="0"/>
        <w:keepLines w:val="0"/>
        <w:pageBreakBefore w:val="0"/>
        <w:widowControl/>
        <w:kinsoku/>
        <w:wordWrap w:val="0"/>
        <w:overflowPunct/>
        <w:topLinePunct/>
        <w:autoSpaceDE w:val="0"/>
        <w:autoSpaceDN w:val="0"/>
        <w:bidi w:val="0"/>
        <w:adjustRightInd w:val="0"/>
        <w:snapToGrid w:val="0"/>
        <w:spacing w:before="270" w:line="380" w:lineRule="exact"/>
        <w:textAlignment w:val="baseline"/>
        <w:rPr>
          <w:rFonts w:hint="eastAsia" w:ascii="宋体" w:hAnsi="宋体" w:eastAsia="宋体" w:cs="宋体"/>
          <w:b/>
          <w:bCs/>
          <w:color w:val="auto"/>
          <w:spacing w:val="-1"/>
          <w:sz w:val="24"/>
          <w:szCs w:val="24"/>
          <w:highlight w:val="none"/>
        </w:rPr>
      </w:pPr>
      <w:bookmarkStart w:id="586" w:name="bookmark170"/>
      <w:bookmarkEnd w:id="586"/>
      <w:bookmarkStart w:id="587" w:name="bookmark169"/>
      <w:bookmarkEnd w:id="587"/>
      <w:r>
        <w:rPr>
          <w:rFonts w:hint="eastAsia" w:ascii="宋体" w:hAnsi="宋体" w:eastAsia="宋体" w:cs="宋体"/>
          <w:b/>
          <w:bCs/>
          <w:color w:val="auto"/>
          <w:spacing w:val="-1"/>
          <w:sz w:val="24"/>
          <w:szCs w:val="24"/>
          <w:highlight w:val="none"/>
        </w:rPr>
        <w:t>20.争议解决</w:t>
      </w:r>
    </w:p>
    <w:p w14:paraId="6540FDF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20.1和解</w:t>
      </w:r>
    </w:p>
    <w:p w14:paraId="3D27757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合同当事人可以就争议自行和解，自行和解达成协议的经双方签字并盖章后作为合同补充文件，双方均应遵照执行。</w:t>
      </w:r>
    </w:p>
    <w:p w14:paraId="69D0F0E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88" w:name="bookmark171"/>
      <w:bookmarkEnd w:id="588"/>
      <w:r>
        <w:rPr>
          <w:rFonts w:hint="eastAsia" w:ascii="宋体" w:hAnsi="宋体" w:eastAsia="宋体" w:cs="宋体"/>
          <w:color w:val="auto"/>
          <w:spacing w:val="-1"/>
          <w:sz w:val="24"/>
          <w:szCs w:val="24"/>
          <w:highlight w:val="none"/>
        </w:rPr>
        <w:t>20.2调解</w:t>
      </w:r>
    </w:p>
    <w:p w14:paraId="1CD813A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合同当事人可以就争议请求建设行政主管部门、行业协会或其他第三方进行调解，调解达成协议的，经双方签字并盖章后作为合同补</w:t>
      </w:r>
      <w:bookmarkStart w:id="589" w:name="bookmark172"/>
      <w:bookmarkEnd w:id="589"/>
      <w:r>
        <w:rPr>
          <w:rFonts w:hint="eastAsia" w:ascii="宋体" w:hAnsi="宋体" w:eastAsia="宋体" w:cs="宋体"/>
          <w:color w:val="auto"/>
          <w:spacing w:val="-1"/>
          <w:sz w:val="24"/>
          <w:szCs w:val="24"/>
          <w:highlight w:val="none"/>
        </w:rPr>
        <w:t>充文件，双方均应遵照执行。</w:t>
      </w:r>
    </w:p>
    <w:p w14:paraId="0AD3CCB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20.3争议评审</w:t>
      </w:r>
    </w:p>
    <w:p w14:paraId="1FAE403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合同当事人在专用合同条款中约定采取争议评审方式解决争议以及评审规则，并按下列约定执行：</w:t>
      </w:r>
    </w:p>
    <w:p w14:paraId="0DB4FCA1">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20.3.1争议评审小组的确定</w:t>
      </w:r>
    </w:p>
    <w:p w14:paraId="16748D14">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3F15E5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61EF8F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除专用合同条款另有约定外，评审员报酬由发包人和承包人各承担一半。</w:t>
      </w:r>
    </w:p>
    <w:p w14:paraId="455535FC">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20.3.2争议评审小组的决定</w:t>
      </w:r>
    </w:p>
    <w:p w14:paraId="7595B87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BC41F08">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20.3.3争议评审小组决定的效力</w:t>
      </w:r>
    </w:p>
    <w:p w14:paraId="7A071C4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争议评审小组作出的书面决定经合同当事人签字确认后，对双方具有约束力，双方应遵照执行。</w:t>
      </w:r>
    </w:p>
    <w:p w14:paraId="50425A52">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任何一方当事人不接受争议评审小组决定或不履行争议评审小组决定的，双方可选择采用其他争议解决方式。</w:t>
      </w:r>
    </w:p>
    <w:p w14:paraId="61BCC3D3">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90" w:name="bookmark173"/>
      <w:bookmarkEnd w:id="590"/>
      <w:r>
        <w:rPr>
          <w:rFonts w:hint="eastAsia" w:ascii="宋体" w:hAnsi="宋体" w:eastAsia="宋体" w:cs="宋体"/>
          <w:color w:val="auto"/>
          <w:spacing w:val="-1"/>
          <w:sz w:val="24"/>
          <w:szCs w:val="24"/>
          <w:highlight w:val="none"/>
        </w:rPr>
        <w:t>20.4仲裁或诉讼</w:t>
      </w:r>
    </w:p>
    <w:p w14:paraId="610D62B7">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因合同及合同有关事项产生的争议，合同当事人可以在专用合同条款中约定以下一种方式解决争议：</w:t>
      </w:r>
    </w:p>
    <w:p w14:paraId="06D3E40D">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（1）向约定的仲裁委员会申请仲裁；</w:t>
      </w:r>
    </w:p>
    <w:p w14:paraId="67A51D25">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bookmarkStart w:id="591" w:name="bookmark174"/>
      <w:bookmarkEnd w:id="591"/>
      <w:r>
        <w:rPr>
          <w:rFonts w:hint="eastAsia" w:ascii="宋体" w:hAnsi="宋体" w:eastAsia="宋体" w:cs="宋体"/>
          <w:color w:val="auto"/>
          <w:spacing w:val="-1"/>
          <w:sz w:val="24"/>
          <w:szCs w:val="24"/>
          <w:highlight w:val="none"/>
        </w:rPr>
        <w:t>（2）向有管辖权的人民法院起诉。</w:t>
      </w:r>
    </w:p>
    <w:p w14:paraId="48F9547E">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20.5争议解决条款效力</w:t>
      </w:r>
    </w:p>
    <w:p w14:paraId="150E2A1A">
      <w:pPr>
        <w:keepNext w:val="0"/>
        <w:keepLines w:val="0"/>
        <w:pageBreakBefore w:val="0"/>
        <w:widowControl/>
        <w:kinsoku/>
        <w:wordWrap w:val="0"/>
        <w:overflowPunct/>
        <w:topLinePunct/>
        <w:autoSpaceDE w:val="0"/>
        <w:autoSpaceDN w:val="0"/>
        <w:bidi w:val="0"/>
        <w:adjustRightInd w:val="0"/>
        <w:snapToGrid w:val="0"/>
        <w:spacing w:before="270" w:line="380" w:lineRule="exact"/>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合同有关争议解决的条款独立存在，合同的变更、解除、终止、</w:t>
      </w:r>
      <w:bookmarkStart w:id="592" w:name="bookmark175"/>
      <w:bookmarkEnd w:id="592"/>
      <w:r>
        <w:rPr>
          <w:rFonts w:hint="eastAsia" w:ascii="宋体" w:hAnsi="宋体" w:eastAsia="宋体" w:cs="宋体"/>
          <w:color w:val="auto"/>
          <w:spacing w:val="-1"/>
          <w:sz w:val="24"/>
          <w:szCs w:val="24"/>
          <w:highlight w:val="none"/>
        </w:rPr>
        <w:t>无效或者被撤销均不影响其效力。</w:t>
      </w:r>
    </w:p>
    <w:p w14:paraId="39D9F047">
      <w:pPr>
        <w:rPr>
          <w:color w:val="auto"/>
          <w:kern w:val="0"/>
          <w:sz w:val="21"/>
          <w:szCs w:val="21"/>
          <w:highlight w:val="none"/>
        </w:rPr>
      </w:pPr>
      <w:r>
        <w:rPr>
          <w:color w:val="auto"/>
          <w:kern w:val="0"/>
          <w:sz w:val="21"/>
          <w:szCs w:val="21"/>
          <w:highlight w:val="none"/>
        </w:rPr>
        <w:br w:type="page"/>
      </w:r>
    </w:p>
    <w:p w14:paraId="0B6DCB2D">
      <w:pPr>
        <w:pStyle w:val="4"/>
        <w:numPr>
          <w:ilvl w:val="0"/>
          <w:numId w:val="0"/>
        </w:numPr>
        <w:jc w:val="center"/>
        <w:rPr>
          <w:rFonts w:eastAsia="华文中宋"/>
          <w:color w:val="auto"/>
          <w:sz w:val="30"/>
          <w:szCs w:val="30"/>
          <w:highlight w:val="none"/>
        </w:rPr>
      </w:pPr>
      <w:r>
        <w:rPr>
          <w:rFonts w:eastAsia="华文中宋"/>
          <w:color w:val="auto"/>
          <w:sz w:val="30"/>
          <w:szCs w:val="30"/>
          <w:highlight w:val="none"/>
        </w:rPr>
        <w:t>第三</w:t>
      </w:r>
      <w:r>
        <w:rPr>
          <w:rFonts w:hint="eastAsia" w:eastAsia="华文中宋"/>
          <w:color w:val="auto"/>
          <w:sz w:val="30"/>
          <w:szCs w:val="30"/>
          <w:highlight w:val="none"/>
          <w:lang w:eastAsia="zh-CN"/>
        </w:rPr>
        <w:t>章</w:t>
      </w:r>
      <w:r>
        <w:rPr>
          <w:rFonts w:eastAsia="华文中宋"/>
          <w:color w:val="auto"/>
          <w:sz w:val="30"/>
          <w:szCs w:val="30"/>
          <w:highlight w:val="none"/>
        </w:rPr>
        <w:t xml:space="preserve"> 专用合同条款</w:t>
      </w:r>
    </w:p>
    <w:p w14:paraId="624AD812">
      <w:pPr>
        <w:pStyle w:val="5"/>
        <w:snapToGrid w:val="0"/>
        <w:spacing w:before="0" w:after="0" w:line="360" w:lineRule="auto"/>
        <w:rPr>
          <w:rFonts w:ascii="Times New Roman" w:hAnsi="Times New Roman" w:eastAsia="宋体"/>
          <w:bCs/>
          <w:color w:val="auto"/>
          <w:sz w:val="24"/>
          <w:szCs w:val="24"/>
          <w:highlight w:val="none"/>
        </w:rPr>
      </w:pPr>
      <w:bookmarkStart w:id="593" w:name="_Toc351203633"/>
      <w:r>
        <w:rPr>
          <w:rFonts w:ascii="Times New Roman" w:hAnsi="Times New Roman" w:eastAsia="宋体"/>
          <w:bCs/>
          <w:color w:val="auto"/>
          <w:sz w:val="24"/>
          <w:szCs w:val="24"/>
          <w:highlight w:val="none"/>
        </w:rPr>
        <w:t>1</w:t>
      </w:r>
      <w:bookmarkStart w:id="594" w:name="_Toc296503156"/>
      <w:bookmarkStart w:id="595" w:name="_Toc297048342"/>
      <w:bookmarkStart w:id="596" w:name="_Toc292559361"/>
      <w:bookmarkStart w:id="597" w:name="_Toc296944495"/>
      <w:bookmarkStart w:id="598" w:name="_Toc296347155"/>
      <w:bookmarkStart w:id="599" w:name="_Toc292559866"/>
      <w:bookmarkStart w:id="600" w:name="_Toc296891196"/>
      <w:bookmarkStart w:id="601" w:name="_Toc296890984"/>
      <w:bookmarkStart w:id="602" w:name="_Toc296346657"/>
      <w:bookmarkStart w:id="603" w:name="_Toc297120456"/>
      <w:r>
        <w:rPr>
          <w:rFonts w:ascii="Times New Roman" w:hAnsi="Times New Roman" w:eastAsia="宋体"/>
          <w:bCs/>
          <w:color w:val="auto"/>
          <w:sz w:val="24"/>
          <w:szCs w:val="24"/>
          <w:highlight w:val="none"/>
        </w:rPr>
        <w:t>. 一般约定</w:t>
      </w:r>
      <w:bookmarkEnd w:id="593"/>
    </w:p>
    <w:bookmarkEnd w:id="594"/>
    <w:bookmarkEnd w:id="595"/>
    <w:bookmarkEnd w:id="596"/>
    <w:bookmarkEnd w:id="597"/>
    <w:bookmarkEnd w:id="598"/>
    <w:bookmarkEnd w:id="599"/>
    <w:bookmarkEnd w:id="600"/>
    <w:bookmarkEnd w:id="601"/>
    <w:bookmarkEnd w:id="602"/>
    <w:bookmarkEnd w:id="603"/>
    <w:p w14:paraId="1F9C3247">
      <w:pPr>
        <w:snapToGrid w:val="0"/>
        <w:spacing w:line="360" w:lineRule="auto"/>
        <w:ind w:firstLine="480" w:firstLineChars="200"/>
        <w:rPr>
          <w:color w:val="auto"/>
          <w:sz w:val="24"/>
          <w:szCs w:val="24"/>
          <w:highlight w:val="none"/>
        </w:rPr>
      </w:pPr>
      <w:r>
        <w:rPr>
          <w:color w:val="auto"/>
          <w:sz w:val="24"/>
          <w:szCs w:val="24"/>
          <w:highlight w:val="none"/>
        </w:rPr>
        <w:t>1.1 词语定义</w:t>
      </w:r>
    </w:p>
    <w:p w14:paraId="4920C78F">
      <w:pPr>
        <w:snapToGrid w:val="0"/>
        <w:spacing w:line="360" w:lineRule="auto"/>
        <w:ind w:firstLine="480" w:firstLineChars="200"/>
        <w:rPr>
          <w:color w:val="auto"/>
          <w:kern w:val="0"/>
          <w:sz w:val="24"/>
          <w:szCs w:val="24"/>
          <w:highlight w:val="none"/>
        </w:rPr>
      </w:pPr>
      <w:r>
        <w:rPr>
          <w:color w:val="auto"/>
          <w:kern w:val="0"/>
          <w:sz w:val="24"/>
          <w:szCs w:val="24"/>
          <w:highlight w:val="none"/>
        </w:rPr>
        <w:t>1.1.1合同</w:t>
      </w:r>
    </w:p>
    <w:p w14:paraId="5E0952D6">
      <w:pPr>
        <w:snapToGrid w:val="0"/>
        <w:spacing w:line="360" w:lineRule="auto"/>
        <w:ind w:firstLine="480" w:firstLineChars="200"/>
        <w:rPr>
          <w:rFonts w:hint="eastAsia" w:eastAsia="宋体"/>
          <w:color w:val="auto"/>
          <w:sz w:val="24"/>
          <w:szCs w:val="24"/>
          <w:highlight w:val="none"/>
          <w:u w:val="single"/>
          <w:lang w:eastAsia="zh-CN"/>
        </w:rPr>
      </w:pPr>
      <w:r>
        <w:rPr>
          <w:color w:val="auto"/>
          <w:kern w:val="0"/>
          <w:sz w:val="24"/>
          <w:szCs w:val="24"/>
          <w:highlight w:val="none"/>
        </w:rPr>
        <w:t>1.1.1.10其他合同文件包括：</w:t>
      </w:r>
      <w:r>
        <w:rPr>
          <w:color w:val="auto"/>
          <w:kern w:val="0"/>
          <w:sz w:val="24"/>
          <w:szCs w:val="24"/>
          <w:highlight w:val="none"/>
          <w:u w:val="single"/>
        </w:rPr>
        <w:t>双方书面确认的对合同内容有实质性影响的会议纪要</w:t>
      </w:r>
      <w:r>
        <w:rPr>
          <w:rFonts w:hint="eastAsia"/>
          <w:color w:val="auto"/>
          <w:kern w:val="0"/>
          <w:sz w:val="24"/>
          <w:szCs w:val="24"/>
          <w:highlight w:val="none"/>
          <w:u w:val="single"/>
        </w:rPr>
        <w:t>、</w:t>
      </w:r>
      <w:r>
        <w:rPr>
          <w:rFonts w:hint="eastAsia"/>
          <w:color w:val="auto"/>
          <w:kern w:val="0"/>
          <w:sz w:val="24"/>
          <w:szCs w:val="24"/>
          <w:highlight w:val="none"/>
          <w:u w:val="single"/>
          <w:lang w:val="en-US" w:eastAsia="zh-CN"/>
        </w:rPr>
        <w:t>工程</w:t>
      </w:r>
      <w:r>
        <w:rPr>
          <w:color w:val="auto"/>
          <w:kern w:val="0"/>
          <w:sz w:val="24"/>
          <w:szCs w:val="24"/>
          <w:highlight w:val="none"/>
          <w:u w:val="single"/>
        </w:rPr>
        <w:t>签证</w:t>
      </w:r>
      <w:r>
        <w:rPr>
          <w:rFonts w:hint="eastAsia"/>
          <w:color w:val="auto"/>
          <w:kern w:val="0"/>
          <w:sz w:val="24"/>
          <w:szCs w:val="24"/>
          <w:highlight w:val="none"/>
          <w:u w:val="single"/>
        </w:rPr>
        <w:t>、</w:t>
      </w:r>
      <w:r>
        <w:rPr>
          <w:color w:val="auto"/>
          <w:kern w:val="0"/>
          <w:sz w:val="24"/>
          <w:szCs w:val="24"/>
          <w:highlight w:val="none"/>
          <w:u w:val="single"/>
        </w:rPr>
        <w:t>设计变更</w:t>
      </w:r>
      <w:r>
        <w:rPr>
          <w:rFonts w:hint="eastAsia"/>
          <w:color w:val="auto"/>
          <w:kern w:val="0"/>
          <w:sz w:val="24"/>
          <w:szCs w:val="24"/>
          <w:highlight w:val="none"/>
          <w:u w:val="single"/>
        </w:rPr>
        <w:t>、</w:t>
      </w:r>
      <w:r>
        <w:rPr>
          <w:color w:val="auto"/>
          <w:kern w:val="0"/>
          <w:sz w:val="24"/>
          <w:szCs w:val="24"/>
          <w:highlight w:val="none"/>
          <w:u w:val="single"/>
        </w:rPr>
        <w:t>书面协议或文件材料等</w:t>
      </w:r>
      <w:r>
        <w:rPr>
          <w:rFonts w:hint="eastAsia"/>
          <w:color w:val="auto"/>
          <w:kern w:val="0"/>
          <w:sz w:val="24"/>
          <w:szCs w:val="24"/>
          <w:highlight w:val="none"/>
          <w:u w:val="single"/>
          <w:lang w:eastAsia="zh-CN"/>
        </w:rPr>
        <w:t>。</w:t>
      </w:r>
    </w:p>
    <w:p w14:paraId="31C63F48">
      <w:pPr>
        <w:snapToGrid w:val="0"/>
        <w:spacing w:line="360" w:lineRule="auto"/>
        <w:ind w:firstLine="480" w:firstLineChars="200"/>
        <w:rPr>
          <w:color w:val="auto"/>
          <w:sz w:val="24"/>
          <w:szCs w:val="24"/>
          <w:highlight w:val="none"/>
        </w:rPr>
      </w:pPr>
      <w:r>
        <w:rPr>
          <w:color w:val="auto"/>
          <w:sz w:val="24"/>
          <w:szCs w:val="24"/>
          <w:highlight w:val="none"/>
        </w:rPr>
        <w:t>1.1.2 合同当事人及其他相关方</w:t>
      </w:r>
    </w:p>
    <w:p w14:paraId="2F201F56">
      <w:pPr>
        <w:pStyle w:val="113"/>
        <w:rPr>
          <w:color w:val="auto"/>
          <w:highlight w:val="none"/>
        </w:rPr>
      </w:pPr>
      <w:r>
        <w:rPr>
          <w:color w:val="auto"/>
          <w:highlight w:val="none"/>
          <w:lang w:val="en-US" w:eastAsia="zh-CN"/>
        </w:rPr>
        <w:t>1.1.2.4 监理人：</w:t>
      </w:r>
    </w:p>
    <w:p w14:paraId="62A0C523">
      <w:pPr>
        <w:snapToGrid w:val="0"/>
        <w:spacing w:line="360" w:lineRule="auto"/>
        <w:ind w:firstLine="480" w:firstLineChars="200"/>
        <w:rPr>
          <w:rFonts w:hint="eastAsia"/>
          <w:color w:val="auto"/>
          <w:sz w:val="24"/>
          <w:szCs w:val="24"/>
          <w:highlight w:val="none"/>
          <w:u w:val="single"/>
        </w:rPr>
      </w:pPr>
      <w:r>
        <w:rPr>
          <w:color w:val="auto"/>
          <w:sz w:val="24"/>
          <w:szCs w:val="24"/>
          <w:highlight w:val="none"/>
        </w:rPr>
        <w:t>名    称：</w:t>
      </w:r>
      <w:r>
        <w:rPr>
          <w:rFonts w:hint="eastAsia"/>
          <w:color w:val="auto"/>
          <w:sz w:val="24"/>
          <w:szCs w:val="24"/>
          <w:highlight w:val="none"/>
        </w:rPr>
        <w:t xml:space="preserve"> </w:t>
      </w:r>
      <w:r>
        <w:rPr>
          <w:rFonts w:hint="eastAsia"/>
          <w:color w:val="auto"/>
          <w:sz w:val="24"/>
          <w:szCs w:val="24"/>
          <w:highlight w:val="none"/>
          <w:u w:val="single"/>
        </w:rPr>
        <w:t xml:space="preserve">             </w:t>
      </w:r>
    </w:p>
    <w:p w14:paraId="2327325D">
      <w:pPr>
        <w:snapToGrid w:val="0"/>
        <w:spacing w:line="360" w:lineRule="auto"/>
        <w:ind w:firstLine="480" w:firstLineChars="200"/>
        <w:rPr>
          <w:color w:val="auto"/>
          <w:sz w:val="24"/>
          <w:szCs w:val="24"/>
          <w:highlight w:val="none"/>
        </w:rPr>
      </w:pPr>
      <w:r>
        <w:rPr>
          <w:color w:val="auto"/>
          <w:sz w:val="24"/>
          <w:szCs w:val="24"/>
          <w:highlight w:val="none"/>
        </w:rPr>
        <w:t>资质类别和等级：</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w:t>
      </w:r>
    </w:p>
    <w:p w14:paraId="4F37E793">
      <w:pPr>
        <w:snapToGrid w:val="0"/>
        <w:spacing w:line="360" w:lineRule="auto"/>
        <w:ind w:firstLine="480" w:firstLineChars="200"/>
        <w:rPr>
          <w:color w:val="auto"/>
          <w:sz w:val="24"/>
          <w:szCs w:val="24"/>
          <w:highlight w:val="none"/>
        </w:rPr>
      </w:pPr>
      <w:r>
        <w:rPr>
          <w:color w:val="auto"/>
          <w:sz w:val="24"/>
          <w:szCs w:val="24"/>
          <w:highlight w:val="none"/>
        </w:rPr>
        <w:t>联系电话：</w:t>
      </w:r>
      <w:r>
        <w:rPr>
          <w:rFonts w:hint="eastAsia"/>
          <w:color w:val="auto"/>
          <w:sz w:val="24"/>
          <w:szCs w:val="24"/>
          <w:highlight w:val="none"/>
          <w:u w:val="single"/>
        </w:rPr>
        <w:t xml:space="preserve">           </w:t>
      </w:r>
      <w:r>
        <w:rPr>
          <w:color w:val="auto"/>
          <w:sz w:val="24"/>
          <w:szCs w:val="24"/>
          <w:highlight w:val="none"/>
        </w:rPr>
        <w:t>；</w:t>
      </w:r>
    </w:p>
    <w:p w14:paraId="2262E633">
      <w:pPr>
        <w:snapToGrid w:val="0"/>
        <w:spacing w:line="360" w:lineRule="auto"/>
        <w:ind w:firstLine="480" w:firstLineChars="200"/>
        <w:rPr>
          <w:color w:val="auto"/>
          <w:sz w:val="24"/>
          <w:szCs w:val="24"/>
          <w:highlight w:val="none"/>
        </w:rPr>
      </w:pPr>
      <w:r>
        <w:rPr>
          <w:color w:val="auto"/>
          <w:sz w:val="24"/>
          <w:szCs w:val="24"/>
          <w:highlight w:val="none"/>
        </w:rPr>
        <w:t>电子信箱：</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w:t>
      </w:r>
    </w:p>
    <w:p w14:paraId="72F28815">
      <w:pPr>
        <w:autoSpaceDN w:val="0"/>
        <w:spacing w:line="360" w:lineRule="auto"/>
        <w:rPr>
          <w:color w:val="auto"/>
          <w:sz w:val="24"/>
          <w:szCs w:val="24"/>
          <w:highlight w:val="none"/>
          <w:u w:val="single"/>
        </w:rPr>
      </w:pPr>
      <w:r>
        <w:rPr>
          <w:rFonts w:hint="eastAsia"/>
          <w:color w:val="auto"/>
          <w:sz w:val="24"/>
          <w:szCs w:val="24"/>
          <w:highlight w:val="none"/>
        </w:rPr>
        <w:t xml:space="preserve">    </w:t>
      </w:r>
      <w:r>
        <w:rPr>
          <w:color w:val="auto"/>
          <w:sz w:val="24"/>
          <w:szCs w:val="24"/>
          <w:highlight w:val="none"/>
        </w:rPr>
        <w:t>通信地址：</w:t>
      </w:r>
      <w:r>
        <w:rPr>
          <w:rFonts w:hint="eastAsia"/>
          <w:color w:val="auto"/>
          <w:sz w:val="24"/>
          <w:szCs w:val="24"/>
          <w:highlight w:val="none"/>
          <w:u w:val="single"/>
        </w:rPr>
        <w:t xml:space="preserve">                            </w:t>
      </w:r>
    </w:p>
    <w:p w14:paraId="5A3901C8">
      <w:pPr>
        <w:snapToGrid w:val="0"/>
        <w:spacing w:line="360" w:lineRule="auto"/>
        <w:ind w:firstLine="480" w:firstLineChars="200"/>
        <w:rPr>
          <w:color w:val="auto"/>
          <w:sz w:val="24"/>
          <w:szCs w:val="24"/>
          <w:highlight w:val="none"/>
        </w:rPr>
      </w:pPr>
      <w:r>
        <w:rPr>
          <w:color w:val="auto"/>
          <w:sz w:val="24"/>
          <w:szCs w:val="24"/>
          <w:highlight w:val="none"/>
        </w:rPr>
        <w:t>1.1.2.5设计人：</w:t>
      </w:r>
    </w:p>
    <w:p w14:paraId="64430373">
      <w:pPr>
        <w:snapToGrid w:val="0"/>
        <w:spacing w:line="360" w:lineRule="auto"/>
        <w:ind w:firstLine="480" w:firstLineChars="200"/>
        <w:rPr>
          <w:rFonts w:hint="eastAsia"/>
          <w:color w:val="auto"/>
          <w:sz w:val="24"/>
          <w:szCs w:val="24"/>
          <w:highlight w:val="none"/>
          <w:u w:val="single"/>
        </w:rPr>
      </w:pPr>
      <w:r>
        <w:rPr>
          <w:color w:val="auto"/>
          <w:sz w:val="24"/>
          <w:szCs w:val="24"/>
          <w:highlight w:val="none"/>
        </w:rPr>
        <w:t>名    称：</w:t>
      </w:r>
      <w:r>
        <w:rPr>
          <w:rFonts w:hint="eastAsia"/>
          <w:color w:val="auto"/>
          <w:sz w:val="24"/>
          <w:szCs w:val="24"/>
          <w:highlight w:val="none"/>
        </w:rPr>
        <w:t xml:space="preserve"> </w:t>
      </w:r>
      <w:r>
        <w:rPr>
          <w:rFonts w:hint="eastAsia"/>
          <w:color w:val="auto"/>
          <w:sz w:val="24"/>
          <w:szCs w:val="24"/>
          <w:highlight w:val="none"/>
          <w:u w:val="single"/>
        </w:rPr>
        <w:t xml:space="preserve">             </w:t>
      </w:r>
    </w:p>
    <w:p w14:paraId="7E891041">
      <w:pPr>
        <w:snapToGrid w:val="0"/>
        <w:spacing w:line="360" w:lineRule="auto"/>
        <w:ind w:firstLine="480" w:firstLineChars="200"/>
        <w:rPr>
          <w:color w:val="auto"/>
          <w:sz w:val="24"/>
          <w:szCs w:val="24"/>
          <w:highlight w:val="none"/>
        </w:rPr>
      </w:pPr>
      <w:r>
        <w:rPr>
          <w:color w:val="auto"/>
          <w:sz w:val="24"/>
          <w:szCs w:val="24"/>
          <w:highlight w:val="none"/>
        </w:rPr>
        <w:t>资质类别和等级：</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w:t>
      </w:r>
    </w:p>
    <w:p w14:paraId="287455A7">
      <w:pPr>
        <w:snapToGrid w:val="0"/>
        <w:spacing w:line="360" w:lineRule="auto"/>
        <w:ind w:firstLine="480" w:firstLineChars="200"/>
        <w:rPr>
          <w:color w:val="auto"/>
          <w:sz w:val="24"/>
          <w:szCs w:val="24"/>
          <w:highlight w:val="none"/>
        </w:rPr>
      </w:pPr>
      <w:r>
        <w:rPr>
          <w:color w:val="auto"/>
          <w:sz w:val="24"/>
          <w:szCs w:val="24"/>
          <w:highlight w:val="none"/>
        </w:rPr>
        <w:t>联系电话：</w:t>
      </w:r>
      <w:r>
        <w:rPr>
          <w:rFonts w:hint="eastAsia"/>
          <w:color w:val="auto"/>
          <w:sz w:val="24"/>
          <w:szCs w:val="24"/>
          <w:highlight w:val="none"/>
          <w:u w:val="single"/>
        </w:rPr>
        <w:t xml:space="preserve">           </w:t>
      </w:r>
      <w:r>
        <w:rPr>
          <w:color w:val="auto"/>
          <w:sz w:val="24"/>
          <w:szCs w:val="24"/>
          <w:highlight w:val="none"/>
        </w:rPr>
        <w:t>；</w:t>
      </w:r>
    </w:p>
    <w:p w14:paraId="78826BF6">
      <w:pPr>
        <w:snapToGrid w:val="0"/>
        <w:spacing w:line="360" w:lineRule="auto"/>
        <w:ind w:firstLine="480" w:firstLineChars="200"/>
        <w:rPr>
          <w:color w:val="auto"/>
          <w:sz w:val="24"/>
          <w:szCs w:val="24"/>
          <w:highlight w:val="none"/>
        </w:rPr>
      </w:pPr>
      <w:r>
        <w:rPr>
          <w:color w:val="auto"/>
          <w:sz w:val="24"/>
          <w:szCs w:val="24"/>
          <w:highlight w:val="none"/>
        </w:rPr>
        <w:t>电子信箱：</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w:t>
      </w:r>
    </w:p>
    <w:p w14:paraId="192B5A7C">
      <w:pPr>
        <w:autoSpaceDN w:val="0"/>
        <w:spacing w:line="360" w:lineRule="auto"/>
        <w:rPr>
          <w:color w:val="auto"/>
          <w:sz w:val="24"/>
          <w:szCs w:val="24"/>
          <w:highlight w:val="none"/>
          <w:u w:val="single"/>
        </w:rPr>
      </w:pPr>
      <w:r>
        <w:rPr>
          <w:rFonts w:hint="eastAsia"/>
          <w:color w:val="auto"/>
          <w:sz w:val="24"/>
          <w:szCs w:val="24"/>
          <w:highlight w:val="none"/>
        </w:rPr>
        <w:t xml:space="preserve">    </w:t>
      </w:r>
      <w:r>
        <w:rPr>
          <w:color w:val="auto"/>
          <w:sz w:val="24"/>
          <w:szCs w:val="24"/>
          <w:highlight w:val="none"/>
        </w:rPr>
        <w:t>通信地址：</w:t>
      </w:r>
      <w:r>
        <w:rPr>
          <w:rFonts w:hint="eastAsia"/>
          <w:color w:val="auto"/>
          <w:sz w:val="24"/>
          <w:szCs w:val="24"/>
          <w:highlight w:val="none"/>
          <w:u w:val="single"/>
        </w:rPr>
        <w:t xml:space="preserve">                            </w:t>
      </w:r>
    </w:p>
    <w:p w14:paraId="34C3E514">
      <w:pPr>
        <w:snapToGrid w:val="0"/>
        <w:spacing w:line="360" w:lineRule="auto"/>
        <w:ind w:firstLine="480" w:firstLineChars="200"/>
        <w:rPr>
          <w:color w:val="auto"/>
          <w:sz w:val="24"/>
          <w:szCs w:val="24"/>
          <w:highlight w:val="none"/>
        </w:rPr>
      </w:pPr>
      <w:r>
        <w:rPr>
          <w:color w:val="auto"/>
          <w:sz w:val="24"/>
          <w:szCs w:val="24"/>
          <w:highlight w:val="none"/>
        </w:rPr>
        <w:t>1.1.3 工程和设备</w:t>
      </w:r>
    </w:p>
    <w:p w14:paraId="30671A1A">
      <w:pPr>
        <w:snapToGrid w:val="0"/>
        <w:spacing w:line="360" w:lineRule="auto"/>
        <w:rPr>
          <w:color w:val="auto"/>
          <w:sz w:val="24"/>
          <w:szCs w:val="24"/>
          <w:highlight w:val="none"/>
        </w:rPr>
      </w:pPr>
      <w:r>
        <w:rPr>
          <w:color w:val="auto"/>
          <w:sz w:val="24"/>
          <w:szCs w:val="24"/>
          <w:highlight w:val="none"/>
        </w:rPr>
        <w:t xml:space="preserve">    1.1.3.7 作为施工现场组成部分的其他场所包括：</w:t>
      </w:r>
      <w:r>
        <w:rPr>
          <w:color w:val="auto"/>
          <w:sz w:val="24"/>
          <w:szCs w:val="24"/>
          <w:highlight w:val="none"/>
          <w:u w:val="single"/>
        </w:rPr>
        <w:t>符合通用条款规定的发包方提供的施工场地</w:t>
      </w:r>
      <w:r>
        <w:rPr>
          <w:color w:val="auto"/>
          <w:sz w:val="24"/>
          <w:szCs w:val="24"/>
          <w:highlight w:val="none"/>
        </w:rPr>
        <w:t>。</w:t>
      </w:r>
    </w:p>
    <w:p w14:paraId="2BB5E70D">
      <w:pPr>
        <w:snapToGrid w:val="0"/>
        <w:spacing w:line="360" w:lineRule="auto"/>
        <w:ind w:firstLine="480" w:firstLineChars="200"/>
        <w:jc w:val="left"/>
        <w:rPr>
          <w:color w:val="auto"/>
          <w:sz w:val="24"/>
          <w:szCs w:val="24"/>
          <w:highlight w:val="none"/>
          <w:u w:val="single"/>
        </w:rPr>
      </w:pPr>
      <w:r>
        <w:rPr>
          <w:color w:val="auto"/>
          <w:kern w:val="0"/>
          <w:sz w:val="24"/>
          <w:szCs w:val="24"/>
          <w:highlight w:val="none"/>
        </w:rPr>
        <w:t>1.1.3.9 永久占地包括：</w:t>
      </w:r>
      <w:r>
        <w:rPr>
          <w:color w:val="auto"/>
          <w:sz w:val="24"/>
          <w:szCs w:val="24"/>
          <w:highlight w:val="none"/>
          <w:u w:val="single"/>
        </w:rPr>
        <w:t>依据设计图纸确定。</w:t>
      </w:r>
    </w:p>
    <w:p w14:paraId="63880014">
      <w:pPr>
        <w:snapToGrid w:val="0"/>
        <w:spacing w:line="360" w:lineRule="auto"/>
        <w:ind w:firstLine="480" w:firstLineChars="200"/>
        <w:jc w:val="left"/>
        <w:rPr>
          <w:rFonts w:hint="eastAsia"/>
          <w:color w:val="auto"/>
          <w:sz w:val="24"/>
          <w:szCs w:val="24"/>
          <w:highlight w:val="none"/>
          <w:u w:val="single"/>
          <w:lang w:val="en-US" w:eastAsia="zh-CN"/>
        </w:rPr>
      </w:pPr>
      <w:r>
        <w:rPr>
          <w:color w:val="auto"/>
          <w:kern w:val="0"/>
          <w:sz w:val="24"/>
          <w:szCs w:val="24"/>
          <w:highlight w:val="none"/>
        </w:rPr>
        <w:t>1.1.3.10 临时占地包括：</w:t>
      </w:r>
      <w:r>
        <w:rPr>
          <w:rFonts w:hint="eastAsia"/>
          <w:color w:val="auto"/>
          <w:sz w:val="24"/>
          <w:szCs w:val="24"/>
          <w:highlight w:val="none"/>
          <w:u w:val="single"/>
          <w:lang w:val="en-US" w:eastAsia="zh-CN"/>
        </w:rPr>
        <w:t>承包人在施工现场须临时占用土地时，承包人应按照石河子市的相关规定办理必要的占地审批手续，发包人应辅助承包人办理该手续。工程建设完工后，临时占用的地上建筑物和构筑物应予以拆除，并做好场地复原及绿化修复工作。所发生的一切费用均由承包人承担。</w:t>
      </w:r>
    </w:p>
    <w:p w14:paraId="3B3758C4">
      <w:pPr>
        <w:snapToGrid w:val="0"/>
        <w:spacing w:line="360" w:lineRule="auto"/>
        <w:ind w:firstLine="480" w:firstLineChars="200"/>
        <w:rPr>
          <w:color w:val="auto"/>
          <w:sz w:val="24"/>
          <w:szCs w:val="24"/>
          <w:highlight w:val="none"/>
        </w:rPr>
      </w:pPr>
      <w:r>
        <w:rPr>
          <w:color w:val="auto"/>
          <w:sz w:val="24"/>
          <w:szCs w:val="24"/>
          <w:highlight w:val="none"/>
        </w:rPr>
        <w:t xml:space="preserve">1.3法律 </w:t>
      </w:r>
    </w:p>
    <w:p w14:paraId="4D3CED3A">
      <w:pPr>
        <w:autoSpaceDE w:val="0"/>
        <w:autoSpaceDN w:val="0"/>
        <w:adjustRightInd w:val="0"/>
        <w:snapToGrid w:val="0"/>
        <w:spacing w:line="360" w:lineRule="auto"/>
        <w:jc w:val="left"/>
        <w:rPr>
          <w:rFonts w:hint="eastAsia"/>
          <w:color w:val="auto"/>
          <w:sz w:val="24"/>
          <w:szCs w:val="24"/>
          <w:highlight w:val="none"/>
          <w:u w:val="single"/>
          <w:lang w:eastAsia="zh-CN"/>
        </w:rPr>
      </w:pPr>
      <w:r>
        <w:rPr>
          <w:color w:val="auto"/>
          <w:sz w:val="24"/>
          <w:szCs w:val="24"/>
          <w:highlight w:val="none"/>
        </w:rPr>
        <w:t xml:space="preserve">    适用于合同的其他规范性文件：</w:t>
      </w:r>
      <w:r>
        <w:rPr>
          <w:rFonts w:hint="eastAsia"/>
          <w:color w:val="auto"/>
          <w:sz w:val="24"/>
          <w:szCs w:val="24"/>
          <w:highlight w:val="none"/>
          <w:u w:val="single"/>
        </w:rPr>
        <w:t>本工程</w:t>
      </w:r>
      <w:r>
        <w:rPr>
          <w:color w:val="auto"/>
          <w:sz w:val="24"/>
          <w:szCs w:val="24"/>
          <w:highlight w:val="none"/>
          <w:u w:val="single"/>
        </w:rPr>
        <w:t>适用于中华人民共和国现行的法律</w:t>
      </w:r>
      <w:r>
        <w:rPr>
          <w:rFonts w:hint="eastAsia"/>
          <w:color w:val="auto"/>
          <w:sz w:val="24"/>
          <w:szCs w:val="24"/>
          <w:highlight w:val="none"/>
          <w:u w:val="single"/>
        </w:rPr>
        <w:t>、</w:t>
      </w:r>
      <w:r>
        <w:rPr>
          <w:color w:val="auto"/>
          <w:sz w:val="24"/>
          <w:szCs w:val="24"/>
          <w:highlight w:val="none"/>
          <w:u w:val="single"/>
        </w:rPr>
        <w:t>行政法规</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在符合《中华人民共和国民法典》，《中华人民共和国建筑法》及现行国家、部门及行业规范性文件外，还应符合新疆维吾尔自治区和石河子市有关工程建设的管理办法及相关规定。</w:t>
      </w:r>
    </w:p>
    <w:p w14:paraId="3CFDF07A">
      <w:pPr>
        <w:snapToGrid w:val="0"/>
        <w:spacing w:line="360" w:lineRule="auto"/>
        <w:ind w:firstLine="480" w:firstLineChars="200"/>
        <w:rPr>
          <w:color w:val="auto"/>
          <w:sz w:val="24"/>
          <w:szCs w:val="24"/>
          <w:highlight w:val="none"/>
        </w:rPr>
      </w:pPr>
      <w:r>
        <w:rPr>
          <w:color w:val="auto"/>
          <w:sz w:val="24"/>
          <w:szCs w:val="24"/>
          <w:highlight w:val="none"/>
        </w:rPr>
        <w:t>1.4 标准和规范</w:t>
      </w:r>
    </w:p>
    <w:p w14:paraId="3AB6960F">
      <w:pPr>
        <w:snapToGrid w:val="0"/>
        <w:spacing w:line="360" w:lineRule="auto"/>
        <w:rPr>
          <w:color w:val="auto"/>
          <w:sz w:val="24"/>
          <w:szCs w:val="24"/>
          <w:highlight w:val="none"/>
        </w:rPr>
      </w:pPr>
      <w:r>
        <w:rPr>
          <w:color w:val="auto"/>
          <w:sz w:val="24"/>
          <w:szCs w:val="24"/>
          <w:highlight w:val="none"/>
        </w:rPr>
        <w:t xml:space="preserve">    1.4.1适用于工程的标准规范包括：</w:t>
      </w:r>
      <w:r>
        <w:rPr>
          <w:rFonts w:hint="eastAsia"/>
          <w:color w:val="auto"/>
          <w:sz w:val="24"/>
          <w:szCs w:val="24"/>
          <w:highlight w:val="none"/>
          <w:u w:val="single"/>
        </w:rPr>
        <w:t>中华人民共和国建设部颁发的现行的有关标准、规范及工程所在地省、市的有关规定</w:t>
      </w:r>
      <w:r>
        <w:rPr>
          <w:color w:val="auto"/>
          <w:sz w:val="24"/>
          <w:szCs w:val="24"/>
          <w:highlight w:val="none"/>
        </w:rPr>
        <w:t>。</w:t>
      </w:r>
    </w:p>
    <w:p w14:paraId="6BE31500">
      <w:pPr>
        <w:snapToGrid w:val="0"/>
        <w:spacing w:line="360" w:lineRule="auto"/>
        <w:rPr>
          <w:color w:val="auto"/>
          <w:kern w:val="0"/>
          <w:sz w:val="24"/>
          <w:szCs w:val="24"/>
          <w:highlight w:val="none"/>
        </w:rPr>
      </w:pPr>
      <w:r>
        <w:rPr>
          <w:color w:val="auto"/>
          <w:kern w:val="0"/>
          <w:sz w:val="24"/>
          <w:szCs w:val="24"/>
          <w:highlight w:val="none"/>
        </w:rPr>
        <w:t xml:space="preserve">    1.4.2 发包人提供国外标准、规范的名称：</w:t>
      </w:r>
      <w:r>
        <w:rPr>
          <w:color w:val="auto"/>
          <w:kern w:val="0"/>
          <w:sz w:val="24"/>
          <w:szCs w:val="24"/>
          <w:highlight w:val="none"/>
          <w:u w:val="single"/>
        </w:rPr>
        <w:t xml:space="preserve"> </w:t>
      </w:r>
      <w:r>
        <w:rPr>
          <w:rFonts w:hint="eastAsia"/>
          <w:color w:val="auto"/>
          <w:kern w:val="0"/>
          <w:sz w:val="24"/>
          <w:szCs w:val="24"/>
          <w:highlight w:val="none"/>
          <w:u w:val="single"/>
        </w:rPr>
        <w:t>无</w:t>
      </w:r>
      <w:r>
        <w:rPr>
          <w:color w:val="auto"/>
          <w:kern w:val="0"/>
          <w:sz w:val="24"/>
          <w:szCs w:val="24"/>
          <w:highlight w:val="none"/>
          <w:u w:val="single"/>
        </w:rPr>
        <w:t xml:space="preserve"> </w:t>
      </w:r>
      <w:r>
        <w:rPr>
          <w:color w:val="auto"/>
          <w:kern w:val="0"/>
          <w:sz w:val="24"/>
          <w:szCs w:val="24"/>
          <w:highlight w:val="none"/>
        </w:rPr>
        <w:t>；</w:t>
      </w:r>
    </w:p>
    <w:p w14:paraId="68B570AE">
      <w:pPr>
        <w:snapToGrid w:val="0"/>
        <w:spacing w:line="360" w:lineRule="auto"/>
        <w:ind w:firstLine="480" w:firstLineChars="200"/>
        <w:rPr>
          <w:color w:val="auto"/>
          <w:kern w:val="0"/>
          <w:sz w:val="24"/>
          <w:szCs w:val="24"/>
          <w:highlight w:val="none"/>
        </w:rPr>
      </w:pPr>
      <w:r>
        <w:rPr>
          <w:color w:val="auto"/>
          <w:kern w:val="0"/>
          <w:sz w:val="24"/>
          <w:szCs w:val="24"/>
          <w:highlight w:val="none"/>
        </w:rPr>
        <w:t>发包人提供国外标准、规范的份数：</w:t>
      </w:r>
      <w:r>
        <w:rPr>
          <w:color w:val="auto"/>
          <w:kern w:val="0"/>
          <w:sz w:val="24"/>
          <w:szCs w:val="24"/>
          <w:highlight w:val="none"/>
          <w:u w:val="single"/>
        </w:rPr>
        <w:t xml:space="preserve"> </w:t>
      </w:r>
      <w:r>
        <w:rPr>
          <w:rFonts w:hint="eastAsia"/>
          <w:color w:val="auto"/>
          <w:kern w:val="0"/>
          <w:sz w:val="24"/>
          <w:szCs w:val="24"/>
          <w:highlight w:val="none"/>
          <w:u w:val="single"/>
        </w:rPr>
        <w:t>无</w:t>
      </w:r>
      <w:r>
        <w:rPr>
          <w:color w:val="auto"/>
          <w:kern w:val="0"/>
          <w:sz w:val="24"/>
          <w:szCs w:val="24"/>
          <w:highlight w:val="none"/>
        </w:rPr>
        <w:t>；</w:t>
      </w:r>
    </w:p>
    <w:p w14:paraId="7911C22B">
      <w:pPr>
        <w:snapToGrid w:val="0"/>
        <w:spacing w:line="360" w:lineRule="auto"/>
        <w:ind w:firstLine="480" w:firstLineChars="200"/>
        <w:rPr>
          <w:color w:val="auto"/>
          <w:sz w:val="24"/>
          <w:szCs w:val="24"/>
          <w:highlight w:val="none"/>
        </w:rPr>
      </w:pPr>
      <w:r>
        <w:rPr>
          <w:color w:val="auto"/>
          <w:kern w:val="0"/>
          <w:sz w:val="24"/>
          <w:szCs w:val="24"/>
          <w:highlight w:val="none"/>
        </w:rPr>
        <w:t>发包人提供国外标准、规范的名称：</w:t>
      </w:r>
      <w:r>
        <w:rPr>
          <w:color w:val="auto"/>
          <w:kern w:val="0"/>
          <w:sz w:val="24"/>
          <w:szCs w:val="24"/>
          <w:highlight w:val="none"/>
          <w:u w:val="single"/>
        </w:rPr>
        <w:t xml:space="preserve"> </w:t>
      </w:r>
      <w:r>
        <w:rPr>
          <w:rFonts w:hint="eastAsia"/>
          <w:color w:val="auto"/>
          <w:kern w:val="0"/>
          <w:sz w:val="24"/>
          <w:szCs w:val="24"/>
          <w:highlight w:val="none"/>
          <w:u w:val="single"/>
        </w:rPr>
        <w:t>无</w:t>
      </w:r>
      <w:r>
        <w:rPr>
          <w:color w:val="auto"/>
          <w:kern w:val="0"/>
          <w:sz w:val="24"/>
          <w:szCs w:val="24"/>
          <w:highlight w:val="none"/>
          <w:u w:val="single"/>
        </w:rPr>
        <w:t xml:space="preserve">  </w:t>
      </w:r>
      <w:r>
        <w:rPr>
          <w:color w:val="auto"/>
          <w:kern w:val="0"/>
          <w:sz w:val="24"/>
          <w:szCs w:val="24"/>
          <w:highlight w:val="none"/>
        </w:rPr>
        <w:t>。</w:t>
      </w:r>
    </w:p>
    <w:p w14:paraId="4548881C">
      <w:pPr>
        <w:snapToGrid w:val="0"/>
        <w:spacing w:line="360" w:lineRule="auto"/>
        <w:ind w:firstLine="480" w:firstLineChars="200"/>
        <w:rPr>
          <w:color w:val="auto"/>
          <w:kern w:val="0"/>
          <w:sz w:val="24"/>
          <w:szCs w:val="24"/>
          <w:highlight w:val="none"/>
          <w:u w:val="single"/>
        </w:rPr>
      </w:pPr>
      <w:r>
        <w:rPr>
          <w:color w:val="auto"/>
          <w:sz w:val="24"/>
          <w:szCs w:val="24"/>
          <w:highlight w:val="none"/>
        </w:rPr>
        <w:t>1.4.3发包人对工程的技术标准和功能要求的特殊要求：</w:t>
      </w:r>
      <w:r>
        <w:rPr>
          <w:color w:val="auto"/>
          <w:kern w:val="0"/>
          <w:sz w:val="24"/>
          <w:szCs w:val="24"/>
          <w:highlight w:val="none"/>
          <w:u w:val="single"/>
          <w:lang w:val="en-US" w:eastAsia="zh-CN"/>
        </w:rPr>
        <w:t>执行现行国家、行业、地方标准</w:t>
      </w:r>
      <w:r>
        <w:rPr>
          <w:color w:val="auto"/>
          <w:kern w:val="0"/>
          <w:sz w:val="24"/>
          <w:szCs w:val="24"/>
          <w:highlight w:val="none"/>
        </w:rPr>
        <w:t>。</w:t>
      </w:r>
    </w:p>
    <w:p w14:paraId="6124A418">
      <w:pPr>
        <w:snapToGrid w:val="0"/>
        <w:spacing w:line="360" w:lineRule="auto"/>
        <w:ind w:firstLine="480" w:firstLineChars="200"/>
        <w:rPr>
          <w:color w:val="auto"/>
          <w:sz w:val="24"/>
          <w:szCs w:val="24"/>
          <w:highlight w:val="none"/>
        </w:rPr>
      </w:pPr>
      <w:r>
        <w:rPr>
          <w:color w:val="auto"/>
          <w:sz w:val="24"/>
          <w:szCs w:val="24"/>
          <w:highlight w:val="none"/>
        </w:rPr>
        <w:t>1.5 合同文件的优先顺序</w:t>
      </w:r>
    </w:p>
    <w:p w14:paraId="40E803D6">
      <w:pPr>
        <w:snapToGrid w:val="0"/>
        <w:spacing w:line="360" w:lineRule="auto"/>
        <w:ind w:firstLine="480" w:firstLineChars="200"/>
        <w:rPr>
          <w:color w:val="auto"/>
          <w:sz w:val="24"/>
          <w:szCs w:val="24"/>
          <w:highlight w:val="none"/>
        </w:rPr>
      </w:pPr>
      <w:r>
        <w:rPr>
          <w:color w:val="auto"/>
          <w:sz w:val="24"/>
          <w:szCs w:val="24"/>
          <w:highlight w:val="none"/>
        </w:rPr>
        <w:t>合同文件组成及优先顺序为：</w:t>
      </w:r>
      <w:r>
        <w:rPr>
          <w:color w:val="auto"/>
          <w:sz w:val="24"/>
          <w:szCs w:val="24"/>
          <w:highlight w:val="none"/>
          <w:u w:val="single"/>
        </w:rPr>
        <w:t>按通用条款本条执行</w:t>
      </w:r>
      <w:r>
        <w:rPr>
          <w:color w:val="auto"/>
          <w:sz w:val="24"/>
          <w:szCs w:val="24"/>
          <w:highlight w:val="none"/>
        </w:rPr>
        <w:t>。</w:t>
      </w:r>
    </w:p>
    <w:p w14:paraId="35239A36">
      <w:pPr>
        <w:snapToGrid w:val="0"/>
        <w:spacing w:line="360" w:lineRule="auto"/>
        <w:ind w:firstLine="480" w:firstLineChars="200"/>
        <w:rPr>
          <w:color w:val="auto"/>
          <w:sz w:val="24"/>
          <w:szCs w:val="24"/>
          <w:highlight w:val="none"/>
        </w:rPr>
      </w:pPr>
      <w:r>
        <w:rPr>
          <w:color w:val="auto"/>
          <w:sz w:val="24"/>
          <w:szCs w:val="24"/>
          <w:highlight w:val="none"/>
        </w:rPr>
        <w:t>1.6 图纸和承包人文件</w:t>
      </w:r>
      <w:r>
        <w:rPr>
          <w:color w:val="auto"/>
          <w:sz w:val="24"/>
          <w:szCs w:val="24"/>
          <w:highlight w:val="none"/>
        </w:rPr>
        <w:tab/>
      </w:r>
    </w:p>
    <w:p w14:paraId="331DD384">
      <w:pPr>
        <w:snapToGrid w:val="0"/>
        <w:spacing w:line="360" w:lineRule="auto"/>
        <w:ind w:firstLine="480" w:firstLineChars="200"/>
        <w:rPr>
          <w:color w:val="auto"/>
          <w:sz w:val="24"/>
          <w:szCs w:val="24"/>
          <w:highlight w:val="none"/>
        </w:rPr>
      </w:pPr>
      <w:r>
        <w:rPr>
          <w:color w:val="auto"/>
          <w:sz w:val="24"/>
          <w:szCs w:val="24"/>
          <w:highlight w:val="none"/>
        </w:rPr>
        <w:t>1.6.1 图纸的提供</w:t>
      </w:r>
    </w:p>
    <w:p w14:paraId="4EC92CF3">
      <w:pPr>
        <w:snapToGrid w:val="0"/>
        <w:spacing w:line="360" w:lineRule="auto"/>
        <w:ind w:firstLine="480" w:firstLineChars="200"/>
        <w:rPr>
          <w:color w:val="auto"/>
          <w:sz w:val="24"/>
          <w:szCs w:val="24"/>
          <w:highlight w:val="none"/>
        </w:rPr>
      </w:pPr>
      <w:r>
        <w:rPr>
          <w:color w:val="auto"/>
          <w:sz w:val="24"/>
          <w:szCs w:val="24"/>
          <w:highlight w:val="none"/>
        </w:rPr>
        <w:t>发包人向承包人提供图纸的期限：</w:t>
      </w:r>
      <w:r>
        <w:rPr>
          <w:color w:val="auto"/>
          <w:sz w:val="24"/>
          <w:szCs w:val="24"/>
          <w:highlight w:val="none"/>
          <w:u w:val="single"/>
        </w:rPr>
        <w:t>开工前7日内</w:t>
      </w:r>
      <w:r>
        <w:rPr>
          <w:color w:val="auto"/>
          <w:sz w:val="24"/>
          <w:szCs w:val="24"/>
          <w:highlight w:val="none"/>
        </w:rPr>
        <w:t>；</w:t>
      </w:r>
    </w:p>
    <w:p w14:paraId="506E9A7A">
      <w:pPr>
        <w:snapToGrid w:val="0"/>
        <w:spacing w:line="360" w:lineRule="auto"/>
        <w:ind w:firstLine="480" w:firstLineChars="200"/>
        <w:rPr>
          <w:color w:val="auto"/>
          <w:sz w:val="24"/>
          <w:szCs w:val="24"/>
          <w:highlight w:val="none"/>
        </w:rPr>
      </w:pPr>
      <w:r>
        <w:rPr>
          <w:color w:val="auto"/>
          <w:sz w:val="24"/>
          <w:szCs w:val="24"/>
          <w:highlight w:val="none"/>
        </w:rPr>
        <w:t>发包人向承包人提供图纸的数量：</w:t>
      </w:r>
      <w:r>
        <w:rPr>
          <w:color w:val="auto"/>
          <w:sz w:val="24"/>
          <w:szCs w:val="24"/>
          <w:highlight w:val="none"/>
          <w:u w:val="single"/>
          <w:lang w:val="en-US" w:eastAsia="zh-CN"/>
        </w:rPr>
        <w:t>施工图纸两套（平面效果图1套）</w:t>
      </w:r>
      <w:r>
        <w:rPr>
          <w:color w:val="auto"/>
          <w:sz w:val="24"/>
          <w:szCs w:val="24"/>
          <w:highlight w:val="none"/>
        </w:rPr>
        <w:t>；</w:t>
      </w:r>
    </w:p>
    <w:p w14:paraId="48054351">
      <w:pPr>
        <w:snapToGrid w:val="0"/>
        <w:spacing w:line="360" w:lineRule="auto"/>
        <w:ind w:firstLine="480" w:firstLineChars="200"/>
        <w:rPr>
          <w:color w:val="auto"/>
          <w:sz w:val="24"/>
          <w:szCs w:val="24"/>
          <w:highlight w:val="none"/>
        </w:rPr>
      </w:pPr>
      <w:r>
        <w:rPr>
          <w:color w:val="auto"/>
          <w:sz w:val="24"/>
          <w:szCs w:val="24"/>
          <w:highlight w:val="none"/>
        </w:rPr>
        <w:t>发包人向承包人提供图纸的内容：</w:t>
      </w:r>
      <w:r>
        <w:rPr>
          <w:color w:val="auto"/>
          <w:sz w:val="24"/>
          <w:szCs w:val="24"/>
          <w:highlight w:val="none"/>
          <w:u w:val="single"/>
        </w:rPr>
        <w:t>本合同发包内容中的全部图纸</w:t>
      </w:r>
      <w:r>
        <w:rPr>
          <w:color w:val="auto"/>
          <w:sz w:val="24"/>
          <w:szCs w:val="24"/>
          <w:highlight w:val="none"/>
        </w:rPr>
        <w:t>。</w:t>
      </w:r>
    </w:p>
    <w:p w14:paraId="77D3CDCB">
      <w:pPr>
        <w:snapToGrid w:val="0"/>
        <w:spacing w:line="360" w:lineRule="auto"/>
        <w:ind w:firstLine="480" w:firstLineChars="200"/>
        <w:rPr>
          <w:color w:val="auto"/>
          <w:sz w:val="24"/>
          <w:szCs w:val="24"/>
          <w:highlight w:val="none"/>
        </w:rPr>
      </w:pPr>
      <w:r>
        <w:rPr>
          <w:color w:val="auto"/>
          <w:sz w:val="24"/>
          <w:szCs w:val="24"/>
          <w:highlight w:val="none"/>
        </w:rPr>
        <w:t>1.6.4 承包人文件</w:t>
      </w:r>
    </w:p>
    <w:p w14:paraId="10E9E884">
      <w:pPr>
        <w:snapToGrid w:val="0"/>
        <w:spacing w:line="360" w:lineRule="auto"/>
        <w:ind w:firstLine="480"/>
        <w:jc w:val="left"/>
        <w:rPr>
          <w:color w:val="auto"/>
          <w:sz w:val="24"/>
          <w:szCs w:val="24"/>
          <w:highlight w:val="none"/>
          <w:u w:val="single"/>
        </w:rPr>
      </w:pPr>
      <w:r>
        <w:rPr>
          <w:color w:val="auto"/>
          <w:sz w:val="24"/>
          <w:szCs w:val="24"/>
          <w:highlight w:val="none"/>
        </w:rPr>
        <w:t>需要由承包人提供的文件，包括：</w:t>
      </w:r>
      <w:r>
        <w:rPr>
          <w:color w:val="auto"/>
          <w:sz w:val="24"/>
          <w:szCs w:val="24"/>
          <w:highlight w:val="none"/>
          <w:u w:val="single"/>
          <w:lang w:val="en-US" w:eastAsia="zh-CN"/>
        </w:rPr>
        <w:t>按发包人的要求提供，包括但不限于施工组织设计方案、施工进度计划、安全生产保证措施、文明施工保证措施、治安保卫措施、项目资金使用计划、应急处理预案，双方另行确定的进度报表及有关现场的经济签证、会议纪要、设计变更、图纸答疑、隐蔽影像资料、施工日志、竣工图纸、</w:t>
      </w:r>
      <w:r>
        <w:rPr>
          <w:rFonts w:hint="eastAsia"/>
          <w:color w:val="auto"/>
          <w:sz w:val="24"/>
          <w:szCs w:val="24"/>
          <w:highlight w:val="none"/>
          <w:u w:val="single"/>
        </w:rPr>
        <w:t>工程竣工资料、结算审计资料及竣工图 （含电子版一份）</w:t>
      </w:r>
      <w:r>
        <w:rPr>
          <w:rFonts w:hint="eastAsia"/>
          <w:color w:val="auto"/>
          <w:sz w:val="24"/>
          <w:szCs w:val="24"/>
          <w:highlight w:val="none"/>
          <w:u w:val="single"/>
          <w:lang w:eastAsia="zh-CN"/>
        </w:rPr>
        <w:t>、</w:t>
      </w:r>
      <w:r>
        <w:rPr>
          <w:color w:val="auto"/>
          <w:sz w:val="24"/>
          <w:szCs w:val="24"/>
          <w:highlight w:val="none"/>
          <w:u w:val="single"/>
          <w:lang w:val="en-US" w:eastAsia="zh-CN"/>
        </w:rPr>
        <w:t>全套施工资料</w:t>
      </w:r>
      <w:r>
        <w:rPr>
          <w:color w:val="auto"/>
          <w:sz w:val="24"/>
          <w:szCs w:val="24"/>
          <w:highlight w:val="none"/>
          <w:u w:val="single"/>
        </w:rPr>
        <w:t>等</w:t>
      </w:r>
      <w:r>
        <w:rPr>
          <w:color w:val="auto"/>
          <w:sz w:val="24"/>
          <w:szCs w:val="24"/>
          <w:highlight w:val="none"/>
          <w:u w:val="single"/>
          <w:lang w:val="en-US" w:eastAsia="zh-CN"/>
        </w:rPr>
        <w:t>等资料</w:t>
      </w:r>
      <w:r>
        <w:rPr>
          <w:rFonts w:hint="eastAsia"/>
          <w:color w:val="auto"/>
          <w:sz w:val="24"/>
          <w:szCs w:val="24"/>
          <w:highlight w:val="none"/>
          <w:u w:val="single"/>
          <w:lang w:val="en-US" w:eastAsia="zh-CN"/>
        </w:rPr>
        <w:t>；</w:t>
      </w:r>
    </w:p>
    <w:p w14:paraId="55B8DD8D">
      <w:pPr>
        <w:snapToGrid w:val="0"/>
        <w:spacing w:line="360" w:lineRule="auto"/>
        <w:ind w:firstLine="480" w:firstLineChars="200"/>
        <w:rPr>
          <w:color w:val="auto"/>
          <w:sz w:val="24"/>
          <w:szCs w:val="24"/>
          <w:highlight w:val="none"/>
        </w:rPr>
      </w:pPr>
      <w:r>
        <w:rPr>
          <w:color w:val="auto"/>
          <w:sz w:val="24"/>
          <w:szCs w:val="24"/>
          <w:highlight w:val="none"/>
        </w:rPr>
        <w:t>承包人提供的文件的期限为：</w:t>
      </w:r>
      <w:r>
        <w:rPr>
          <w:color w:val="auto"/>
          <w:sz w:val="24"/>
          <w:szCs w:val="24"/>
          <w:highlight w:val="none"/>
          <w:u w:val="single"/>
        </w:rPr>
        <w:t>开工前</w:t>
      </w:r>
      <w:r>
        <w:rPr>
          <w:color w:val="auto"/>
          <w:sz w:val="24"/>
          <w:szCs w:val="24"/>
          <w:highlight w:val="none"/>
          <w:u w:val="single"/>
          <w:lang w:val="en-US" w:eastAsia="zh-CN"/>
        </w:rPr>
        <w:t>3 个日历日</w:t>
      </w:r>
      <w:r>
        <w:rPr>
          <w:color w:val="auto"/>
          <w:sz w:val="24"/>
          <w:szCs w:val="24"/>
          <w:highlight w:val="none"/>
          <w:u w:val="single"/>
        </w:rPr>
        <w:t>应提供完善的施工组织设计和安全专项方案</w:t>
      </w:r>
      <w:r>
        <w:rPr>
          <w:rFonts w:hint="eastAsia"/>
          <w:color w:val="auto"/>
          <w:sz w:val="24"/>
          <w:szCs w:val="24"/>
          <w:highlight w:val="none"/>
          <w:u w:val="single"/>
        </w:rPr>
        <w:t>；</w:t>
      </w:r>
      <w:r>
        <w:rPr>
          <w:color w:val="auto"/>
          <w:sz w:val="24"/>
          <w:szCs w:val="24"/>
          <w:highlight w:val="none"/>
          <w:u w:val="single"/>
        </w:rPr>
        <w:t>每月25日前提供下月完成工程量报表、月进度报表</w:t>
      </w:r>
      <w:r>
        <w:rPr>
          <w:rFonts w:hint="eastAsia"/>
          <w:color w:val="auto"/>
          <w:sz w:val="24"/>
          <w:szCs w:val="24"/>
          <w:highlight w:val="none"/>
          <w:u w:val="single"/>
        </w:rPr>
        <w:t>；</w:t>
      </w:r>
      <w:r>
        <w:rPr>
          <w:color w:val="auto"/>
          <w:sz w:val="24"/>
          <w:szCs w:val="24"/>
          <w:highlight w:val="none"/>
          <w:u w:val="single"/>
        </w:rPr>
        <w:t>工程交工验收通过后一个月内提交竣工资料等</w:t>
      </w:r>
      <w:r>
        <w:rPr>
          <w:color w:val="auto"/>
          <w:sz w:val="24"/>
          <w:szCs w:val="24"/>
          <w:highlight w:val="none"/>
        </w:rPr>
        <w:t>；</w:t>
      </w:r>
    </w:p>
    <w:p w14:paraId="4D1C7310">
      <w:pPr>
        <w:snapToGrid w:val="0"/>
        <w:spacing w:line="360" w:lineRule="auto"/>
        <w:ind w:firstLine="480" w:firstLineChars="200"/>
        <w:rPr>
          <w:color w:val="auto"/>
          <w:sz w:val="24"/>
          <w:szCs w:val="24"/>
          <w:highlight w:val="none"/>
        </w:rPr>
      </w:pPr>
      <w:r>
        <w:rPr>
          <w:color w:val="auto"/>
          <w:sz w:val="24"/>
          <w:szCs w:val="24"/>
          <w:highlight w:val="none"/>
        </w:rPr>
        <w:t>承包人提供的文件的数量为：</w:t>
      </w:r>
      <w:r>
        <w:rPr>
          <w:color w:val="auto"/>
          <w:sz w:val="24"/>
          <w:szCs w:val="24"/>
          <w:highlight w:val="none"/>
          <w:u w:val="single"/>
        </w:rPr>
        <w:t>视发包人需求 </w:t>
      </w:r>
      <w:r>
        <w:rPr>
          <w:color w:val="auto"/>
          <w:sz w:val="24"/>
          <w:szCs w:val="24"/>
          <w:highlight w:val="none"/>
        </w:rPr>
        <w:t>；</w:t>
      </w:r>
    </w:p>
    <w:p w14:paraId="1147B930">
      <w:pPr>
        <w:snapToGrid w:val="0"/>
        <w:spacing w:line="360" w:lineRule="auto"/>
        <w:ind w:firstLine="480" w:firstLineChars="200"/>
        <w:rPr>
          <w:color w:val="auto"/>
          <w:sz w:val="24"/>
          <w:szCs w:val="24"/>
          <w:highlight w:val="none"/>
        </w:rPr>
      </w:pPr>
      <w:r>
        <w:rPr>
          <w:color w:val="auto"/>
          <w:sz w:val="24"/>
          <w:szCs w:val="24"/>
          <w:highlight w:val="none"/>
        </w:rPr>
        <w:t>承包人提供的文件的形式为：</w:t>
      </w:r>
      <w:r>
        <w:rPr>
          <w:color w:val="auto"/>
          <w:sz w:val="24"/>
          <w:szCs w:val="24"/>
          <w:highlight w:val="none"/>
          <w:u w:val="single"/>
        </w:rPr>
        <w:t>纸质原件版及电子版  </w:t>
      </w:r>
      <w:r>
        <w:rPr>
          <w:color w:val="auto"/>
          <w:sz w:val="24"/>
          <w:szCs w:val="24"/>
          <w:highlight w:val="none"/>
        </w:rPr>
        <w:t>；</w:t>
      </w:r>
    </w:p>
    <w:p w14:paraId="7D2BD6BB">
      <w:pPr>
        <w:snapToGrid w:val="0"/>
        <w:spacing w:line="360" w:lineRule="auto"/>
        <w:ind w:firstLine="480" w:firstLineChars="200"/>
        <w:rPr>
          <w:color w:val="auto"/>
          <w:sz w:val="24"/>
          <w:szCs w:val="24"/>
          <w:highlight w:val="none"/>
        </w:rPr>
      </w:pPr>
      <w:r>
        <w:rPr>
          <w:color w:val="auto"/>
          <w:sz w:val="24"/>
          <w:szCs w:val="24"/>
          <w:highlight w:val="none"/>
        </w:rPr>
        <w:t>发包人审批承包人文件的期限：</w:t>
      </w:r>
      <w:r>
        <w:rPr>
          <w:color w:val="auto"/>
          <w:sz w:val="24"/>
          <w:szCs w:val="24"/>
          <w:highlight w:val="none"/>
          <w:u w:val="single"/>
        </w:rPr>
        <w:t>收到文件后7日内</w:t>
      </w:r>
      <w:r>
        <w:rPr>
          <w:color w:val="auto"/>
          <w:sz w:val="24"/>
          <w:szCs w:val="24"/>
          <w:highlight w:val="none"/>
        </w:rPr>
        <w:t>；</w:t>
      </w:r>
    </w:p>
    <w:p w14:paraId="09CA9B29">
      <w:pPr>
        <w:snapToGrid w:val="0"/>
        <w:spacing w:line="360" w:lineRule="auto"/>
        <w:ind w:firstLine="480" w:firstLineChars="200"/>
        <w:rPr>
          <w:color w:val="auto"/>
          <w:sz w:val="24"/>
          <w:szCs w:val="24"/>
          <w:highlight w:val="none"/>
        </w:rPr>
      </w:pPr>
      <w:r>
        <w:rPr>
          <w:color w:val="auto"/>
          <w:sz w:val="24"/>
          <w:szCs w:val="24"/>
          <w:highlight w:val="none"/>
        </w:rPr>
        <w:t>1.6.5 现场图纸准备</w:t>
      </w:r>
    </w:p>
    <w:p w14:paraId="0F5BB969">
      <w:pPr>
        <w:snapToGrid w:val="0"/>
        <w:spacing w:line="360" w:lineRule="auto"/>
        <w:ind w:firstLine="480" w:firstLineChars="200"/>
        <w:rPr>
          <w:color w:val="auto"/>
          <w:sz w:val="24"/>
          <w:szCs w:val="24"/>
          <w:highlight w:val="none"/>
        </w:rPr>
      </w:pPr>
      <w:r>
        <w:rPr>
          <w:color w:val="auto"/>
          <w:sz w:val="24"/>
          <w:szCs w:val="24"/>
          <w:highlight w:val="none"/>
        </w:rPr>
        <w:t>关于现场图纸准备的约定：</w:t>
      </w:r>
      <w:r>
        <w:rPr>
          <w:color w:val="auto"/>
          <w:sz w:val="24"/>
          <w:szCs w:val="24"/>
          <w:highlight w:val="none"/>
          <w:u w:val="single"/>
        </w:rPr>
        <w:t>按通用条款本条执行</w:t>
      </w:r>
      <w:r>
        <w:rPr>
          <w:color w:val="auto"/>
          <w:sz w:val="24"/>
          <w:szCs w:val="24"/>
          <w:highlight w:val="none"/>
        </w:rPr>
        <w:t>。</w:t>
      </w:r>
    </w:p>
    <w:p w14:paraId="75B9D11E">
      <w:pPr>
        <w:snapToGrid w:val="0"/>
        <w:spacing w:line="360" w:lineRule="auto"/>
        <w:ind w:firstLine="480" w:firstLineChars="200"/>
        <w:rPr>
          <w:color w:val="auto"/>
          <w:sz w:val="24"/>
          <w:szCs w:val="24"/>
          <w:highlight w:val="none"/>
        </w:rPr>
      </w:pPr>
      <w:r>
        <w:rPr>
          <w:color w:val="auto"/>
          <w:sz w:val="24"/>
          <w:szCs w:val="24"/>
          <w:highlight w:val="none"/>
        </w:rPr>
        <w:t>1.7 联络</w:t>
      </w:r>
    </w:p>
    <w:p w14:paraId="01C14C37">
      <w:pPr>
        <w:snapToGrid w:val="0"/>
        <w:spacing w:line="360" w:lineRule="auto"/>
        <w:ind w:firstLine="480" w:firstLineChars="200"/>
        <w:rPr>
          <w:color w:val="auto"/>
          <w:kern w:val="0"/>
          <w:sz w:val="24"/>
          <w:szCs w:val="24"/>
          <w:highlight w:val="none"/>
        </w:rPr>
      </w:pPr>
      <w:r>
        <w:rPr>
          <w:color w:val="auto"/>
          <w:kern w:val="0"/>
          <w:sz w:val="24"/>
          <w:szCs w:val="24"/>
          <w:highlight w:val="none"/>
        </w:rPr>
        <w:t>1.7.1发包人和承包人应当在</w:t>
      </w:r>
      <w:r>
        <w:rPr>
          <w:color w:val="auto"/>
          <w:sz w:val="24"/>
          <w:szCs w:val="24"/>
          <w:highlight w:val="none"/>
          <w:u w:val="single"/>
        </w:rPr>
        <w:t xml:space="preserve">7  </w:t>
      </w:r>
      <w:r>
        <w:rPr>
          <w:color w:val="auto"/>
          <w:kern w:val="0"/>
          <w:sz w:val="24"/>
          <w:szCs w:val="24"/>
          <w:highlight w:val="none"/>
        </w:rPr>
        <w:t>天内将与合同有关的通知、批准、证明、证书、指示、指令、要求、请求、同意、意见、确定和决定等书面函件送达对方当事人。</w:t>
      </w:r>
    </w:p>
    <w:p w14:paraId="08CDF54F">
      <w:pPr>
        <w:snapToGrid w:val="0"/>
        <w:spacing w:line="360" w:lineRule="auto"/>
        <w:ind w:firstLine="480" w:firstLineChars="200"/>
        <w:rPr>
          <w:color w:val="auto"/>
          <w:kern w:val="0"/>
          <w:sz w:val="24"/>
          <w:szCs w:val="24"/>
          <w:highlight w:val="none"/>
        </w:rPr>
      </w:pPr>
      <w:r>
        <w:rPr>
          <w:color w:val="auto"/>
          <w:kern w:val="0"/>
          <w:sz w:val="24"/>
          <w:szCs w:val="24"/>
          <w:highlight w:val="none"/>
        </w:rPr>
        <w:t>1.7.2 发包人接收文件的地点：</w:t>
      </w:r>
      <w:r>
        <w:rPr>
          <w:color w:val="auto"/>
          <w:sz w:val="24"/>
          <w:szCs w:val="24"/>
          <w:highlight w:val="none"/>
          <w:u w:val="single"/>
        </w:rPr>
        <w:t>项目所在地发包人项目部</w:t>
      </w:r>
      <w:r>
        <w:rPr>
          <w:color w:val="auto"/>
          <w:kern w:val="0"/>
          <w:sz w:val="24"/>
          <w:szCs w:val="24"/>
          <w:highlight w:val="none"/>
        </w:rPr>
        <w:t>；</w:t>
      </w:r>
    </w:p>
    <w:p w14:paraId="3E1768DE">
      <w:pPr>
        <w:snapToGrid w:val="0"/>
        <w:spacing w:line="360" w:lineRule="auto"/>
        <w:ind w:firstLine="480" w:firstLineChars="200"/>
        <w:rPr>
          <w:color w:val="auto"/>
          <w:kern w:val="0"/>
          <w:sz w:val="24"/>
          <w:szCs w:val="24"/>
          <w:highlight w:val="none"/>
        </w:rPr>
      </w:pPr>
      <w:r>
        <w:rPr>
          <w:color w:val="auto"/>
          <w:kern w:val="0"/>
          <w:sz w:val="24"/>
          <w:szCs w:val="24"/>
          <w:highlight w:val="none"/>
        </w:rPr>
        <w:t>发包人指定的接收人为：</w:t>
      </w:r>
      <w:r>
        <w:rPr>
          <w:color w:val="auto"/>
          <w:sz w:val="24"/>
          <w:szCs w:val="24"/>
          <w:highlight w:val="none"/>
          <w:u w:val="single"/>
        </w:rPr>
        <w:t xml:space="preserve">发包人项目负责人  </w:t>
      </w:r>
      <w:r>
        <w:rPr>
          <w:color w:val="auto"/>
          <w:kern w:val="0"/>
          <w:sz w:val="24"/>
          <w:szCs w:val="24"/>
          <w:highlight w:val="none"/>
        </w:rPr>
        <w:t>。</w:t>
      </w:r>
    </w:p>
    <w:p w14:paraId="4F7E28A5">
      <w:pPr>
        <w:snapToGrid w:val="0"/>
        <w:spacing w:line="360" w:lineRule="auto"/>
        <w:ind w:firstLine="480" w:firstLineChars="200"/>
        <w:rPr>
          <w:color w:val="auto"/>
          <w:kern w:val="0"/>
          <w:sz w:val="24"/>
          <w:szCs w:val="24"/>
          <w:highlight w:val="none"/>
        </w:rPr>
      </w:pPr>
      <w:r>
        <w:rPr>
          <w:color w:val="auto"/>
          <w:kern w:val="0"/>
          <w:sz w:val="24"/>
          <w:szCs w:val="24"/>
          <w:highlight w:val="none"/>
        </w:rPr>
        <w:t>承包人接收文件的地点：</w:t>
      </w:r>
      <w:r>
        <w:rPr>
          <w:color w:val="auto"/>
          <w:sz w:val="24"/>
          <w:szCs w:val="24"/>
          <w:highlight w:val="none"/>
          <w:u w:val="single"/>
        </w:rPr>
        <w:t>项目所在地承包人项目部</w:t>
      </w:r>
      <w:r>
        <w:rPr>
          <w:color w:val="auto"/>
          <w:kern w:val="0"/>
          <w:sz w:val="24"/>
          <w:szCs w:val="24"/>
          <w:highlight w:val="none"/>
        </w:rPr>
        <w:t>；</w:t>
      </w:r>
    </w:p>
    <w:p w14:paraId="6C7661DE">
      <w:pPr>
        <w:snapToGrid w:val="0"/>
        <w:spacing w:line="360" w:lineRule="auto"/>
        <w:ind w:firstLine="480" w:firstLineChars="200"/>
        <w:rPr>
          <w:color w:val="auto"/>
          <w:kern w:val="0"/>
          <w:sz w:val="24"/>
          <w:szCs w:val="24"/>
          <w:highlight w:val="none"/>
        </w:rPr>
      </w:pPr>
      <w:r>
        <w:rPr>
          <w:color w:val="auto"/>
          <w:kern w:val="0"/>
          <w:sz w:val="24"/>
          <w:szCs w:val="24"/>
          <w:highlight w:val="none"/>
        </w:rPr>
        <w:t>承包人指定的接收人为：</w:t>
      </w:r>
      <w:r>
        <w:rPr>
          <w:color w:val="auto"/>
          <w:sz w:val="24"/>
          <w:szCs w:val="24"/>
          <w:highlight w:val="none"/>
          <w:u w:val="single"/>
        </w:rPr>
        <w:t>承包方项目负责人</w:t>
      </w:r>
      <w:r>
        <w:rPr>
          <w:color w:val="auto"/>
          <w:kern w:val="0"/>
          <w:sz w:val="24"/>
          <w:szCs w:val="24"/>
          <w:highlight w:val="none"/>
        </w:rPr>
        <w:t>。</w:t>
      </w:r>
    </w:p>
    <w:p w14:paraId="44E39C29">
      <w:pPr>
        <w:pStyle w:val="113"/>
        <w:rPr>
          <w:color w:val="auto"/>
          <w:highlight w:val="none"/>
          <w:lang w:val="en-US" w:eastAsia="zh-CN"/>
        </w:rPr>
      </w:pPr>
      <w:r>
        <w:rPr>
          <w:color w:val="auto"/>
          <w:highlight w:val="none"/>
          <w:lang w:val="en-US" w:eastAsia="zh-CN"/>
        </w:rPr>
        <w:t>监理人接收文件的地点：</w:t>
      </w:r>
      <w:r>
        <w:rPr>
          <w:color w:val="auto"/>
          <w:highlight w:val="none"/>
          <w:u w:val="single"/>
          <w:lang w:val="en-US" w:eastAsia="zh-CN"/>
        </w:rPr>
        <w:t xml:space="preserve"> 工地现场 </w:t>
      </w:r>
      <w:r>
        <w:rPr>
          <w:color w:val="auto"/>
          <w:highlight w:val="none"/>
          <w:lang w:val="en-US" w:eastAsia="zh-CN"/>
        </w:rPr>
        <w:t>。</w:t>
      </w:r>
    </w:p>
    <w:p w14:paraId="0BC42991">
      <w:pPr>
        <w:pStyle w:val="113"/>
        <w:rPr>
          <w:color w:val="auto"/>
          <w:highlight w:val="none"/>
          <w:lang w:val="en-US" w:eastAsia="zh-CN"/>
        </w:rPr>
      </w:pPr>
      <w:r>
        <w:rPr>
          <w:color w:val="auto"/>
          <w:highlight w:val="none"/>
          <w:lang w:val="en-US" w:eastAsia="zh-CN"/>
        </w:rPr>
        <w:t>监理人指定的接收人为：</w:t>
      </w:r>
      <w:r>
        <w:rPr>
          <w:color w:val="auto"/>
          <w:highlight w:val="none"/>
          <w:u w:val="single"/>
          <w:lang w:val="en-US" w:eastAsia="zh-CN"/>
        </w:rPr>
        <w:t xml:space="preserve"> </w:t>
      </w:r>
      <w:r>
        <w:rPr>
          <w:rFonts w:hint="eastAsia"/>
          <w:color w:val="auto"/>
          <w:highlight w:val="none"/>
          <w:u w:val="single"/>
          <w:lang w:val="en-US" w:eastAsia="zh-CN"/>
        </w:rPr>
        <w:t xml:space="preserve">            </w:t>
      </w:r>
      <w:r>
        <w:rPr>
          <w:color w:val="auto"/>
          <w:highlight w:val="none"/>
          <w:u w:val="none"/>
          <w:lang w:val="en-US" w:eastAsia="zh-CN"/>
        </w:rPr>
        <w:t>。</w:t>
      </w:r>
    </w:p>
    <w:p w14:paraId="64DB52F3">
      <w:pPr>
        <w:snapToGrid w:val="0"/>
        <w:spacing w:line="360" w:lineRule="auto"/>
        <w:ind w:firstLine="480" w:firstLineChars="200"/>
        <w:rPr>
          <w:color w:val="auto"/>
          <w:sz w:val="24"/>
          <w:szCs w:val="24"/>
          <w:highlight w:val="none"/>
        </w:rPr>
      </w:pPr>
      <w:r>
        <w:rPr>
          <w:color w:val="auto"/>
          <w:sz w:val="24"/>
          <w:szCs w:val="24"/>
          <w:highlight w:val="none"/>
        </w:rPr>
        <w:t>1.10 交通运输</w:t>
      </w:r>
    </w:p>
    <w:p w14:paraId="33E8530C">
      <w:pPr>
        <w:snapToGrid w:val="0"/>
        <w:spacing w:line="360" w:lineRule="auto"/>
        <w:ind w:firstLine="480" w:firstLineChars="200"/>
        <w:rPr>
          <w:color w:val="auto"/>
          <w:sz w:val="24"/>
          <w:szCs w:val="24"/>
          <w:highlight w:val="none"/>
        </w:rPr>
      </w:pPr>
      <w:r>
        <w:rPr>
          <w:color w:val="auto"/>
          <w:sz w:val="24"/>
          <w:szCs w:val="24"/>
          <w:highlight w:val="none"/>
        </w:rPr>
        <w:t>1</w:t>
      </w:r>
      <w:bookmarkStart w:id="604" w:name="_Toc300934943"/>
      <w:bookmarkStart w:id="605" w:name="_Toc303539100"/>
      <w:bookmarkStart w:id="606" w:name="_Toc318581155"/>
      <w:bookmarkStart w:id="607" w:name="_Toc312677986"/>
      <w:bookmarkStart w:id="608" w:name="_Toc304295521"/>
      <w:r>
        <w:rPr>
          <w:color w:val="auto"/>
          <w:sz w:val="24"/>
          <w:szCs w:val="24"/>
          <w:highlight w:val="none"/>
        </w:rPr>
        <w:t>.10.1 出入现场的权利</w:t>
      </w:r>
    </w:p>
    <w:p w14:paraId="46A16EEE">
      <w:pPr>
        <w:snapToGrid w:val="0"/>
        <w:spacing w:line="360" w:lineRule="auto"/>
        <w:rPr>
          <w:color w:val="auto"/>
          <w:sz w:val="24"/>
          <w:szCs w:val="24"/>
          <w:highlight w:val="none"/>
        </w:rPr>
      </w:pPr>
      <w:r>
        <w:rPr>
          <w:color w:val="auto"/>
          <w:sz w:val="24"/>
          <w:szCs w:val="24"/>
          <w:highlight w:val="none"/>
        </w:rPr>
        <w:t xml:space="preserve">    关于出入现场的权利的约定：</w:t>
      </w:r>
      <w:r>
        <w:rPr>
          <w:color w:val="auto"/>
          <w:sz w:val="24"/>
          <w:szCs w:val="24"/>
          <w:highlight w:val="none"/>
          <w:u w:val="single"/>
        </w:rPr>
        <w:t>双方另行协商确定</w:t>
      </w:r>
      <w:r>
        <w:rPr>
          <w:color w:val="auto"/>
          <w:sz w:val="24"/>
          <w:szCs w:val="24"/>
          <w:highlight w:val="none"/>
        </w:rPr>
        <w:t>。</w:t>
      </w:r>
    </w:p>
    <w:bookmarkEnd w:id="604"/>
    <w:bookmarkEnd w:id="605"/>
    <w:bookmarkEnd w:id="606"/>
    <w:bookmarkEnd w:id="607"/>
    <w:bookmarkEnd w:id="608"/>
    <w:p w14:paraId="7BC139A7">
      <w:pPr>
        <w:snapToGrid w:val="0"/>
        <w:spacing w:line="360" w:lineRule="auto"/>
        <w:ind w:firstLine="480" w:firstLineChars="200"/>
        <w:jc w:val="left"/>
        <w:rPr>
          <w:color w:val="auto"/>
          <w:sz w:val="24"/>
          <w:szCs w:val="24"/>
          <w:highlight w:val="none"/>
        </w:rPr>
      </w:pPr>
      <w:r>
        <w:rPr>
          <w:color w:val="auto"/>
          <w:sz w:val="24"/>
          <w:szCs w:val="24"/>
          <w:highlight w:val="none"/>
        </w:rPr>
        <w:t>1</w:t>
      </w:r>
      <w:bookmarkStart w:id="609" w:name="_Toc300934944"/>
      <w:bookmarkStart w:id="610" w:name="_Toc304295522"/>
      <w:bookmarkStart w:id="611" w:name="_Toc318581156"/>
      <w:bookmarkStart w:id="612" w:name="_Toc303539101"/>
      <w:bookmarkStart w:id="613" w:name="_Toc312677987"/>
      <w:r>
        <w:rPr>
          <w:color w:val="auto"/>
          <w:sz w:val="24"/>
          <w:szCs w:val="24"/>
          <w:highlight w:val="none"/>
        </w:rPr>
        <w:t>.10.3 场内交通</w:t>
      </w:r>
    </w:p>
    <w:p w14:paraId="4BF6A8E0">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关于场外交通和场内交通的边界的约定：</w:t>
      </w:r>
      <w:r>
        <w:rPr>
          <w:color w:val="auto"/>
          <w:kern w:val="0"/>
          <w:sz w:val="24"/>
          <w:szCs w:val="24"/>
          <w:highlight w:val="none"/>
          <w:u w:val="single"/>
          <w:lang w:val="en-US" w:eastAsia="zh-CN"/>
        </w:rPr>
        <w:t>承包人负责办理通道相关手续，但施工所需的其他场内道路及设施因承包人原因造成损毁或损坏，由承包人负责赔偿或修缮，以满足工程运输需要，并承担场外交通损毁或损坏的赔偿或修缮费费用。承包人应自行调查场外交通设施的技术参数和具体条件，场外交通设施无法满足工程施工需要的，由承包人负责承担由此产生的相关费用。承包人车辆外出行驶所需的场外公共道路的通行费、养路费和税款等由承包人承担</w:t>
      </w:r>
      <w:r>
        <w:rPr>
          <w:color w:val="auto"/>
          <w:kern w:val="0"/>
          <w:sz w:val="24"/>
          <w:szCs w:val="24"/>
          <w:highlight w:val="none"/>
          <w:lang w:val="en-US" w:eastAsia="zh-CN"/>
        </w:rPr>
        <w:t>。</w:t>
      </w:r>
    </w:p>
    <w:p w14:paraId="0FBF9EB8">
      <w:pPr>
        <w:snapToGrid w:val="0"/>
        <w:spacing w:line="360" w:lineRule="auto"/>
        <w:ind w:firstLine="480" w:firstLineChars="200"/>
        <w:jc w:val="left"/>
        <w:rPr>
          <w:color w:val="auto"/>
          <w:sz w:val="24"/>
          <w:szCs w:val="24"/>
          <w:highlight w:val="none"/>
        </w:rPr>
      </w:pPr>
      <w:r>
        <w:rPr>
          <w:color w:val="auto"/>
          <w:sz w:val="24"/>
          <w:szCs w:val="24"/>
          <w:highlight w:val="none"/>
        </w:rPr>
        <w:t>关于发包人向承包人免费提供满足工程施工需要的场内道路和交通设施的约定：</w:t>
      </w:r>
      <w:r>
        <w:rPr>
          <w:color w:val="auto"/>
          <w:sz w:val="24"/>
          <w:szCs w:val="24"/>
          <w:highlight w:val="none"/>
          <w:u w:val="single"/>
          <w:lang w:val="en-US" w:eastAsia="zh-CN"/>
        </w:rPr>
        <w:t>承包人自行解决场内交通，并承担相应费用</w:t>
      </w:r>
      <w:r>
        <w:rPr>
          <w:color w:val="auto"/>
          <w:sz w:val="24"/>
          <w:szCs w:val="24"/>
          <w:highlight w:val="none"/>
          <w:u w:val="none"/>
          <w:lang w:val="en-US" w:eastAsia="zh-CN"/>
        </w:rPr>
        <w:t>。</w:t>
      </w:r>
      <w:bookmarkEnd w:id="609"/>
      <w:bookmarkEnd w:id="610"/>
      <w:bookmarkEnd w:id="611"/>
      <w:bookmarkEnd w:id="612"/>
      <w:bookmarkEnd w:id="613"/>
      <w:r>
        <w:rPr>
          <w:color w:val="auto"/>
          <w:sz w:val="24"/>
          <w:szCs w:val="24"/>
          <w:highlight w:val="none"/>
        </w:rPr>
        <w:t xml:space="preserve">  </w:t>
      </w:r>
      <w:bookmarkStart w:id="614" w:name="_Toc318581157"/>
    </w:p>
    <w:p w14:paraId="493F180C">
      <w:pPr>
        <w:snapToGrid w:val="0"/>
        <w:spacing w:line="360" w:lineRule="auto"/>
        <w:ind w:firstLine="480" w:firstLineChars="200"/>
        <w:jc w:val="left"/>
        <w:rPr>
          <w:color w:val="auto"/>
          <w:sz w:val="24"/>
          <w:szCs w:val="24"/>
          <w:highlight w:val="none"/>
        </w:rPr>
      </w:pPr>
      <w:r>
        <w:rPr>
          <w:color w:val="auto"/>
          <w:sz w:val="24"/>
          <w:szCs w:val="24"/>
          <w:highlight w:val="none"/>
        </w:rPr>
        <w:t>1.10.4超大件和超重件的运输</w:t>
      </w:r>
    </w:p>
    <w:p w14:paraId="3B25DCB0">
      <w:pPr>
        <w:snapToGrid w:val="0"/>
        <w:spacing w:line="360" w:lineRule="auto"/>
        <w:ind w:firstLine="480" w:firstLineChars="200"/>
        <w:jc w:val="left"/>
        <w:rPr>
          <w:color w:val="auto"/>
          <w:sz w:val="24"/>
          <w:szCs w:val="24"/>
          <w:highlight w:val="none"/>
        </w:rPr>
      </w:pPr>
      <w:r>
        <w:rPr>
          <w:color w:val="auto"/>
          <w:sz w:val="24"/>
          <w:szCs w:val="24"/>
          <w:highlight w:val="none"/>
        </w:rPr>
        <w:t>运输超大件或超重件所需的道路和桥梁临时加固改造费用和其他有关费用由</w:t>
      </w:r>
      <w:r>
        <w:rPr>
          <w:color w:val="auto"/>
          <w:sz w:val="24"/>
          <w:szCs w:val="24"/>
          <w:highlight w:val="none"/>
          <w:u w:val="single"/>
        </w:rPr>
        <w:t xml:space="preserve"> 承包人 </w:t>
      </w:r>
      <w:r>
        <w:rPr>
          <w:color w:val="auto"/>
          <w:sz w:val="24"/>
          <w:szCs w:val="24"/>
          <w:highlight w:val="none"/>
        </w:rPr>
        <w:t>承担。</w:t>
      </w:r>
    </w:p>
    <w:bookmarkEnd w:id="614"/>
    <w:p w14:paraId="52B38509">
      <w:pPr>
        <w:snapToGrid w:val="0"/>
        <w:spacing w:line="360" w:lineRule="auto"/>
        <w:ind w:firstLine="480" w:firstLineChars="200"/>
        <w:rPr>
          <w:color w:val="auto"/>
          <w:sz w:val="24"/>
          <w:szCs w:val="24"/>
          <w:highlight w:val="none"/>
        </w:rPr>
      </w:pPr>
      <w:r>
        <w:rPr>
          <w:color w:val="auto"/>
          <w:sz w:val="24"/>
          <w:szCs w:val="24"/>
          <w:highlight w:val="none"/>
        </w:rPr>
        <w:t>1.11 知识产权</w:t>
      </w:r>
    </w:p>
    <w:p w14:paraId="76A6BDAD">
      <w:pPr>
        <w:snapToGrid w:val="0"/>
        <w:spacing w:line="360" w:lineRule="auto"/>
        <w:rPr>
          <w:color w:val="auto"/>
          <w:sz w:val="24"/>
          <w:szCs w:val="24"/>
          <w:highlight w:val="none"/>
        </w:rPr>
      </w:pPr>
      <w:r>
        <w:rPr>
          <w:color w:val="auto"/>
          <w:sz w:val="24"/>
          <w:szCs w:val="24"/>
          <w:highlight w:val="none"/>
        </w:rPr>
        <w:t xml:space="preserve">    1.11.1关于发包人提供给承包人的图纸、发包人为实施工程自行编制或委托编制的技术规范以及反映发包人关于合同要求或其他类似性质的文件的著作权的归属：</w:t>
      </w:r>
      <w:r>
        <w:rPr>
          <w:color w:val="auto"/>
          <w:sz w:val="24"/>
          <w:szCs w:val="24"/>
          <w:highlight w:val="none"/>
          <w:u w:val="single"/>
        </w:rPr>
        <w:t>按通用条款本条执行</w:t>
      </w:r>
      <w:r>
        <w:rPr>
          <w:color w:val="auto"/>
          <w:sz w:val="24"/>
          <w:szCs w:val="24"/>
          <w:highlight w:val="none"/>
        </w:rPr>
        <w:t>。</w:t>
      </w:r>
    </w:p>
    <w:p w14:paraId="0010850B">
      <w:pPr>
        <w:snapToGrid w:val="0"/>
        <w:spacing w:line="360" w:lineRule="auto"/>
        <w:rPr>
          <w:color w:val="auto"/>
          <w:sz w:val="24"/>
          <w:szCs w:val="24"/>
          <w:highlight w:val="none"/>
        </w:rPr>
      </w:pPr>
      <w:r>
        <w:rPr>
          <w:color w:val="auto"/>
          <w:sz w:val="24"/>
          <w:szCs w:val="24"/>
          <w:highlight w:val="none"/>
        </w:rPr>
        <w:t xml:space="preserve">    关于发包人提供的上述文件的使用限制的要求：</w:t>
      </w:r>
      <w:r>
        <w:rPr>
          <w:color w:val="auto"/>
          <w:sz w:val="24"/>
          <w:szCs w:val="24"/>
          <w:highlight w:val="none"/>
          <w:u w:val="single"/>
        </w:rPr>
        <w:t>按通用条款本条执行</w:t>
      </w:r>
      <w:r>
        <w:rPr>
          <w:color w:val="auto"/>
          <w:sz w:val="24"/>
          <w:szCs w:val="24"/>
          <w:highlight w:val="none"/>
        </w:rPr>
        <w:t>。</w:t>
      </w:r>
    </w:p>
    <w:p w14:paraId="74E833AC">
      <w:pPr>
        <w:snapToGrid w:val="0"/>
        <w:spacing w:line="360" w:lineRule="auto"/>
        <w:rPr>
          <w:color w:val="auto"/>
          <w:sz w:val="24"/>
          <w:szCs w:val="24"/>
          <w:highlight w:val="none"/>
        </w:rPr>
      </w:pPr>
      <w:r>
        <w:rPr>
          <w:color w:val="auto"/>
          <w:sz w:val="24"/>
          <w:szCs w:val="24"/>
          <w:highlight w:val="none"/>
        </w:rPr>
        <w:t xml:space="preserve">    1.11.2 关于承包人为实施工程所编制文件的著作权的归属：</w:t>
      </w:r>
      <w:r>
        <w:rPr>
          <w:color w:val="auto"/>
          <w:sz w:val="24"/>
          <w:szCs w:val="24"/>
          <w:highlight w:val="none"/>
          <w:u w:val="single"/>
        </w:rPr>
        <w:t>按通用条款本条执行</w:t>
      </w:r>
      <w:r>
        <w:rPr>
          <w:color w:val="auto"/>
          <w:sz w:val="24"/>
          <w:szCs w:val="24"/>
          <w:highlight w:val="none"/>
        </w:rPr>
        <w:t>。</w:t>
      </w:r>
    </w:p>
    <w:p w14:paraId="31292DB3">
      <w:pPr>
        <w:snapToGrid w:val="0"/>
        <w:spacing w:line="360" w:lineRule="auto"/>
        <w:rPr>
          <w:color w:val="auto"/>
          <w:sz w:val="24"/>
          <w:szCs w:val="24"/>
          <w:highlight w:val="none"/>
        </w:rPr>
      </w:pPr>
      <w:r>
        <w:rPr>
          <w:color w:val="auto"/>
          <w:sz w:val="24"/>
          <w:szCs w:val="24"/>
          <w:highlight w:val="none"/>
        </w:rPr>
        <w:t xml:space="preserve">    关于承包人提供的上述文件的使用限制的要求：</w:t>
      </w:r>
      <w:r>
        <w:rPr>
          <w:color w:val="auto"/>
          <w:sz w:val="24"/>
          <w:szCs w:val="24"/>
          <w:highlight w:val="none"/>
          <w:u w:val="single"/>
          <w:lang w:val="en-US" w:eastAsia="zh-CN"/>
        </w:rPr>
        <w:t>未经发包人书面同意，承包人不得擅自将上述文件使用于本合同以外的工程</w:t>
      </w:r>
      <w:r>
        <w:rPr>
          <w:color w:val="auto"/>
          <w:sz w:val="24"/>
          <w:szCs w:val="24"/>
          <w:highlight w:val="none"/>
        </w:rPr>
        <w:t>。</w:t>
      </w:r>
    </w:p>
    <w:p w14:paraId="69C5B8ED">
      <w:pPr>
        <w:snapToGrid w:val="0"/>
        <w:spacing w:line="360" w:lineRule="auto"/>
        <w:ind w:firstLine="480" w:firstLineChars="200"/>
        <w:rPr>
          <w:color w:val="auto"/>
          <w:kern w:val="0"/>
          <w:sz w:val="24"/>
          <w:szCs w:val="24"/>
          <w:highlight w:val="none"/>
        </w:rPr>
      </w:pPr>
      <w:r>
        <w:rPr>
          <w:color w:val="auto"/>
          <w:sz w:val="24"/>
          <w:szCs w:val="24"/>
          <w:highlight w:val="none"/>
        </w:rPr>
        <w:t>1.11.4 承包人在施工过程中所采用的专利、专有技术、技术秘密的使用费的承担方式：</w:t>
      </w:r>
      <w:r>
        <w:rPr>
          <w:rFonts w:hint="eastAsia"/>
          <w:color w:val="auto"/>
          <w:sz w:val="24"/>
          <w:szCs w:val="24"/>
          <w:highlight w:val="none"/>
          <w:u w:val="single"/>
        </w:rPr>
        <w:t>按通用条款本条执行</w:t>
      </w:r>
      <w:r>
        <w:rPr>
          <w:color w:val="auto"/>
          <w:kern w:val="0"/>
          <w:sz w:val="24"/>
          <w:szCs w:val="24"/>
          <w:highlight w:val="none"/>
        </w:rPr>
        <w:t>。</w:t>
      </w:r>
    </w:p>
    <w:p w14:paraId="61E6BAFF">
      <w:pPr>
        <w:snapToGrid w:val="0"/>
        <w:spacing w:line="360" w:lineRule="auto"/>
        <w:ind w:firstLine="480" w:firstLineChars="200"/>
        <w:rPr>
          <w:color w:val="auto"/>
          <w:sz w:val="24"/>
          <w:szCs w:val="24"/>
          <w:highlight w:val="none"/>
        </w:rPr>
      </w:pPr>
      <w:r>
        <w:rPr>
          <w:color w:val="auto"/>
          <w:sz w:val="24"/>
          <w:szCs w:val="24"/>
          <w:highlight w:val="none"/>
        </w:rPr>
        <w:t>1.13工程量清单错误的修正</w:t>
      </w:r>
    </w:p>
    <w:p w14:paraId="66E71FEE">
      <w:pPr>
        <w:snapToGrid w:val="0"/>
        <w:spacing w:line="360" w:lineRule="auto"/>
        <w:ind w:firstLine="480" w:firstLineChars="200"/>
        <w:rPr>
          <w:color w:val="auto"/>
          <w:kern w:val="0"/>
          <w:sz w:val="24"/>
          <w:szCs w:val="24"/>
          <w:highlight w:val="none"/>
        </w:rPr>
      </w:pPr>
      <w:r>
        <w:rPr>
          <w:color w:val="auto"/>
          <w:sz w:val="24"/>
          <w:szCs w:val="24"/>
          <w:highlight w:val="none"/>
        </w:rPr>
        <w:t>出现工程量清单错误时，是否调整合同价格：</w:t>
      </w:r>
      <w:r>
        <w:rPr>
          <w:color w:val="auto"/>
          <w:sz w:val="24"/>
          <w:szCs w:val="24"/>
          <w:highlight w:val="none"/>
          <w:u w:val="single"/>
          <w:lang w:val="en-US" w:eastAsia="zh-CN"/>
        </w:rPr>
        <w:t>除发包人原因导致的变更外，不调整价格，工程量现场踏勘时自行核对</w:t>
      </w:r>
      <w:r>
        <w:rPr>
          <w:color w:val="auto"/>
          <w:kern w:val="0"/>
          <w:sz w:val="24"/>
          <w:szCs w:val="24"/>
          <w:highlight w:val="none"/>
        </w:rPr>
        <w:t>。</w:t>
      </w:r>
    </w:p>
    <w:p w14:paraId="2593D380">
      <w:pPr>
        <w:snapToGrid w:val="0"/>
        <w:spacing w:line="360" w:lineRule="auto"/>
        <w:ind w:firstLine="480" w:firstLineChars="200"/>
        <w:rPr>
          <w:color w:val="auto"/>
          <w:sz w:val="24"/>
          <w:szCs w:val="24"/>
          <w:highlight w:val="none"/>
          <w:u w:val="single"/>
        </w:rPr>
      </w:pPr>
      <w:r>
        <w:rPr>
          <w:color w:val="auto"/>
          <w:sz w:val="24"/>
          <w:szCs w:val="24"/>
          <w:highlight w:val="none"/>
        </w:rPr>
        <w:t>允许调整合同价格的工程量</w:t>
      </w:r>
      <w:r>
        <w:rPr>
          <w:rFonts w:hint="eastAsia"/>
          <w:color w:val="auto"/>
          <w:sz w:val="24"/>
          <w:szCs w:val="24"/>
          <w:highlight w:val="none"/>
        </w:rPr>
        <w:t>清单</w:t>
      </w:r>
      <w:r>
        <w:rPr>
          <w:color w:val="auto"/>
          <w:sz w:val="24"/>
          <w:szCs w:val="24"/>
          <w:highlight w:val="none"/>
        </w:rPr>
        <w:t>偏差范围：</w:t>
      </w:r>
      <w:bookmarkStart w:id="615" w:name="_Toc351203634"/>
      <w:r>
        <w:rPr>
          <w:rFonts w:hint="eastAsia"/>
          <w:color w:val="auto"/>
          <w:sz w:val="24"/>
          <w:szCs w:val="24"/>
          <w:highlight w:val="none"/>
          <w:u w:val="single"/>
          <w:lang w:eastAsia="zh-CN"/>
        </w:rPr>
        <w:t>无</w:t>
      </w:r>
      <w:r>
        <w:rPr>
          <w:rFonts w:hint="eastAsia"/>
          <w:color w:val="auto"/>
          <w:sz w:val="24"/>
          <w:szCs w:val="24"/>
          <w:highlight w:val="none"/>
          <w:u w:val="single"/>
        </w:rPr>
        <w:t xml:space="preserve"> </w:t>
      </w:r>
      <w:r>
        <w:rPr>
          <w:rFonts w:hint="eastAsia"/>
          <w:color w:val="auto"/>
          <w:sz w:val="24"/>
          <w:szCs w:val="24"/>
          <w:highlight w:val="none"/>
        </w:rPr>
        <w:t>。</w:t>
      </w:r>
    </w:p>
    <w:p w14:paraId="31CAE5D9">
      <w:pPr>
        <w:snapToGrid w:val="0"/>
        <w:spacing w:line="360" w:lineRule="auto"/>
        <w:rPr>
          <w:b/>
          <w:color w:val="auto"/>
          <w:sz w:val="24"/>
          <w:szCs w:val="24"/>
          <w:highlight w:val="none"/>
        </w:rPr>
      </w:pPr>
      <w:r>
        <w:rPr>
          <w:b/>
          <w:color w:val="auto"/>
          <w:sz w:val="24"/>
          <w:szCs w:val="24"/>
          <w:highlight w:val="none"/>
        </w:rPr>
        <w:t>2</w:t>
      </w:r>
      <w:bookmarkStart w:id="616" w:name="_Toc297048343"/>
      <w:bookmarkStart w:id="617" w:name="_Toc296503157"/>
      <w:bookmarkStart w:id="618" w:name="_Toc292559867"/>
      <w:bookmarkStart w:id="619" w:name="_Toc296890985"/>
      <w:bookmarkStart w:id="620" w:name="_Toc292559362"/>
      <w:bookmarkStart w:id="621" w:name="_Toc297120457"/>
      <w:bookmarkStart w:id="622" w:name="_Toc296944496"/>
      <w:bookmarkStart w:id="623" w:name="_Toc296346658"/>
      <w:bookmarkStart w:id="624" w:name="_Toc296347156"/>
      <w:bookmarkStart w:id="625" w:name="_Toc296891197"/>
      <w:r>
        <w:rPr>
          <w:b/>
          <w:color w:val="auto"/>
          <w:sz w:val="24"/>
          <w:szCs w:val="24"/>
          <w:highlight w:val="none"/>
        </w:rPr>
        <w:t>. 发包人</w:t>
      </w:r>
      <w:bookmarkEnd w:id="615"/>
    </w:p>
    <w:bookmarkEnd w:id="616"/>
    <w:bookmarkEnd w:id="617"/>
    <w:bookmarkEnd w:id="618"/>
    <w:bookmarkEnd w:id="619"/>
    <w:bookmarkEnd w:id="620"/>
    <w:bookmarkEnd w:id="621"/>
    <w:bookmarkEnd w:id="622"/>
    <w:bookmarkEnd w:id="623"/>
    <w:bookmarkEnd w:id="624"/>
    <w:bookmarkEnd w:id="625"/>
    <w:p w14:paraId="6B2DC764">
      <w:pPr>
        <w:snapToGrid w:val="0"/>
        <w:spacing w:line="360" w:lineRule="auto"/>
        <w:ind w:firstLine="480" w:firstLineChars="200"/>
        <w:rPr>
          <w:color w:val="auto"/>
          <w:sz w:val="24"/>
          <w:szCs w:val="24"/>
          <w:highlight w:val="none"/>
        </w:rPr>
      </w:pPr>
      <w:r>
        <w:rPr>
          <w:color w:val="auto"/>
          <w:sz w:val="24"/>
          <w:szCs w:val="24"/>
          <w:highlight w:val="none"/>
        </w:rPr>
        <w:t>2.2 发包人代表</w:t>
      </w:r>
    </w:p>
    <w:p w14:paraId="6C70AC58">
      <w:pPr>
        <w:snapToGrid w:val="0"/>
        <w:spacing w:line="360" w:lineRule="auto"/>
        <w:ind w:firstLine="480" w:firstLineChars="200"/>
        <w:rPr>
          <w:color w:val="auto"/>
          <w:sz w:val="24"/>
          <w:szCs w:val="24"/>
          <w:highlight w:val="none"/>
        </w:rPr>
      </w:pPr>
      <w:r>
        <w:rPr>
          <w:color w:val="auto"/>
          <w:sz w:val="24"/>
          <w:szCs w:val="24"/>
          <w:highlight w:val="none"/>
        </w:rPr>
        <w:t>发包人代表：</w:t>
      </w:r>
    </w:p>
    <w:p w14:paraId="3C2B90ED">
      <w:pPr>
        <w:snapToGrid w:val="0"/>
        <w:spacing w:line="360" w:lineRule="auto"/>
        <w:ind w:firstLine="480" w:firstLineChars="200"/>
        <w:rPr>
          <w:color w:val="auto"/>
          <w:sz w:val="24"/>
          <w:szCs w:val="24"/>
          <w:highlight w:val="none"/>
        </w:rPr>
      </w:pPr>
      <w:r>
        <w:rPr>
          <w:color w:val="auto"/>
          <w:sz w:val="24"/>
          <w:szCs w:val="24"/>
          <w:highlight w:val="none"/>
        </w:rPr>
        <w:t>姓    名：</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         </w:t>
      </w:r>
      <w:r>
        <w:rPr>
          <w:color w:val="auto"/>
          <w:sz w:val="24"/>
          <w:szCs w:val="24"/>
          <w:highlight w:val="none"/>
        </w:rPr>
        <w:t>；</w:t>
      </w:r>
    </w:p>
    <w:p w14:paraId="1AC20666">
      <w:pPr>
        <w:snapToGrid w:val="0"/>
        <w:spacing w:line="360" w:lineRule="auto"/>
        <w:ind w:firstLine="480" w:firstLineChars="200"/>
        <w:rPr>
          <w:color w:val="auto"/>
          <w:sz w:val="24"/>
          <w:szCs w:val="24"/>
          <w:highlight w:val="none"/>
        </w:rPr>
      </w:pPr>
      <w:r>
        <w:rPr>
          <w:color w:val="auto"/>
          <w:sz w:val="24"/>
          <w:szCs w:val="24"/>
          <w:highlight w:val="none"/>
        </w:rPr>
        <w:t>身份证号：</w:t>
      </w:r>
      <w:r>
        <w:rPr>
          <w:color w:val="auto"/>
          <w:sz w:val="24"/>
          <w:szCs w:val="24"/>
          <w:highlight w:val="none"/>
          <w:u w:val="single"/>
        </w:rPr>
        <w:t>      </w:t>
      </w:r>
      <w:r>
        <w:rPr>
          <w:color w:val="auto"/>
          <w:sz w:val="24"/>
          <w:szCs w:val="24"/>
          <w:highlight w:val="none"/>
        </w:rPr>
        <w:t>；</w:t>
      </w:r>
    </w:p>
    <w:p w14:paraId="4AC439A2">
      <w:pPr>
        <w:snapToGrid w:val="0"/>
        <w:spacing w:line="360" w:lineRule="auto"/>
        <w:ind w:firstLine="480" w:firstLineChars="200"/>
        <w:rPr>
          <w:color w:val="auto"/>
          <w:sz w:val="24"/>
          <w:szCs w:val="24"/>
          <w:highlight w:val="none"/>
        </w:rPr>
      </w:pPr>
      <w:r>
        <w:rPr>
          <w:color w:val="auto"/>
          <w:sz w:val="24"/>
          <w:szCs w:val="24"/>
          <w:highlight w:val="none"/>
        </w:rPr>
        <w:t>职    务：</w:t>
      </w:r>
      <w:r>
        <w:rPr>
          <w:color w:val="auto"/>
          <w:sz w:val="24"/>
          <w:szCs w:val="24"/>
          <w:highlight w:val="none"/>
          <w:u w:val="single"/>
        </w:rPr>
        <w:t>                   </w:t>
      </w:r>
      <w:r>
        <w:rPr>
          <w:color w:val="auto"/>
          <w:sz w:val="24"/>
          <w:szCs w:val="24"/>
          <w:highlight w:val="none"/>
        </w:rPr>
        <w:t>；</w:t>
      </w:r>
    </w:p>
    <w:p w14:paraId="0DAA999A">
      <w:pPr>
        <w:snapToGrid w:val="0"/>
        <w:spacing w:line="360" w:lineRule="auto"/>
        <w:ind w:firstLine="480" w:firstLineChars="200"/>
        <w:rPr>
          <w:color w:val="auto"/>
          <w:sz w:val="24"/>
          <w:szCs w:val="24"/>
          <w:highlight w:val="none"/>
        </w:rPr>
      </w:pPr>
      <w:r>
        <w:rPr>
          <w:color w:val="auto"/>
          <w:sz w:val="24"/>
          <w:szCs w:val="24"/>
          <w:highlight w:val="none"/>
        </w:rPr>
        <w:t>联系电话：</w:t>
      </w:r>
      <w:r>
        <w:rPr>
          <w:color w:val="auto"/>
          <w:sz w:val="24"/>
          <w:szCs w:val="24"/>
          <w:highlight w:val="none"/>
          <w:u w:val="single"/>
        </w:rPr>
        <w:t>               </w:t>
      </w:r>
      <w:r>
        <w:rPr>
          <w:color w:val="auto"/>
          <w:sz w:val="24"/>
          <w:szCs w:val="24"/>
          <w:highlight w:val="none"/>
        </w:rPr>
        <w:t>；</w:t>
      </w:r>
    </w:p>
    <w:p w14:paraId="086DC01C">
      <w:pPr>
        <w:snapToGrid w:val="0"/>
        <w:spacing w:line="360" w:lineRule="auto"/>
        <w:ind w:firstLine="480" w:firstLineChars="200"/>
        <w:rPr>
          <w:color w:val="auto"/>
          <w:sz w:val="24"/>
          <w:szCs w:val="24"/>
          <w:highlight w:val="none"/>
        </w:rPr>
      </w:pPr>
      <w:r>
        <w:rPr>
          <w:color w:val="auto"/>
          <w:sz w:val="24"/>
          <w:szCs w:val="24"/>
          <w:highlight w:val="none"/>
        </w:rPr>
        <w:t>电子信箱：</w:t>
      </w:r>
      <w:r>
        <w:rPr>
          <w:color w:val="auto"/>
          <w:sz w:val="24"/>
          <w:szCs w:val="24"/>
          <w:highlight w:val="none"/>
          <w:u w:val="single"/>
        </w:rPr>
        <w:t>     </w:t>
      </w:r>
      <w:r>
        <w:rPr>
          <w:color w:val="auto"/>
          <w:sz w:val="24"/>
          <w:szCs w:val="24"/>
          <w:highlight w:val="none"/>
        </w:rPr>
        <w:t>；</w:t>
      </w:r>
    </w:p>
    <w:p w14:paraId="73725ADF">
      <w:pPr>
        <w:snapToGrid w:val="0"/>
        <w:spacing w:line="360" w:lineRule="auto"/>
        <w:ind w:firstLine="480" w:firstLineChars="200"/>
        <w:rPr>
          <w:color w:val="auto"/>
          <w:sz w:val="24"/>
          <w:szCs w:val="24"/>
          <w:highlight w:val="none"/>
        </w:rPr>
      </w:pPr>
      <w:r>
        <w:rPr>
          <w:color w:val="auto"/>
          <w:sz w:val="24"/>
          <w:szCs w:val="24"/>
          <w:highlight w:val="none"/>
        </w:rPr>
        <w:t>通信地址：</w:t>
      </w:r>
      <w:r>
        <w:rPr>
          <w:color w:val="auto"/>
          <w:sz w:val="24"/>
          <w:szCs w:val="24"/>
          <w:highlight w:val="none"/>
          <w:u w:val="single"/>
        </w:rPr>
        <w:t>                           </w:t>
      </w:r>
      <w:r>
        <w:rPr>
          <w:color w:val="auto"/>
          <w:sz w:val="24"/>
          <w:szCs w:val="24"/>
          <w:highlight w:val="none"/>
        </w:rPr>
        <w:t>。</w:t>
      </w:r>
    </w:p>
    <w:p w14:paraId="2555C429">
      <w:pPr>
        <w:snapToGrid w:val="0"/>
        <w:spacing w:line="360" w:lineRule="auto"/>
        <w:rPr>
          <w:b/>
          <w:color w:val="auto"/>
          <w:sz w:val="24"/>
          <w:szCs w:val="24"/>
          <w:highlight w:val="none"/>
        </w:rPr>
      </w:pPr>
      <w:r>
        <w:rPr>
          <w:color w:val="auto"/>
          <w:sz w:val="24"/>
          <w:szCs w:val="24"/>
          <w:highlight w:val="none"/>
        </w:rPr>
        <w:t xml:space="preserve">    发包人对发包人代表的授权范围如下：</w:t>
      </w:r>
      <w:r>
        <w:rPr>
          <w:rFonts w:hint="eastAsia"/>
          <w:color w:val="auto"/>
          <w:sz w:val="24"/>
          <w:szCs w:val="24"/>
          <w:highlight w:val="none"/>
          <w:u w:val="single"/>
        </w:rPr>
        <w:t>施工组织设计和总进度计划的审批权，协调施工现场各方面的关系，协调工程质量，进度和安全文明施工中存在的问题，解决有关设计和技术签证，办理、签认现场经济技术、顺延工期签证，审核工程进度报表，处理和协调外部施工条件，工程竣工验收报告的确认，工程预付款和进度款的审批，决定开工令、停工令、复工令权；特殊及重要施工工艺和材料发包，对发生的不可抗力造成工程无法施工的处置。</w:t>
      </w:r>
    </w:p>
    <w:p w14:paraId="1E2CB478">
      <w:pPr>
        <w:snapToGrid w:val="0"/>
        <w:spacing w:line="360" w:lineRule="auto"/>
        <w:ind w:firstLine="480" w:firstLineChars="200"/>
        <w:rPr>
          <w:color w:val="auto"/>
          <w:sz w:val="24"/>
          <w:szCs w:val="24"/>
          <w:highlight w:val="none"/>
        </w:rPr>
      </w:pPr>
      <w:r>
        <w:rPr>
          <w:color w:val="auto"/>
          <w:sz w:val="24"/>
          <w:szCs w:val="24"/>
          <w:highlight w:val="none"/>
        </w:rPr>
        <w:t>2.4 施工现场、施工条件和基础资料的提供</w:t>
      </w:r>
    </w:p>
    <w:p w14:paraId="4EE4AF70">
      <w:pPr>
        <w:snapToGrid w:val="0"/>
        <w:spacing w:line="360" w:lineRule="auto"/>
        <w:ind w:firstLine="480" w:firstLineChars="200"/>
        <w:rPr>
          <w:color w:val="auto"/>
          <w:sz w:val="24"/>
          <w:szCs w:val="24"/>
          <w:highlight w:val="none"/>
        </w:rPr>
      </w:pPr>
      <w:r>
        <w:rPr>
          <w:color w:val="auto"/>
          <w:sz w:val="24"/>
          <w:szCs w:val="24"/>
          <w:highlight w:val="none"/>
        </w:rPr>
        <w:t>2.4.1 提供施工现场</w:t>
      </w:r>
    </w:p>
    <w:p w14:paraId="6C129A71">
      <w:pPr>
        <w:snapToGrid w:val="0"/>
        <w:spacing w:line="360" w:lineRule="auto"/>
        <w:ind w:firstLine="480" w:firstLineChars="200"/>
        <w:jc w:val="left"/>
        <w:rPr>
          <w:color w:val="auto"/>
          <w:sz w:val="24"/>
          <w:szCs w:val="24"/>
          <w:highlight w:val="none"/>
        </w:rPr>
      </w:pPr>
      <w:r>
        <w:rPr>
          <w:color w:val="auto"/>
          <w:sz w:val="24"/>
          <w:szCs w:val="24"/>
          <w:highlight w:val="none"/>
        </w:rPr>
        <w:t>关于发包人移交施工现场的期限要求：</w:t>
      </w:r>
      <w:r>
        <w:rPr>
          <w:color w:val="auto"/>
          <w:sz w:val="24"/>
          <w:szCs w:val="24"/>
          <w:highlight w:val="none"/>
          <w:u w:val="single"/>
          <w:lang w:val="en-US" w:eastAsia="zh-CN"/>
        </w:rPr>
        <w:t>发包人需在开工前 7 个日历日将施工现场移交至承包人</w:t>
      </w:r>
      <w:r>
        <w:rPr>
          <w:color w:val="auto"/>
          <w:sz w:val="24"/>
          <w:szCs w:val="24"/>
          <w:highlight w:val="none"/>
        </w:rPr>
        <w:t>。</w:t>
      </w:r>
    </w:p>
    <w:p w14:paraId="583B430C">
      <w:pPr>
        <w:snapToGrid w:val="0"/>
        <w:spacing w:line="360" w:lineRule="auto"/>
        <w:ind w:firstLine="480" w:firstLineChars="200"/>
        <w:rPr>
          <w:color w:val="auto"/>
          <w:sz w:val="24"/>
          <w:szCs w:val="24"/>
          <w:highlight w:val="none"/>
        </w:rPr>
      </w:pPr>
      <w:r>
        <w:rPr>
          <w:color w:val="auto"/>
          <w:sz w:val="24"/>
          <w:szCs w:val="24"/>
          <w:highlight w:val="none"/>
        </w:rPr>
        <w:t>2.4.2 提供施工条件</w:t>
      </w:r>
    </w:p>
    <w:p w14:paraId="0DEE39E1">
      <w:pPr>
        <w:snapToGrid w:val="0"/>
        <w:spacing w:line="360" w:lineRule="auto"/>
        <w:ind w:firstLine="480" w:firstLineChars="200"/>
        <w:rPr>
          <w:color w:val="auto"/>
          <w:sz w:val="24"/>
          <w:szCs w:val="24"/>
          <w:highlight w:val="none"/>
          <w:u w:val="single"/>
        </w:rPr>
      </w:pPr>
      <w:r>
        <w:rPr>
          <w:color w:val="auto"/>
          <w:sz w:val="24"/>
          <w:szCs w:val="24"/>
          <w:highlight w:val="none"/>
        </w:rPr>
        <w:t>关于发包人应负责提供施工所需要的条件，包括：</w:t>
      </w:r>
      <w:r>
        <w:rPr>
          <w:color w:val="auto"/>
          <w:sz w:val="24"/>
          <w:szCs w:val="24"/>
          <w:highlight w:val="none"/>
          <w:u w:val="single"/>
        </w:rPr>
        <w:t>按通用条款本条执行</w:t>
      </w:r>
      <w:r>
        <w:rPr>
          <w:color w:val="auto"/>
          <w:sz w:val="24"/>
          <w:szCs w:val="24"/>
          <w:highlight w:val="none"/>
        </w:rPr>
        <w:t>。</w:t>
      </w:r>
    </w:p>
    <w:p w14:paraId="50F843A4">
      <w:pPr>
        <w:snapToGrid w:val="0"/>
        <w:spacing w:line="360" w:lineRule="auto"/>
        <w:ind w:firstLine="480" w:firstLineChars="200"/>
        <w:rPr>
          <w:color w:val="auto"/>
          <w:sz w:val="24"/>
          <w:szCs w:val="24"/>
          <w:highlight w:val="none"/>
        </w:rPr>
      </w:pPr>
      <w:r>
        <w:rPr>
          <w:color w:val="auto"/>
          <w:sz w:val="24"/>
          <w:szCs w:val="24"/>
          <w:highlight w:val="none"/>
        </w:rPr>
        <w:t>2.5 资金来源证明及支付担保</w:t>
      </w:r>
    </w:p>
    <w:p w14:paraId="2DF04B31">
      <w:pPr>
        <w:snapToGrid w:val="0"/>
        <w:spacing w:line="360" w:lineRule="auto"/>
        <w:ind w:firstLine="480" w:firstLineChars="200"/>
        <w:rPr>
          <w:color w:val="auto"/>
          <w:sz w:val="24"/>
          <w:szCs w:val="24"/>
          <w:highlight w:val="none"/>
        </w:rPr>
      </w:pPr>
      <w:r>
        <w:rPr>
          <w:color w:val="auto"/>
          <w:sz w:val="24"/>
          <w:szCs w:val="24"/>
          <w:highlight w:val="none"/>
        </w:rPr>
        <w:t>发包人提供资金来源证明的期限要求：</w:t>
      </w:r>
      <w:r>
        <w:rPr>
          <w:color w:val="auto"/>
          <w:sz w:val="24"/>
          <w:szCs w:val="24"/>
          <w:highlight w:val="none"/>
          <w:u w:val="single"/>
        </w:rPr>
        <w:t>不提供</w:t>
      </w:r>
      <w:r>
        <w:rPr>
          <w:color w:val="auto"/>
          <w:sz w:val="24"/>
          <w:szCs w:val="24"/>
          <w:highlight w:val="none"/>
        </w:rPr>
        <w:t>。</w:t>
      </w:r>
    </w:p>
    <w:p w14:paraId="2C71C618">
      <w:pPr>
        <w:snapToGrid w:val="0"/>
        <w:spacing w:line="360" w:lineRule="auto"/>
        <w:ind w:firstLine="480" w:firstLineChars="200"/>
        <w:rPr>
          <w:color w:val="auto"/>
          <w:sz w:val="24"/>
          <w:szCs w:val="24"/>
          <w:highlight w:val="none"/>
        </w:rPr>
      </w:pPr>
      <w:r>
        <w:rPr>
          <w:color w:val="auto"/>
          <w:sz w:val="24"/>
          <w:szCs w:val="24"/>
          <w:highlight w:val="none"/>
        </w:rPr>
        <w:t>发包人是否提供支付担保：</w:t>
      </w:r>
      <w:r>
        <w:rPr>
          <w:rFonts w:hint="eastAsia"/>
          <w:color w:val="auto"/>
          <w:sz w:val="24"/>
          <w:szCs w:val="24"/>
          <w:highlight w:val="none"/>
          <w:u w:val="single"/>
        </w:rPr>
        <w:t>否</w:t>
      </w:r>
      <w:r>
        <w:rPr>
          <w:color w:val="auto"/>
          <w:sz w:val="24"/>
          <w:szCs w:val="24"/>
          <w:highlight w:val="none"/>
        </w:rPr>
        <w:t>。</w:t>
      </w:r>
    </w:p>
    <w:p w14:paraId="272E27F9">
      <w:pPr>
        <w:snapToGrid w:val="0"/>
        <w:spacing w:line="360" w:lineRule="auto"/>
        <w:ind w:firstLine="480" w:firstLineChars="200"/>
        <w:rPr>
          <w:color w:val="auto"/>
          <w:sz w:val="24"/>
          <w:szCs w:val="24"/>
          <w:highlight w:val="none"/>
          <w:u w:val="single"/>
        </w:rPr>
      </w:pPr>
      <w:r>
        <w:rPr>
          <w:color w:val="auto"/>
          <w:sz w:val="24"/>
          <w:szCs w:val="24"/>
          <w:highlight w:val="none"/>
        </w:rPr>
        <w:t>发包人提供支付担保的形式：</w:t>
      </w:r>
      <w:r>
        <w:rPr>
          <w:rFonts w:hint="eastAsia"/>
          <w:color w:val="auto"/>
          <w:sz w:val="24"/>
          <w:szCs w:val="24"/>
          <w:highlight w:val="none"/>
          <w:u w:val="single"/>
        </w:rPr>
        <w:t>无</w:t>
      </w:r>
      <w:r>
        <w:rPr>
          <w:color w:val="auto"/>
          <w:sz w:val="24"/>
          <w:szCs w:val="24"/>
          <w:highlight w:val="none"/>
        </w:rPr>
        <w:t>。</w:t>
      </w:r>
    </w:p>
    <w:p w14:paraId="77866BA7">
      <w:pPr>
        <w:pStyle w:val="5"/>
        <w:snapToGrid w:val="0"/>
        <w:spacing w:before="0" w:after="0" w:line="360" w:lineRule="auto"/>
        <w:rPr>
          <w:rFonts w:ascii="Times New Roman" w:hAnsi="Times New Roman" w:eastAsia="宋体"/>
          <w:bCs/>
          <w:color w:val="auto"/>
          <w:sz w:val="24"/>
          <w:szCs w:val="24"/>
          <w:highlight w:val="none"/>
        </w:rPr>
      </w:pPr>
      <w:bookmarkStart w:id="626" w:name="_Toc351203635"/>
      <w:r>
        <w:rPr>
          <w:rFonts w:ascii="Times New Roman" w:hAnsi="Times New Roman" w:eastAsia="宋体"/>
          <w:bCs/>
          <w:color w:val="auto"/>
          <w:sz w:val="24"/>
          <w:szCs w:val="24"/>
          <w:highlight w:val="none"/>
        </w:rPr>
        <w:t>3</w:t>
      </w:r>
      <w:bookmarkStart w:id="627" w:name="_Toc296503158"/>
      <w:bookmarkStart w:id="628" w:name="_Toc292559868"/>
      <w:bookmarkStart w:id="629" w:name="_Toc296891198"/>
      <w:bookmarkStart w:id="630" w:name="_Toc296346659"/>
      <w:bookmarkStart w:id="631" w:name="_Toc292559363"/>
      <w:bookmarkStart w:id="632" w:name="_Toc297048344"/>
      <w:bookmarkStart w:id="633" w:name="_Toc297120458"/>
      <w:bookmarkStart w:id="634" w:name="_Toc296347157"/>
      <w:bookmarkStart w:id="635" w:name="_Toc296890986"/>
      <w:bookmarkStart w:id="636" w:name="_Toc296944497"/>
      <w:r>
        <w:rPr>
          <w:rFonts w:ascii="Times New Roman" w:hAnsi="Times New Roman" w:eastAsia="宋体"/>
          <w:bCs/>
          <w:color w:val="auto"/>
          <w:sz w:val="24"/>
          <w:szCs w:val="24"/>
          <w:highlight w:val="none"/>
        </w:rPr>
        <w:t>. 承包人</w:t>
      </w:r>
      <w:bookmarkEnd w:id="626"/>
    </w:p>
    <w:bookmarkEnd w:id="627"/>
    <w:bookmarkEnd w:id="628"/>
    <w:bookmarkEnd w:id="629"/>
    <w:bookmarkEnd w:id="630"/>
    <w:bookmarkEnd w:id="631"/>
    <w:bookmarkEnd w:id="632"/>
    <w:bookmarkEnd w:id="633"/>
    <w:bookmarkEnd w:id="634"/>
    <w:bookmarkEnd w:id="635"/>
    <w:bookmarkEnd w:id="636"/>
    <w:p w14:paraId="25FD7B12">
      <w:pPr>
        <w:snapToGrid w:val="0"/>
        <w:spacing w:line="360" w:lineRule="auto"/>
        <w:ind w:firstLine="480" w:firstLineChars="200"/>
        <w:rPr>
          <w:color w:val="auto"/>
          <w:sz w:val="24"/>
          <w:szCs w:val="24"/>
          <w:highlight w:val="none"/>
        </w:rPr>
      </w:pPr>
      <w:r>
        <w:rPr>
          <w:color w:val="auto"/>
          <w:sz w:val="24"/>
          <w:szCs w:val="24"/>
          <w:highlight w:val="none"/>
        </w:rPr>
        <w:t>3.1 承包人的一般义务</w:t>
      </w:r>
    </w:p>
    <w:p w14:paraId="4A24A496">
      <w:pPr>
        <w:snapToGrid w:val="0"/>
        <w:spacing w:line="360" w:lineRule="auto"/>
        <w:jc w:val="left"/>
        <w:rPr>
          <w:color w:val="auto"/>
          <w:sz w:val="24"/>
          <w:szCs w:val="24"/>
          <w:highlight w:val="none"/>
        </w:rPr>
      </w:pPr>
      <w:r>
        <w:rPr>
          <w:color w:val="auto"/>
          <w:kern w:val="0"/>
          <w:sz w:val="24"/>
          <w:szCs w:val="24"/>
          <w:highlight w:val="none"/>
        </w:rPr>
        <w:t xml:space="preserve">   （9）</w:t>
      </w:r>
      <w:r>
        <w:rPr>
          <w:color w:val="auto"/>
          <w:sz w:val="24"/>
          <w:szCs w:val="24"/>
          <w:highlight w:val="none"/>
        </w:rPr>
        <w:t>承包人提交的竣工资料的内容：</w:t>
      </w:r>
      <w:r>
        <w:rPr>
          <w:color w:val="auto"/>
          <w:sz w:val="24"/>
          <w:szCs w:val="24"/>
          <w:highlight w:val="none"/>
          <w:u w:val="single"/>
          <w:lang w:val="en-US" w:eastAsia="zh-CN"/>
        </w:rPr>
        <w:t>经相关部门审核通过的图纸及竣工资料，承包人提交的工程付款申请，竣工结算报告及完整的竣工结算资料</w:t>
      </w:r>
      <w:r>
        <w:rPr>
          <w:color w:val="auto"/>
          <w:sz w:val="24"/>
          <w:szCs w:val="24"/>
          <w:highlight w:val="none"/>
          <w:u w:val="single"/>
        </w:rPr>
        <w:t>（含工程竣工图纸及有关的技术档案资料等）</w:t>
      </w:r>
      <w:r>
        <w:rPr>
          <w:color w:val="auto"/>
          <w:sz w:val="24"/>
          <w:szCs w:val="24"/>
          <w:highlight w:val="none"/>
        </w:rPr>
        <w:t>。</w:t>
      </w:r>
    </w:p>
    <w:p w14:paraId="119112F2">
      <w:pPr>
        <w:snapToGrid w:val="0"/>
        <w:spacing w:line="360" w:lineRule="auto"/>
        <w:ind w:firstLine="480" w:firstLineChars="200"/>
        <w:jc w:val="left"/>
        <w:rPr>
          <w:color w:val="auto"/>
          <w:sz w:val="24"/>
          <w:szCs w:val="24"/>
          <w:highlight w:val="none"/>
        </w:rPr>
      </w:pPr>
      <w:r>
        <w:rPr>
          <w:color w:val="auto"/>
          <w:sz w:val="24"/>
          <w:szCs w:val="24"/>
          <w:highlight w:val="none"/>
        </w:rPr>
        <w:t>承包人需要提交的竣工资料套数：</w:t>
      </w:r>
      <w:r>
        <w:rPr>
          <w:color w:val="auto"/>
          <w:sz w:val="24"/>
          <w:szCs w:val="24"/>
          <w:highlight w:val="none"/>
          <w:u w:val="single"/>
        </w:rPr>
        <w:t xml:space="preserve"> 陆套 </w:t>
      </w:r>
      <w:r>
        <w:rPr>
          <w:color w:val="auto"/>
          <w:sz w:val="24"/>
          <w:szCs w:val="24"/>
          <w:highlight w:val="none"/>
        </w:rPr>
        <w:t>。</w:t>
      </w:r>
    </w:p>
    <w:p w14:paraId="2249547B">
      <w:pPr>
        <w:snapToGrid w:val="0"/>
        <w:spacing w:line="360" w:lineRule="auto"/>
        <w:ind w:firstLine="480" w:firstLineChars="200"/>
        <w:jc w:val="left"/>
        <w:rPr>
          <w:color w:val="auto"/>
          <w:sz w:val="24"/>
          <w:szCs w:val="24"/>
          <w:highlight w:val="none"/>
        </w:rPr>
      </w:pPr>
      <w:r>
        <w:rPr>
          <w:color w:val="auto"/>
          <w:sz w:val="24"/>
          <w:szCs w:val="24"/>
          <w:highlight w:val="none"/>
        </w:rPr>
        <w:t>承包人提交的竣工资料的费用承担：</w:t>
      </w:r>
      <w:r>
        <w:rPr>
          <w:color w:val="auto"/>
          <w:sz w:val="24"/>
          <w:szCs w:val="24"/>
          <w:highlight w:val="none"/>
          <w:u w:val="single"/>
        </w:rPr>
        <w:t xml:space="preserve"> 由承包人承担 </w:t>
      </w:r>
      <w:r>
        <w:rPr>
          <w:color w:val="auto"/>
          <w:sz w:val="24"/>
          <w:szCs w:val="24"/>
          <w:highlight w:val="none"/>
        </w:rPr>
        <w:t>。</w:t>
      </w:r>
    </w:p>
    <w:p w14:paraId="4B106552">
      <w:pPr>
        <w:snapToGrid w:val="0"/>
        <w:spacing w:line="360" w:lineRule="auto"/>
        <w:ind w:firstLine="480" w:firstLineChars="200"/>
        <w:jc w:val="left"/>
        <w:rPr>
          <w:color w:val="auto"/>
          <w:sz w:val="24"/>
          <w:szCs w:val="24"/>
          <w:highlight w:val="none"/>
        </w:rPr>
      </w:pPr>
      <w:r>
        <w:rPr>
          <w:color w:val="auto"/>
          <w:sz w:val="24"/>
          <w:szCs w:val="24"/>
          <w:highlight w:val="none"/>
        </w:rPr>
        <w:t>承包人提交的竣工资料移交时间：</w:t>
      </w:r>
      <w:r>
        <w:rPr>
          <w:color w:val="auto"/>
          <w:sz w:val="24"/>
          <w:szCs w:val="24"/>
          <w:highlight w:val="none"/>
          <w:u w:val="single"/>
        </w:rPr>
        <w:t xml:space="preserve"> 工程竣工验收合格后</w:t>
      </w:r>
      <w:r>
        <w:rPr>
          <w:rFonts w:hint="eastAsia"/>
          <w:color w:val="auto"/>
          <w:sz w:val="24"/>
          <w:szCs w:val="24"/>
          <w:highlight w:val="none"/>
          <w:u w:val="single"/>
          <w:lang w:val="en-US" w:eastAsia="zh-CN"/>
        </w:rPr>
        <w:t>15</w:t>
      </w:r>
      <w:r>
        <w:rPr>
          <w:color w:val="auto"/>
          <w:sz w:val="24"/>
          <w:szCs w:val="24"/>
          <w:highlight w:val="none"/>
          <w:u w:val="single"/>
        </w:rPr>
        <w:t>日内</w:t>
      </w:r>
      <w:r>
        <w:rPr>
          <w:color w:val="auto"/>
          <w:sz w:val="24"/>
          <w:szCs w:val="24"/>
          <w:highlight w:val="none"/>
        </w:rPr>
        <w:t>。</w:t>
      </w:r>
    </w:p>
    <w:p w14:paraId="0A49807F">
      <w:pPr>
        <w:snapToGrid w:val="0"/>
        <w:spacing w:line="360" w:lineRule="auto"/>
        <w:ind w:firstLine="480" w:firstLineChars="200"/>
        <w:jc w:val="left"/>
        <w:rPr>
          <w:color w:val="auto"/>
          <w:sz w:val="24"/>
          <w:szCs w:val="24"/>
          <w:highlight w:val="none"/>
        </w:rPr>
      </w:pPr>
      <w:r>
        <w:rPr>
          <w:color w:val="auto"/>
          <w:sz w:val="24"/>
          <w:szCs w:val="24"/>
          <w:highlight w:val="none"/>
        </w:rPr>
        <w:t>承包人提交的竣工资料形式要求：</w:t>
      </w:r>
      <w:r>
        <w:rPr>
          <w:color w:val="auto"/>
          <w:sz w:val="24"/>
          <w:szCs w:val="24"/>
          <w:highlight w:val="none"/>
          <w:u w:val="single"/>
        </w:rPr>
        <w:t xml:space="preserve"> 书面及电子文档 </w:t>
      </w:r>
      <w:r>
        <w:rPr>
          <w:color w:val="auto"/>
          <w:sz w:val="24"/>
          <w:szCs w:val="24"/>
          <w:highlight w:val="none"/>
        </w:rPr>
        <w:t>。</w:t>
      </w:r>
    </w:p>
    <w:p w14:paraId="52B9F3B4">
      <w:pPr>
        <w:numPr>
          <w:ilvl w:val="0"/>
          <w:numId w:val="12"/>
        </w:numPr>
        <w:snapToGrid w:val="0"/>
        <w:spacing w:line="360" w:lineRule="auto"/>
        <w:ind w:firstLine="480" w:firstLineChars="200"/>
        <w:rPr>
          <w:color w:val="auto"/>
          <w:sz w:val="24"/>
          <w:szCs w:val="24"/>
          <w:highlight w:val="none"/>
        </w:rPr>
      </w:pPr>
      <w:r>
        <w:rPr>
          <w:color w:val="auto"/>
          <w:kern w:val="0"/>
          <w:sz w:val="24"/>
          <w:szCs w:val="24"/>
          <w:highlight w:val="none"/>
        </w:rPr>
        <w:t>承包人应履行的其他义务：</w:t>
      </w:r>
      <w:r>
        <w:rPr>
          <w:rFonts w:hint="eastAsia"/>
          <w:color w:val="auto"/>
          <w:sz w:val="24"/>
          <w:szCs w:val="24"/>
          <w:highlight w:val="none"/>
          <w:u w:val="single"/>
        </w:rPr>
        <w:t>双方另行约定</w:t>
      </w:r>
      <w:r>
        <w:rPr>
          <w:color w:val="auto"/>
          <w:sz w:val="24"/>
          <w:szCs w:val="24"/>
          <w:highlight w:val="none"/>
        </w:rPr>
        <w:t>。</w:t>
      </w:r>
    </w:p>
    <w:p w14:paraId="3AA062B4">
      <w:pPr>
        <w:numPr>
          <w:ilvl w:val="0"/>
          <w:numId w:val="0"/>
        </w:numPr>
        <w:snapToGrid w:val="0"/>
        <w:spacing w:line="360" w:lineRule="auto"/>
        <w:ind w:firstLine="480" w:firstLineChars="200"/>
        <w:rPr>
          <w:color w:val="auto"/>
          <w:sz w:val="24"/>
          <w:szCs w:val="24"/>
          <w:highlight w:val="none"/>
        </w:rPr>
      </w:pPr>
      <w:r>
        <w:rPr>
          <w:color w:val="auto"/>
          <w:sz w:val="24"/>
          <w:szCs w:val="24"/>
          <w:highlight w:val="none"/>
        </w:rPr>
        <w:t>3.2 项目经理</w:t>
      </w:r>
    </w:p>
    <w:p w14:paraId="505EBF44">
      <w:pPr>
        <w:snapToGrid w:val="0"/>
        <w:spacing w:line="360" w:lineRule="auto"/>
        <w:ind w:firstLine="480" w:firstLineChars="200"/>
        <w:rPr>
          <w:color w:val="auto"/>
          <w:sz w:val="24"/>
          <w:szCs w:val="24"/>
          <w:highlight w:val="none"/>
        </w:rPr>
      </w:pPr>
      <w:r>
        <w:rPr>
          <w:color w:val="auto"/>
          <w:kern w:val="0"/>
          <w:sz w:val="24"/>
          <w:szCs w:val="24"/>
          <w:highlight w:val="none"/>
        </w:rPr>
        <w:t xml:space="preserve">3.2.1 </w:t>
      </w:r>
      <w:r>
        <w:rPr>
          <w:color w:val="auto"/>
          <w:sz w:val="24"/>
          <w:szCs w:val="24"/>
          <w:highlight w:val="none"/>
        </w:rPr>
        <w:t>项目经理：</w:t>
      </w:r>
    </w:p>
    <w:p w14:paraId="41D59A47">
      <w:pPr>
        <w:snapToGrid w:val="0"/>
        <w:spacing w:line="360" w:lineRule="auto"/>
        <w:ind w:firstLine="480" w:firstLineChars="200"/>
        <w:rPr>
          <w:color w:val="auto"/>
          <w:sz w:val="24"/>
          <w:szCs w:val="24"/>
          <w:highlight w:val="none"/>
        </w:rPr>
      </w:pPr>
      <w:r>
        <w:rPr>
          <w:color w:val="auto"/>
          <w:sz w:val="24"/>
          <w:szCs w:val="24"/>
          <w:highlight w:val="none"/>
        </w:rPr>
        <w:t>姓    名：</w:t>
      </w:r>
      <w:r>
        <w:rPr>
          <w:rFonts w:hint="eastAsia"/>
          <w:color w:val="auto"/>
          <w:sz w:val="24"/>
          <w:szCs w:val="24"/>
          <w:highlight w:val="none"/>
          <w:u w:val="single"/>
        </w:rPr>
        <w:t xml:space="preserve">       </w:t>
      </w:r>
      <w:r>
        <w:rPr>
          <w:color w:val="auto"/>
          <w:sz w:val="24"/>
          <w:szCs w:val="24"/>
          <w:highlight w:val="none"/>
          <w:u w:val="single"/>
        </w:rPr>
        <w:t>         </w:t>
      </w:r>
      <w:r>
        <w:rPr>
          <w:rFonts w:hint="eastAsia"/>
          <w:color w:val="auto"/>
          <w:sz w:val="24"/>
          <w:szCs w:val="24"/>
          <w:highlight w:val="none"/>
          <w:u w:val="single"/>
        </w:rPr>
        <w:t xml:space="preserve">  </w:t>
      </w:r>
      <w:r>
        <w:rPr>
          <w:color w:val="auto"/>
          <w:sz w:val="24"/>
          <w:szCs w:val="24"/>
          <w:highlight w:val="none"/>
        </w:rPr>
        <w:t>；</w:t>
      </w:r>
    </w:p>
    <w:p w14:paraId="6B0A5235">
      <w:pPr>
        <w:snapToGrid w:val="0"/>
        <w:spacing w:line="360" w:lineRule="auto"/>
        <w:ind w:firstLine="480" w:firstLineChars="200"/>
        <w:rPr>
          <w:color w:val="auto"/>
          <w:sz w:val="24"/>
          <w:szCs w:val="24"/>
          <w:highlight w:val="none"/>
        </w:rPr>
      </w:pPr>
      <w:r>
        <w:rPr>
          <w:color w:val="auto"/>
          <w:sz w:val="24"/>
          <w:szCs w:val="24"/>
          <w:highlight w:val="none"/>
        </w:rPr>
        <w:t>身份证号：</w:t>
      </w:r>
      <w:r>
        <w:rPr>
          <w:color w:val="auto"/>
          <w:sz w:val="24"/>
          <w:szCs w:val="24"/>
          <w:highlight w:val="none"/>
          <w:u w:val="single"/>
        </w:rPr>
        <w:t>         </w:t>
      </w:r>
      <w:r>
        <w:rPr>
          <w:color w:val="auto"/>
          <w:sz w:val="24"/>
          <w:szCs w:val="24"/>
          <w:highlight w:val="none"/>
        </w:rPr>
        <w:t>；</w:t>
      </w:r>
    </w:p>
    <w:p w14:paraId="7A0FFC96">
      <w:pPr>
        <w:snapToGrid w:val="0"/>
        <w:spacing w:line="360" w:lineRule="auto"/>
        <w:ind w:firstLine="480" w:firstLineChars="200"/>
        <w:rPr>
          <w:color w:val="auto"/>
          <w:sz w:val="24"/>
          <w:szCs w:val="24"/>
          <w:highlight w:val="none"/>
        </w:rPr>
      </w:pPr>
      <w:r>
        <w:rPr>
          <w:color w:val="auto"/>
          <w:sz w:val="24"/>
          <w:szCs w:val="24"/>
          <w:highlight w:val="none"/>
        </w:rPr>
        <w:t>建造师执业资格等级：</w:t>
      </w:r>
      <w:r>
        <w:rPr>
          <w:color w:val="auto"/>
          <w:sz w:val="24"/>
          <w:szCs w:val="24"/>
          <w:highlight w:val="none"/>
          <w:u w:val="single"/>
        </w:rPr>
        <w:t>   </w:t>
      </w:r>
      <w:r>
        <w:rPr>
          <w:color w:val="auto"/>
          <w:sz w:val="24"/>
          <w:szCs w:val="24"/>
          <w:highlight w:val="none"/>
        </w:rPr>
        <w:t>；</w:t>
      </w:r>
    </w:p>
    <w:p w14:paraId="4DF26936">
      <w:pPr>
        <w:snapToGrid w:val="0"/>
        <w:spacing w:line="360" w:lineRule="auto"/>
        <w:ind w:firstLine="480" w:firstLineChars="200"/>
        <w:rPr>
          <w:color w:val="auto"/>
          <w:sz w:val="24"/>
          <w:szCs w:val="24"/>
          <w:highlight w:val="none"/>
        </w:rPr>
      </w:pPr>
      <w:r>
        <w:rPr>
          <w:color w:val="auto"/>
          <w:sz w:val="24"/>
          <w:szCs w:val="24"/>
          <w:highlight w:val="none"/>
        </w:rPr>
        <w:t>建造师注册证书号：</w:t>
      </w:r>
      <w:r>
        <w:rPr>
          <w:color w:val="auto"/>
          <w:sz w:val="24"/>
          <w:szCs w:val="24"/>
          <w:highlight w:val="none"/>
          <w:u w:val="single"/>
        </w:rPr>
        <w:t> </w:t>
      </w:r>
      <w:r>
        <w:rPr>
          <w:color w:val="auto"/>
          <w:sz w:val="24"/>
          <w:szCs w:val="24"/>
          <w:highlight w:val="none"/>
        </w:rPr>
        <w:t>；</w:t>
      </w:r>
    </w:p>
    <w:p w14:paraId="065A5121">
      <w:pPr>
        <w:snapToGrid w:val="0"/>
        <w:spacing w:line="360" w:lineRule="auto"/>
        <w:ind w:firstLine="480" w:firstLineChars="200"/>
        <w:rPr>
          <w:color w:val="auto"/>
          <w:sz w:val="24"/>
          <w:szCs w:val="24"/>
          <w:highlight w:val="none"/>
        </w:rPr>
      </w:pPr>
      <w:r>
        <w:rPr>
          <w:color w:val="auto"/>
          <w:sz w:val="24"/>
          <w:szCs w:val="24"/>
          <w:highlight w:val="none"/>
        </w:rPr>
        <w:t>建造师执业印章号：</w:t>
      </w:r>
      <w:r>
        <w:rPr>
          <w:color w:val="auto"/>
          <w:sz w:val="24"/>
          <w:szCs w:val="24"/>
          <w:highlight w:val="none"/>
          <w:u w:val="single"/>
        </w:rPr>
        <w:t> </w:t>
      </w:r>
      <w:r>
        <w:rPr>
          <w:color w:val="auto"/>
          <w:sz w:val="24"/>
          <w:szCs w:val="24"/>
          <w:highlight w:val="none"/>
        </w:rPr>
        <w:t>；</w:t>
      </w:r>
    </w:p>
    <w:p w14:paraId="431B7DCC">
      <w:pPr>
        <w:snapToGrid w:val="0"/>
        <w:spacing w:line="360" w:lineRule="auto"/>
        <w:ind w:firstLine="480" w:firstLineChars="200"/>
        <w:rPr>
          <w:color w:val="auto"/>
          <w:sz w:val="24"/>
          <w:szCs w:val="24"/>
          <w:highlight w:val="none"/>
        </w:rPr>
      </w:pPr>
      <w:r>
        <w:rPr>
          <w:color w:val="auto"/>
          <w:sz w:val="24"/>
          <w:szCs w:val="24"/>
          <w:highlight w:val="none"/>
        </w:rPr>
        <w:t>安全生产考核合格证书号：</w:t>
      </w:r>
      <w:r>
        <w:rPr>
          <w:color w:val="auto"/>
          <w:sz w:val="24"/>
          <w:szCs w:val="24"/>
          <w:highlight w:val="none"/>
          <w:u w:val="single"/>
        </w:rPr>
        <w:t> </w:t>
      </w:r>
      <w:r>
        <w:rPr>
          <w:color w:val="auto"/>
          <w:sz w:val="24"/>
          <w:szCs w:val="24"/>
          <w:highlight w:val="none"/>
        </w:rPr>
        <w:t>；</w:t>
      </w:r>
    </w:p>
    <w:p w14:paraId="0563ED5E">
      <w:pPr>
        <w:snapToGrid w:val="0"/>
        <w:spacing w:line="360" w:lineRule="auto"/>
        <w:ind w:firstLine="480" w:firstLineChars="200"/>
        <w:rPr>
          <w:color w:val="auto"/>
          <w:sz w:val="24"/>
          <w:szCs w:val="24"/>
          <w:highlight w:val="none"/>
        </w:rPr>
      </w:pPr>
      <w:r>
        <w:rPr>
          <w:color w:val="auto"/>
          <w:sz w:val="24"/>
          <w:szCs w:val="24"/>
          <w:highlight w:val="none"/>
        </w:rPr>
        <w:t>联系电话：</w:t>
      </w:r>
      <w:r>
        <w:rPr>
          <w:color w:val="auto"/>
          <w:sz w:val="24"/>
          <w:szCs w:val="24"/>
          <w:highlight w:val="none"/>
          <w:u w:val="single"/>
        </w:rPr>
        <w:t>         </w:t>
      </w:r>
      <w:r>
        <w:rPr>
          <w:color w:val="auto"/>
          <w:sz w:val="24"/>
          <w:szCs w:val="24"/>
          <w:highlight w:val="none"/>
        </w:rPr>
        <w:t>；</w:t>
      </w:r>
    </w:p>
    <w:p w14:paraId="12F2E06E">
      <w:pPr>
        <w:snapToGrid w:val="0"/>
        <w:spacing w:line="360" w:lineRule="auto"/>
        <w:ind w:firstLine="480" w:firstLineChars="200"/>
        <w:rPr>
          <w:color w:val="auto"/>
          <w:sz w:val="24"/>
          <w:szCs w:val="24"/>
          <w:highlight w:val="none"/>
        </w:rPr>
      </w:pPr>
      <w:r>
        <w:rPr>
          <w:color w:val="auto"/>
          <w:sz w:val="24"/>
          <w:szCs w:val="24"/>
          <w:highlight w:val="none"/>
        </w:rPr>
        <w:t>电子信箱：</w:t>
      </w:r>
      <w:r>
        <w:rPr>
          <w:color w:val="auto"/>
          <w:sz w:val="24"/>
          <w:szCs w:val="24"/>
          <w:highlight w:val="none"/>
          <w:u w:val="single"/>
        </w:rPr>
        <w:t>         </w:t>
      </w:r>
      <w:r>
        <w:rPr>
          <w:color w:val="auto"/>
          <w:sz w:val="24"/>
          <w:szCs w:val="24"/>
          <w:highlight w:val="none"/>
        </w:rPr>
        <w:t>；</w:t>
      </w:r>
    </w:p>
    <w:p w14:paraId="5237045E">
      <w:pPr>
        <w:snapToGrid w:val="0"/>
        <w:spacing w:line="360" w:lineRule="auto"/>
        <w:ind w:firstLine="480" w:firstLineChars="200"/>
        <w:rPr>
          <w:color w:val="auto"/>
          <w:sz w:val="24"/>
          <w:szCs w:val="24"/>
          <w:highlight w:val="none"/>
        </w:rPr>
      </w:pPr>
      <w:r>
        <w:rPr>
          <w:color w:val="auto"/>
          <w:sz w:val="24"/>
          <w:szCs w:val="24"/>
          <w:highlight w:val="none"/>
        </w:rPr>
        <w:t>通信地址：</w:t>
      </w:r>
      <w:r>
        <w:rPr>
          <w:color w:val="auto"/>
          <w:sz w:val="24"/>
          <w:szCs w:val="24"/>
          <w:highlight w:val="none"/>
          <w:u w:val="single"/>
        </w:rPr>
        <w:t>         </w:t>
      </w:r>
      <w:r>
        <w:rPr>
          <w:color w:val="auto"/>
          <w:sz w:val="24"/>
          <w:szCs w:val="24"/>
          <w:highlight w:val="none"/>
        </w:rPr>
        <w:t>；</w:t>
      </w:r>
    </w:p>
    <w:p w14:paraId="36049FD3">
      <w:pPr>
        <w:snapToGrid w:val="0"/>
        <w:spacing w:line="360" w:lineRule="auto"/>
        <w:ind w:firstLine="480" w:firstLineChars="200"/>
        <w:rPr>
          <w:color w:val="auto"/>
          <w:sz w:val="24"/>
          <w:szCs w:val="24"/>
          <w:highlight w:val="none"/>
          <w:u w:val="single"/>
        </w:rPr>
      </w:pPr>
      <w:r>
        <w:rPr>
          <w:color w:val="auto"/>
          <w:sz w:val="24"/>
          <w:szCs w:val="24"/>
          <w:highlight w:val="none"/>
        </w:rPr>
        <w:t>承包人对项目经理的授权范围如下：</w:t>
      </w:r>
      <w:r>
        <w:rPr>
          <w:color w:val="auto"/>
          <w:sz w:val="24"/>
          <w:szCs w:val="24"/>
          <w:highlight w:val="none"/>
          <w:u w:val="single"/>
        </w:rPr>
        <w:t xml:space="preserve"> </w:t>
      </w:r>
      <w:r>
        <w:rPr>
          <w:color w:val="auto"/>
          <w:sz w:val="24"/>
          <w:szCs w:val="24"/>
          <w:highlight w:val="none"/>
          <w:u w:val="single"/>
          <w:lang w:val="en-US" w:eastAsia="zh-CN"/>
        </w:rPr>
        <w:t>项目经理代表承包人行使本合同约定的权利，履行本合同约定的义务，项目经理的行为后果由承包人承担。</w:t>
      </w:r>
    </w:p>
    <w:p w14:paraId="04E412E3">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关于项目经理每月在施工现场的时间要求：</w:t>
      </w:r>
      <w:r>
        <w:rPr>
          <w:color w:val="auto"/>
          <w:kern w:val="0"/>
          <w:sz w:val="24"/>
          <w:szCs w:val="24"/>
          <w:highlight w:val="none"/>
          <w:u w:val="single"/>
          <w:lang w:val="en-US" w:eastAsia="zh-CN"/>
        </w:rPr>
        <w:t>项目经理施工期间全过程在现场，在场时间每日不得少于8小时。否则，发包人将按照缺勤扣除履约保证金 5‰/天的违约金。承包人在项目实施过程中的项目经理应为响应文件中所报的项目经理，并经发包人认可。项目经理要全程驻场，负责协调承包人在工程建设全过程的各项协调配合工作</w:t>
      </w:r>
      <w:r>
        <w:rPr>
          <w:rFonts w:hint="eastAsia"/>
          <w:color w:val="auto"/>
          <w:kern w:val="0"/>
          <w:sz w:val="24"/>
          <w:szCs w:val="24"/>
          <w:highlight w:val="none"/>
          <w:u w:val="single"/>
          <w:lang w:val="en-US" w:eastAsia="zh-CN"/>
        </w:rPr>
        <w:t>，</w:t>
      </w:r>
      <w:r>
        <w:rPr>
          <w:color w:val="auto"/>
          <w:kern w:val="0"/>
          <w:sz w:val="24"/>
          <w:szCs w:val="24"/>
          <w:highlight w:val="none"/>
          <w:u w:val="single"/>
          <w:lang w:val="en-US" w:eastAsia="zh-CN"/>
        </w:rPr>
        <w:t>随时解决施工过程中出现的问题。项目经理必须出席由监理单位（总监理工程师）主持的每周例会并书面汇报本周进度完成情况并提出下周进度计划及重要协调会 。</w:t>
      </w:r>
    </w:p>
    <w:p w14:paraId="07CCA367">
      <w:pPr>
        <w:snapToGrid w:val="0"/>
        <w:spacing w:line="360" w:lineRule="auto"/>
        <w:ind w:firstLine="480" w:firstLineChars="200"/>
        <w:rPr>
          <w:color w:val="auto"/>
          <w:kern w:val="0"/>
          <w:sz w:val="24"/>
          <w:szCs w:val="24"/>
          <w:highlight w:val="none"/>
        </w:rPr>
      </w:pPr>
      <w:r>
        <w:rPr>
          <w:color w:val="auto"/>
          <w:kern w:val="0"/>
          <w:sz w:val="24"/>
          <w:szCs w:val="24"/>
          <w:highlight w:val="none"/>
        </w:rPr>
        <w:t>承包人未提交劳动合同，以及没有为项目经理缴纳社会保险证明的违约责任：</w:t>
      </w:r>
      <w:r>
        <w:rPr>
          <w:color w:val="auto"/>
          <w:sz w:val="24"/>
          <w:szCs w:val="24"/>
          <w:highlight w:val="none"/>
          <w:u w:val="single"/>
        </w:rPr>
        <w:t>双方另行协商确定</w:t>
      </w:r>
      <w:r>
        <w:rPr>
          <w:color w:val="auto"/>
          <w:sz w:val="24"/>
          <w:szCs w:val="24"/>
          <w:highlight w:val="none"/>
        </w:rPr>
        <w:t>。</w:t>
      </w:r>
    </w:p>
    <w:p w14:paraId="7AEEFADC">
      <w:pPr>
        <w:snapToGrid w:val="0"/>
        <w:spacing w:line="360" w:lineRule="auto"/>
        <w:ind w:firstLine="480" w:firstLineChars="200"/>
        <w:rPr>
          <w:color w:val="auto"/>
          <w:sz w:val="24"/>
          <w:szCs w:val="24"/>
          <w:highlight w:val="none"/>
          <w:u w:val="single"/>
        </w:rPr>
      </w:pPr>
      <w:r>
        <w:rPr>
          <w:color w:val="auto"/>
          <w:kern w:val="0"/>
          <w:sz w:val="24"/>
          <w:szCs w:val="24"/>
          <w:highlight w:val="none"/>
        </w:rPr>
        <w:t>项目经理未经批准，擅自离开施工现场的违约责任：</w:t>
      </w:r>
      <w:r>
        <w:rPr>
          <w:color w:val="auto"/>
          <w:kern w:val="0"/>
          <w:sz w:val="24"/>
          <w:szCs w:val="24"/>
          <w:highlight w:val="none"/>
          <w:u w:val="single"/>
          <w:lang w:val="en-US" w:eastAsia="zh-CN"/>
        </w:rPr>
        <w:t>项目经理擅自离开施工现场一日，发包人将按照缺勤扣除履约保证金 5‰/天的违约金。由此造成的责任和损失由承包人自行承担。</w:t>
      </w:r>
    </w:p>
    <w:p w14:paraId="2332E6A4">
      <w:pPr>
        <w:snapToGrid w:val="0"/>
        <w:spacing w:line="360" w:lineRule="auto"/>
        <w:rPr>
          <w:color w:val="auto"/>
          <w:sz w:val="24"/>
          <w:szCs w:val="24"/>
          <w:highlight w:val="none"/>
        </w:rPr>
      </w:pPr>
      <w:r>
        <w:rPr>
          <w:color w:val="auto"/>
          <w:sz w:val="24"/>
          <w:szCs w:val="24"/>
          <w:highlight w:val="none"/>
        </w:rPr>
        <w:t xml:space="preserve">    3.2.3 承包人擅自更换项目经理的违约责任：</w:t>
      </w:r>
      <w:r>
        <w:rPr>
          <w:color w:val="auto"/>
          <w:sz w:val="24"/>
          <w:szCs w:val="24"/>
          <w:highlight w:val="none"/>
          <w:u w:val="single"/>
          <w:lang w:val="en-US" w:eastAsia="zh-CN"/>
        </w:rPr>
        <w:t>承包人不得擅自更换项目经理，承包人确需更换项目经理时，必须征得发包人同意，并应在更换前5日通知监理人、和发包人。项目经理擅自变更，承包人应向发包人支付5万元/人次的违约金，并无条件予以纠正。由此造成的责任和损失由承包人自行承担。违约金须于5日内交齐，超过5日每逾期一日向发包人增交1000元。</w:t>
      </w:r>
    </w:p>
    <w:p w14:paraId="26B6874E">
      <w:pPr>
        <w:snapToGrid w:val="0"/>
        <w:spacing w:line="360" w:lineRule="auto"/>
        <w:rPr>
          <w:color w:val="auto"/>
          <w:sz w:val="24"/>
          <w:szCs w:val="24"/>
          <w:highlight w:val="none"/>
        </w:rPr>
      </w:pPr>
      <w:r>
        <w:rPr>
          <w:color w:val="auto"/>
          <w:sz w:val="24"/>
          <w:szCs w:val="24"/>
          <w:highlight w:val="none"/>
        </w:rPr>
        <w:t xml:space="preserve">    3.2.4 承包人无正当理由拒绝更换项目经理的违约责任：</w:t>
      </w:r>
      <w:r>
        <w:rPr>
          <w:color w:val="auto"/>
          <w:sz w:val="24"/>
          <w:szCs w:val="24"/>
          <w:highlight w:val="none"/>
          <w:u w:val="single"/>
          <w:lang w:val="en-US" w:eastAsia="zh-CN"/>
        </w:rPr>
        <w:t>承包人应对其项目经理进行有效管理，发包人要求撤换不胜任本职工作、行为不端或玩忽职守的项目经理，承包人应无条件予以撤换。由此而产生的一切费用和责任均由承包人承担。且每发生一次，发包人按签约合同价格 5‰扣除履约保证金。并无条件予以更换。由此造成的责任和损失由承包人自行承担。若承包人拒绝更换项目经理则按违约责任判定，并支付发包人违约金人民币 5 万元，违约金须于 5 日内交齐，超过 5 日每逾期一日向发包人增交 1000 元。</w:t>
      </w:r>
    </w:p>
    <w:p w14:paraId="6CA8798F">
      <w:pPr>
        <w:snapToGrid w:val="0"/>
        <w:spacing w:line="360" w:lineRule="auto"/>
        <w:ind w:firstLine="480" w:firstLineChars="200"/>
        <w:rPr>
          <w:color w:val="auto"/>
          <w:sz w:val="24"/>
          <w:szCs w:val="24"/>
          <w:highlight w:val="none"/>
        </w:rPr>
      </w:pPr>
      <w:r>
        <w:rPr>
          <w:color w:val="auto"/>
          <w:sz w:val="24"/>
          <w:szCs w:val="24"/>
          <w:highlight w:val="none"/>
        </w:rPr>
        <w:t>3.3 承包人人员</w:t>
      </w:r>
    </w:p>
    <w:p w14:paraId="724A9B25">
      <w:pPr>
        <w:pStyle w:val="114"/>
        <w:spacing w:line="480" w:lineRule="exact"/>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3.3.1 </w:t>
      </w:r>
      <w:r>
        <w:rPr>
          <w:rFonts w:hint="eastAsia" w:ascii="宋体" w:hAnsi="宋体" w:cs="Arial"/>
          <w:color w:val="auto"/>
          <w:sz w:val="24"/>
          <w:szCs w:val="24"/>
          <w:highlight w:val="none"/>
        </w:rPr>
        <w:t>承包人提交项目管理机构及施工现场管理人员安排报告的期限：</w:t>
      </w:r>
      <w:r>
        <w:rPr>
          <w:rFonts w:hint="eastAsia" w:ascii="宋体" w:hAnsi="宋体"/>
          <w:color w:val="auto"/>
          <w:sz w:val="24"/>
          <w:szCs w:val="24"/>
          <w:highlight w:val="none"/>
          <w:u w:val="single"/>
        </w:rPr>
        <w:t>执行通用合同条款的相关规定</w:t>
      </w:r>
      <w:r>
        <w:rPr>
          <w:rFonts w:hint="eastAsia" w:ascii="宋体" w:hAnsi="宋体" w:cs="Arial"/>
          <w:color w:val="auto"/>
          <w:sz w:val="24"/>
          <w:szCs w:val="24"/>
          <w:highlight w:val="none"/>
        </w:rPr>
        <w:t>。</w:t>
      </w:r>
    </w:p>
    <w:p w14:paraId="7922B8BA">
      <w:pPr>
        <w:pStyle w:val="114"/>
        <w:spacing w:line="480" w:lineRule="exact"/>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3.3.3 </w:t>
      </w:r>
      <w:r>
        <w:rPr>
          <w:rFonts w:hint="eastAsia" w:ascii="宋体" w:hAnsi="宋体" w:cs="Arial"/>
          <w:color w:val="auto"/>
          <w:sz w:val="24"/>
          <w:szCs w:val="24"/>
          <w:highlight w:val="none"/>
        </w:rPr>
        <w:t>承包人无正当理由拒绝撤换主要施工管理人员的违约责任：</w:t>
      </w:r>
      <w:r>
        <w:rPr>
          <w:rFonts w:hint="eastAsia" w:ascii="宋体" w:hAnsi="宋体" w:cs="Arial"/>
          <w:color w:val="auto"/>
          <w:sz w:val="24"/>
          <w:szCs w:val="24"/>
          <w:highlight w:val="none"/>
          <w:u w:val="single"/>
        </w:rPr>
        <w:t>每发生一次，承包人应向发包人支付相当于合同总价款的1%的违约金，累计超过2次的，发包人有权解除本合同</w:t>
      </w:r>
      <w:r>
        <w:rPr>
          <w:rFonts w:hint="eastAsia" w:ascii="宋体" w:hAnsi="宋体" w:cs="Arial"/>
          <w:color w:val="auto"/>
          <w:sz w:val="24"/>
          <w:szCs w:val="24"/>
          <w:highlight w:val="none"/>
        </w:rPr>
        <w:t>。</w:t>
      </w:r>
    </w:p>
    <w:p w14:paraId="3C18277B">
      <w:pPr>
        <w:pStyle w:val="114"/>
        <w:spacing w:line="480" w:lineRule="exact"/>
        <w:ind w:firstLine="482" w:firstLineChars="200"/>
        <w:rPr>
          <w:rFonts w:hint="eastAsia" w:ascii="宋体" w:hAnsi="宋体"/>
          <w:color w:val="auto"/>
          <w:sz w:val="24"/>
          <w:szCs w:val="24"/>
          <w:highlight w:val="none"/>
          <w:u w:val="single"/>
        </w:rPr>
      </w:pPr>
      <w:r>
        <w:rPr>
          <w:rFonts w:hint="eastAsia" w:ascii="宋体" w:hAnsi="宋体" w:cs="Arial"/>
          <w:b/>
          <w:color w:val="auto"/>
          <w:sz w:val="24"/>
          <w:szCs w:val="24"/>
          <w:highlight w:val="none"/>
        </w:rPr>
        <w:t>3.3.4</w:t>
      </w:r>
      <w:r>
        <w:rPr>
          <w:rFonts w:hint="eastAsia" w:ascii="宋体" w:hAnsi="宋体" w:cs="Arial"/>
          <w:color w:val="auto"/>
          <w:sz w:val="24"/>
          <w:szCs w:val="24"/>
          <w:highlight w:val="none"/>
        </w:rPr>
        <w:t> 承包人主要施工管理人员离开施工现场的批准要求：</w:t>
      </w:r>
      <w:r>
        <w:rPr>
          <w:rFonts w:hint="eastAsia" w:ascii="宋体" w:hAnsi="宋体"/>
          <w:color w:val="auto"/>
          <w:sz w:val="24"/>
          <w:szCs w:val="24"/>
          <w:highlight w:val="none"/>
          <w:u w:val="single"/>
        </w:rPr>
        <w:t>承包人的主要施工管理人员离开施工现场每月累计不超过3天的，应报</w:t>
      </w:r>
      <w:r>
        <w:rPr>
          <w:rFonts w:hint="eastAsia" w:ascii="宋体" w:hAnsi="宋体"/>
          <w:color w:val="auto"/>
          <w:sz w:val="24"/>
          <w:szCs w:val="24"/>
          <w:highlight w:val="none"/>
          <w:u w:val="single"/>
          <w:lang w:eastAsia="zh-CN"/>
        </w:rPr>
        <w:t>招标</w:t>
      </w:r>
      <w:r>
        <w:rPr>
          <w:rFonts w:hint="eastAsia" w:ascii="宋体" w:hAnsi="宋体"/>
          <w:color w:val="auto"/>
          <w:sz w:val="24"/>
          <w:szCs w:val="24"/>
          <w:highlight w:val="none"/>
          <w:u w:val="single"/>
        </w:rPr>
        <w:t>人同意；离开施工现场每月累计超过3天的，应征得发包人的书面同意。主要施工管理人员离开施工现场前应指定一名有经验的人员临时代行其职责，该人员应具备履行相应职责的资格和能力，且应征得发包人的同意。</w:t>
      </w:r>
    </w:p>
    <w:p w14:paraId="264A775A">
      <w:pPr>
        <w:pStyle w:val="114"/>
        <w:spacing w:line="480" w:lineRule="exact"/>
        <w:ind w:firstLine="482" w:firstLineChars="200"/>
        <w:rPr>
          <w:rFonts w:hint="eastAsia" w:ascii="宋体" w:hAnsi="宋体" w:cs="Arial"/>
          <w:color w:val="auto"/>
          <w:sz w:val="24"/>
          <w:szCs w:val="24"/>
          <w:highlight w:val="none"/>
        </w:rPr>
      </w:pPr>
      <w:r>
        <w:rPr>
          <w:rFonts w:hint="eastAsia" w:ascii="宋体" w:hAnsi="宋体" w:cs="Arial"/>
          <w:b/>
          <w:color w:val="auto"/>
          <w:sz w:val="24"/>
          <w:szCs w:val="24"/>
          <w:highlight w:val="none"/>
        </w:rPr>
        <w:t>3.3.5</w:t>
      </w:r>
      <w:r>
        <w:rPr>
          <w:rFonts w:hint="eastAsia" w:ascii="宋体" w:hAnsi="宋体" w:cs="Arial"/>
          <w:color w:val="auto"/>
          <w:sz w:val="24"/>
          <w:szCs w:val="24"/>
          <w:highlight w:val="none"/>
        </w:rPr>
        <w:t>承包人擅自更换主要施工管理人员的违约责任：</w:t>
      </w:r>
      <w:r>
        <w:rPr>
          <w:rFonts w:hint="eastAsia" w:ascii="宋体" w:hAnsi="宋体" w:cs="Arial"/>
          <w:color w:val="auto"/>
          <w:sz w:val="24"/>
          <w:szCs w:val="24"/>
          <w:highlight w:val="none"/>
          <w:u w:val="single"/>
        </w:rPr>
        <w:t>每发生一次，承包人应向发包人支付相当于合同总价款的1%的违约金，累计超过2次的，发包人有权解除本合同。</w:t>
      </w:r>
    </w:p>
    <w:p w14:paraId="5EBF5505">
      <w:pPr>
        <w:pStyle w:val="114"/>
        <w:spacing w:line="48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承包人主要施工管理人员擅自离开施工现场的违约责任：</w:t>
      </w:r>
      <w:r>
        <w:rPr>
          <w:rFonts w:hint="eastAsia" w:ascii="宋体" w:hAnsi="宋体" w:cs="Arial"/>
          <w:color w:val="auto"/>
          <w:sz w:val="24"/>
          <w:szCs w:val="24"/>
          <w:highlight w:val="none"/>
          <w:u w:val="single"/>
        </w:rPr>
        <w:t>承包人应按照5000元/日的标准向发包人支付违约金；累计超过5日的，甲方有权要求更换主要施工管理人员</w:t>
      </w:r>
      <w:r>
        <w:rPr>
          <w:rFonts w:hint="eastAsia" w:ascii="宋体" w:hAnsi="宋体" w:cs="Arial"/>
          <w:color w:val="auto"/>
          <w:sz w:val="24"/>
          <w:szCs w:val="24"/>
          <w:highlight w:val="none"/>
        </w:rPr>
        <w:t>。</w:t>
      </w:r>
    </w:p>
    <w:p w14:paraId="47CC59FA">
      <w:pPr>
        <w:snapToGrid w:val="0"/>
        <w:spacing w:line="360" w:lineRule="auto"/>
        <w:ind w:firstLine="480" w:firstLineChars="200"/>
        <w:rPr>
          <w:color w:val="auto"/>
          <w:sz w:val="24"/>
          <w:szCs w:val="24"/>
          <w:highlight w:val="none"/>
        </w:rPr>
      </w:pPr>
      <w:r>
        <w:rPr>
          <w:color w:val="auto"/>
          <w:sz w:val="24"/>
          <w:szCs w:val="24"/>
          <w:highlight w:val="none"/>
        </w:rPr>
        <w:t>3</w:t>
      </w:r>
      <w:bookmarkStart w:id="637" w:name="_Toc296890987"/>
      <w:bookmarkStart w:id="638" w:name="_Toc296347158"/>
      <w:bookmarkStart w:id="639" w:name="_Toc296346660"/>
      <w:bookmarkStart w:id="640" w:name="_Toc303539102"/>
      <w:bookmarkStart w:id="641" w:name="_Toc296503159"/>
      <w:bookmarkStart w:id="642" w:name="_Toc296891199"/>
      <w:bookmarkStart w:id="643" w:name="_Toc297123492"/>
      <w:bookmarkStart w:id="644" w:name="_Toc297216151"/>
      <w:bookmarkStart w:id="645" w:name="_Toc297120459"/>
      <w:bookmarkStart w:id="646" w:name="_Toc297048345"/>
      <w:bookmarkStart w:id="647" w:name="_Toc292559364"/>
      <w:bookmarkStart w:id="648" w:name="_Toc312677988"/>
      <w:bookmarkStart w:id="649" w:name="_Toc300934945"/>
      <w:bookmarkStart w:id="650" w:name="_Toc304295523"/>
      <w:bookmarkStart w:id="651" w:name="_Toc296944498"/>
      <w:bookmarkStart w:id="652" w:name="_Toc292559869"/>
      <w:r>
        <w:rPr>
          <w:color w:val="auto"/>
          <w:sz w:val="24"/>
          <w:szCs w:val="24"/>
          <w:highlight w:val="none"/>
        </w:rPr>
        <w:t>.5 分包</w:t>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14:paraId="45410C72">
      <w:pPr>
        <w:snapToGrid w:val="0"/>
        <w:spacing w:line="360" w:lineRule="auto"/>
        <w:ind w:firstLine="480" w:firstLineChars="200"/>
        <w:rPr>
          <w:color w:val="auto"/>
          <w:sz w:val="24"/>
          <w:szCs w:val="24"/>
          <w:highlight w:val="none"/>
        </w:rPr>
      </w:pPr>
      <w:r>
        <w:rPr>
          <w:color w:val="auto"/>
          <w:sz w:val="24"/>
          <w:szCs w:val="24"/>
          <w:highlight w:val="none"/>
        </w:rPr>
        <w:t>3</w:t>
      </w:r>
      <w:bookmarkStart w:id="653" w:name="_Toc292559365"/>
      <w:bookmarkStart w:id="654" w:name="_Toc304295524"/>
      <w:bookmarkStart w:id="655" w:name="_Toc296347159"/>
      <w:bookmarkStart w:id="656" w:name="_Toc292559870"/>
      <w:bookmarkStart w:id="657" w:name="_Toc303539103"/>
      <w:bookmarkStart w:id="658" w:name="_Toc300934946"/>
      <w:bookmarkStart w:id="659" w:name="_Toc296890988"/>
      <w:bookmarkStart w:id="660" w:name="_Toc296503160"/>
      <w:bookmarkStart w:id="661" w:name="_Toc296346661"/>
      <w:bookmarkStart w:id="662" w:name="_Toc297048346"/>
      <w:bookmarkStart w:id="663" w:name="_Toc297216152"/>
      <w:bookmarkStart w:id="664" w:name="_Toc297120460"/>
      <w:bookmarkStart w:id="665" w:name="_Toc296891200"/>
      <w:bookmarkStart w:id="666" w:name="_Toc297123493"/>
      <w:bookmarkStart w:id="667" w:name="_Toc296944499"/>
      <w:bookmarkStart w:id="668" w:name="_Toc318581158"/>
      <w:bookmarkStart w:id="669" w:name="_Toc312677989"/>
      <w:r>
        <w:rPr>
          <w:color w:val="auto"/>
          <w:sz w:val="24"/>
          <w:szCs w:val="24"/>
          <w:highlight w:val="none"/>
        </w:rPr>
        <w:t>.5.1 分包的一般约定</w:t>
      </w:r>
    </w:p>
    <w:p w14:paraId="19BF9A7C">
      <w:pPr>
        <w:snapToGrid w:val="0"/>
        <w:spacing w:line="360" w:lineRule="auto"/>
        <w:ind w:firstLine="480" w:firstLineChars="200"/>
        <w:jc w:val="left"/>
        <w:rPr>
          <w:color w:val="auto"/>
          <w:sz w:val="24"/>
          <w:szCs w:val="24"/>
          <w:highlight w:val="none"/>
        </w:rPr>
      </w:pPr>
      <w:r>
        <w:rPr>
          <w:color w:val="auto"/>
          <w:sz w:val="24"/>
          <w:szCs w:val="24"/>
          <w:highlight w:val="none"/>
        </w:rPr>
        <w:t>禁止分包的工程包括：</w:t>
      </w:r>
      <w:r>
        <w:rPr>
          <w:rFonts w:hint="eastAsia"/>
          <w:color w:val="auto"/>
          <w:sz w:val="24"/>
          <w:szCs w:val="24"/>
          <w:highlight w:val="none"/>
          <w:u w:val="single"/>
        </w:rPr>
        <w:t xml:space="preserve">  /  </w:t>
      </w:r>
    </w:p>
    <w:p w14:paraId="1A787D70">
      <w:pPr>
        <w:snapToGrid w:val="0"/>
        <w:spacing w:line="360" w:lineRule="auto"/>
        <w:ind w:firstLine="480" w:firstLineChars="200"/>
        <w:jc w:val="left"/>
        <w:rPr>
          <w:color w:val="auto"/>
          <w:sz w:val="24"/>
          <w:szCs w:val="24"/>
          <w:highlight w:val="none"/>
          <w:u w:val="single"/>
        </w:rPr>
      </w:pPr>
      <w:r>
        <w:rPr>
          <w:color w:val="auto"/>
          <w:sz w:val="24"/>
          <w:szCs w:val="24"/>
          <w:highlight w:val="none"/>
        </w:rPr>
        <w:t>主体结构、关键性工作的范围：</w:t>
      </w:r>
      <w:r>
        <w:rPr>
          <w:color w:val="auto"/>
          <w:sz w:val="24"/>
          <w:szCs w:val="24"/>
          <w:highlight w:val="none"/>
          <w:u w:val="single"/>
        </w:rPr>
        <w:t xml:space="preserve">  </w:t>
      </w:r>
      <w:r>
        <w:rPr>
          <w:rFonts w:hint="eastAsia"/>
          <w:color w:val="auto"/>
          <w:sz w:val="24"/>
          <w:szCs w:val="24"/>
          <w:highlight w:val="none"/>
          <w:u w:val="single"/>
        </w:rPr>
        <w:t>/</w:t>
      </w:r>
      <w:r>
        <w:rPr>
          <w:color w:val="auto"/>
          <w:sz w:val="24"/>
          <w:szCs w:val="24"/>
          <w:highlight w:val="none"/>
          <w:u w:val="single"/>
        </w:rPr>
        <w:t xml:space="preserve">  </w:t>
      </w:r>
      <w:r>
        <w:rPr>
          <w:color w:val="auto"/>
          <w:sz w:val="24"/>
          <w:szCs w:val="24"/>
          <w:highlight w:val="none"/>
        </w:rPr>
        <w:t>。</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Start w:id="670" w:name="_Toc304295525"/>
      <w:bookmarkStart w:id="671" w:name="_Toc303539104"/>
      <w:bookmarkStart w:id="672" w:name="_Toc296347160"/>
      <w:bookmarkStart w:id="673" w:name="_Toc296944500"/>
      <w:bookmarkStart w:id="674" w:name="_Toc296346662"/>
      <w:bookmarkStart w:id="675" w:name="_Toc300934947"/>
      <w:bookmarkStart w:id="676" w:name="_Toc296503161"/>
      <w:bookmarkStart w:id="677" w:name="_Toc297048347"/>
      <w:bookmarkStart w:id="678" w:name="_Toc297120461"/>
      <w:bookmarkStart w:id="679" w:name="_Toc297216153"/>
      <w:bookmarkStart w:id="680" w:name="_Toc297123494"/>
      <w:bookmarkStart w:id="681" w:name="_Toc296891201"/>
      <w:bookmarkStart w:id="682" w:name="_Toc296890989"/>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6A75B581">
      <w:pPr>
        <w:snapToGrid w:val="0"/>
        <w:spacing w:line="360" w:lineRule="auto"/>
        <w:rPr>
          <w:color w:val="auto"/>
          <w:sz w:val="24"/>
          <w:szCs w:val="24"/>
          <w:highlight w:val="none"/>
        </w:rPr>
      </w:pPr>
      <w:r>
        <w:rPr>
          <w:color w:val="auto"/>
          <w:sz w:val="24"/>
          <w:szCs w:val="24"/>
          <w:highlight w:val="none"/>
        </w:rPr>
        <w:t xml:space="preserve">    3</w:t>
      </w:r>
      <w:bookmarkStart w:id="683" w:name="_Toc318581159"/>
      <w:bookmarkStart w:id="684" w:name="_Toc312677990"/>
      <w:r>
        <w:rPr>
          <w:color w:val="auto"/>
          <w:sz w:val="24"/>
          <w:szCs w:val="24"/>
          <w:highlight w:val="none"/>
        </w:rPr>
        <w:t>.5.2分包的确定</w:t>
      </w:r>
    </w:p>
    <w:p w14:paraId="053D4315">
      <w:pPr>
        <w:snapToGrid w:val="0"/>
        <w:spacing w:line="360" w:lineRule="auto"/>
        <w:ind w:firstLine="480" w:firstLineChars="200"/>
        <w:rPr>
          <w:color w:val="auto"/>
          <w:sz w:val="24"/>
          <w:szCs w:val="24"/>
          <w:highlight w:val="none"/>
          <w:u w:val="single"/>
        </w:rPr>
      </w:pPr>
      <w:r>
        <w:rPr>
          <w:color w:val="auto"/>
          <w:sz w:val="24"/>
          <w:szCs w:val="24"/>
          <w:highlight w:val="none"/>
        </w:rPr>
        <w:t>允许分包的专业工程包括：</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p>
    <w:p w14:paraId="2B6BCDA5">
      <w:pPr>
        <w:snapToGrid w:val="0"/>
        <w:spacing w:line="360" w:lineRule="auto"/>
        <w:rPr>
          <w:color w:val="auto"/>
          <w:sz w:val="24"/>
          <w:szCs w:val="24"/>
          <w:highlight w:val="none"/>
        </w:rPr>
      </w:pPr>
      <w:r>
        <w:rPr>
          <w:color w:val="auto"/>
          <w:sz w:val="24"/>
          <w:szCs w:val="24"/>
          <w:highlight w:val="none"/>
        </w:rPr>
        <w:t xml:space="preserve">    其他关于分包的约定：</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bookmarkEnd w:id="683"/>
    <w:bookmarkEnd w:id="684"/>
    <w:p w14:paraId="7EC6106E">
      <w:pPr>
        <w:snapToGrid w:val="0"/>
        <w:spacing w:line="360" w:lineRule="auto"/>
        <w:ind w:firstLine="480" w:firstLineChars="200"/>
        <w:rPr>
          <w:color w:val="auto"/>
          <w:sz w:val="24"/>
          <w:szCs w:val="24"/>
          <w:highlight w:val="none"/>
        </w:rPr>
      </w:pPr>
      <w:bookmarkStart w:id="685" w:name="_Toc351203636"/>
      <w:r>
        <w:rPr>
          <w:color w:val="auto"/>
          <w:sz w:val="24"/>
          <w:szCs w:val="24"/>
          <w:highlight w:val="none"/>
        </w:rPr>
        <w:t>3.5.4 分包合同价款</w:t>
      </w:r>
    </w:p>
    <w:p w14:paraId="0ECCDB74">
      <w:pPr>
        <w:snapToGrid w:val="0"/>
        <w:spacing w:line="360" w:lineRule="auto"/>
        <w:ind w:firstLine="480" w:firstLineChars="200"/>
        <w:rPr>
          <w:color w:val="auto"/>
          <w:sz w:val="24"/>
          <w:szCs w:val="24"/>
          <w:highlight w:val="none"/>
        </w:rPr>
      </w:pPr>
      <w:r>
        <w:rPr>
          <w:color w:val="auto"/>
          <w:sz w:val="24"/>
          <w:szCs w:val="24"/>
          <w:highlight w:val="none"/>
        </w:rPr>
        <w:t>关于分包合同价款支付的约定：</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w:t>
      </w:r>
    </w:p>
    <w:p w14:paraId="1F2768D5">
      <w:pPr>
        <w:snapToGrid w:val="0"/>
        <w:spacing w:line="360" w:lineRule="auto"/>
        <w:ind w:firstLine="480" w:firstLineChars="200"/>
        <w:rPr>
          <w:color w:val="auto"/>
          <w:sz w:val="24"/>
          <w:szCs w:val="24"/>
          <w:highlight w:val="none"/>
        </w:rPr>
      </w:pPr>
      <w:r>
        <w:rPr>
          <w:color w:val="auto"/>
          <w:sz w:val="24"/>
          <w:szCs w:val="24"/>
          <w:highlight w:val="none"/>
        </w:rPr>
        <w:t>3.6 工程照管与成品、半成品保护</w:t>
      </w:r>
    </w:p>
    <w:p w14:paraId="4967C4A5">
      <w:pPr>
        <w:snapToGrid w:val="0"/>
        <w:spacing w:line="360" w:lineRule="auto"/>
        <w:ind w:firstLine="480" w:firstLineChars="200"/>
        <w:rPr>
          <w:color w:val="auto"/>
          <w:sz w:val="24"/>
          <w:szCs w:val="24"/>
          <w:highlight w:val="none"/>
          <w:u w:val="single"/>
        </w:rPr>
      </w:pPr>
      <w:r>
        <w:rPr>
          <w:color w:val="auto"/>
          <w:sz w:val="24"/>
          <w:szCs w:val="24"/>
          <w:highlight w:val="none"/>
        </w:rPr>
        <w:t xml:space="preserve">承包人负责照管工程及工程相关的材料、工程设备的起始时间： </w:t>
      </w:r>
      <w:r>
        <w:rPr>
          <w:color w:val="auto"/>
          <w:sz w:val="24"/>
          <w:szCs w:val="24"/>
          <w:highlight w:val="none"/>
          <w:u w:val="single"/>
        </w:rPr>
        <w:t xml:space="preserve">自发包人向承包人移交施工现场之日始至验收交付使用日止，承包人负责照管工程及工程相关的材料、工程设备，费用由承包人承担。  </w:t>
      </w:r>
    </w:p>
    <w:p w14:paraId="47FC022F">
      <w:pPr>
        <w:snapToGrid w:val="0"/>
        <w:spacing w:line="360" w:lineRule="auto"/>
        <w:ind w:firstLine="480" w:firstLineChars="200"/>
        <w:rPr>
          <w:color w:val="auto"/>
          <w:sz w:val="24"/>
          <w:szCs w:val="24"/>
          <w:highlight w:val="none"/>
        </w:rPr>
      </w:pPr>
      <w:r>
        <w:rPr>
          <w:color w:val="auto"/>
          <w:sz w:val="24"/>
          <w:szCs w:val="24"/>
          <w:highlight w:val="none"/>
        </w:rPr>
        <w:t xml:space="preserve"> 3.7 履约担保</w:t>
      </w:r>
    </w:p>
    <w:p w14:paraId="55236A53">
      <w:pPr>
        <w:snapToGrid w:val="0"/>
        <w:spacing w:line="360" w:lineRule="auto"/>
        <w:ind w:firstLine="480" w:firstLineChars="200"/>
        <w:rPr>
          <w:color w:val="auto"/>
          <w:sz w:val="24"/>
          <w:szCs w:val="24"/>
          <w:highlight w:val="none"/>
        </w:rPr>
      </w:pPr>
      <w:r>
        <w:rPr>
          <w:color w:val="auto"/>
          <w:sz w:val="24"/>
          <w:szCs w:val="24"/>
          <w:highlight w:val="none"/>
        </w:rPr>
        <w:t>承包人是否提供履约担保：</w:t>
      </w:r>
      <w:r>
        <w:rPr>
          <w:rFonts w:hint="eastAsia"/>
          <w:bCs/>
          <w:color w:val="auto"/>
          <w:sz w:val="24"/>
          <w:szCs w:val="24"/>
          <w:highlight w:val="none"/>
          <w:u w:val="single"/>
        </w:rPr>
        <w:t xml:space="preserve"> </w:t>
      </w:r>
      <w:r>
        <w:rPr>
          <w:rFonts w:hint="eastAsia"/>
          <w:bCs/>
          <w:color w:val="auto"/>
          <w:sz w:val="24"/>
          <w:szCs w:val="24"/>
          <w:highlight w:val="none"/>
          <w:u w:val="single"/>
          <w:lang w:eastAsia="zh-CN"/>
        </w:rPr>
        <w:t>提供</w:t>
      </w:r>
      <w:r>
        <w:rPr>
          <w:rFonts w:hint="eastAsia"/>
          <w:bCs/>
          <w:color w:val="auto"/>
          <w:sz w:val="24"/>
          <w:szCs w:val="24"/>
          <w:highlight w:val="none"/>
          <w:u w:val="single"/>
        </w:rPr>
        <w:t xml:space="preserve"> </w:t>
      </w:r>
      <w:r>
        <w:rPr>
          <w:rFonts w:hint="eastAsia"/>
          <w:color w:val="auto"/>
          <w:sz w:val="24"/>
          <w:szCs w:val="24"/>
          <w:highlight w:val="none"/>
        </w:rPr>
        <w:t xml:space="preserve"> </w:t>
      </w:r>
      <w:r>
        <w:rPr>
          <w:color w:val="auto"/>
          <w:sz w:val="24"/>
          <w:szCs w:val="24"/>
          <w:highlight w:val="none"/>
        </w:rPr>
        <w:t>。</w:t>
      </w:r>
    </w:p>
    <w:p w14:paraId="14E50142">
      <w:pPr>
        <w:snapToGrid w:val="0"/>
        <w:spacing w:line="360" w:lineRule="auto"/>
        <w:ind w:firstLine="480" w:firstLineChars="200"/>
        <w:rPr>
          <w:color w:val="auto"/>
          <w:sz w:val="24"/>
          <w:szCs w:val="24"/>
          <w:highlight w:val="none"/>
        </w:rPr>
      </w:pPr>
      <w:r>
        <w:rPr>
          <w:color w:val="auto"/>
          <w:sz w:val="24"/>
          <w:szCs w:val="24"/>
          <w:highlight w:val="none"/>
        </w:rPr>
        <w:t>承包人提供履约担保的形式、金额及期限的：</w:t>
      </w:r>
    </w:p>
    <w:p w14:paraId="5494967E">
      <w:pPr>
        <w:numPr>
          <w:ilvl w:val="0"/>
          <w:numId w:val="0"/>
        </w:numPr>
        <w:snapToGrid w:val="0"/>
        <w:spacing w:line="360" w:lineRule="auto"/>
        <w:ind w:firstLine="480" w:firstLineChars="200"/>
        <w:rPr>
          <w:rFonts w:hint="eastAsia"/>
          <w:color w:val="auto"/>
          <w:sz w:val="24"/>
          <w:szCs w:val="24"/>
          <w:highlight w:val="none"/>
          <w:u w:val="single"/>
        </w:rPr>
      </w:pPr>
      <w:r>
        <w:rPr>
          <w:rFonts w:hint="eastAsia"/>
          <w:color w:val="auto"/>
          <w:sz w:val="24"/>
          <w:szCs w:val="24"/>
          <w:highlight w:val="none"/>
          <w:u w:val="single"/>
          <w:lang w:eastAsia="zh-CN"/>
        </w:rPr>
        <w:t>（</w:t>
      </w:r>
      <w:r>
        <w:rPr>
          <w:rFonts w:hint="eastAsia"/>
          <w:color w:val="auto"/>
          <w:sz w:val="24"/>
          <w:szCs w:val="24"/>
          <w:highlight w:val="none"/>
          <w:u w:val="single"/>
          <w:lang w:val="en-US" w:eastAsia="zh-CN"/>
        </w:rPr>
        <w:t>1）</w:t>
      </w:r>
      <w:r>
        <w:rPr>
          <w:rFonts w:hint="eastAsia"/>
          <w:color w:val="auto"/>
          <w:sz w:val="24"/>
          <w:szCs w:val="24"/>
          <w:highlight w:val="none"/>
          <w:u w:val="single"/>
        </w:rPr>
        <w:t>在签订合同前，承包人向发包人提交中标价款的3%履约保证金，以转账或网银提交。在承包人无违约的情况下，工程竣工验收合格及竣工结算完成后无任何问题，发包人在30日内向承包人退回（不计息）。</w:t>
      </w:r>
    </w:p>
    <w:p w14:paraId="71278753">
      <w:pPr>
        <w:numPr>
          <w:ilvl w:val="0"/>
          <w:numId w:val="0"/>
        </w:numPr>
        <w:snapToGrid w:val="0"/>
        <w:spacing w:line="360" w:lineRule="auto"/>
        <w:ind w:firstLine="480" w:firstLineChars="200"/>
        <w:rPr>
          <w:rFonts w:hint="eastAsia"/>
          <w:color w:val="auto"/>
          <w:sz w:val="24"/>
          <w:szCs w:val="24"/>
          <w:highlight w:val="none"/>
          <w:u w:val="none"/>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2）</w:t>
      </w:r>
      <w:r>
        <w:rPr>
          <w:rFonts w:hint="eastAsia"/>
          <w:color w:val="auto"/>
          <w:sz w:val="24"/>
          <w:szCs w:val="24"/>
          <w:highlight w:val="none"/>
          <w:u w:val="none"/>
        </w:rPr>
        <w:t>不得以该项目工程款抵扣履约保证金。</w:t>
      </w:r>
    </w:p>
    <w:p w14:paraId="62C3F282">
      <w:pPr>
        <w:numPr>
          <w:ilvl w:val="0"/>
          <w:numId w:val="0"/>
        </w:numPr>
        <w:snapToGrid w:val="0"/>
        <w:spacing w:line="360" w:lineRule="auto"/>
        <w:ind w:firstLine="480" w:firstLineChars="200"/>
        <w:rPr>
          <w:color w:val="auto"/>
          <w:sz w:val="24"/>
          <w:szCs w:val="24"/>
          <w:highlight w:val="none"/>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3）</w:t>
      </w:r>
      <w:r>
        <w:rPr>
          <w:rFonts w:hint="eastAsia" w:eastAsia="宋体"/>
          <w:color w:val="auto"/>
          <w:highlight w:val="none"/>
          <w:lang w:val="en-US" w:eastAsia="zh-CN"/>
        </w:rPr>
        <w:t>履约保证金不予退还的情形：</w:t>
      </w:r>
      <w:r>
        <w:rPr>
          <w:rFonts w:hint="eastAsia" w:eastAsia="宋体"/>
          <w:color w:val="auto"/>
          <w:highlight w:val="none"/>
          <w:u w:val="single"/>
          <w:lang w:val="en-US" w:eastAsia="zh-CN"/>
        </w:rPr>
        <w:t>①在承包人不履行应承担的义务或因过失导致发包人或第三方损失而承包人又拒绝承担赔偿责任时，发包人有权对履约保证金进行处置，如本履约保证金数额不足以赔偿发包人或第三方损失时，发包人还有权继续对承包人进行追讨。②承包人无正当理由单方面解除合同的，履约保证金不予退还。③承包人违反合同约定或出现违法行为时，发包人有权扣减成交供应商的履约保证金，具体按照合同违约责任执行。④未经发包人同意，承包人以任何理由连续停工达到三天的，发包人有权单方面解除合同，履约保证金不予退还</w:t>
      </w:r>
      <w:r>
        <w:rPr>
          <w:rFonts w:hint="eastAsia" w:eastAsia="宋体"/>
          <w:color w:val="auto"/>
          <w:highlight w:val="none"/>
          <w:u w:val="none"/>
          <w:lang w:val="en-US" w:eastAsia="zh-CN"/>
        </w:rPr>
        <w:t>。</w:t>
      </w:r>
      <w:bookmarkEnd w:id="685"/>
    </w:p>
    <w:p w14:paraId="62AF7E67">
      <w:pPr>
        <w:pStyle w:val="113"/>
        <w:ind w:left="0" w:leftChars="0" w:firstLine="0" w:firstLineChars="0"/>
        <w:rPr>
          <w:b/>
          <w:bCs/>
          <w:color w:val="auto"/>
          <w:highlight w:val="none"/>
        </w:rPr>
      </w:pPr>
      <w:r>
        <w:rPr>
          <w:b/>
          <w:bCs/>
          <w:color w:val="auto"/>
          <w:highlight w:val="none"/>
          <w:lang w:val="en-US" w:eastAsia="zh-CN"/>
        </w:rPr>
        <w:t>4. 监理人</w:t>
      </w:r>
    </w:p>
    <w:p w14:paraId="2DAE1D1A">
      <w:pPr>
        <w:pStyle w:val="113"/>
        <w:rPr>
          <w:color w:val="auto"/>
          <w:highlight w:val="none"/>
        </w:rPr>
      </w:pPr>
      <w:r>
        <w:rPr>
          <w:color w:val="auto"/>
          <w:highlight w:val="none"/>
          <w:lang w:val="en-US" w:eastAsia="zh-CN"/>
        </w:rPr>
        <w:t xml:space="preserve">4.1 监理人的一般规定 </w:t>
      </w:r>
    </w:p>
    <w:p w14:paraId="7937466B">
      <w:pPr>
        <w:pStyle w:val="113"/>
        <w:rPr>
          <w:color w:val="auto"/>
          <w:highlight w:val="none"/>
        </w:rPr>
      </w:pPr>
      <w:r>
        <w:rPr>
          <w:color w:val="auto"/>
          <w:highlight w:val="none"/>
          <w:lang w:val="en-US" w:eastAsia="zh-CN"/>
        </w:rPr>
        <w:t>关于监理人的监理内容：</w:t>
      </w:r>
      <w:r>
        <w:rPr>
          <w:color w:val="auto"/>
          <w:highlight w:val="none"/>
          <w:u w:val="single"/>
          <w:lang w:val="en-US" w:eastAsia="zh-CN"/>
        </w:rPr>
        <w:t>详见监理合同</w:t>
      </w:r>
      <w:r>
        <w:rPr>
          <w:color w:val="auto"/>
          <w:highlight w:val="none"/>
          <w:lang w:val="en-US" w:eastAsia="zh-CN"/>
        </w:rPr>
        <w:t xml:space="preserve">。 </w:t>
      </w:r>
    </w:p>
    <w:p w14:paraId="1E2BADF6">
      <w:pPr>
        <w:pStyle w:val="113"/>
        <w:rPr>
          <w:color w:val="auto"/>
          <w:highlight w:val="none"/>
        </w:rPr>
      </w:pPr>
      <w:r>
        <w:rPr>
          <w:color w:val="auto"/>
          <w:highlight w:val="none"/>
          <w:lang w:val="en-US" w:eastAsia="zh-CN"/>
        </w:rPr>
        <w:t>关于监理人的监理权限：</w:t>
      </w:r>
      <w:r>
        <w:rPr>
          <w:color w:val="auto"/>
          <w:highlight w:val="none"/>
          <w:u w:val="single"/>
          <w:lang w:val="en-US" w:eastAsia="zh-CN"/>
        </w:rPr>
        <w:t>详见监理合同</w:t>
      </w:r>
      <w:r>
        <w:rPr>
          <w:color w:val="auto"/>
          <w:highlight w:val="none"/>
          <w:lang w:val="en-US" w:eastAsia="zh-CN"/>
        </w:rPr>
        <w:t xml:space="preserve">。 </w:t>
      </w:r>
    </w:p>
    <w:p w14:paraId="59EC4106">
      <w:pPr>
        <w:pStyle w:val="113"/>
        <w:rPr>
          <w:color w:val="auto"/>
          <w:highlight w:val="none"/>
          <w:lang w:val="en-US" w:eastAsia="zh-CN"/>
        </w:rPr>
      </w:pPr>
      <w:r>
        <w:rPr>
          <w:color w:val="auto"/>
          <w:highlight w:val="none"/>
          <w:lang w:val="en-US" w:eastAsia="zh-CN"/>
        </w:rPr>
        <w:t>关于监理人在施工现场的办公场所、生活场所的提供和费用承担的约定：</w:t>
      </w:r>
      <w:r>
        <w:rPr>
          <w:color w:val="auto"/>
          <w:highlight w:val="none"/>
          <w:u w:val="single"/>
          <w:lang w:val="en-US" w:eastAsia="zh-CN"/>
        </w:rPr>
        <w:t>自行承担</w:t>
      </w:r>
      <w:r>
        <w:rPr>
          <w:color w:val="auto"/>
          <w:highlight w:val="none"/>
          <w:lang w:val="en-US" w:eastAsia="zh-CN"/>
        </w:rPr>
        <w:t>。</w:t>
      </w:r>
    </w:p>
    <w:p w14:paraId="3867BF8B">
      <w:pPr>
        <w:numPr>
          <w:ilvl w:val="0"/>
          <w:numId w:val="0"/>
        </w:numPr>
        <w:snapToGrid w:val="0"/>
        <w:spacing w:line="360" w:lineRule="auto"/>
        <w:ind w:firstLine="480" w:firstLineChars="200"/>
        <w:rPr>
          <w:color w:val="auto"/>
          <w:sz w:val="24"/>
          <w:szCs w:val="24"/>
          <w:highlight w:val="none"/>
        </w:rPr>
      </w:pPr>
      <w:r>
        <w:rPr>
          <w:rFonts w:hint="eastAsia"/>
          <w:color w:val="auto"/>
          <w:sz w:val="24"/>
          <w:szCs w:val="24"/>
          <w:highlight w:val="none"/>
          <w:lang w:val="en-US" w:eastAsia="zh-CN"/>
        </w:rPr>
        <w:t>4.4</w:t>
      </w:r>
      <w:r>
        <w:rPr>
          <w:color w:val="auto"/>
          <w:sz w:val="24"/>
          <w:szCs w:val="24"/>
          <w:highlight w:val="none"/>
        </w:rPr>
        <w:t>商定或确定</w:t>
      </w:r>
    </w:p>
    <w:p w14:paraId="7B47BE01">
      <w:pPr>
        <w:snapToGrid w:val="0"/>
        <w:spacing w:line="360" w:lineRule="auto"/>
        <w:ind w:firstLine="480" w:firstLineChars="200"/>
        <w:rPr>
          <w:color w:val="auto"/>
          <w:sz w:val="24"/>
          <w:szCs w:val="24"/>
          <w:highlight w:val="none"/>
        </w:rPr>
      </w:pPr>
      <w:bookmarkStart w:id="686" w:name="_Toc267251418"/>
      <w:r>
        <w:rPr>
          <w:color w:val="auto"/>
          <w:sz w:val="24"/>
          <w:szCs w:val="24"/>
          <w:highlight w:val="none"/>
        </w:rPr>
        <w:t>在发包人和承包人不能通过协商达成一致意见时，发包人授权</w:t>
      </w:r>
      <w:r>
        <w:rPr>
          <w:rFonts w:hint="eastAsia"/>
          <w:color w:val="auto"/>
          <w:sz w:val="24"/>
          <w:szCs w:val="24"/>
          <w:highlight w:val="none"/>
          <w:lang w:eastAsia="zh-CN"/>
        </w:rPr>
        <w:t>发包</w:t>
      </w:r>
      <w:r>
        <w:rPr>
          <w:color w:val="auto"/>
          <w:sz w:val="24"/>
          <w:szCs w:val="24"/>
          <w:highlight w:val="none"/>
        </w:rPr>
        <w:t>人对以下事项进行确定：</w:t>
      </w:r>
    </w:p>
    <w:p w14:paraId="655399CE">
      <w:pPr>
        <w:pStyle w:val="113"/>
        <w:rPr>
          <w:color w:val="auto"/>
          <w:highlight w:val="none"/>
        </w:rPr>
      </w:pPr>
      <w:r>
        <w:rPr>
          <w:color w:val="auto"/>
          <w:highlight w:val="none"/>
          <w:lang w:val="en-US" w:eastAsia="zh-CN"/>
        </w:rPr>
        <w:t xml:space="preserve">（1） 对承包人的施工进度、质量、安全、造价的监督权； </w:t>
      </w:r>
    </w:p>
    <w:p w14:paraId="2938FB3B">
      <w:pPr>
        <w:pStyle w:val="113"/>
        <w:rPr>
          <w:color w:val="auto"/>
          <w:highlight w:val="none"/>
        </w:rPr>
      </w:pPr>
      <w:r>
        <w:rPr>
          <w:color w:val="auto"/>
          <w:highlight w:val="none"/>
          <w:lang w:val="en-US" w:eastAsia="zh-CN"/>
        </w:rPr>
        <w:t xml:space="preserve">（2）对发包人和设计单位的建议权； </w:t>
      </w:r>
    </w:p>
    <w:p w14:paraId="3D18DDD8">
      <w:pPr>
        <w:pStyle w:val="113"/>
        <w:rPr>
          <w:color w:val="auto"/>
          <w:highlight w:val="none"/>
        </w:rPr>
      </w:pPr>
      <w:r>
        <w:rPr>
          <w:color w:val="auto"/>
          <w:highlight w:val="none"/>
          <w:lang w:val="en-US" w:eastAsia="zh-CN"/>
        </w:rPr>
        <w:t>（3）处于独立地方的组织协调权。</w:t>
      </w:r>
    </w:p>
    <w:p w14:paraId="64B91C85">
      <w:pPr>
        <w:pStyle w:val="5"/>
        <w:snapToGrid w:val="0"/>
        <w:spacing w:before="0" w:after="0" w:line="384" w:lineRule="auto"/>
        <w:rPr>
          <w:rFonts w:ascii="Times New Roman" w:hAnsi="Times New Roman" w:eastAsia="宋体"/>
          <w:bCs/>
          <w:color w:val="auto"/>
          <w:sz w:val="24"/>
          <w:szCs w:val="24"/>
          <w:highlight w:val="none"/>
        </w:rPr>
      </w:pPr>
      <w:bookmarkStart w:id="687" w:name="_Toc351203637"/>
      <w:r>
        <w:rPr>
          <w:rFonts w:ascii="Times New Roman" w:hAnsi="Times New Roman" w:eastAsia="宋体"/>
          <w:bCs/>
          <w:color w:val="auto"/>
          <w:sz w:val="24"/>
          <w:szCs w:val="24"/>
          <w:highlight w:val="none"/>
        </w:rPr>
        <w:t>5</w:t>
      </w:r>
      <w:bookmarkEnd w:id="686"/>
      <w:bookmarkStart w:id="688" w:name="_Toc296891203"/>
      <w:bookmarkStart w:id="689" w:name="_Toc297048349"/>
      <w:bookmarkStart w:id="690" w:name="_Toc296347162"/>
      <w:bookmarkStart w:id="691" w:name="_Toc296944502"/>
      <w:bookmarkStart w:id="692" w:name="_Toc292559872"/>
      <w:bookmarkStart w:id="693" w:name="_Toc296503163"/>
      <w:bookmarkStart w:id="694" w:name="_Toc297120463"/>
      <w:bookmarkStart w:id="695" w:name="_Toc296890991"/>
      <w:bookmarkStart w:id="696" w:name="_Toc296346664"/>
      <w:bookmarkStart w:id="697" w:name="_Toc292559367"/>
      <w:r>
        <w:rPr>
          <w:rFonts w:ascii="Times New Roman" w:hAnsi="Times New Roman" w:eastAsia="宋体"/>
          <w:bCs/>
          <w:color w:val="auto"/>
          <w:sz w:val="24"/>
          <w:szCs w:val="24"/>
          <w:highlight w:val="none"/>
        </w:rPr>
        <w:t>. 工程质量</w:t>
      </w:r>
      <w:bookmarkEnd w:id="687"/>
    </w:p>
    <w:p w14:paraId="30249300">
      <w:pPr>
        <w:snapToGrid w:val="0"/>
        <w:spacing w:line="384" w:lineRule="auto"/>
        <w:ind w:firstLine="480" w:firstLineChars="200"/>
        <w:rPr>
          <w:color w:val="auto"/>
          <w:sz w:val="24"/>
          <w:szCs w:val="24"/>
          <w:highlight w:val="none"/>
        </w:rPr>
      </w:pPr>
      <w:r>
        <w:rPr>
          <w:color w:val="auto"/>
          <w:sz w:val="24"/>
          <w:szCs w:val="24"/>
          <w:highlight w:val="none"/>
        </w:rPr>
        <w:t>5.1 质量要求</w:t>
      </w:r>
    </w:p>
    <w:p w14:paraId="223A852D">
      <w:pPr>
        <w:snapToGrid w:val="0"/>
        <w:spacing w:line="384" w:lineRule="auto"/>
        <w:ind w:firstLine="480" w:firstLineChars="200"/>
        <w:jc w:val="left"/>
        <w:rPr>
          <w:color w:val="auto"/>
          <w:sz w:val="24"/>
          <w:szCs w:val="24"/>
          <w:highlight w:val="none"/>
        </w:rPr>
      </w:pPr>
      <w:r>
        <w:rPr>
          <w:color w:val="auto"/>
          <w:sz w:val="24"/>
          <w:szCs w:val="24"/>
          <w:highlight w:val="none"/>
        </w:rPr>
        <w:t>5</w:t>
      </w:r>
      <w:bookmarkStart w:id="698" w:name="_Toc300934949"/>
      <w:bookmarkStart w:id="699" w:name="_Toc312677997"/>
      <w:bookmarkStart w:id="700" w:name="_Toc297216155"/>
      <w:bookmarkStart w:id="701" w:name="_Toc303539106"/>
      <w:bookmarkStart w:id="702" w:name="_Toc304295527"/>
      <w:bookmarkStart w:id="703" w:name="_Toc297123496"/>
      <w:bookmarkStart w:id="704" w:name="_Toc318581164"/>
      <w:r>
        <w:rPr>
          <w:color w:val="auto"/>
          <w:sz w:val="24"/>
          <w:szCs w:val="24"/>
          <w:highlight w:val="none"/>
        </w:rPr>
        <w:t>.1.1 特殊质量标准和要求：</w:t>
      </w:r>
      <w:r>
        <w:rPr>
          <w:color w:val="auto"/>
          <w:sz w:val="24"/>
          <w:szCs w:val="24"/>
          <w:highlight w:val="none"/>
          <w:u w:val="single"/>
          <w:lang w:val="en-US" w:eastAsia="zh-CN"/>
        </w:rPr>
        <w:t>工程质量标准必须符合现行国家有关工程施工质量验收规范和标准要求，符合国家《建筑工程质量验收标准及建筑工程质量验收统一标准》的合格等级，同时执行新疆维吾尔自治区、</w:t>
      </w:r>
      <w:r>
        <w:rPr>
          <w:rFonts w:hint="eastAsia"/>
          <w:color w:val="auto"/>
          <w:sz w:val="24"/>
          <w:szCs w:val="24"/>
          <w:highlight w:val="none"/>
          <w:u w:val="single"/>
          <w:lang w:val="en-US" w:eastAsia="zh-CN"/>
        </w:rPr>
        <w:t>石河子</w:t>
      </w:r>
      <w:r>
        <w:rPr>
          <w:color w:val="auto"/>
          <w:sz w:val="24"/>
          <w:szCs w:val="24"/>
          <w:highlight w:val="none"/>
          <w:u w:val="single"/>
          <w:lang w:val="en-US" w:eastAsia="zh-CN"/>
        </w:rPr>
        <w:t>市建设工程竣工备案实施的具体要求</w:t>
      </w:r>
      <w:r>
        <w:rPr>
          <w:color w:val="auto"/>
          <w:sz w:val="24"/>
          <w:szCs w:val="24"/>
          <w:highlight w:val="none"/>
          <w:lang w:val="en-US" w:eastAsia="zh-CN"/>
        </w:rPr>
        <w:t>。</w:t>
      </w:r>
    </w:p>
    <w:p w14:paraId="5257C61A">
      <w:pPr>
        <w:snapToGrid w:val="0"/>
        <w:spacing w:line="384" w:lineRule="auto"/>
        <w:jc w:val="left"/>
        <w:rPr>
          <w:color w:val="auto"/>
          <w:sz w:val="24"/>
          <w:szCs w:val="24"/>
          <w:highlight w:val="none"/>
        </w:rPr>
      </w:pPr>
      <w:r>
        <w:rPr>
          <w:color w:val="auto"/>
          <w:sz w:val="24"/>
          <w:szCs w:val="24"/>
          <w:highlight w:val="none"/>
        </w:rPr>
        <w:t xml:space="preserve">    关于工程奖项的约定：</w:t>
      </w:r>
      <w:r>
        <w:rPr>
          <w:color w:val="auto"/>
          <w:sz w:val="24"/>
          <w:szCs w:val="24"/>
          <w:highlight w:val="none"/>
          <w:u w:val="single"/>
        </w:rPr>
        <w:t xml:space="preserve">  </w:t>
      </w:r>
      <w:r>
        <w:rPr>
          <w:rFonts w:hint="eastAsia"/>
          <w:color w:val="auto"/>
          <w:sz w:val="24"/>
          <w:szCs w:val="24"/>
          <w:highlight w:val="none"/>
          <w:u w:val="single"/>
        </w:rPr>
        <w:t>无</w:t>
      </w:r>
      <w:r>
        <w:rPr>
          <w:color w:val="auto"/>
          <w:sz w:val="24"/>
          <w:szCs w:val="24"/>
          <w:highlight w:val="none"/>
          <w:u w:val="single"/>
        </w:rPr>
        <w:t xml:space="preserve">  </w:t>
      </w:r>
      <w:r>
        <w:rPr>
          <w:color w:val="auto"/>
          <w:sz w:val="24"/>
          <w:szCs w:val="24"/>
          <w:highlight w:val="none"/>
        </w:rPr>
        <w:t>。</w:t>
      </w:r>
    </w:p>
    <w:p w14:paraId="518DFB8D">
      <w:pPr>
        <w:snapToGrid w:val="0"/>
        <w:spacing w:line="384" w:lineRule="auto"/>
        <w:ind w:firstLine="480" w:firstLineChars="200"/>
        <w:rPr>
          <w:color w:val="auto"/>
          <w:sz w:val="24"/>
          <w:szCs w:val="24"/>
          <w:highlight w:val="none"/>
        </w:rPr>
      </w:pPr>
      <w:r>
        <w:rPr>
          <w:color w:val="auto"/>
          <w:sz w:val="24"/>
          <w:szCs w:val="24"/>
          <w:highlight w:val="none"/>
        </w:rPr>
        <w:t>5.3 隐蔽工程检查</w:t>
      </w:r>
    </w:p>
    <w:p w14:paraId="532CED3B">
      <w:pPr>
        <w:snapToGrid w:val="0"/>
        <w:spacing w:line="384" w:lineRule="auto"/>
        <w:jc w:val="left"/>
        <w:rPr>
          <w:color w:val="auto"/>
          <w:sz w:val="24"/>
          <w:szCs w:val="24"/>
          <w:highlight w:val="none"/>
        </w:rPr>
      </w:pPr>
      <w:r>
        <w:rPr>
          <w:color w:val="auto"/>
          <w:sz w:val="24"/>
          <w:szCs w:val="24"/>
          <w:highlight w:val="none"/>
        </w:rPr>
        <w:t xml:space="preserve">    5.3.2承包人提前通知</w:t>
      </w:r>
      <w:r>
        <w:rPr>
          <w:rFonts w:hint="eastAsia"/>
          <w:color w:val="auto"/>
          <w:sz w:val="24"/>
          <w:szCs w:val="24"/>
          <w:highlight w:val="none"/>
          <w:lang w:eastAsia="zh-CN"/>
        </w:rPr>
        <w:t>发包</w:t>
      </w:r>
      <w:r>
        <w:rPr>
          <w:color w:val="auto"/>
          <w:sz w:val="24"/>
          <w:szCs w:val="24"/>
          <w:highlight w:val="none"/>
        </w:rPr>
        <w:t>人隐蔽工程检查的期限的约定：</w:t>
      </w:r>
      <w:r>
        <w:rPr>
          <w:rFonts w:hint="eastAsia"/>
          <w:color w:val="auto"/>
          <w:sz w:val="24"/>
          <w:szCs w:val="24"/>
          <w:highlight w:val="none"/>
          <w:u w:val="single"/>
        </w:rPr>
        <w:t>共同检查的48小时前书面通知</w:t>
      </w:r>
      <w:r>
        <w:rPr>
          <w:rFonts w:hint="eastAsia"/>
          <w:color w:val="auto"/>
          <w:sz w:val="24"/>
          <w:szCs w:val="24"/>
          <w:highlight w:val="none"/>
          <w:u w:val="single"/>
          <w:lang w:eastAsia="zh-CN"/>
        </w:rPr>
        <w:t>发包</w:t>
      </w:r>
      <w:r>
        <w:rPr>
          <w:rFonts w:hint="eastAsia"/>
          <w:color w:val="auto"/>
          <w:sz w:val="24"/>
          <w:szCs w:val="24"/>
          <w:highlight w:val="none"/>
          <w:u w:val="single"/>
        </w:rPr>
        <w:t>人在该期限前收到该等书面通知</w:t>
      </w:r>
      <w:r>
        <w:rPr>
          <w:color w:val="auto"/>
          <w:sz w:val="24"/>
          <w:szCs w:val="24"/>
          <w:highlight w:val="none"/>
        </w:rPr>
        <w:t>。</w:t>
      </w:r>
    </w:p>
    <w:p w14:paraId="788D233B">
      <w:pPr>
        <w:snapToGrid w:val="0"/>
        <w:spacing w:line="384" w:lineRule="auto"/>
        <w:ind w:firstLine="480" w:firstLineChars="200"/>
        <w:jc w:val="left"/>
        <w:rPr>
          <w:color w:val="auto"/>
          <w:sz w:val="24"/>
          <w:szCs w:val="24"/>
          <w:highlight w:val="none"/>
        </w:rPr>
      </w:pPr>
      <w:r>
        <w:rPr>
          <w:rFonts w:hint="eastAsia"/>
          <w:color w:val="auto"/>
          <w:sz w:val="24"/>
          <w:szCs w:val="24"/>
          <w:highlight w:val="none"/>
          <w:lang w:eastAsia="zh-CN"/>
        </w:rPr>
        <w:t>发包</w:t>
      </w:r>
      <w:r>
        <w:rPr>
          <w:color w:val="auto"/>
          <w:sz w:val="24"/>
          <w:szCs w:val="24"/>
          <w:highlight w:val="none"/>
        </w:rPr>
        <w:t>人不能按时进行检查时，应提前</w:t>
      </w:r>
      <w:r>
        <w:rPr>
          <w:color w:val="auto"/>
          <w:sz w:val="24"/>
          <w:szCs w:val="24"/>
          <w:highlight w:val="none"/>
          <w:u w:val="single"/>
        </w:rPr>
        <w:t xml:space="preserve"> 24 </w:t>
      </w:r>
      <w:r>
        <w:rPr>
          <w:color w:val="auto"/>
          <w:sz w:val="24"/>
          <w:szCs w:val="24"/>
          <w:highlight w:val="none"/>
        </w:rPr>
        <w:t>小时提交书面延期要求。</w:t>
      </w:r>
    </w:p>
    <w:p w14:paraId="3C4E63E5">
      <w:pPr>
        <w:snapToGrid w:val="0"/>
        <w:spacing w:line="384" w:lineRule="auto"/>
        <w:ind w:firstLine="480" w:firstLineChars="200"/>
        <w:jc w:val="left"/>
        <w:rPr>
          <w:color w:val="auto"/>
          <w:sz w:val="24"/>
          <w:szCs w:val="24"/>
          <w:highlight w:val="none"/>
        </w:rPr>
      </w:pPr>
      <w:r>
        <w:rPr>
          <w:color w:val="auto"/>
          <w:sz w:val="24"/>
          <w:szCs w:val="24"/>
          <w:highlight w:val="none"/>
        </w:rPr>
        <w:t>关于延期最长不得超过：</w:t>
      </w:r>
      <w:r>
        <w:rPr>
          <w:color w:val="auto"/>
          <w:sz w:val="24"/>
          <w:szCs w:val="24"/>
          <w:highlight w:val="none"/>
          <w:u w:val="single"/>
        </w:rPr>
        <w:t xml:space="preserve"> </w:t>
      </w:r>
      <w:r>
        <w:rPr>
          <w:rFonts w:hint="eastAsia"/>
          <w:color w:val="auto"/>
          <w:sz w:val="24"/>
          <w:szCs w:val="24"/>
          <w:highlight w:val="none"/>
          <w:u w:val="single"/>
          <w:lang w:val="en-US" w:eastAsia="zh-CN"/>
        </w:rPr>
        <w:t>24</w:t>
      </w:r>
      <w:r>
        <w:rPr>
          <w:color w:val="auto"/>
          <w:sz w:val="24"/>
          <w:szCs w:val="24"/>
          <w:highlight w:val="none"/>
          <w:u w:val="single"/>
        </w:rPr>
        <w:t xml:space="preserve"> </w:t>
      </w:r>
      <w:r>
        <w:rPr>
          <w:color w:val="auto"/>
          <w:sz w:val="24"/>
          <w:szCs w:val="24"/>
          <w:highlight w:val="none"/>
        </w:rPr>
        <w:t>小时。</w:t>
      </w:r>
    </w:p>
    <w:p w14:paraId="26E4E090">
      <w:pPr>
        <w:pStyle w:val="5"/>
        <w:snapToGrid w:val="0"/>
        <w:spacing w:before="0" w:after="0" w:line="384" w:lineRule="auto"/>
        <w:rPr>
          <w:rFonts w:ascii="Times New Roman" w:hAnsi="Times New Roman" w:eastAsia="宋体"/>
          <w:bCs/>
          <w:color w:val="auto"/>
          <w:sz w:val="24"/>
          <w:szCs w:val="24"/>
          <w:highlight w:val="none"/>
        </w:rPr>
      </w:pPr>
      <w:bookmarkStart w:id="705" w:name="_Toc351203638"/>
      <w:r>
        <w:rPr>
          <w:rFonts w:ascii="Times New Roman" w:hAnsi="Times New Roman" w:eastAsia="宋体"/>
          <w:bCs/>
          <w:color w:val="auto"/>
          <w:sz w:val="24"/>
          <w:szCs w:val="24"/>
          <w:highlight w:val="none"/>
        </w:rPr>
        <w:t>6. 安全文明施工与环境保护</w:t>
      </w:r>
      <w:bookmarkEnd w:id="705"/>
    </w:p>
    <w:p w14:paraId="0D78B87A">
      <w:pPr>
        <w:snapToGrid w:val="0"/>
        <w:spacing w:line="384" w:lineRule="auto"/>
        <w:ind w:firstLine="480" w:firstLineChars="200"/>
        <w:rPr>
          <w:color w:val="auto"/>
          <w:sz w:val="24"/>
          <w:szCs w:val="24"/>
          <w:highlight w:val="none"/>
        </w:rPr>
      </w:pPr>
      <w:r>
        <w:rPr>
          <w:color w:val="auto"/>
          <w:sz w:val="24"/>
          <w:szCs w:val="24"/>
          <w:highlight w:val="none"/>
        </w:rPr>
        <w:t>6.1安全文明施工</w:t>
      </w:r>
    </w:p>
    <w:p w14:paraId="390D7034">
      <w:pPr>
        <w:snapToGrid w:val="0"/>
        <w:spacing w:line="384" w:lineRule="auto"/>
        <w:ind w:firstLine="480"/>
        <w:jc w:val="left"/>
        <w:rPr>
          <w:color w:val="auto"/>
          <w:sz w:val="24"/>
          <w:szCs w:val="24"/>
          <w:highlight w:val="none"/>
          <w:u w:val="single"/>
          <w:lang w:val="en-US" w:eastAsia="zh-CN"/>
        </w:rPr>
      </w:pPr>
      <w:r>
        <w:rPr>
          <w:color w:val="auto"/>
          <w:sz w:val="24"/>
          <w:szCs w:val="24"/>
          <w:highlight w:val="none"/>
        </w:rPr>
        <w:t>6.1.1 项目安全生产的达标目标及相应事项的约定：</w:t>
      </w:r>
      <w:r>
        <w:rPr>
          <w:color w:val="auto"/>
          <w:sz w:val="24"/>
          <w:szCs w:val="24"/>
          <w:highlight w:val="none"/>
          <w:u w:val="single"/>
          <w:lang w:val="en-US" w:eastAsia="zh-CN"/>
        </w:rPr>
        <w:t>承包人必须严格执行《中华人民共和国安全生产法》、《建筑施工安全检查标准》（JGJ59-2011）、《中华人民共和国建筑法》、《安全生产许可证条例》和《建筑工程安全生产管理条例》等法律、法规及新疆维吾尔自治区等有关安全文明施工管理的相关规定，施工现场由专职持证上岗的安全员负责安全事宜。</w:t>
      </w:r>
    </w:p>
    <w:p w14:paraId="183FE766">
      <w:pPr>
        <w:snapToGrid w:val="0"/>
        <w:spacing w:line="384" w:lineRule="auto"/>
        <w:ind w:firstLine="480"/>
        <w:jc w:val="left"/>
        <w:rPr>
          <w:color w:val="auto"/>
          <w:sz w:val="24"/>
          <w:szCs w:val="24"/>
          <w:highlight w:val="none"/>
        </w:rPr>
      </w:pPr>
      <w:r>
        <w:rPr>
          <w:color w:val="auto"/>
          <w:sz w:val="24"/>
          <w:szCs w:val="24"/>
          <w:highlight w:val="none"/>
        </w:rPr>
        <w:t>6.1.4 关于治安保卫的特别约定：</w:t>
      </w:r>
      <w:r>
        <w:rPr>
          <w:rFonts w:hint="eastAsia"/>
          <w:color w:val="auto"/>
          <w:sz w:val="24"/>
          <w:szCs w:val="24"/>
          <w:highlight w:val="none"/>
          <w:u w:val="single"/>
        </w:rPr>
        <w:t>执行通用合同条款的相关约定</w:t>
      </w:r>
      <w:r>
        <w:rPr>
          <w:color w:val="auto"/>
          <w:sz w:val="24"/>
          <w:szCs w:val="24"/>
          <w:highlight w:val="none"/>
        </w:rPr>
        <w:t>。</w:t>
      </w:r>
    </w:p>
    <w:p w14:paraId="455E7D85">
      <w:pPr>
        <w:snapToGrid w:val="0"/>
        <w:spacing w:line="384" w:lineRule="auto"/>
        <w:ind w:firstLine="480" w:firstLineChars="200"/>
        <w:jc w:val="left"/>
        <w:rPr>
          <w:color w:val="auto"/>
          <w:sz w:val="24"/>
          <w:szCs w:val="24"/>
          <w:highlight w:val="none"/>
        </w:rPr>
      </w:pPr>
      <w:r>
        <w:rPr>
          <w:color w:val="auto"/>
          <w:sz w:val="24"/>
          <w:szCs w:val="24"/>
          <w:highlight w:val="none"/>
        </w:rPr>
        <w:t>关于编制施工场地治安管理计划的约定：</w:t>
      </w:r>
      <w:r>
        <w:rPr>
          <w:rFonts w:hint="eastAsia"/>
          <w:color w:val="auto"/>
          <w:sz w:val="24"/>
          <w:szCs w:val="24"/>
          <w:highlight w:val="none"/>
          <w:u w:val="single"/>
        </w:rPr>
        <w:t>由承包人在开工前编制并提供</w:t>
      </w:r>
      <w:r>
        <w:rPr>
          <w:color w:val="auto"/>
          <w:sz w:val="24"/>
          <w:szCs w:val="24"/>
          <w:highlight w:val="none"/>
        </w:rPr>
        <w:t>。</w:t>
      </w:r>
    </w:p>
    <w:p w14:paraId="5B837310">
      <w:pPr>
        <w:snapToGrid w:val="0"/>
        <w:spacing w:line="384" w:lineRule="auto"/>
        <w:ind w:firstLine="480" w:firstLineChars="200"/>
        <w:jc w:val="left"/>
        <w:rPr>
          <w:color w:val="auto"/>
          <w:sz w:val="24"/>
          <w:szCs w:val="24"/>
          <w:highlight w:val="none"/>
        </w:rPr>
      </w:pPr>
      <w:r>
        <w:rPr>
          <w:color w:val="auto"/>
          <w:sz w:val="24"/>
          <w:szCs w:val="24"/>
          <w:highlight w:val="none"/>
        </w:rPr>
        <w:t>6.1.5 文明施工</w:t>
      </w:r>
    </w:p>
    <w:p w14:paraId="3F118287">
      <w:pPr>
        <w:snapToGrid w:val="0"/>
        <w:spacing w:line="384" w:lineRule="auto"/>
        <w:jc w:val="left"/>
        <w:rPr>
          <w:color w:val="auto"/>
          <w:sz w:val="24"/>
          <w:szCs w:val="24"/>
          <w:highlight w:val="none"/>
        </w:rPr>
      </w:pPr>
      <w:r>
        <w:rPr>
          <w:color w:val="auto"/>
          <w:sz w:val="24"/>
          <w:szCs w:val="24"/>
          <w:highlight w:val="none"/>
        </w:rPr>
        <w:t xml:space="preserve">    合同当事人对文明施工的要求：</w:t>
      </w:r>
      <w:r>
        <w:rPr>
          <w:rFonts w:hint="eastAsia"/>
          <w:color w:val="auto"/>
          <w:sz w:val="24"/>
          <w:szCs w:val="24"/>
          <w:highlight w:val="none"/>
          <w:u w:val="single"/>
        </w:rPr>
        <w:t>达到《建筑施工现场环境与卫生标准》（JGJ146-2004），满足国家和工程所在地省、市相关规范以及发包人提供的文明施工要求。</w:t>
      </w:r>
    </w:p>
    <w:p w14:paraId="32BDCC82">
      <w:pPr>
        <w:snapToGrid w:val="0"/>
        <w:spacing w:line="360" w:lineRule="auto"/>
        <w:jc w:val="left"/>
        <w:rPr>
          <w:color w:val="auto"/>
          <w:sz w:val="24"/>
          <w:szCs w:val="24"/>
          <w:highlight w:val="none"/>
        </w:rPr>
      </w:pPr>
      <w:r>
        <w:rPr>
          <w:color w:val="auto"/>
          <w:sz w:val="24"/>
          <w:szCs w:val="24"/>
          <w:highlight w:val="none"/>
        </w:rPr>
        <w:t xml:space="preserve">    6.1.6 关于安全文明施工费支付比例和支付期限的约定：</w:t>
      </w:r>
      <w:r>
        <w:rPr>
          <w:rFonts w:hint="eastAsia"/>
          <w:color w:val="auto"/>
          <w:sz w:val="24"/>
          <w:szCs w:val="24"/>
          <w:highlight w:val="none"/>
          <w:u w:val="single"/>
        </w:rPr>
        <w:t>按预付款及进度款比例同期支付</w:t>
      </w:r>
      <w:r>
        <w:rPr>
          <w:color w:val="auto"/>
          <w:sz w:val="24"/>
          <w:szCs w:val="24"/>
          <w:highlight w:val="none"/>
          <w:u w:val="single"/>
        </w:rPr>
        <w:t>。</w:t>
      </w:r>
    </w:p>
    <w:bookmarkEnd w:id="698"/>
    <w:bookmarkEnd w:id="699"/>
    <w:bookmarkEnd w:id="700"/>
    <w:bookmarkEnd w:id="701"/>
    <w:bookmarkEnd w:id="702"/>
    <w:bookmarkEnd w:id="703"/>
    <w:bookmarkEnd w:id="704"/>
    <w:p w14:paraId="3E4D0A34">
      <w:pPr>
        <w:pStyle w:val="5"/>
        <w:snapToGrid w:val="0"/>
        <w:spacing w:before="0" w:after="0" w:line="384" w:lineRule="auto"/>
        <w:rPr>
          <w:rFonts w:ascii="Times New Roman" w:hAnsi="Times New Roman" w:eastAsia="宋体"/>
          <w:bCs/>
          <w:color w:val="auto"/>
          <w:sz w:val="24"/>
          <w:szCs w:val="24"/>
          <w:highlight w:val="none"/>
        </w:rPr>
      </w:pPr>
      <w:bookmarkStart w:id="706" w:name="_Toc351203639"/>
      <w:r>
        <w:rPr>
          <w:rFonts w:ascii="Times New Roman" w:hAnsi="Times New Roman" w:eastAsia="宋体"/>
          <w:bCs/>
          <w:color w:val="auto"/>
          <w:sz w:val="24"/>
          <w:szCs w:val="24"/>
          <w:highlight w:val="none"/>
        </w:rPr>
        <w:t>7. 工期和进度</w:t>
      </w:r>
      <w:bookmarkEnd w:id="706"/>
    </w:p>
    <w:p w14:paraId="2806FF71">
      <w:pPr>
        <w:snapToGrid w:val="0"/>
        <w:spacing w:line="384" w:lineRule="auto"/>
        <w:ind w:firstLine="480" w:firstLineChars="200"/>
        <w:rPr>
          <w:color w:val="auto"/>
          <w:sz w:val="24"/>
          <w:szCs w:val="24"/>
          <w:highlight w:val="none"/>
        </w:rPr>
      </w:pPr>
      <w:r>
        <w:rPr>
          <w:color w:val="auto"/>
          <w:sz w:val="24"/>
          <w:szCs w:val="24"/>
          <w:highlight w:val="none"/>
        </w:rPr>
        <w:t>7.1 施工组织设计</w:t>
      </w:r>
    </w:p>
    <w:p w14:paraId="02B5E188">
      <w:pPr>
        <w:autoSpaceDE w:val="0"/>
        <w:autoSpaceDN w:val="0"/>
        <w:adjustRightInd w:val="0"/>
        <w:snapToGrid w:val="0"/>
        <w:spacing w:line="360" w:lineRule="auto"/>
        <w:jc w:val="left"/>
        <w:rPr>
          <w:color w:val="auto"/>
          <w:kern w:val="0"/>
          <w:sz w:val="24"/>
          <w:szCs w:val="24"/>
          <w:highlight w:val="none"/>
        </w:rPr>
      </w:pPr>
      <w:r>
        <w:rPr>
          <w:color w:val="auto"/>
          <w:sz w:val="24"/>
          <w:szCs w:val="24"/>
          <w:highlight w:val="none"/>
        </w:rPr>
        <w:t xml:space="preserve">    7.1.1 合</w:t>
      </w:r>
      <w:r>
        <w:rPr>
          <w:color w:val="auto"/>
          <w:kern w:val="0"/>
          <w:sz w:val="24"/>
          <w:szCs w:val="24"/>
          <w:highlight w:val="none"/>
        </w:rPr>
        <w:t>同当事人约定的施工组织设计应包括的其他内容：</w:t>
      </w:r>
      <w:r>
        <w:rPr>
          <w:color w:val="auto"/>
          <w:kern w:val="0"/>
          <w:sz w:val="24"/>
          <w:szCs w:val="24"/>
          <w:highlight w:val="none"/>
          <w:u w:val="single"/>
          <w:lang w:val="en-US" w:eastAsia="zh-CN"/>
        </w:rPr>
        <w:t>执行本合</w:t>
      </w:r>
      <w:r>
        <w:rPr>
          <w:rFonts w:ascii="宋体" w:hAnsi="宋体" w:eastAsia="宋体"/>
          <w:color w:val="auto"/>
          <w:kern w:val="0"/>
          <w:sz w:val="24"/>
          <w:szCs w:val="24"/>
          <w:highlight w:val="none"/>
          <w:u w:val="single"/>
          <w:lang w:val="en-US" w:eastAsia="zh-CN"/>
        </w:rPr>
        <w:t>同通用条款，</w:t>
      </w:r>
      <w:r>
        <w:rPr>
          <w:color w:val="auto"/>
          <w:kern w:val="0"/>
          <w:sz w:val="24"/>
          <w:szCs w:val="24"/>
          <w:highlight w:val="none"/>
          <w:u w:val="single"/>
          <w:lang w:val="en-US" w:eastAsia="zh-CN"/>
        </w:rPr>
        <w:t>承包人应结合本工程实际情况编制涵盖合同范围内全部工作内容的施工组织设计文件，对于危险性较大的分部分项工程，承包人在施工组织设计中应依据《危险性较大的分部分项工程安全管理办法》等相关规定编制专项施工方案，并组织专家对专项方案进行论证</w:t>
      </w:r>
      <w:r>
        <w:rPr>
          <w:color w:val="auto"/>
          <w:kern w:val="0"/>
          <w:sz w:val="24"/>
          <w:szCs w:val="24"/>
          <w:highlight w:val="none"/>
          <w:lang w:val="en-US" w:eastAsia="zh-CN"/>
        </w:rPr>
        <w:t>。</w:t>
      </w:r>
    </w:p>
    <w:p w14:paraId="707581FA">
      <w:pPr>
        <w:autoSpaceDE w:val="0"/>
        <w:autoSpaceDN w:val="0"/>
        <w:adjustRightInd w:val="0"/>
        <w:snapToGrid w:val="0"/>
        <w:spacing w:line="360" w:lineRule="auto"/>
        <w:ind w:firstLine="480" w:firstLineChars="200"/>
        <w:jc w:val="left"/>
        <w:rPr>
          <w:color w:val="auto"/>
          <w:kern w:val="0"/>
          <w:sz w:val="24"/>
          <w:szCs w:val="24"/>
          <w:highlight w:val="none"/>
        </w:rPr>
      </w:pPr>
      <w:r>
        <w:rPr>
          <w:color w:val="auto"/>
          <w:sz w:val="24"/>
          <w:szCs w:val="24"/>
          <w:highlight w:val="none"/>
        </w:rPr>
        <w:t xml:space="preserve">7.1.2 </w:t>
      </w:r>
      <w:r>
        <w:rPr>
          <w:color w:val="auto"/>
          <w:kern w:val="0"/>
          <w:sz w:val="24"/>
          <w:szCs w:val="24"/>
          <w:highlight w:val="none"/>
        </w:rPr>
        <w:t>施工组织设计的提交和修改</w:t>
      </w:r>
    </w:p>
    <w:p w14:paraId="644DB0B7">
      <w:pPr>
        <w:autoSpaceDE w:val="0"/>
        <w:autoSpaceDN w:val="0"/>
        <w:adjustRightInd w:val="0"/>
        <w:snapToGrid w:val="0"/>
        <w:spacing w:line="360" w:lineRule="auto"/>
        <w:jc w:val="left"/>
        <w:rPr>
          <w:color w:val="auto"/>
          <w:sz w:val="24"/>
          <w:szCs w:val="24"/>
          <w:highlight w:val="none"/>
        </w:rPr>
      </w:pPr>
      <w:r>
        <w:rPr>
          <w:color w:val="auto"/>
          <w:kern w:val="0"/>
          <w:sz w:val="24"/>
          <w:szCs w:val="24"/>
          <w:highlight w:val="none"/>
        </w:rPr>
        <w:t xml:space="preserve">    承包人提交详细施工组织设计的期限的约定：</w:t>
      </w:r>
      <w:r>
        <w:rPr>
          <w:color w:val="auto"/>
          <w:sz w:val="24"/>
          <w:szCs w:val="24"/>
          <w:highlight w:val="none"/>
          <w:u w:val="single"/>
        </w:rPr>
        <w:t>承包人应在合同签订后7日内</w:t>
      </w:r>
      <w:r>
        <w:rPr>
          <w:color w:val="auto"/>
          <w:sz w:val="24"/>
          <w:szCs w:val="24"/>
          <w:highlight w:val="none"/>
        </w:rPr>
        <w:t>。</w:t>
      </w:r>
    </w:p>
    <w:p w14:paraId="623549E3">
      <w:pPr>
        <w:snapToGrid w:val="0"/>
        <w:spacing w:line="360" w:lineRule="auto"/>
        <w:ind w:firstLine="480" w:firstLineChars="200"/>
        <w:jc w:val="left"/>
        <w:rPr>
          <w:color w:val="auto"/>
          <w:sz w:val="24"/>
          <w:szCs w:val="24"/>
          <w:highlight w:val="none"/>
        </w:rPr>
      </w:pPr>
      <w:r>
        <w:rPr>
          <w:color w:val="auto"/>
          <w:sz w:val="24"/>
          <w:szCs w:val="24"/>
          <w:highlight w:val="none"/>
        </w:rPr>
        <w:t>发包人在收到详细的施工组织设计后确认或提出修改意见的期限：</w:t>
      </w:r>
      <w:r>
        <w:rPr>
          <w:color w:val="auto"/>
          <w:sz w:val="24"/>
          <w:szCs w:val="24"/>
          <w:highlight w:val="none"/>
          <w:u w:val="single"/>
        </w:rPr>
        <w:t xml:space="preserve"> 在收到详细的施工组织设计后7日内 </w:t>
      </w:r>
      <w:r>
        <w:rPr>
          <w:color w:val="auto"/>
          <w:sz w:val="24"/>
          <w:szCs w:val="24"/>
          <w:highlight w:val="none"/>
        </w:rPr>
        <w:t>。</w:t>
      </w:r>
    </w:p>
    <w:p w14:paraId="1DEA2192">
      <w:pPr>
        <w:snapToGrid w:val="0"/>
        <w:spacing w:line="360" w:lineRule="auto"/>
        <w:ind w:firstLine="480" w:firstLineChars="200"/>
        <w:rPr>
          <w:color w:val="auto"/>
          <w:sz w:val="24"/>
          <w:szCs w:val="24"/>
          <w:highlight w:val="none"/>
        </w:rPr>
      </w:pPr>
      <w:r>
        <w:rPr>
          <w:color w:val="auto"/>
          <w:sz w:val="24"/>
          <w:szCs w:val="24"/>
          <w:highlight w:val="none"/>
        </w:rPr>
        <w:t>7</w:t>
      </w:r>
      <w:bookmarkStart w:id="707" w:name="_Toc312677479"/>
      <w:bookmarkStart w:id="708" w:name="_Toc297123514"/>
      <w:bookmarkStart w:id="709" w:name="_Toc312678005"/>
      <w:bookmarkStart w:id="710" w:name="_Toc297216173"/>
      <w:bookmarkStart w:id="711" w:name="_Toc303539123"/>
      <w:bookmarkStart w:id="712" w:name="_Toc300934966"/>
      <w:bookmarkStart w:id="713" w:name="_Toc304295541"/>
      <w:r>
        <w:rPr>
          <w:color w:val="auto"/>
          <w:sz w:val="24"/>
          <w:szCs w:val="24"/>
          <w:highlight w:val="none"/>
        </w:rPr>
        <w:t>.2 施工进度计划</w:t>
      </w:r>
    </w:p>
    <w:p w14:paraId="6269B97E">
      <w:pPr>
        <w:snapToGrid w:val="0"/>
        <w:spacing w:line="360" w:lineRule="auto"/>
        <w:ind w:firstLine="480" w:firstLineChars="200"/>
        <w:jc w:val="left"/>
        <w:rPr>
          <w:color w:val="auto"/>
          <w:sz w:val="24"/>
          <w:szCs w:val="24"/>
          <w:highlight w:val="none"/>
        </w:rPr>
      </w:pPr>
      <w:r>
        <w:rPr>
          <w:color w:val="auto"/>
          <w:sz w:val="24"/>
          <w:szCs w:val="24"/>
          <w:highlight w:val="none"/>
        </w:rPr>
        <w:t>7.2.2 施工进度计划的修订</w:t>
      </w:r>
    </w:p>
    <w:p w14:paraId="2B060497">
      <w:pPr>
        <w:snapToGrid w:val="0"/>
        <w:spacing w:line="360" w:lineRule="auto"/>
        <w:ind w:firstLine="480" w:firstLineChars="200"/>
        <w:jc w:val="left"/>
        <w:rPr>
          <w:color w:val="auto"/>
          <w:sz w:val="24"/>
          <w:szCs w:val="24"/>
          <w:highlight w:val="none"/>
        </w:rPr>
      </w:pPr>
      <w:r>
        <w:rPr>
          <w:color w:val="auto"/>
          <w:sz w:val="24"/>
          <w:szCs w:val="24"/>
          <w:highlight w:val="none"/>
        </w:rPr>
        <w:t>发包人在收到修订的施工进度计划后确认或提出修改意见的期限：</w:t>
      </w:r>
      <w:r>
        <w:rPr>
          <w:color w:val="auto"/>
          <w:sz w:val="24"/>
          <w:szCs w:val="24"/>
          <w:highlight w:val="none"/>
          <w:u w:val="single"/>
        </w:rPr>
        <w:t xml:space="preserve"> 在收到修订的施工进度计划后</w:t>
      </w:r>
      <w:r>
        <w:rPr>
          <w:rFonts w:hint="eastAsia"/>
          <w:color w:val="auto"/>
          <w:sz w:val="24"/>
          <w:szCs w:val="24"/>
          <w:highlight w:val="none"/>
          <w:u w:val="single"/>
        </w:rPr>
        <w:t>7</w:t>
      </w:r>
      <w:r>
        <w:rPr>
          <w:color w:val="auto"/>
          <w:sz w:val="24"/>
          <w:szCs w:val="24"/>
          <w:highlight w:val="none"/>
          <w:u w:val="single"/>
        </w:rPr>
        <w:t>日内</w:t>
      </w:r>
      <w:r>
        <w:rPr>
          <w:color w:val="auto"/>
          <w:sz w:val="24"/>
          <w:szCs w:val="24"/>
          <w:highlight w:val="none"/>
        </w:rPr>
        <w:t>。</w:t>
      </w:r>
    </w:p>
    <w:p w14:paraId="5C5B4F85">
      <w:pPr>
        <w:snapToGrid w:val="0"/>
        <w:spacing w:line="360" w:lineRule="auto"/>
        <w:ind w:firstLine="480" w:firstLineChars="200"/>
        <w:rPr>
          <w:color w:val="auto"/>
          <w:sz w:val="24"/>
          <w:szCs w:val="24"/>
          <w:highlight w:val="none"/>
        </w:rPr>
      </w:pPr>
      <w:r>
        <w:rPr>
          <w:color w:val="auto"/>
          <w:sz w:val="24"/>
          <w:szCs w:val="24"/>
          <w:highlight w:val="none"/>
        </w:rPr>
        <w:t>7.3 开工</w:t>
      </w:r>
    </w:p>
    <w:p w14:paraId="2BA5E845">
      <w:pPr>
        <w:snapToGrid w:val="0"/>
        <w:spacing w:line="360" w:lineRule="auto"/>
        <w:ind w:firstLine="480" w:firstLineChars="200"/>
        <w:jc w:val="left"/>
        <w:rPr>
          <w:color w:val="auto"/>
          <w:sz w:val="24"/>
          <w:szCs w:val="24"/>
          <w:highlight w:val="none"/>
        </w:rPr>
      </w:pPr>
      <w:r>
        <w:rPr>
          <w:color w:val="auto"/>
          <w:sz w:val="24"/>
          <w:szCs w:val="24"/>
          <w:highlight w:val="none"/>
        </w:rPr>
        <w:t>7.3.1 开工准备</w:t>
      </w:r>
    </w:p>
    <w:p w14:paraId="68527BC7">
      <w:pPr>
        <w:snapToGrid w:val="0"/>
        <w:spacing w:line="360" w:lineRule="auto"/>
        <w:ind w:firstLine="480"/>
        <w:jc w:val="left"/>
        <w:rPr>
          <w:color w:val="auto"/>
          <w:kern w:val="0"/>
          <w:sz w:val="24"/>
          <w:szCs w:val="24"/>
          <w:highlight w:val="none"/>
        </w:rPr>
      </w:pPr>
      <w:r>
        <w:rPr>
          <w:color w:val="auto"/>
          <w:sz w:val="24"/>
          <w:szCs w:val="24"/>
          <w:highlight w:val="none"/>
        </w:rPr>
        <w:t>关于承包人提交</w:t>
      </w:r>
      <w:r>
        <w:rPr>
          <w:color w:val="auto"/>
          <w:kern w:val="0"/>
          <w:sz w:val="24"/>
          <w:szCs w:val="24"/>
          <w:highlight w:val="none"/>
        </w:rPr>
        <w:t>工程开工报审表的期限：</w:t>
      </w:r>
      <w:r>
        <w:rPr>
          <w:color w:val="auto"/>
          <w:kern w:val="0"/>
          <w:sz w:val="24"/>
          <w:szCs w:val="24"/>
          <w:highlight w:val="none"/>
          <w:u w:val="single"/>
          <w:lang w:val="en-US" w:eastAsia="zh-CN"/>
        </w:rPr>
        <w:t>执行本合同通用条款7.3.1 条</w:t>
      </w:r>
      <w:r>
        <w:rPr>
          <w:rFonts w:hint="eastAsia"/>
          <w:color w:val="auto"/>
          <w:kern w:val="0"/>
          <w:sz w:val="24"/>
          <w:szCs w:val="24"/>
          <w:highlight w:val="none"/>
          <w:lang w:val="en-US" w:eastAsia="zh-CN"/>
        </w:rPr>
        <w:t>。</w:t>
      </w:r>
    </w:p>
    <w:p w14:paraId="107FA03C">
      <w:pPr>
        <w:snapToGrid w:val="0"/>
        <w:spacing w:line="360" w:lineRule="auto"/>
        <w:jc w:val="left"/>
        <w:rPr>
          <w:color w:val="auto"/>
          <w:sz w:val="24"/>
          <w:szCs w:val="24"/>
          <w:highlight w:val="none"/>
        </w:rPr>
      </w:pPr>
      <w:r>
        <w:rPr>
          <w:color w:val="auto"/>
          <w:sz w:val="24"/>
          <w:szCs w:val="24"/>
          <w:highlight w:val="none"/>
        </w:rPr>
        <w:t xml:space="preserve">    关于发包人应完成的其他开工准备工作及期限：</w:t>
      </w:r>
      <w:r>
        <w:rPr>
          <w:color w:val="auto"/>
          <w:sz w:val="24"/>
          <w:szCs w:val="24"/>
          <w:highlight w:val="none"/>
          <w:u w:val="single"/>
        </w:rPr>
        <w:t xml:space="preserve"> </w:t>
      </w:r>
      <w:r>
        <w:rPr>
          <w:rFonts w:hint="eastAsia"/>
          <w:color w:val="auto"/>
          <w:sz w:val="24"/>
          <w:szCs w:val="24"/>
          <w:highlight w:val="none"/>
          <w:u w:val="single"/>
          <w:lang w:val="en-US" w:eastAsia="zh-CN"/>
        </w:rPr>
        <w:t>3</w:t>
      </w:r>
      <w:r>
        <w:rPr>
          <w:color w:val="auto"/>
          <w:sz w:val="24"/>
          <w:szCs w:val="24"/>
          <w:highlight w:val="none"/>
          <w:u w:val="single"/>
          <w:lang w:val="en-US" w:eastAsia="zh-CN"/>
        </w:rPr>
        <w:t>天内</w:t>
      </w:r>
      <w:r>
        <w:rPr>
          <w:color w:val="auto"/>
          <w:sz w:val="24"/>
          <w:szCs w:val="24"/>
          <w:highlight w:val="none"/>
          <w:u w:val="single"/>
        </w:rPr>
        <w:t xml:space="preserve"> </w:t>
      </w:r>
      <w:r>
        <w:rPr>
          <w:color w:val="auto"/>
          <w:sz w:val="24"/>
          <w:szCs w:val="24"/>
          <w:highlight w:val="none"/>
        </w:rPr>
        <w:t>。</w:t>
      </w:r>
    </w:p>
    <w:p w14:paraId="0AF902EF">
      <w:pPr>
        <w:snapToGrid w:val="0"/>
        <w:spacing w:line="360" w:lineRule="auto"/>
        <w:jc w:val="left"/>
        <w:rPr>
          <w:color w:val="auto"/>
          <w:sz w:val="24"/>
          <w:szCs w:val="24"/>
          <w:highlight w:val="none"/>
        </w:rPr>
      </w:pPr>
      <w:r>
        <w:rPr>
          <w:color w:val="auto"/>
          <w:sz w:val="24"/>
          <w:szCs w:val="24"/>
          <w:highlight w:val="none"/>
        </w:rPr>
        <w:t xml:space="preserve">    关于承包人应完成的其他开工准备工作及期限：</w:t>
      </w:r>
      <w:r>
        <w:rPr>
          <w:color w:val="auto"/>
          <w:sz w:val="24"/>
          <w:szCs w:val="24"/>
          <w:highlight w:val="none"/>
          <w:u w:val="single"/>
        </w:rPr>
        <w:t xml:space="preserve"> </w:t>
      </w:r>
      <w:r>
        <w:rPr>
          <w:rFonts w:hint="eastAsia"/>
          <w:color w:val="auto"/>
          <w:sz w:val="24"/>
          <w:szCs w:val="24"/>
          <w:highlight w:val="none"/>
          <w:u w:val="single"/>
          <w:lang w:val="en-US" w:eastAsia="zh-CN"/>
        </w:rPr>
        <w:t>3</w:t>
      </w:r>
      <w:r>
        <w:rPr>
          <w:color w:val="auto"/>
          <w:sz w:val="24"/>
          <w:szCs w:val="24"/>
          <w:highlight w:val="none"/>
          <w:u w:val="single"/>
          <w:lang w:val="en-US" w:eastAsia="zh-CN"/>
        </w:rPr>
        <w:t>天内</w:t>
      </w:r>
      <w:r>
        <w:rPr>
          <w:color w:val="auto"/>
          <w:sz w:val="24"/>
          <w:szCs w:val="24"/>
          <w:highlight w:val="none"/>
          <w:u w:val="single"/>
        </w:rPr>
        <w:t xml:space="preserve"> </w:t>
      </w:r>
      <w:r>
        <w:rPr>
          <w:color w:val="auto"/>
          <w:sz w:val="24"/>
          <w:szCs w:val="24"/>
          <w:highlight w:val="none"/>
        </w:rPr>
        <w:t>。</w:t>
      </w:r>
    </w:p>
    <w:p w14:paraId="30C37263">
      <w:pPr>
        <w:snapToGrid w:val="0"/>
        <w:spacing w:line="360" w:lineRule="auto"/>
        <w:ind w:firstLine="480" w:firstLineChars="200"/>
        <w:jc w:val="left"/>
        <w:rPr>
          <w:color w:val="auto"/>
          <w:sz w:val="24"/>
          <w:szCs w:val="24"/>
          <w:highlight w:val="none"/>
        </w:rPr>
      </w:pPr>
      <w:r>
        <w:rPr>
          <w:color w:val="auto"/>
          <w:sz w:val="24"/>
          <w:szCs w:val="24"/>
          <w:highlight w:val="none"/>
        </w:rPr>
        <w:t>7.3.2开工通知</w:t>
      </w:r>
      <w:r>
        <w:rPr>
          <w:rFonts w:hint="eastAsia"/>
          <w:color w:val="auto"/>
          <w:sz w:val="24"/>
          <w:szCs w:val="24"/>
          <w:highlight w:val="none"/>
          <w:u w:val="single"/>
          <w:lang w:val="en-US" w:eastAsia="zh-CN"/>
        </w:rPr>
        <w:t xml:space="preserve"> /  </w:t>
      </w:r>
      <w:r>
        <w:rPr>
          <w:color w:val="auto"/>
          <w:sz w:val="24"/>
          <w:szCs w:val="24"/>
          <w:highlight w:val="none"/>
        </w:rPr>
        <w:t>。</w:t>
      </w:r>
    </w:p>
    <w:bookmarkEnd w:id="707"/>
    <w:bookmarkEnd w:id="708"/>
    <w:bookmarkEnd w:id="709"/>
    <w:bookmarkEnd w:id="710"/>
    <w:bookmarkEnd w:id="711"/>
    <w:bookmarkEnd w:id="712"/>
    <w:bookmarkEnd w:id="713"/>
    <w:p w14:paraId="1B6EA338">
      <w:pPr>
        <w:snapToGrid w:val="0"/>
        <w:spacing w:line="360" w:lineRule="auto"/>
        <w:ind w:firstLine="480" w:firstLineChars="200"/>
        <w:rPr>
          <w:color w:val="auto"/>
          <w:sz w:val="24"/>
          <w:szCs w:val="24"/>
          <w:highlight w:val="none"/>
        </w:rPr>
      </w:pPr>
      <w:r>
        <w:rPr>
          <w:color w:val="auto"/>
          <w:sz w:val="24"/>
          <w:szCs w:val="24"/>
          <w:highlight w:val="none"/>
        </w:rPr>
        <w:t>7.4 测量放线</w:t>
      </w:r>
    </w:p>
    <w:p w14:paraId="490588E9">
      <w:pPr>
        <w:snapToGrid w:val="0"/>
        <w:spacing w:line="360" w:lineRule="auto"/>
        <w:ind w:firstLine="480" w:firstLineChars="200"/>
        <w:jc w:val="left"/>
        <w:rPr>
          <w:color w:val="auto"/>
          <w:sz w:val="24"/>
          <w:szCs w:val="24"/>
          <w:highlight w:val="none"/>
          <w:u w:val="single"/>
        </w:rPr>
      </w:pPr>
      <w:r>
        <w:rPr>
          <w:color w:val="auto"/>
          <w:sz w:val="24"/>
          <w:szCs w:val="24"/>
          <w:highlight w:val="none"/>
        </w:rPr>
        <w:t>7.4.1发包人通过</w:t>
      </w:r>
      <w:r>
        <w:rPr>
          <w:rFonts w:hint="eastAsia"/>
          <w:color w:val="auto"/>
          <w:sz w:val="24"/>
          <w:szCs w:val="24"/>
          <w:highlight w:val="none"/>
          <w:lang w:eastAsia="zh-CN"/>
        </w:rPr>
        <w:t>发包</w:t>
      </w:r>
      <w:r>
        <w:rPr>
          <w:color w:val="auto"/>
          <w:sz w:val="24"/>
          <w:szCs w:val="24"/>
          <w:highlight w:val="none"/>
        </w:rPr>
        <w:t>人向承包人提供测量基准点、基准线和水准点及其书面资料的期限：</w:t>
      </w:r>
      <w:r>
        <w:rPr>
          <w:color w:val="auto"/>
          <w:sz w:val="24"/>
          <w:szCs w:val="24"/>
          <w:highlight w:val="none"/>
          <w:u w:val="single"/>
        </w:rPr>
        <w:t xml:space="preserve">  </w:t>
      </w:r>
      <w:r>
        <w:rPr>
          <w:rFonts w:hint="eastAsia"/>
          <w:color w:val="auto"/>
          <w:sz w:val="24"/>
          <w:szCs w:val="24"/>
          <w:highlight w:val="none"/>
          <w:u w:val="single"/>
        </w:rPr>
        <w:t>无</w:t>
      </w:r>
      <w:r>
        <w:rPr>
          <w:color w:val="auto"/>
          <w:sz w:val="24"/>
          <w:szCs w:val="24"/>
          <w:highlight w:val="none"/>
          <w:u w:val="single"/>
        </w:rPr>
        <w:t xml:space="preserve"> </w:t>
      </w:r>
      <w:r>
        <w:rPr>
          <w:color w:val="auto"/>
          <w:sz w:val="24"/>
          <w:szCs w:val="24"/>
          <w:highlight w:val="none"/>
        </w:rPr>
        <w:t>。</w:t>
      </w:r>
    </w:p>
    <w:p w14:paraId="2206B813">
      <w:pPr>
        <w:snapToGrid w:val="0"/>
        <w:spacing w:line="360" w:lineRule="auto"/>
        <w:ind w:firstLine="480" w:firstLineChars="200"/>
        <w:rPr>
          <w:color w:val="auto"/>
          <w:sz w:val="24"/>
          <w:szCs w:val="24"/>
          <w:highlight w:val="none"/>
        </w:rPr>
      </w:pPr>
      <w:r>
        <w:rPr>
          <w:color w:val="auto"/>
          <w:sz w:val="24"/>
          <w:szCs w:val="24"/>
          <w:highlight w:val="none"/>
        </w:rPr>
        <w:t>7</w:t>
      </w:r>
      <w:bookmarkStart w:id="714" w:name="_Toc300934968"/>
      <w:bookmarkStart w:id="715" w:name="_Toc297216175"/>
      <w:bookmarkStart w:id="716" w:name="_Toc304295546"/>
      <w:bookmarkStart w:id="717" w:name="_Toc312677484"/>
      <w:bookmarkStart w:id="718" w:name="_Toc312678010"/>
      <w:bookmarkStart w:id="719" w:name="_Toc303539125"/>
      <w:bookmarkStart w:id="720" w:name="_Toc297123516"/>
      <w:r>
        <w:rPr>
          <w:color w:val="auto"/>
          <w:sz w:val="24"/>
          <w:szCs w:val="24"/>
          <w:highlight w:val="none"/>
        </w:rPr>
        <w:t>.5 工期延误</w:t>
      </w:r>
    </w:p>
    <w:bookmarkEnd w:id="714"/>
    <w:bookmarkEnd w:id="715"/>
    <w:bookmarkEnd w:id="716"/>
    <w:bookmarkEnd w:id="717"/>
    <w:bookmarkEnd w:id="718"/>
    <w:bookmarkEnd w:id="719"/>
    <w:bookmarkEnd w:id="720"/>
    <w:p w14:paraId="388C9FC2">
      <w:pPr>
        <w:snapToGrid w:val="0"/>
        <w:spacing w:line="360" w:lineRule="auto"/>
        <w:ind w:firstLine="480" w:firstLineChars="200"/>
        <w:jc w:val="left"/>
        <w:rPr>
          <w:color w:val="auto"/>
          <w:sz w:val="24"/>
          <w:szCs w:val="24"/>
          <w:highlight w:val="none"/>
        </w:rPr>
      </w:pPr>
      <w:r>
        <w:rPr>
          <w:color w:val="auto"/>
          <w:sz w:val="24"/>
          <w:szCs w:val="24"/>
          <w:highlight w:val="none"/>
        </w:rPr>
        <w:t>7.5.1 因发包人原因导致工期延误</w:t>
      </w:r>
    </w:p>
    <w:p w14:paraId="2BDB4B74">
      <w:pPr>
        <w:snapToGrid w:val="0"/>
        <w:spacing w:line="360" w:lineRule="auto"/>
        <w:jc w:val="left"/>
        <w:rPr>
          <w:color w:val="auto"/>
          <w:sz w:val="24"/>
          <w:szCs w:val="24"/>
          <w:highlight w:val="none"/>
        </w:rPr>
      </w:pPr>
      <w:r>
        <w:rPr>
          <w:color w:val="auto"/>
          <w:sz w:val="24"/>
          <w:szCs w:val="24"/>
          <w:highlight w:val="none"/>
        </w:rPr>
        <w:t xml:space="preserve">   （7）因发包人原因导致工期延误的其他情形：</w:t>
      </w:r>
      <w:r>
        <w:rPr>
          <w:rFonts w:hint="eastAsia"/>
          <w:color w:val="auto"/>
          <w:sz w:val="24"/>
          <w:szCs w:val="24"/>
          <w:highlight w:val="none"/>
          <w:u w:val="single"/>
        </w:rPr>
        <w:t xml:space="preserve"> </w:t>
      </w:r>
      <w:r>
        <w:rPr>
          <w:color w:val="auto"/>
          <w:sz w:val="24"/>
          <w:szCs w:val="24"/>
          <w:highlight w:val="none"/>
          <w:u w:val="single"/>
        </w:rPr>
        <w:t>双方另行协商确定</w:t>
      </w:r>
      <w:r>
        <w:rPr>
          <w:rFonts w:hint="eastAsia"/>
          <w:color w:val="auto"/>
          <w:sz w:val="24"/>
          <w:szCs w:val="24"/>
          <w:highlight w:val="none"/>
          <w:u w:val="single"/>
        </w:rPr>
        <w:t xml:space="preserve"> </w:t>
      </w:r>
      <w:r>
        <w:rPr>
          <w:rFonts w:hint="eastAsia"/>
          <w:color w:val="auto"/>
          <w:sz w:val="24"/>
          <w:szCs w:val="24"/>
          <w:highlight w:val="none"/>
        </w:rPr>
        <w:t>。</w:t>
      </w:r>
    </w:p>
    <w:p w14:paraId="685B78D2">
      <w:pPr>
        <w:snapToGrid w:val="0"/>
        <w:spacing w:line="360" w:lineRule="auto"/>
        <w:ind w:firstLine="480" w:firstLineChars="200"/>
        <w:jc w:val="left"/>
        <w:rPr>
          <w:color w:val="auto"/>
          <w:sz w:val="24"/>
          <w:szCs w:val="24"/>
          <w:highlight w:val="none"/>
        </w:rPr>
      </w:pPr>
      <w:r>
        <w:rPr>
          <w:color w:val="auto"/>
          <w:sz w:val="24"/>
          <w:szCs w:val="24"/>
          <w:highlight w:val="none"/>
        </w:rPr>
        <w:t>7</w:t>
      </w:r>
      <w:bookmarkStart w:id="721" w:name="_Toc318581169"/>
      <w:bookmarkStart w:id="722" w:name="_Toc312677486"/>
      <w:bookmarkStart w:id="723" w:name="_Toc312678012"/>
      <w:bookmarkStart w:id="724" w:name="_Toc300934970"/>
      <w:bookmarkStart w:id="725" w:name="_Toc297123518"/>
      <w:bookmarkStart w:id="726" w:name="_Toc304295548"/>
      <w:bookmarkStart w:id="727" w:name="_Toc303539127"/>
      <w:bookmarkStart w:id="728" w:name="_Toc297216177"/>
      <w:r>
        <w:rPr>
          <w:color w:val="auto"/>
          <w:sz w:val="24"/>
          <w:szCs w:val="24"/>
          <w:highlight w:val="none"/>
        </w:rPr>
        <w:t>.5.2 因承包人原因导致工期延误</w:t>
      </w:r>
    </w:p>
    <w:bookmarkEnd w:id="721"/>
    <w:bookmarkEnd w:id="722"/>
    <w:bookmarkEnd w:id="723"/>
    <w:p w14:paraId="7C1295EF">
      <w:pPr>
        <w:snapToGrid w:val="0"/>
        <w:spacing w:line="360" w:lineRule="auto"/>
        <w:jc w:val="left"/>
        <w:rPr>
          <w:color w:val="auto"/>
          <w:sz w:val="24"/>
          <w:szCs w:val="24"/>
          <w:highlight w:val="none"/>
        </w:rPr>
      </w:pPr>
      <w:r>
        <w:rPr>
          <w:color w:val="auto"/>
          <w:sz w:val="24"/>
          <w:szCs w:val="24"/>
          <w:highlight w:val="none"/>
        </w:rPr>
        <w:t xml:space="preserve">    因</w:t>
      </w:r>
      <w:bookmarkStart w:id="729" w:name="_Toc312678013"/>
      <w:bookmarkStart w:id="730" w:name="_Toc312677487"/>
      <w:bookmarkStart w:id="731" w:name="_Toc318581170"/>
      <w:r>
        <w:rPr>
          <w:color w:val="auto"/>
          <w:sz w:val="24"/>
          <w:szCs w:val="24"/>
          <w:highlight w:val="none"/>
        </w:rPr>
        <w:t>承包人原因造成工期延误，逾期竣工违约金的计算方法为：</w:t>
      </w:r>
      <w:r>
        <w:rPr>
          <w:rFonts w:hint="eastAsia"/>
          <w:color w:val="auto"/>
          <w:sz w:val="24"/>
          <w:szCs w:val="24"/>
          <w:highlight w:val="none"/>
          <w:u w:val="single"/>
        </w:rPr>
        <w:t>每逾期一日，按本合同总价款的万分之五支付逾期竣工违约金；违约金不足以弥补发包人损失的，发包人有权就不足部分要求承包人赔偿损失</w:t>
      </w:r>
      <w:r>
        <w:rPr>
          <w:color w:val="auto"/>
          <w:sz w:val="24"/>
          <w:szCs w:val="24"/>
          <w:highlight w:val="none"/>
        </w:rPr>
        <w:t>。</w:t>
      </w:r>
      <w:bookmarkEnd w:id="724"/>
      <w:bookmarkEnd w:id="725"/>
      <w:bookmarkEnd w:id="726"/>
      <w:bookmarkEnd w:id="727"/>
      <w:bookmarkEnd w:id="728"/>
      <w:bookmarkEnd w:id="729"/>
      <w:bookmarkEnd w:id="730"/>
    </w:p>
    <w:bookmarkEnd w:id="731"/>
    <w:p w14:paraId="17F38D20">
      <w:pPr>
        <w:snapToGrid w:val="0"/>
        <w:spacing w:line="360" w:lineRule="auto"/>
        <w:jc w:val="left"/>
        <w:rPr>
          <w:b/>
          <w:bCs/>
          <w:color w:val="auto"/>
          <w:sz w:val="24"/>
          <w:szCs w:val="24"/>
          <w:highlight w:val="none"/>
          <w:u w:val="single"/>
        </w:rPr>
      </w:pPr>
      <w:r>
        <w:rPr>
          <w:color w:val="auto"/>
          <w:sz w:val="24"/>
          <w:szCs w:val="24"/>
          <w:highlight w:val="none"/>
        </w:rPr>
        <w:t xml:space="preserve">   </w:t>
      </w:r>
      <w:r>
        <w:rPr>
          <w:b/>
          <w:bCs/>
          <w:color w:val="auto"/>
          <w:sz w:val="24"/>
          <w:szCs w:val="24"/>
          <w:highlight w:val="none"/>
        </w:rPr>
        <w:t xml:space="preserve"> </w:t>
      </w:r>
      <w:r>
        <w:rPr>
          <w:color w:val="auto"/>
          <w:sz w:val="24"/>
          <w:szCs w:val="24"/>
          <w:highlight w:val="none"/>
        </w:rPr>
        <w:t>因承包人原因造成工期延误，逾</w:t>
      </w:r>
      <w:bookmarkStart w:id="732" w:name="_Toc312678014"/>
      <w:bookmarkStart w:id="733" w:name="_Toc318581171"/>
      <w:r>
        <w:rPr>
          <w:color w:val="auto"/>
          <w:sz w:val="24"/>
          <w:szCs w:val="24"/>
          <w:highlight w:val="none"/>
        </w:rPr>
        <w:t>期竣工违约金的上限：</w:t>
      </w:r>
      <w:r>
        <w:rPr>
          <w:color w:val="auto"/>
          <w:sz w:val="24"/>
          <w:szCs w:val="24"/>
          <w:highlight w:val="none"/>
          <w:u w:val="single"/>
        </w:rPr>
        <w:t>无</w:t>
      </w:r>
      <w:r>
        <w:rPr>
          <w:rFonts w:hint="eastAsia"/>
          <w:b/>
          <w:bCs/>
          <w:color w:val="auto"/>
          <w:sz w:val="24"/>
          <w:szCs w:val="24"/>
          <w:highlight w:val="none"/>
          <w:u w:val="single"/>
        </w:rPr>
        <w:t>。</w:t>
      </w:r>
    </w:p>
    <w:bookmarkEnd w:id="732"/>
    <w:bookmarkEnd w:id="733"/>
    <w:p w14:paraId="4C1C8313">
      <w:pPr>
        <w:snapToGrid w:val="0"/>
        <w:spacing w:line="360" w:lineRule="auto"/>
        <w:ind w:firstLine="480" w:firstLineChars="200"/>
        <w:rPr>
          <w:color w:val="auto"/>
          <w:sz w:val="24"/>
          <w:szCs w:val="24"/>
          <w:highlight w:val="none"/>
        </w:rPr>
      </w:pPr>
      <w:r>
        <w:rPr>
          <w:color w:val="auto"/>
          <w:sz w:val="24"/>
          <w:szCs w:val="24"/>
          <w:highlight w:val="none"/>
        </w:rPr>
        <w:t>7</w:t>
      </w:r>
      <w:bookmarkStart w:id="734" w:name="_Toc312678015"/>
      <w:bookmarkStart w:id="735" w:name="_Toc297123519"/>
      <w:bookmarkStart w:id="736" w:name="_Toc304295549"/>
      <w:bookmarkStart w:id="737" w:name="_Toc300934971"/>
      <w:bookmarkStart w:id="738" w:name="_Toc303539128"/>
      <w:bookmarkStart w:id="739" w:name="_Toc297216178"/>
      <w:r>
        <w:rPr>
          <w:color w:val="auto"/>
          <w:sz w:val="24"/>
          <w:szCs w:val="24"/>
          <w:highlight w:val="none"/>
        </w:rPr>
        <w:t>.6 不</w:t>
      </w:r>
      <w:bookmarkEnd w:id="734"/>
      <w:bookmarkEnd w:id="735"/>
      <w:bookmarkEnd w:id="736"/>
      <w:bookmarkEnd w:id="737"/>
      <w:bookmarkEnd w:id="738"/>
      <w:bookmarkEnd w:id="739"/>
      <w:r>
        <w:rPr>
          <w:color w:val="auto"/>
          <w:sz w:val="24"/>
          <w:szCs w:val="24"/>
          <w:highlight w:val="none"/>
        </w:rPr>
        <w:t>利物质条件</w:t>
      </w:r>
    </w:p>
    <w:p w14:paraId="4B71BEDE">
      <w:pPr>
        <w:snapToGrid w:val="0"/>
        <w:spacing w:line="360" w:lineRule="auto"/>
        <w:jc w:val="left"/>
        <w:rPr>
          <w:color w:val="auto"/>
          <w:sz w:val="24"/>
          <w:szCs w:val="24"/>
          <w:highlight w:val="none"/>
        </w:rPr>
      </w:pPr>
      <w:bookmarkStart w:id="740" w:name="_Toc297216179"/>
      <w:bookmarkStart w:id="741" w:name="_Toc297123520"/>
      <w:bookmarkStart w:id="742" w:name="_Toc318581172"/>
      <w:bookmarkStart w:id="743" w:name="_Toc300934972"/>
      <w:bookmarkStart w:id="744" w:name="_Toc303539129"/>
      <w:bookmarkStart w:id="745" w:name="_Toc312678016"/>
      <w:bookmarkStart w:id="746" w:name="_Toc304295550"/>
      <w:r>
        <w:rPr>
          <w:color w:val="auto"/>
          <w:sz w:val="24"/>
          <w:szCs w:val="24"/>
          <w:highlight w:val="none"/>
        </w:rPr>
        <w:t xml:space="preserve">    不利物质条件的其他情形和有关约定：</w:t>
      </w:r>
      <w:r>
        <w:rPr>
          <w:color w:val="auto"/>
          <w:sz w:val="24"/>
          <w:szCs w:val="24"/>
          <w:highlight w:val="none"/>
          <w:u w:val="single"/>
          <w:lang w:val="en-US" w:eastAsia="zh-CN"/>
        </w:rPr>
        <w:t>执行本合同通用条款</w:t>
      </w:r>
      <w:r>
        <w:rPr>
          <w:color w:val="auto"/>
          <w:sz w:val="24"/>
          <w:szCs w:val="24"/>
          <w:highlight w:val="none"/>
        </w:rPr>
        <w:t>。</w:t>
      </w:r>
    </w:p>
    <w:bookmarkEnd w:id="740"/>
    <w:bookmarkEnd w:id="741"/>
    <w:bookmarkEnd w:id="742"/>
    <w:bookmarkEnd w:id="743"/>
    <w:bookmarkEnd w:id="744"/>
    <w:bookmarkEnd w:id="745"/>
    <w:bookmarkEnd w:id="746"/>
    <w:p w14:paraId="58EB889D">
      <w:pPr>
        <w:snapToGrid w:val="0"/>
        <w:spacing w:line="360" w:lineRule="auto"/>
        <w:ind w:firstLine="480" w:firstLineChars="200"/>
        <w:rPr>
          <w:color w:val="auto"/>
          <w:sz w:val="24"/>
          <w:szCs w:val="24"/>
          <w:highlight w:val="none"/>
        </w:rPr>
      </w:pPr>
      <w:r>
        <w:rPr>
          <w:color w:val="auto"/>
          <w:sz w:val="24"/>
          <w:szCs w:val="24"/>
          <w:highlight w:val="none"/>
        </w:rPr>
        <w:t>7</w:t>
      </w:r>
      <w:bookmarkStart w:id="747" w:name="_Toc300934973"/>
      <w:bookmarkStart w:id="748" w:name="_Toc303539130"/>
      <w:bookmarkStart w:id="749" w:name="_Toc297123521"/>
      <w:bookmarkStart w:id="750" w:name="_Toc312678017"/>
      <w:bookmarkStart w:id="751" w:name="_Toc297216180"/>
      <w:bookmarkStart w:id="752" w:name="_Toc304295551"/>
      <w:r>
        <w:rPr>
          <w:color w:val="auto"/>
          <w:sz w:val="24"/>
          <w:szCs w:val="24"/>
          <w:highlight w:val="none"/>
        </w:rPr>
        <w:t>.7异常恶劣的气候条件</w:t>
      </w:r>
    </w:p>
    <w:bookmarkEnd w:id="747"/>
    <w:bookmarkEnd w:id="748"/>
    <w:bookmarkEnd w:id="749"/>
    <w:bookmarkEnd w:id="750"/>
    <w:bookmarkEnd w:id="751"/>
    <w:bookmarkEnd w:id="752"/>
    <w:p w14:paraId="0B34DF97">
      <w:pPr>
        <w:snapToGrid w:val="0"/>
        <w:spacing w:line="360" w:lineRule="auto"/>
        <w:ind w:firstLine="480" w:firstLineChars="200"/>
        <w:jc w:val="left"/>
        <w:rPr>
          <w:color w:val="auto"/>
          <w:sz w:val="24"/>
          <w:szCs w:val="24"/>
          <w:highlight w:val="none"/>
        </w:rPr>
      </w:pPr>
      <w:r>
        <w:rPr>
          <w:color w:val="auto"/>
          <w:sz w:val="24"/>
          <w:szCs w:val="24"/>
          <w:highlight w:val="none"/>
        </w:rPr>
        <w:t>发包人和承包人同意以下情形视为异常恶劣的气候条件：</w:t>
      </w:r>
    </w:p>
    <w:p w14:paraId="72F9DB4A">
      <w:pPr>
        <w:snapToGrid w:val="0"/>
        <w:spacing w:line="360" w:lineRule="auto"/>
        <w:ind w:firstLine="480" w:firstLineChars="200"/>
        <w:jc w:val="left"/>
        <w:rPr>
          <w:color w:val="auto"/>
          <w:sz w:val="24"/>
          <w:szCs w:val="24"/>
          <w:highlight w:val="none"/>
        </w:rPr>
      </w:pPr>
      <w:r>
        <w:rPr>
          <w:color w:val="auto"/>
          <w:sz w:val="24"/>
          <w:szCs w:val="24"/>
          <w:highlight w:val="none"/>
        </w:rPr>
        <w:t>（1）</w:t>
      </w:r>
      <w:r>
        <w:rPr>
          <w:color w:val="auto"/>
          <w:sz w:val="24"/>
          <w:szCs w:val="24"/>
          <w:highlight w:val="none"/>
          <w:lang w:val="en-US" w:eastAsia="zh-CN"/>
        </w:rPr>
        <w:t>执行国家的相关规定。</w:t>
      </w:r>
      <w:r>
        <w:rPr>
          <w:color w:val="auto"/>
          <w:sz w:val="24"/>
          <w:szCs w:val="24"/>
          <w:highlight w:val="none"/>
          <w:u w:val="single"/>
          <w:lang w:val="en-US" w:eastAsia="zh-CN"/>
        </w:rPr>
        <w:t>由于异常恶劣气候（按国家有关规定确定）造成的工期延误按国家有关规定执行</w:t>
      </w:r>
      <w:r>
        <w:rPr>
          <w:color w:val="auto"/>
          <w:sz w:val="24"/>
          <w:szCs w:val="24"/>
          <w:highlight w:val="none"/>
        </w:rPr>
        <w:t>；</w:t>
      </w:r>
    </w:p>
    <w:p w14:paraId="389A49B0">
      <w:pPr>
        <w:snapToGrid w:val="0"/>
        <w:spacing w:line="360" w:lineRule="auto"/>
        <w:ind w:firstLine="480" w:firstLineChars="200"/>
        <w:rPr>
          <w:color w:val="auto"/>
          <w:sz w:val="24"/>
          <w:szCs w:val="24"/>
          <w:highlight w:val="none"/>
        </w:rPr>
      </w:pPr>
      <w:r>
        <w:rPr>
          <w:color w:val="auto"/>
          <w:sz w:val="24"/>
          <w:szCs w:val="24"/>
          <w:highlight w:val="none"/>
        </w:rPr>
        <w:t>7.9 提前竣工的奖励</w:t>
      </w:r>
    </w:p>
    <w:p w14:paraId="364E2DC4">
      <w:pPr>
        <w:snapToGrid w:val="0"/>
        <w:spacing w:line="360" w:lineRule="auto"/>
        <w:ind w:firstLine="480" w:firstLineChars="200"/>
        <w:jc w:val="left"/>
        <w:rPr>
          <w:color w:val="auto"/>
          <w:sz w:val="24"/>
          <w:szCs w:val="24"/>
          <w:highlight w:val="none"/>
        </w:rPr>
      </w:pPr>
      <w:r>
        <w:rPr>
          <w:color w:val="auto"/>
          <w:sz w:val="24"/>
          <w:szCs w:val="24"/>
          <w:highlight w:val="none"/>
        </w:rPr>
        <w:t>7.9.2提前竣工的奖励：</w:t>
      </w:r>
      <w:r>
        <w:rPr>
          <w:rFonts w:hint="eastAsia"/>
          <w:color w:val="auto"/>
          <w:sz w:val="24"/>
          <w:szCs w:val="24"/>
          <w:highlight w:val="none"/>
          <w:u w:val="single"/>
        </w:rPr>
        <w:t>无</w:t>
      </w:r>
      <w:r>
        <w:rPr>
          <w:color w:val="auto"/>
          <w:sz w:val="24"/>
          <w:szCs w:val="24"/>
          <w:highlight w:val="none"/>
        </w:rPr>
        <w:t>。</w:t>
      </w:r>
    </w:p>
    <w:p w14:paraId="6CD3A6FA">
      <w:pPr>
        <w:pStyle w:val="5"/>
        <w:snapToGrid w:val="0"/>
        <w:spacing w:before="0" w:after="0" w:line="360" w:lineRule="auto"/>
        <w:rPr>
          <w:rFonts w:ascii="Times New Roman" w:hAnsi="Times New Roman" w:eastAsia="宋体"/>
          <w:bCs/>
          <w:color w:val="auto"/>
          <w:sz w:val="24"/>
          <w:szCs w:val="24"/>
          <w:highlight w:val="none"/>
        </w:rPr>
      </w:pPr>
      <w:bookmarkStart w:id="753" w:name="_Toc351203640"/>
      <w:r>
        <w:rPr>
          <w:rFonts w:ascii="Times New Roman" w:hAnsi="Times New Roman" w:eastAsia="宋体"/>
          <w:bCs/>
          <w:color w:val="auto"/>
          <w:sz w:val="24"/>
          <w:szCs w:val="24"/>
          <w:highlight w:val="none"/>
        </w:rPr>
        <w:t>8. 材料与设备</w:t>
      </w:r>
      <w:bookmarkEnd w:id="753"/>
    </w:p>
    <w:bookmarkEnd w:id="688"/>
    <w:bookmarkEnd w:id="689"/>
    <w:bookmarkEnd w:id="690"/>
    <w:bookmarkEnd w:id="691"/>
    <w:bookmarkEnd w:id="692"/>
    <w:bookmarkEnd w:id="693"/>
    <w:bookmarkEnd w:id="694"/>
    <w:bookmarkEnd w:id="695"/>
    <w:bookmarkEnd w:id="696"/>
    <w:bookmarkEnd w:id="697"/>
    <w:p w14:paraId="67E32813">
      <w:pPr>
        <w:snapToGrid w:val="0"/>
        <w:spacing w:line="360" w:lineRule="auto"/>
        <w:ind w:firstLine="480" w:firstLineChars="200"/>
        <w:rPr>
          <w:color w:val="auto"/>
          <w:sz w:val="24"/>
          <w:szCs w:val="24"/>
          <w:highlight w:val="none"/>
        </w:rPr>
      </w:pPr>
      <w:r>
        <w:rPr>
          <w:color w:val="auto"/>
          <w:sz w:val="24"/>
          <w:szCs w:val="24"/>
          <w:highlight w:val="none"/>
        </w:rPr>
        <w:t>8</w:t>
      </w:r>
      <w:bookmarkStart w:id="754" w:name="_Toc297123527"/>
      <w:bookmarkStart w:id="755" w:name="_Toc300934979"/>
      <w:bookmarkStart w:id="756" w:name="_Toc297048353"/>
      <w:bookmarkStart w:id="757" w:name="_Toc296503167"/>
      <w:bookmarkStart w:id="758" w:name="_Toc303539136"/>
      <w:bookmarkStart w:id="759" w:name="_Toc312677493"/>
      <w:bookmarkStart w:id="760" w:name="_Toc297216186"/>
      <w:bookmarkStart w:id="761" w:name="_Toc297120467"/>
      <w:bookmarkStart w:id="762" w:name="_Toc280868654"/>
      <w:bookmarkStart w:id="763" w:name="_Toc296944506"/>
      <w:bookmarkStart w:id="764" w:name="_Toc296890995"/>
      <w:bookmarkStart w:id="765" w:name="_Toc292559877"/>
      <w:bookmarkStart w:id="766" w:name="_Toc296891207"/>
      <w:bookmarkStart w:id="767" w:name="_Toc292559372"/>
      <w:bookmarkStart w:id="768" w:name="_Toc304295556"/>
      <w:bookmarkStart w:id="769" w:name="_Toc296346668"/>
      <w:bookmarkStart w:id="770" w:name="_Toc296347166"/>
      <w:bookmarkStart w:id="771" w:name="_Toc312678019"/>
      <w:bookmarkStart w:id="772" w:name="_Toc280868656"/>
      <w:bookmarkStart w:id="773" w:name="_Toc267251424"/>
      <w:bookmarkStart w:id="774" w:name="_Toc280868655"/>
      <w:r>
        <w:rPr>
          <w:color w:val="auto"/>
          <w:sz w:val="24"/>
          <w:szCs w:val="24"/>
          <w:highlight w:val="none"/>
        </w:rPr>
        <w:t>.4材料与工程设备的保管与使用</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09D30029">
      <w:pPr>
        <w:snapToGrid w:val="0"/>
        <w:spacing w:line="360" w:lineRule="auto"/>
        <w:jc w:val="left"/>
        <w:rPr>
          <w:color w:val="auto"/>
          <w:sz w:val="24"/>
          <w:szCs w:val="24"/>
          <w:highlight w:val="none"/>
        </w:rPr>
      </w:pPr>
      <w:r>
        <w:rPr>
          <w:color w:val="auto"/>
          <w:sz w:val="24"/>
          <w:szCs w:val="24"/>
          <w:highlight w:val="none"/>
        </w:rPr>
        <w:t xml:space="preserve">    8</w:t>
      </w:r>
      <w:bookmarkStart w:id="775" w:name="_Toc292559878"/>
      <w:bookmarkStart w:id="776" w:name="_Toc292559373"/>
      <w:bookmarkStart w:id="777" w:name="_Toc296890996"/>
      <w:bookmarkStart w:id="778" w:name="_Toc312677494"/>
      <w:bookmarkStart w:id="779" w:name="_Toc303539137"/>
      <w:bookmarkStart w:id="780" w:name="_Toc300934980"/>
      <w:bookmarkStart w:id="781" w:name="_Toc296346669"/>
      <w:bookmarkStart w:id="782" w:name="_Toc312678020"/>
      <w:bookmarkStart w:id="783" w:name="_Toc304295557"/>
      <w:bookmarkStart w:id="784" w:name="_Toc297048354"/>
      <w:bookmarkStart w:id="785" w:name="_Toc296891208"/>
      <w:bookmarkStart w:id="786" w:name="_Toc297216187"/>
      <w:bookmarkStart w:id="787" w:name="_Toc297123528"/>
      <w:bookmarkStart w:id="788" w:name="_Toc318581173"/>
      <w:bookmarkStart w:id="789" w:name="_Toc297120468"/>
      <w:bookmarkStart w:id="790" w:name="_Toc296503168"/>
      <w:bookmarkStart w:id="791" w:name="_Toc296944507"/>
      <w:bookmarkStart w:id="792" w:name="_Toc296347167"/>
      <w:r>
        <w:rPr>
          <w:color w:val="auto"/>
          <w:sz w:val="24"/>
          <w:szCs w:val="24"/>
          <w:highlight w:val="none"/>
        </w:rPr>
        <w:t>.4.1发包人供应的材料设备的保管费用的承担：由</w:t>
      </w:r>
      <w:r>
        <w:rPr>
          <w:rFonts w:hint="eastAsia"/>
          <w:color w:val="auto"/>
          <w:sz w:val="24"/>
          <w:szCs w:val="24"/>
          <w:highlight w:val="none"/>
          <w:u w:val="single"/>
        </w:rPr>
        <w:t>承包人承担，费用已计入合同总价中</w:t>
      </w:r>
      <w:r>
        <w:rPr>
          <w:color w:val="auto"/>
          <w:sz w:val="24"/>
          <w:szCs w:val="24"/>
          <w:highlight w:val="none"/>
        </w:rPr>
        <w:t>。</w:t>
      </w:r>
      <w:bookmarkEnd w:id="775"/>
      <w:bookmarkEnd w:id="776"/>
    </w:p>
    <w:p w14:paraId="5A097CC7">
      <w:pPr>
        <w:snapToGrid w:val="0"/>
        <w:spacing w:line="360" w:lineRule="auto"/>
        <w:ind w:firstLine="480" w:firstLineChars="200"/>
        <w:rPr>
          <w:color w:val="auto"/>
          <w:sz w:val="24"/>
          <w:szCs w:val="24"/>
          <w:highlight w:val="none"/>
        </w:rPr>
      </w:pPr>
      <w:r>
        <w:rPr>
          <w:color w:val="auto"/>
          <w:sz w:val="24"/>
          <w:szCs w:val="24"/>
          <w:highlight w:val="none"/>
        </w:rPr>
        <w:t>8.6 样品</w:t>
      </w:r>
    </w:p>
    <w:p w14:paraId="57D5F0DE">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8.6.1</w:t>
      </w:r>
      <w:r>
        <w:rPr>
          <w:color w:val="auto"/>
          <w:kern w:val="0"/>
          <w:sz w:val="24"/>
          <w:szCs w:val="24"/>
          <w:highlight w:val="none"/>
        </w:rPr>
        <w:tab/>
      </w:r>
      <w:r>
        <w:rPr>
          <w:color w:val="auto"/>
          <w:kern w:val="0"/>
          <w:sz w:val="24"/>
          <w:szCs w:val="24"/>
          <w:highlight w:val="none"/>
        </w:rPr>
        <w:t>样品的报送与封存需要承包人报送样品的材料或工程设备，样品的种类、名称、规格、数量要求：</w:t>
      </w:r>
      <w:r>
        <w:rPr>
          <w:color w:val="auto"/>
          <w:kern w:val="0"/>
          <w:sz w:val="24"/>
          <w:szCs w:val="24"/>
          <w:highlight w:val="none"/>
          <w:u w:val="single"/>
          <w:lang w:val="en-US" w:eastAsia="zh-CN"/>
        </w:rPr>
        <w:t>符合《中华人民共和国建筑法》、《建设工程质量管理条例》、《建设工程质量检测管理办法》及当地相关法规的要求。除发包人决定采购的重大设备材料外，均有承包方自行采购，所有进场材料必须“三证”齐全，并应向发包人提供有资质的检测机构出具检测报告，所有设备材料进场时需由监理单位验收合格并报建设方后方可使用</w:t>
      </w:r>
      <w:r>
        <w:rPr>
          <w:color w:val="auto"/>
          <w:kern w:val="0"/>
          <w:sz w:val="24"/>
          <w:szCs w:val="24"/>
          <w:highlight w:val="none"/>
          <w:lang w:val="en-US" w:eastAsia="zh-CN"/>
        </w:rPr>
        <w:t>。</w:t>
      </w:r>
    </w:p>
    <w:p w14:paraId="03D1652A">
      <w:pPr>
        <w:snapToGrid w:val="0"/>
        <w:spacing w:line="360" w:lineRule="auto"/>
        <w:ind w:firstLine="480" w:firstLineChars="200"/>
        <w:rPr>
          <w:color w:val="auto"/>
          <w:sz w:val="24"/>
          <w:szCs w:val="24"/>
          <w:highlight w:val="none"/>
        </w:rPr>
      </w:pPr>
      <w:r>
        <w:rPr>
          <w:color w:val="auto"/>
          <w:sz w:val="24"/>
          <w:szCs w:val="24"/>
          <w:highlight w:val="none"/>
        </w:rPr>
        <w:t>8.8 施工设备和临时设施</w:t>
      </w:r>
    </w:p>
    <w:p w14:paraId="0EC42CD1">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8.8.1 承包人提供的施工设备和临时设施</w:t>
      </w:r>
    </w:p>
    <w:p w14:paraId="425C00B3">
      <w:pPr>
        <w:autoSpaceDE w:val="0"/>
        <w:autoSpaceDN w:val="0"/>
        <w:adjustRightInd w:val="0"/>
        <w:snapToGrid w:val="0"/>
        <w:spacing w:line="360" w:lineRule="auto"/>
        <w:jc w:val="left"/>
        <w:rPr>
          <w:color w:val="auto"/>
          <w:sz w:val="24"/>
          <w:szCs w:val="24"/>
          <w:highlight w:val="none"/>
        </w:rPr>
      </w:pPr>
      <w:r>
        <w:rPr>
          <w:color w:val="auto"/>
          <w:sz w:val="24"/>
          <w:szCs w:val="24"/>
          <w:highlight w:val="none"/>
        </w:rPr>
        <w:t xml:space="preserve">    关于修建临时设施费用承担的约定：</w:t>
      </w:r>
      <w:r>
        <w:rPr>
          <w:color w:val="auto"/>
          <w:sz w:val="24"/>
          <w:szCs w:val="24"/>
          <w:highlight w:val="none"/>
          <w:u w:val="single"/>
        </w:rPr>
        <w:t>由承包人承担</w:t>
      </w:r>
      <w:r>
        <w:rPr>
          <w:rFonts w:hint="eastAsia"/>
          <w:color w:val="auto"/>
          <w:sz w:val="24"/>
          <w:szCs w:val="24"/>
          <w:highlight w:val="none"/>
          <w:u w:val="single"/>
        </w:rPr>
        <w:t>，</w:t>
      </w:r>
      <w:r>
        <w:rPr>
          <w:color w:val="auto"/>
          <w:sz w:val="24"/>
          <w:szCs w:val="24"/>
          <w:highlight w:val="none"/>
          <w:u w:val="single"/>
        </w:rPr>
        <w:t>已包含在合同总价中</w:t>
      </w:r>
      <w:r>
        <w:rPr>
          <w:color w:val="auto"/>
          <w:sz w:val="24"/>
          <w:szCs w:val="24"/>
          <w:highlight w:val="none"/>
        </w:rPr>
        <w:t>。</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2C0A360">
      <w:pPr>
        <w:pStyle w:val="5"/>
        <w:snapToGrid w:val="0"/>
        <w:spacing w:before="0" w:after="0" w:line="360" w:lineRule="auto"/>
        <w:rPr>
          <w:rFonts w:ascii="Times New Roman" w:hAnsi="Times New Roman" w:eastAsia="宋体"/>
          <w:bCs/>
          <w:color w:val="auto"/>
          <w:sz w:val="24"/>
          <w:szCs w:val="24"/>
          <w:highlight w:val="none"/>
        </w:rPr>
      </w:pPr>
      <w:bookmarkStart w:id="793" w:name="_Toc351203641"/>
      <w:r>
        <w:rPr>
          <w:rFonts w:ascii="Times New Roman" w:hAnsi="Times New Roman" w:eastAsia="宋体"/>
          <w:bCs/>
          <w:color w:val="auto"/>
          <w:sz w:val="24"/>
          <w:szCs w:val="24"/>
          <w:highlight w:val="none"/>
        </w:rPr>
        <w:t>9</w:t>
      </w:r>
      <w:bookmarkEnd w:id="772"/>
      <w:bookmarkEnd w:id="773"/>
      <w:bookmarkEnd w:id="774"/>
      <w:bookmarkStart w:id="794" w:name="_Toc304295559"/>
      <w:bookmarkStart w:id="795" w:name="_Toc300934982"/>
      <w:bookmarkStart w:id="796" w:name="_Toc297123533"/>
      <w:bookmarkStart w:id="797" w:name="_Toc312678021"/>
      <w:bookmarkStart w:id="798" w:name="_Toc312677495"/>
      <w:bookmarkStart w:id="799" w:name="_Toc303539139"/>
      <w:bookmarkStart w:id="800" w:name="_Toc297216192"/>
      <w:bookmarkStart w:id="801" w:name="_Toc296944512"/>
      <w:bookmarkStart w:id="802" w:name="_Toc296503173"/>
      <w:bookmarkStart w:id="803" w:name="_Toc297048359"/>
      <w:bookmarkStart w:id="804" w:name="_Toc297120473"/>
      <w:bookmarkStart w:id="805" w:name="_Toc292559378"/>
      <w:bookmarkStart w:id="806" w:name="_Toc292559883"/>
      <w:bookmarkStart w:id="807" w:name="_Toc296891213"/>
      <w:bookmarkStart w:id="808" w:name="_Toc296347172"/>
      <w:bookmarkStart w:id="809" w:name="_Toc296346674"/>
      <w:bookmarkStart w:id="810" w:name="_Toc296891001"/>
      <w:bookmarkStart w:id="811" w:name="_Toc267251427"/>
      <w:bookmarkStart w:id="812" w:name="_Toc267251428"/>
      <w:r>
        <w:rPr>
          <w:rFonts w:ascii="Times New Roman" w:hAnsi="Times New Roman" w:eastAsia="宋体"/>
          <w:bCs/>
          <w:color w:val="auto"/>
          <w:sz w:val="24"/>
          <w:szCs w:val="24"/>
          <w:highlight w:val="none"/>
        </w:rPr>
        <w:t>. 试验与检验</w:t>
      </w:r>
      <w:bookmarkEnd w:id="793"/>
    </w:p>
    <w:bookmarkEnd w:id="794"/>
    <w:bookmarkEnd w:id="795"/>
    <w:bookmarkEnd w:id="796"/>
    <w:bookmarkEnd w:id="797"/>
    <w:bookmarkEnd w:id="798"/>
    <w:bookmarkEnd w:id="799"/>
    <w:bookmarkEnd w:id="800"/>
    <w:p w14:paraId="00078DC2">
      <w:pPr>
        <w:snapToGrid w:val="0"/>
        <w:spacing w:line="360" w:lineRule="auto"/>
        <w:ind w:firstLine="480" w:firstLineChars="200"/>
        <w:rPr>
          <w:color w:val="auto"/>
          <w:sz w:val="24"/>
          <w:szCs w:val="24"/>
          <w:highlight w:val="none"/>
        </w:rPr>
      </w:pPr>
      <w:r>
        <w:rPr>
          <w:color w:val="auto"/>
          <w:sz w:val="24"/>
          <w:szCs w:val="24"/>
          <w:highlight w:val="none"/>
        </w:rPr>
        <w:t>9</w:t>
      </w:r>
      <w:bookmarkStart w:id="813" w:name="_Toc297123534"/>
      <w:bookmarkStart w:id="814" w:name="_Toc303539140"/>
      <w:bookmarkStart w:id="815" w:name="_Toc304295560"/>
      <w:bookmarkStart w:id="816" w:name="_Toc297216193"/>
      <w:bookmarkStart w:id="817" w:name="_Toc300934983"/>
      <w:bookmarkStart w:id="818" w:name="_Toc312677496"/>
      <w:bookmarkStart w:id="819" w:name="_Toc312678022"/>
      <w:r>
        <w:rPr>
          <w:color w:val="auto"/>
          <w:sz w:val="24"/>
          <w:szCs w:val="24"/>
          <w:highlight w:val="none"/>
        </w:rPr>
        <w:t>.1试验设备与试验人员</w:t>
      </w:r>
    </w:p>
    <w:bookmarkEnd w:id="813"/>
    <w:bookmarkEnd w:id="814"/>
    <w:bookmarkEnd w:id="815"/>
    <w:bookmarkEnd w:id="816"/>
    <w:bookmarkEnd w:id="817"/>
    <w:bookmarkEnd w:id="818"/>
    <w:bookmarkEnd w:id="819"/>
    <w:p w14:paraId="537D167A">
      <w:pPr>
        <w:snapToGrid w:val="0"/>
        <w:spacing w:line="360" w:lineRule="auto"/>
        <w:ind w:firstLine="480" w:firstLineChars="200"/>
        <w:jc w:val="left"/>
        <w:rPr>
          <w:color w:val="auto"/>
          <w:sz w:val="24"/>
          <w:szCs w:val="24"/>
          <w:highlight w:val="none"/>
        </w:rPr>
      </w:pPr>
      <w:r>
        <w:rPr>
          <w:color w:val="auto"/>
          <w:sz w:val="24"/>
          <w:szCs w:val="24"/>
          <w:highlight w:val="none"/>
        </w:rPr>
        <w:t>9</w:t>
      </w:r>
      <w:bookmarkStart w:id="820" w:name="_Toc300934984"/>
      <w:bookmarkStart w:id="821" w:name="_Toc312678023"/>
      <w:bookmarkStart w:id="822" w:name="_Toc304295561"/>
      <w:bookmarkStart w:id="823" w:name="_Toc303539141"/>
      <w:bookmarkStart w:id="824" w:name="_Toc312677497"/>
      <w:bookmarkStart w:id="825" w:name="_Toc297216194"/>
      <w:bookmarkStart w:id="826" w:name="_Toc297123535"/>
      <w:bookmarkStart w:id="827" w:name="_Toc318581174"/>
      <w:r>
        <w:rPr>
          <w:color w:val="auto"/>
          <w:sz w:val="24"/>
          <w:szCs w:val="24"/>
          <w:highlight w:val="none"/>
        </w:rPr>
        <w:t>.1.2 试验设备</w:t>
      </w:r>
    </w:p>
    <w:p w14:paraId="1C760310">
      <w:pPr>
        <w:snapToGrid w:val="0"/>
        <w:spacing w:line="360" w:lineRule="auto"/>
        <w:jc w:val="left"/>
        <w:rPr>
          <w:color w:val="auto"/>
          <w:sz w:val="24"/>
          <w:szCs w:val="24"/>
          <w:highlight w:val="none"/>
        </w:rPr>
      </w:pPr>
      <w:r>
        <w:rPr>
          <w:color w:val="auto"/>
          <w:sz w:val="24"/>
          <w:szCs w:val="24"/>
          <w:highlight w:val="none"/>
        </w:rPr>
        <w:t xml:space="preserve">    施工现场需要配置的试验场所：</w:t>
      </w:r>
      <w:bookmarkEnd w:id="820"/>
      <w:bookmarkEnd w:id="821"/>
      <w:bookmarkEnd w:id="822"/>
      <w:bookmarkEnd w:id="823"/>
      <w:bookmarkEnd w:id="824"/>
      <w:bookmarkEnd w:id="825"/>
      <w:bookmarkEnd w:id="826"/>
      <w:bookmarkStart w:id="828" w:name="_Toc312677498"/>
      <w:bookmarkStart w:id="829" w:name="_Toc297123536"/>
      <w:bookmarkStart w:id="830" w:name="_Toc303539142"/>
      <w:bookmarkStart w:id="831" w:name="_Toc312678024"/>
      <w:bookmarkStart w:id="832" w:name="_Toc304295562"/>
      <w:bookmarkStart w:id="833" w:name="_Toc300934985"/>
      <w:bookmarkStart w:id="834" w:name="_Toc297216195"/>
      <w:r>
        <w:rPr>
          <w:rFonts w:hint="eastAsia"/>
          <w:color w:val="auto"/>
          <w:sz w:val="24"/>
          <w:szCs w:val="24"/>
          <w:highlight w:val="none"/>
          <w:u w:val="single"/>
        </w:rPr>
        <w:t>按国家和工程所在地省、市的相关规范要求执行。</w:t>
      </w:r>
      <w:r>
        <w:rPr>
          <w:color w:val="auto"/>
          <w:sz w:val="24"/>
          <w:szCs w:val="24"/>
          <w:highlight w:val="none"/>
        </w:rPr>
        <w:t xml:space="preserve">。 </w:t>
      </w:r>
    </w:p>
    <w:p w14:paraId="2B06F28B">
      <w:pPr>
        <w:snapToGrid w:val="0"/>
        <w:spacing w:line="360" w:lineRule="auto"/>
        <w:jc w:val="left"/>
        <w:rPr>
          <w:color w:val="auto"/>
          <w:sz w:val="24"/>
          <w:szCs w:val="24"/>
          <w:highlight w:val="none"/>
        </w:rPr>
      </w:pPr>
      <w:r>
        <w:rPr>
          <w:color w:val="auto"/>
          <w:sz w:val="24"/>
          <w:szCs w:val="24"/>
          <w:highlight w:val="none"/>
        </w:rPr>
        <w:t xml:space="preserve">    施工现场需要配备的试验设备：</w:t>
      </w:r>
      <w:r>
        <w:rPr>
          <w:rFonts w:hint="eastAsia"/>
          <w:color w:val="auto"/>
          <w:sz w:val="24"/>
          <w:szCs w:val="24"/>
          <w:highlight w:val="none"/>
          <w:u w:val="single"/>
        </w:rPr>
        <w:t>按国家和工程所在地省、市的相关规范要求执行。</w:t>
      </w:r>
      <w:r>
        <w:rPr>
          <w:color w:val="auto"/>
          <w:sz w:val="24"/>
          <w:szCs w:val="24"/>
          <w:highlight w:val="none"/>
        </w:rPr>
        <w:t>。</w:t>
      </w:r>
    </w:p>
    <w:p w14:paraId="3DA22A7A">
      <w:pPr>
        <w:snapToGrid w:val="0"/>
        <w:spacing w:line="360" w:lineRule="auto"/>
        <w:jc w:val="left"/>
        <w:rPr>
          <w:color w:val="auto"/>
          <w:sz w:val="24"/>
          <w:szCs w:val="24"/>
          <w:highlight w:val="none"/>
        </w:rPr>
      </w:pPr>
      <w:r>
        <w:rPr>
          <w:color w:val="auto"/>
          <w:sz w:val="24"/>
          <w:szCs w:val="24"/>
          <w:highlight w:val="none"/>
        </w:rPr>
        <w:t xml:space="preserve">    施工现场需要具备的其他试验条件：</w:t>
      </w:r>
      <w:r>
        <w:rPr>
          <w:rFonts w:hint="eastAsia"/>
          <w:color w:val="auto"/>
          <w:sz w:val="24"/>
          <w:szCs w:val="24"/>
          <w:highlight w:val="none"/>
          <w:u w:val="single"/>
          <w:lang w:val="en-US" w:eastAsia="zh-CN"/>
        </w:rPr>
        <w:t>制定施工现场试验管理制度、检测试验方案及计划等</w:t>
      </w:r>
      <w:r>
        <w:rPr>
          <w:color w:val="auto"/>
          <w:sz w:val="24"/>
          <w:szCs w:val="24"/>
          <w:highlight w:val="none"/>
        </w:rPr>
        <w:t>。</w:t>
      </w:r>
    </w:p>
    <w:p w14:paraId="4BB366F9">
      <w:pPr>
        <w:snapToGrid w:val="0"/>
        <w:spacing w:line="360" w:lineRule="auto"/>
        <w:ind w:firstLine="480" w:firstLineChars="200"/>
        <w:rPr>
          <w:color w:val="auto"/>
          <w:sz w:val="24"/>
          <w:szCs w:val="24"/>
          <w:highlight w:val="none"/>
        </w:rPr>
      </w:pPr>
      <w:r>
        <w:rPr>
          <w:color w:val="auto"/>
          <w:sz w:val="24"/>
          <w:szCs w:val="24"/>
          <w:highlight w:val="none"/>
        </w:rPr>
        <w:t xml:space="preserve">9.4 现场工艺试验 </w:t>
      </w:r>
    </w:p>
    <w:p w14:paraId="294A53C2">
      <w:pPr>
        <w:snapToGrid w:val="0"/>
        <w:spacing w:line="360" w:lineRule="auto"/>
        <w:ind w:firstLine="480" w:firstLineChars="200"/>
        <w:jc w:val="left"/>
        <w:rPr>
          <w:color w:val="auto"/>
          <w:sz w:val="24"/>
          <w:szCs w:val="24"/>
          <w:highlight w:val="none"/>
        </w:rPr>
      </w:pPr>
      <w:r>
        <w:rPr>
          <w:color w:val="auto"/>
          <w:sz w:val="24"/>
          <w:szCs w:val="24"/>
          <w:highlight w:val="none"/>
        </w:rPr>
        <w:t>现场工艺试验的有关约定：</w:t>
      </w:r>
      <w:r>
        <w:rPr>
          <w:color w:val="auto"/>
          <w:sz w:val="24"/>
          <w:szCs w:val="24"/>
          <w:highlight w:val="none"/>
          <w:u w:val="single"/>
          <w:lang w:val="en-US" w:eastAsia="zh-CN"/>
        </w:rPr>
        <w:t>执行本合同通用条款</w:t>
      </w:r>
      <w:r>
        <w:rPr>
          <w:color w:val="auto"/>
          <w:sz w:val="24"/>
          <w:szCs w:val="24"/>
          <w:highlight w:val="none"/>
        </w:rPr>
        <w:t>。</w:t>
      </w:r>
    </w:p>
    <w:p w14:paraId="41CCCDA3">
      <w:pPr>
        <w:keepNext/>
        <w:numPr>
          <w:ilvl w:val="3"/>
          <w:numId w:val="0"/>
        </w:numPr>
        <w:tabs>
          <w:tab w:val="left" w:pos="864"/>
        </w:tabs>
        <w:snapToGrid w:val="0"/>
        <w:spacing w:line="360" w:lineRule="auto"/>
        <w:ind w:left="426" w:hanging="420"/>
        <w:outlineLvl w:val="3"/>
        <w:rPr>
          <w:rFonts w:hint="eastAsia" w:ascii="宋体" w:hAnsi="宋体" w:eastAsia="宋体"/>
          <w:b/>
          <w:i w:val="0"/>
          <w:iCs w:val="0"/>
          <w:color w:val="auto"/>
          <w:szCs w:val="21"/>
          <w:highlight w:val="none"/>
        </w:rPr>
      </w:pPr>
      <w:bookmarkStart w:id="835" w:name="_Toc351203642"/>
      <w:r>
        <w:rPr>
          <w:rFonts w:hint="eastAsia" w:ascii="宋体" w:hAnsi="宋体" w:eastAsia="宋体"/>
          <w:b/>
          <w:i w:val="0"/>
          <w:iCs w:val="0"/>
          <w:color w:val="auto"/>
          <w:szCs w:val="21"/>
          <w:highlight w:val="none"/>
        </w:rPr>
        <w:t>1</w:t>
      </w:r>
      <w:bookmarkStart w:id="836" w:name="_Toc297216199"/>
      <w:bookmarkStart w:id="837" w:name="_Toc296944532"/>
      <w:bookmarkStart w:id="838" w:name="_Toc292559398"/>
      <w:bookmarkStart w:id="839" w:name="_Toc297123540"/>
      <w:bookmarkStart w:id="840" w:name="_Toc296347192"/>
      <w:bookmarkStart w:id="841" w:name="_Toc296346694"/>
      <w:bookmarkStart w:id="842" w:name="_Toc296891233"/>
      <w:bookmarkStart w:id="843" w:name="_Toc296503193"/>
      <w:bookmarkStart w:id="844" w:name="_Toc292559903"/>
      <w:bookmarkStart w:id="845" w:name="_Toc303539146"/>
      <w:bookmarkStart w:id="846" w:name="_Toc297048379"/>
      <w:bookmarkStart w:id="847" w:name="_Toc296891021"/>
      <w:bookmarkStart w:id="848" w:name="_Toc300934989"/>
      <w:bookmarkStart w:id="849" w:name="_Toc304295566"/>
      <w:bookmarkStart w:id="850" w:name="_Toc297120493"/>
      <w:bookmarkStart w:id="851" w:name="_Toc312677499"/>
      <w:bookmarkStart w:id="852" w:name="_Toc312678025"/>
      <w:r>
        <w:rPr>
          <w:rFonts w:hint="eastAsia" w:ascii="宋体" w:hAnsi="宋体" w:eastAsia="宋体"/>
          <w:b/>
          <w:i w:val="0"/>
          <w:iCs w:val="0"/>
          <w:color w:val="auto"/>
          <w:szCs w:val="21"/>
          <w:highlight w:val="none"/>
        </w:rPr>
        <w:t>0. 变更</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bookmarkEnd w:id="851"/>
    <w:bookmarkEnd w:id="852"/>
    <w:p w14:paraId="4E26B4FB">
      <w:pPr>
        <w:snapToGrid w:val="0"/>
        <w:spacing w:line="360" w:lineRule="auto"/>
        <w:ind w:firstLine="480" w:firstLineChars="200"/>
        <w:rPr>
          <w:rFonts w:ascii="宋体" w:hAnsi="宋体" w:cs="宋体"/>
          <w:i w:val="0"/>
          <w:iCs w:val="0"/>
          <w:color w:val="auto"/>
          <w:szCs w:val="21"/>
          <w:highlight w:val="none"/>
        </w:rPr>
      </w:pPr>
      <w:r>
        <w:rPr>
          <w:rFonts w:hint="eastAsia" w:ascii="宋体" w:hAnsi="宋体" w:cs="宋体"/>
          <w:i w:val="0"/>
          <w:iCs w:val="0"/>
          <w:color w:val="auto"/>
          <w:szCs w:val="21"/>
          <w:highlight w:val="none"/>
        </w:rPr>
        <w:t>1</w:t>
      </w:r>
      <w:bookmarkStart w:id="853" w:name="_Toc296346695"/>
      <w:bookmarkStart w:id="854" w:name="_Toc312677500"/>
      <w:bookmarkStart w:id="855" w:name="_Toc297216200"/>
      <w:bookmarkStart w:id="856" w:name="_Toc296347193"/>
      <w:bookmarkStart w:id="857" w:name="_Toc296944533"/>
      <w:bookmarkStart w:id="858" w:name="_Toc296503194"/>
      <w:bookmarkStart w:id="859" w:name="_Toc296891234"/>
      <w:bookmarkStart w:id="860" w:name="_Toc304295567"/>
      <w:bookmarkStart w:id="861" w:name="_Toc292559399"/>
      <w:bookmarkStart w:id="862" w:name="_Toc312678026"/>
      <w:bookmarkStart w:id="863" w:name="_Toc303539147"/>
      <w:bookmarkStart w:id="864" w:name="_Toc296891022"/>
      <w:bookmarkStart w:id="865" w:name="_Toc297048380"/>
      <w:bookmarkStart w:id="866" w:name="_Toc297123541"/>
      <w:bookmarkStart w:id="867" w:name="_Toc292559904"/>
      <w:bookmarkStart w:id="868" w:name="_Toc300934990"/>
      <w:bookmarkStart w:id="869" w:name="_Toc297120494"/>
      <w:r>
        <w:rPr>
          <w:rFonts w:hint="eastAsia" w:ascii="宋体" w:hAnsi="宋体" w:cs="宋体"/>
          <w:i w:val="0"/>
          <w:iCs w:val="0"/>
          <w:color w:val="auto"/>
          <w:szCs w:val="21"/>
          <w:highlight w:val="none"/>
        </w:rPr>
        <w:t>0.1变更的范围</w:t>
      </w:r>
    </w:p>
    <w:p w14:paraId="610D1968">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关于变更的范围的约定：</w:t>
      </w:r>
      <w:r>
        <w:rPr>
          <w:rFonts w:hint="eastAsia" w:ascii="宋体" w:hAnsi="宋体" w:cs="宋体"/>
          <w:i w:val="0"/>
          <w:iCs w:val="0"/>
          <w:color w:val="auto"/>
          <w:szCs w:val="21"/>
          <w:highlight w:val="none"/>
          <w:u w:val="single"/>
        </w:rPr>
        <w:t>执行本合同通用条款</w:t>
      </w:r>
      <w:r>
        <w:rPr>
          <w:rFonts w:hint="eastAsia" w:ascii="宋体" w:hAnsi="宋体" w:cs="宋体"/>
          <w:i w:val="0"/>
          <w:iCs w:val="0"/>
          <w:color w:val="auto"/>
          <w:szCs w:val="21"/>
          <w:highlight w:val="none"/>
        </w:rPr>
        <w:t>。</w:t>
      </w:r>
    </w:p>
    <w:p w14:paraId="370EDD1E">
      <w:pPr>
        <w:snapToGrid w:val="0"/>
        <w:spacing w:line="360" w:lineRule="auto"/>
        <w:ind w:firstLine="480" w:firstLineChars="200"/>
        <w:outlineLvl w:val="0"/>
        <w:rPr>
          <w:rFonts w:ascii="宋体" w:hAnsi="宋体" w:cs="宋体"/>
          <w:i w:val="0"/>
          <w:iCs w:val="0"/>
          <w:color w:val="auto"/>
          <w:szCs w:val="21"/>
          <w:highlight w:val="none"/>
        </w:rPr>
      </w:pPr>
      <w:bookmarkStart w:id="870" w:name="_Toc30817"/>
      <w:r>
        <w:rPr>
          <w:rFonts w:hint="eastAsia" w:ascii="宋体" w:hAnsi="宋体" w:cs="宋体"/>
          <w:i w:val="0"/>
          <w:iCs w:val="0"/>
          <w:color w:val="auto"/>
          <w:szCs w:val="21"/>
          <w:highlight w:val="none"/>
        </w:rPr>
        <w:t>10.4 变更估价</w:t>
      </w:r>
      <w:bookmarkEnd w:id="870"/>
    </w:p>
    <w:p w14:paraId="10224618">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10.4.1 变更估价原则</w:t>
      </w:r>
    </w:p>
    <w:p w14:paraId="6F4128A6">
      <w:pPr>
        <w:snapToGrid w:val="0"/>
        <w:spacing w:line="360" w:lineRule="auto"/>
        <w:ind w:firstLine="480" w:firstLineChars="200"/>
        <w:jc w:val="left"/>
        <w:rPr>
          <w:rFonts w:ascii="宋体" w:hAnsi="宋体" w:cs="宋体"/>
          <w:i w:val="0"/>
          <w:iCs w:val="0"/>
          <w:color w:val="auto"/>
          <w:szCs w:val="21"/>
          <w:highlight w:val="none"/>
          <w:u w:val="single"/>
        </w:rPr>
      </w:pPr>
      <w:r>
        <w:rPr>
          <w:rFonts w:hint="eastAsia" w:ascii="宋体" w:hAnsi="宋体" w:cs="宋体"/>
          <w:i w:val="0"/>
          <w:iCs w:val="0"/>
          <w:color w:val="auto"/>
          <w:szCs w:val="21"/>
          <w:highlight w:val="none"/>
        </w:rPr>
        <w:t xml:space="preserve">关于变更估价的约定: </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eastAsia="zh-CN"/>
        </w:rPr>
        <w:t>按相关规定执行</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w:t>
      </w:r>
    </w:p>
    <w:p w14:paraId="37E1E899">
      <w:pPr>
        <w:snapToGrid w:val="0"/>
        <w:spacing w:line="360" w:lineRule="auto"/>
        <w:ind w:firstLine="480" w:firstLineChars="200"/>
        <w:rPr>
          <w:rFonts w:ascii="宋体" w:hAnsi="宋体" w:cs="宋体"/>
          <w:i w:val="0"/>
          <w:iCs w:val="0"/>
          <w:color w:val="auto"/>
          <w:szCs w:val="21"/>
          <w:highlight w:val="none"/>
        </w:rPr>
      </w:pPr>
      <w:r>
        <w:rPr>
          <w:rFonts w:hint="eastAsia" w:ascii="宋体" w:hAnsi="宋体" w:cs="宋体"/>
          <w:i w:val="0"/>
          <w:iCs w:val="0"/>
          <w:color w:val="auto"/>
          <w:szCs w:val="21"/>
          <w:highlight w:val="none"/>
        </w:rPr>
        <w:t>1</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Start w:id="871" w:name="_Toc292559402"/>
      <w:bookmarkStart w:id="872" w:name="_Toc303539150"/>
      <w:bookmarkStart w:id="873" w:name="_Toc297048383"/>
      <w:bookmarkStart w:id="874" w:name="_Toc297120497"/>
      <w:bookmarkStart w:id="875" w:name="_Toc296944536"/>
      <w:bookmarkStart w:id="876" w:name="_Toc296503197"/>
      <w:bookmarkStart w:id="877" w:name="_Toc296347196"/>
      <w:bookmarkStart w:id="878" w:name="_Toc296891025"/>
      <w:bookmarkStart w:id="879" w:name="_Toc296346698"/>
      <w:bookmarkStart w:id="880" w:name="_Toc297216203"/>
      <w:bookmarkStart w:id="881" w:name="_Toc297123544"/>
      <w:bookmarkStart w:id="882" w:name="_Toc292559907"/>
      <w:bookmarkStart w:id="883" w:name="_Toc300934993"/>
      <w:bookmarkStart w:id="884" w:name="_Toc296891237"/>
      <w:bookmarkStart w:id="885" w:name="_Toc312678029"/>
      <w:bookmarkStart w:id="886" w:name="_Toc304295570"/>
      <w:bookmarkStart w:id="887" w:name="_Toc312677503"/>
      <w:r>
        <w:rPr>
          <w:rFonts w:hint="eastAsia" w:ascii="宋体" w:hAnsi="宋体" w:cs="宋体"/>
          <w:i w:val="0"/>
          <w:iCs w:val="0"/>
          <w:color w:val="auto"/>
          <w:szCs w:val="21"/>
          <w:highlight w:val="none"/>
        </w:rPr>
        <w:t>0.5承</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Start w:id="888" w:name="_Toc292559913"/>
      <w:bookmarkStart w:id="889" w:name="_Toc296347202"/>
      <w:bookmarkStart w:id="890" w:name="_Toc296503203"/>
      <w:bookmarkStart w:id="891" w:name="_Toc296346704"/>
      <w:bookmarkStart w:id="892" w:name="_Toc297216204"/>
      <w:bookmarkStart w:id="893" w:name="_Toc296891243"/>
      <w:bookmarkStart w:id="894" w:name="_Toc297048389"/>
      <w:bookmarkStart w:id="895" w:name="_Toc300934994"/>
      <w:bookmarkStart w:id="896" w:name="_Toc292559408"/>
      <w:bookmarkStart w:id="897" w:name="_Toc296944542"/>
      <w:bookmarkStart w:id="898" w:name="_Toc296891031"/>
      <w:bookmarkStart w:id="899" w:name="_Toc297123545"/>
      <w:bookmarkStart w:id="900" w:name="_Toc303539151"/>
      <w:bookmarkStart w:id="901" w:name="_Toc297120503"/>
      <w:r>
        <w:rPr>
          <w:rFonts w:hint="eastAsia" w:ascii="宋体" w:hAnsi="宋体" w:cs="宋体"/>
          <w:i w:val="0"/>
          <w:iCs w:val="0"/>
          <w:color w:val="auto"/>
          <w:szCs w:val="21"/>
          <w:highlight w:val="none"/>
        </w:rPr>
        <w:t>包人的合理化建议</w:t>
      </w:r>
    </w:p>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21303A8A">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监理人审查承包人合理化建议的期限：</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val="en-US" w:eastAsia="zh-CN"/>
        </w:rPr>
        <w:t>/</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w:t>
      </w:r>
    </w:p>
    <w:p w14:paraId="06DAA349">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发包人审批承包人合理化建议的期限：</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val="en-US" w:eastAsia="zh-CN"/>
        </w:rPr>
        <w:t>执行本合同通用条款</w:t>
      </w:r>
      <w:r>
        <w:rPr>
          <w:rFonts w:hint="eastAsia" w:ascii="宋体" w:hAnsi="宋体" w:cs="宋体"/>
          <w:i w:val="0"/>
          <w:iCs w:val="0"/>
          <w:color w:val="auto"/>
          <w:szCs w:val="21"/>
          <w:highlight w:val="none"/>
        </w:rPr>
        <w:t>。</w:t>
      </w:r>
    </w:p>
    <w:p w14:paraId="3C01D395">
      <w:pPr>
        <w:snapToGrid w:val="0"/>
        <w:spacing w:line="360" w:lineRule="auto"/>
        <w:ind w:firstLine="480" w:firstLineChars="200"/>
        <w:jc w:val="left"/>
        <w:rPr>
          <w:rFonts w:ascii="宋体" w:hAnsi="宋体" w:cs="宋体"/>
          <w:i w:val="0"/>
          <w:iCs w:val="0"/>
          <w:color w:val="auto"/>
          <w:szCs w:val="21"/>
          <w:highlight w:val="none"/>
          <w:u w:val="single"/>
        </w:rPr>
      </w:pPr>
      <w:r>
        <w:rPr>
          <w:rFonts w:hint="eastAsia" w:ascii="宋体" w:hAnsi="宋体" w:cs="宋体"/>
          <w:i w:val="0"/>
          <w:iCs w:val="0"/>
          <w:color w:val="auto"/>
          <w:szCs w:val="21"/>
          <w:highlight w:val="none"/>
        </w:rPr>
        <w:t>承</w:t>
      </w:r>
      <w:bookmarkStart w:id="902" w:name="_Toc296944543"/>
      <w:bookmarkStart w:id="903" w:name="_Toc304295571"/>
      <w:bookmarkStart w:id="904" w:name="_Toc312678030"/>
      <w:bookmarkStart w:id="905" w:name="_Toc318581175"/>
      <w:bookmarkStart w:id="906" w:name="_Toc297123546"/>
      <w:bookmarkStart w:id="907" w:name="_Toc296891032"/>
      <w:bookmarkStart w:id="908" w:name="_Toc300934995"/>
      <w:bookmarkStart w:id="909" w:name="_Toc297120504"/>
      <w:bookmarkStart w:id="910" w:name="_Toc297216205"/>
      <w:bookmarkStart w:id="911" w:name="_Toc312677504"/>
      <w:bookmarkStart w:id="912" w:name="_Toc297048390"/>
      <w:bookmarkStart w:id="913" w:name="_Toc296503204"/>
      <w:bookmarkStart w:id="914" w:name="_Toc303539152"/>
      <w:bookmarkStart w:id="915" w:name="_Toc296346705"/>
      <w:bookmarkStart w:id="916" w:name="_Toc296347203"/>
      <w:bookmarkStart w:id="917" w:name="_Toc292559409"/>
      <w:bookmarkStart w:id="918" w:name="_Toc296891244"/>
      <w:bookmarkStart w:id="919" w:name="_Toc292559914"/>
      <w:r>
        <w:rPr>
          <w:rFonts w:hint="eastAsia" w:ascii="宋体" w:hAnsi="宋体" w:cs="宋体"/>
          <w:i w:val="0"/>
          <w:iCs w:val="0"/>
          <w:color w:val="auto"/>
          <w:szCs w:val="21"/>
          <w:highlight w:val="none"/>
        </w:rPr>
        <w:t>包人提出的合理化建议降低了合同价格或者提高了工程经济效益的奖励的方法和金额为：</w:t>
      </w:r>
      <w:r>
        <w:rPr>
          <w:rFonts w:hint="eastAsia" w:ascii="宋体" w:hAnsi="宋体" w:cs="宋体"/>
          <w:i w:val="0"/>
          <w:iCs w:val="0"/>
          <w:color w:val="auto"/>
          <w:szCs w:val="21"/>
          <w:highlight w:val="none"/>
          <w:u w:val="single"/>
          <w:lang w:eastAsia="zh-CN"/>
        </w:rPr>
        <w:t>无</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w:t>
      </w:r>
    </w:p>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73F15C66">
      <w:pPr>
        <w:snapToGrid w:val="0"/>
        <w:spacing w:line="360" w:lineRule="auto"/>
        <w:ind w:firstLine="480" w:firstLineChars="200"/>
        <w:outlineLvl w:val="0"/>
        <w:rPr>
          <w:rFonts w:ascii="宋体" w:hAnsi="宋体" w:cs="宋体"/>
          <w:i w:val="0"/>
          <w:iCs w:val="0"/>
          <w:color w:val="auto"/>
          <w:szCs w:val="21"/>
          <w:highlight w:val="none"/>
        </w:rPr>
      </w:pPr>
      <w:bookmarkStart w:id="920" w:name="_Toc32296"/>
      <w:r>
        <w:rPr>
          <w:rFonts w:hint="eastAsia" w:ascii="宋体" w:hAnsi="宋体" w:cs="宋体"/>
          <w:i w:val="0"/>
          <w:iCs w:val="0"/>
          <w:color w:val="auto"/>
          <w:szCs w:val="21"/>
          <w:highlight w:val="none"/>
        </w:rPr>
        <w:t>1</w:t>
      </w:r>
      <w:bookmarkStart w:id="921" w:name="_Toc297120499"/>
      <w:bookmarkStart w:id="922" w:name="_Toc312677507"/>
      <w:bookmarkStart w:id="923" w:name="_Toc296347198"/>
      <w:bookmarkStart w:id="924" w:name="_Toc296891239"/>
      <w:bookmarkStart w:id="925" w:name="_Toc296503199"/>
      <w:bookmarkStart w:id="926" w:name="_Toc300934997"/>
      <w:bookmarkStart w:id="927" w:name="_Toc304295574"/>
      <w:bookmarkStart w:id="928" w:name="_Toc312678033"/>
      <w:bookmarkStart w:id="929" w:name="_Toc296944538"/>
      <w:bookmarkStart w:id="930" w:name="_Toc292559909"/>
      <w:bookmarkStart w:id="931" w:name="_Toc296891027"/>
      <w:bookmarkStart w:id="932" w:name="_Toc303539154"/>
      <w:bookmarkStart w:id="933" w:name="_Toc296346700"/>
      <w:bookmarkStart w:id="934" w:name="_Toc297216207"/>
      <w:bookmarkStart w:id="935" w:name="_Toc297123548"/>
      <w:bookmarkStart w:id="936" w:name="_Toc297048385"/>
      <w:bookmarkStart w:id="937" w:name="_Toc292559404"/>
      <w:r>
        <w:rPr>
          <w:rFonts w:hint="eastAsia" w:ascii="宋体" w:hAnsi="宋体" w:cs="宋体"/>
          <w:i w:val="0"/>
          <w:iCs w:val="0"/>
          <w:color w:val="auto"/>
          <w:szCs w:val="21"/>
          <w:highlight w:val="none"/>
        </w:rPr>
        <w:t>0.7 暂估价</w:t>
      </w:r>
      <w:bookmarkEnd w:id="920"/>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14:paraId="70750FB1">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kern w:val="0"/>
          <w:szCs w:val="21"/>
          <w:highlight w:val="none"/>
        </w:rPr>
        <w:t>暂</w:t>
      </w:r>
      <w:bookmarkStart w:id="938" w:name="_Toc318581176"/>
      <w:bookmarkStart w:id="939" w:name="_Toc312678034"/>
      <w:bookmarkStart w:id="940" w:name="_Toc312677508"/>
      <w:r>
        <w:rPr>
          <w:rFonts w:hint="eastAsia" w:ascii="宋体" w:hAnsi="宋体" w:cs="宋体"/>
          <w:i w:val="0"/>
          <w:iCs w:val="0"/>
          <w:color w:val="auto"/>
          <w:kern w:val="0"/>
          <w:szCs w:val="21"/>
          <w:highlight w:val="none"/>
        </w:rPr>
        <w:t>估价材料和工程设备的明细详见附件11：《</w:t>
      </w:r>
      <w:r>
        <w:rPr>
          <w:rFonts w:hint="eastAsia" w:ascii="宋体" w:hAnsi="宋体" w:cs="宋体"/>
          <w:i w:val="0"/>
          <w:iCs w:val="0"/>
          <w:color w:val="auto"/>
          <w:szCs w:val="21"/>
          <w:highlight w:val="none"/>
        </w:rPr>
        <w:t>暂估价一览表》</w:t>
      </w:r>
      <w:r>
        <w:rPr>
          <w:rFonts w:hint="eastAsia" w:ascii="宋体" w:hAnsi="宋体" w:cs="宋体"/>
          <w:i w:val="0"/>
          <w:iCs w:val="0"/>
          <w:color w:val="auto"/>
          <w:kern w:val="0"/>
          <w:szCs w:val="21"/>
          <w:highlight w:val="none"/>
        </w:rPr>
        <w:t>。</w:t>
      </w:r>
    </w:p>
    <w:bookmarkEnd w:id="938"/>
    <w:bookmarkEnd w:id="939"/>
    <w:bookmarkEnd w:id="940"/>
    <w:p w14:paraId="09E6B9CE">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1</w:t>
      </w:r>
      <w:bookmarkStart w:id="941" w:name="_Toc318581177"/>
      <w:bookmarkStart w:id="942" w:name="_Toc312678035"/>
      <w:bookmarkStart w:id="943" w:name="_Toc312677509"/>
      <w:r>
        <w:rPr>
          <w:rFonts w:hint="eastAsia" w:ascii="宋体" w:hAnsi="宋体" w:cs="宋体"/>
          <w:i w:val="0"/>
          <w:iCs w:val="0"/>
          <w:color w:val="auto"/>
          <w:szCs w:val="21"/>
          <w:highlight w:val="none"/>
        </w:rPr>
        <w:t>0.7.1 依法必须招标的暂估价项目</w:t>
      </w:r>
    </w:p>
    <w:bookmarkEnd w:id="941"/>
    <w:bookmarkEnd w:id="942"/>
    <w:bookmarkEnd w:id="943"/>
    <w:p w14:paraId="4E5AC3C9">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对于依法必须招标的暂估价项目的确认和批准采取第</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val="en-US" w:eastAsia="zh-CN"/>
        </w:rPr>
        <w:t>1</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种方式确定。</w:t>
      </w:r>
    </w:p>
    <w:p w14:paraId="74CF0AAA">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10.7.2 不属于依法必须招标的暂估价项目</w:t>
      </w:r>
    </w:p>
    <w:p w14:paraId="51AD6866">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对于不属于依法必须招标的暂估价项目的确认和批准采取第</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种方式确定。</w:t>
      </w:r>
    </w:p>
    <w:p w14:paraId="5BD68404">
      <w:pPr>
        <w:snapToGrid w:val="0"/>
        <w:spacing w:line="360" w:lineRule="auto"/>
        <w:ind w:firstLine="480" w:firstLineChars="200"/>
        <w:jc w:val="left"/>
        <w:rPr>
          <w:rFonts w:ascii="宋体" w:hAnsi="宋体" w:cs="宋体"/>
          <w:i w:val="0"/>
          <w:iCs w:val="0"/>
          <w:color w:val="auto"/>
          <w:kern w:val="0"/>
          <w:szCs w:val="21"/>
          <w:highlight w:val="none"/>
        </w:rPr>
      </w:pPr>
      <w:r>
        <w:rPr>
          <w:rFonts w:hint="eastAsia" w:ascii="宋体" w:hAnsi="宋体" w:cs="宋体"/>
          <w:i w:val="0"/>
          <w:iCs w:val="0"/>
          <w:color w:val="auto"/>
          <w:szCs w:val="21"/>
          <w:highlight w:val="none"/>
        </w:rPr>
        <w:t>第3种方式：</w:t>
      </w:r>
      <w:r>
        <w:rPr>
          <w:rFonts w:hint="eastAsia" w:ascii="宋体" w:hAnsi="宋体" w:cs="宋体"/>
          <w:i w:val="0"/>
          <w:iCs w:val="0"/>
          <w:color w:val="auto"/>
          <w:kern w:val="0"/>
          <w:szCs w:val="21"/>
          <w:highlight w:val="none"/>
        </w:rPr>
        <w:t>承包人直接实施的暂估价项目</w:t>
      </w:r>
    </w:p>
    <w:p w14:paraId="635C4E8D">
      <w:pPr>
        <w:snapToGrid w:val="0"/>
        <w:spacing w:line="360" w:lineRule="auto"/>
        <w:ind w:firstLine="480" w:firstLineChars="200"/>
        <w:jc w:val="left"/>
        <w:rPr>
          <w:rFonts w:ascii="宋体" w:hAnsi="宋体" w:cs="宋体"/>
          <w:i w:val="0"/>
          <w:iCs w:val="0"/>
          <w:color w:val="auto"/>
          <w:szCs w:val="21"/>
          <w:highlight w:val="none"/>
        </w:rPr>
      </w:pPr>
      <w:r>
        <w:rPr>
          <w:rFonts w:hint="eastAsia" w:ascii="宋体" w:hAnsi="宋体" w:cs="宋体"/>
          <w:i w:val="0"/>
          <w:iCs w:val="0"/>
          <w:color w:val="auto"/>
          <w:szCs w:val="21"/>
          <w:highlight w:val="none"/>
        </w:rPr>
        <w:t>承包人直接实施的暂估价项目的约定：</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val="en-US" w:eastAsia="zh-CN"/>
        </w:rPr>
        <w:t>暂估价由询价小组依据共同商议的品牌，档次、材质及相关技术参数各自独立询价，并以综合评价形式签署“询价认定单”确定由承包人组织采购，发包人按“询价认定单”确定的品牌、档次、材质、相关技术参数及样品验收进场，并作为工程结算的依据，通过询价小组确定的暂估价原则上不得突破竞争性磋商文件工程量清单所列暂估价，如确需突破，经询价小组提出具体解决方案并报发包人审议批准，方可按暂估价规定的认定程序实施。</w:t>
      </w:r>
    </w:p>
    <w:p w14:paraId="5A929CE8">
      <w:pPr>
        <w:snapToGrid w:val="0"/>
        <w:spacing w:line="360" w:lineRule="auto"/>
        <w:ind w:firstLine="480" w:firstLineChars="200"/>
        <w:rPr>
          <w:rFonts w:ascii="宋体" w:hAnsi="宋体" w:cs="宋体"/>
          <w:i w:val="0"/>
          <w:iCs w:val="0"/>
          <w:color w:val="auto"/>
          <w:szCs w:val="21"/>
          <w:highlight w:val="none"/>
        </w:rPr>
      </w:pPr>
      <w:r>
        <w:rPr>
          <w:rFonts w:hint="eastAsia" w:ascii="宋体" w:hAnsi="宋体" w:cs="宋体"/>
          <w:i w:val="0"/>
          <w:iCs w:val="0"/>
          <w:color w:val="auto"/>
          <w:szCs w:val="21"/>
          <w:highlight w:val="none"/>
        </w:rPr>
        <w:t>10.8 暂列金额</w:t>
      </w:r>
    </w:p>
    <w:p w14:paraId="72455E0D">
      <w:pPr>
        <w:autoSpaceDE w:val="0"/>
        <w:autoSpaceDN w:val="0"/>
        <w:snapToGrid w:val="0"/>
        <w:spacing w:line="360" w:lineRule="auto"/>
        <w:ind w:firstLine="480" w:firstLineChars="200"/>
        <w:jc w:val="left"/>
        <w:rPr>
          <w:rFonts w:hint="eastAsia" w:ascii="宋体" w:hAnsi="宋体" w:cs="宋体"/>
          <w:i w:val="0"/>
          <w:iCs w:val="0"/>
          <w:color w:val="auto"/>
          <w:szCs w:val="21"/>
          <w:highlight w:val="none"/>
          <w:u w:val="single"/>
        </w:rPr>
      </w:pPr>
      <w:r>
        <w:rPr>
          <w:rFonts w:hint="eastAsia" w:ascii="宋体" w:hAnsi="宋体" w:cs="宋体"/>
          <w:i w:val="0"/>
          <w:iCs w:val="0"/>
          <w:color w:val="auto"/>
          <w:kern w:val="0"/>
          <w:szCs w:val="21"/>
          <w:highlight w:val="none"/>
        </w:rPr>
        <w:t>合同当事人关于暂列金额使用的约定：</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u w:val="single"/>
          <w:lang w:val="en-US" w:eastAsia="zh-CN"/>
        </w:rPr>
        <w:t>工程施工过程中发生并得到发包人签字确认的不可预见的工程变更、现场签证等确认的费用，经监理人、发包人审定，使用暂列金支付上述事项所发生的费用时，待工程审计结算后予以支付。在合同价格中的暂列金额由发包人掌握；暂列金的余额归发包人所有。</w:t>
      </w:r>
    </w:p>
    <w:bookmarkEnd w:id="801"/>
    <w:bookmarkEnd w:id="802"/>
    <w:bookmarkEnd w:id="803"/>
    <w:bookmarkEnd w:id="804"/>
    <w:bookmarkEnd w:id="805"/>
    <w:bookmarkEnd w:id="806"/>
    <w:bookmarkEnd w:id="807"/>
    <w:bookmarkEnd w:id="808"/>
    <w:bookmarkEnd w:id="809"/>
    <w:bookmarkEnd w:id="810"/>
    <w:bookmarkEnd w:id="811"/>
    <w:bookmarkEnd w:id="812"/>
    <w:bookmarkEnd w:id="827"/>
    <w:bookmarkEnd w:id="828"/>
    <w:bookmarkEnd w:id="829"/>
    <w:bookmarkEnd w:id="830"/>
    <w:bookmarkEnd w:id="831"/>
    <w:bookmarkEnd w:id="832"/>
    <w:bookmarkEnd w:id="833"/>
    <w:bookmarkEnd w:id="834"/>
    <w:p w14:paraId="2A9E6566">
      <w:pPr>
        <w:pStyle w:val="5"/>
        <w:snapToGrid w:val="0"/>
        <w:spacing w:before="0" w:after="0" w:line="360" w:lineRule="auto"/>
        <w:rPr>
          <w:rFonts w:ascii="Times New Roman" w:hAnsi="Times New Roman" w:eastAsia="宋体"/>
          <w:b w:val="0"/>
          <w:color w:val="auto"/>
          <w:kern w:val="2"/>
          <w:sz w:val="24"/>
          <w:szCs w:val="24"/>
          <w:highlight w:val="none"/>
        </w:rPr>
      </w:pPr>
      <w:bookmarkStart w:id="944" w:name="_Toc351203643"/>
      <w:bookmarkStart w:id="945" w:name="_Toc267251442"/>
      <w:r>
        <w:rPr>
          <w:rFonts w:ascii="Times New Roman" w:hAnsi="Times New Roman" w:eastAsia="宋体"/>
          <w:b w:val="0"/>
          <w:color w:val="auto"/>
          <w:kern w:val="2"/>
          <w:sz w:val="24"/>
          <w:szCs w:val="24"/>
          <w:highlight w:val="none"/>
        </w:rPr>
        <w:t>11. 价格调整</w:t>
      </w:r>
      <w:bookmarkEnd w:id="944"/>
    </w:p>
    <w:p w14:paraId="7C628D87">
      <w:pPr>
        <w:snapToGrid w:val="0"/>
        <w:spacing w:line="360" w:lineRule="auto"/>
        <w:ind w:firstLine="480" w:firstLineChars="200"/>
        <w:rPr>
          <w:color w:val="auto"/>
          <w:sz w:val="24"/>
          <w:szCs w:val="24"/>
          <w:highlight w:val="none"/>
        </w:rPr>
      </w:pPr>
      <w:bookmarkStart w:id="946" w:name="_Toc292559911"/>
      <w:bookmarkStart w:id="947" w:name="_Toc296503201"/>
      <w:bookmarkStart w:id="948" w:name="_Toc300935000"/>
      <w:bookmarkStart w:id="949" w:name="_Toc312678039"/>
      <w:bookmarkStart w:id="950" w:name="_Toc297216209"/>
      <w:bookmarkStart w:id="951" w:name="_Toc297120501"/>
      <w:bookmarkStart w:id="952" w:name="_Toc296891241"/>
      <w:bookmarkStart w:id="953" w:name="_Toc297123550"/>
      <w:bookmarkStart w:id="954" w:name="_Toc296891029"/>
      <w:bookmarkStart w:id="955" w:name="_Toc296944540"/>
      <w:bookmarkStart w:id="956" w:name="_Toc296347200"/>
      <w:bookmarkStart w:id="957" w:name="_Toc304295577"/>
      <w:bookmarkStart w:id="958" w:name="_Toc292559406"/>
      <w:bookmarkStart w:id="959" w:name="_Toc297048387"/>
      <w:bookmarkStart w:id="960" w:name="_Toc296346702"/>
      <w:bookmarkStart w:id="961" w:name="_Toc303539157"/>
      <w:r>
        <w:rPr>
          <w:color w:val="auto"/>
          <w:sz w:val="24"/>
          <w:szCs w:val="24"/>
          <w:highlight w:val="none"/>
        </w:rPr>
        <w:t>11.1 市场价格波动引起的调整</w:t>
      </w:r>
    </w:p>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14:paraId="431835DA">
      <w:pPr>
        <w:snapToGrid w:val="0"/>
        <w:spacing w:line="360" w:lineRule="auto"/>
        <w:ind w:firstLine="480" w:firstLineChars="200"/>
        <w:jc w:val="left"/>
        <w:rPr>
          <w:color w:val="auto"/>
          <w:sz w:val="24"/>
          <w:szCs w:val="24"/>
          <w:highlight w:val="none"/>
        </w:rPr>
      </w:pPr>
      <w:r>
        <w:rPr>
          <w:color w:val="auto"/>
          <w:sz w:val="24"/>
          <w:szCs w:val="24"/>
          <w:highlight w:val="none"/>
        </w:rPr>
        <w:t xml:space="preserve">市场价格波动是否调整合同价格的约定： </w:t>
      </w:r>
      <w:r>
        <w:rPr>
          <w:rFonts w:hint="eastAsia"/>
          <w:color w:val="auto"/>
          <w:sz w:val="24"/>
          <w:szCs w:val="24"/>
          <w:highlight w:val="none"/>
          <w:u w:val="single"/>
          <w:lang w:eastAsia="zh-CN"/>
        </w:rPr>
        <w:t>不</w:t>
      </w:r>
      <w:r>
        <w:rPr>
          <w:color w:val="auto"/>
          <w:sz w:val="24"/>
          <w:szCs w:val="24"/>
          <w:highlight w:val="none"/>
          <w:u w:val="single"/>
        </w:rPr>
        <w:t xml:space="preserve">调整 </w:t>
      </w:r>
      <w:r>
        <w:rPr>
          <w:color w:val="auto"/>
          <w:sz w:val="24"/>
          <w:szCs w:val="24"/>
          <w:highlight w:val="none"/>
        </w:rPr>
        <w:t>。</w:t>
      </w:r>
    </w:p>
    <w:p w14:paraId="52EC9F86">
      <w:pPr>
        <w:snapToGrid w:val="0"/>
        <w:spacing w:line="360" w:lineRule="auto"/>
        <w:ind w:firstLine="480" w:firstLineChars="200"/>
        <w:jc w:val="left"/>
        <w:rPr>
          <w:color w:val="auto"/>
          <w:sz w:val="24"/>
          <w:szCs w:val="24"/>
          <w:highlight w:val="none"/>
        </w:rPr>
      </w:pPr>
      <w:r>
        <w:rPr>
          <w:color w:val="auto"/>
          <w:sz w:val="24"/>
          <w:szCs w:val="24"/>
          <w:highlight w:val="none"/>
          <w:lang w:val="en-US" w:eastAsia="zh-CN"/>
        </w:rPr>
        <w:t>因市场价格波动调整合同价格，采用以下第</w:t>
      </w:r>
      <w:r>
        <w:rPr>
          <w:color w:val="auto"/>
          <w:sz w:val="24"/>
          <w:szCs w:val="24"/>
          <w:highlight w:val="none"/>
          <w:u w:val="single"/>
          <w:lang w:val="en-US" w:eastAsia="zh-CN"/>
        </w:rPr>
        <w:t xml:space="preserve"> / </w:t>
      </w:r>
      <w:r>
        <w:rPr>
          <w:color w:val="auto"/>
          <w:sz w:val="24"/>
          <w:szCs w:val="24"/>
          <w:highlight w:val="none"/>
          <w:lang w:val="en-US" w:eastAsia="zh-CN"/>
        </w:rPr>
        <w:t>种方式对合同价格进行调整：</w:t>
      </w:r>
    </w:p>
    <w:p w14:paraId="70C3F334">
      <w:pPr>
        <w:pStyle w:val="5"/>
        <w:snapToGrid w:val="0"/>
        <w:spacing w:before="0" w:after="0" w:line="360" w:lineRule="auto"/>
        <w:rPr>
          <w:rFonts w:ascii="Times New Roman" w:hAnsi="Times New Roman" w:eastAsia="宋体"/>
          <w:bCs/>
          <w:color w:val="auto"/>
          <w:sz w:val="24"/>
          <w:szCs w:val="24"/>
          <w:highlight w:val="none"/>
        </w:rPr>
      </w:pPr>
      <w:bookmarkStart w:id="962" w:name="_Toc296944544"/>
      <w:bookmarkStart w:id="963" w:name="_Toc296347204"/>
      <w:bookmarkStart w:id="964" w:name="_Toc296891245"/>
      <w:bookmarkStart w:id="965" w:name="_Toc292559915"/>
      <w:bookmarkStart w:id="966" w:name="_Toc292559410"/>
      <w:bookmarkStart w:id="967" w:name="_Toc297120505"/>
      <w:bookmarkStart w:id="968" w:name="_Toc296503205"/>
      <w:bookmarkStart w:id="969" w:name="_Toc296891033"/>
      <w:bookmarkStart w:id="970" w:name="_Toc296346706"/>
      <w:bookmarkStart w:id="971" w:name="_Toc297048391"/>
      <w:bookmarkStart w:id="972" w:name="_Toc351203644"/>
      <w:bookmarkStart w:id="973" w:name="_Toc297123552"/>
      <w:bookmarkStart w:id="974" w:name="_Toc312678040"/>
      <w:bookmarkStart w:id="975" w:name="_Toc297216211"/>
      <w:bookmarkStart w:id="976" w:name="_Toc300935002"/>
      <w:bookmarkStart w:id="977" w:name="_Toc304295579"/>
      <w:bookmarkStart w:id="978" w:name="_Toc303539159"/>
      <w:r>
        <w:rPr>
          <w:rFonts w:ascii="Times New Roman" w:hAnsi="Times New Roman" w:eastAsia="宋体"/>
          <w:bCs/>
          <w:color w:val="auto"/>
          <w:sz w:val="24"/>
          <w:szCs w:val="24"/>
          <w:highlight w:val="none"/>
        </w:rPr>
        <w:t xml:space="preserve">12. </w:t>
      </w:r>
      <w:bookmarkEnd w:id="962"/>
      <w:bookmarkEnd w:id="963"/>
      <w:bookmarkEnd w:id="964"/>
      <w:bookmarkEnd w:id="965"/>
      <w:bookmarkEnd w:id="966"/>
      <w:bookmarkEnd w:id="967"/>
      <w:bookmarkEnd w:id="968"/>
      <w:bookmarkEnd w:id="969"/>
      <w:bookmarkEnd w:id="970"/>
      <w:bookmarkEnd w:id="971"/>
      <w:r>
        <w:rPr>
          <w:rFonts w:ascii="Times New Roman" w:hAnsi="Times New Roman" w:eastAsia="宋体"/>
          <w:bCs/>
          <w:color w:val="auto"/>
          <w:sz w:val="24"/>
          <w:szCs w:val="24"/>
          <w:highlight w:val="none"/>
        </w:rPr>
        <w:t>合同价格、计量与支付</w:t>
      </w:r>
      <w:bookmarkEnd w:id="972"/>
    </w:p>
    <w:bookmarkEnd w:id="973"/>
    <w:bookmarkEnd w:id="974"/>
    <w:bookmarkEnd w:id="975"/>
    <w:bookmarkEnd w:id="976"/>
    <w:bookmarkEnd w:id="977"/>
    <w:bookmarkEnd w:id="978"/>
    <w:p w14:paraId="0552891B">
      <w:pPr>
        <w:snapToGrid w:val="0"/>
        <w:spacing w:line="440" w:lineRule="exact"/>
        <w:ind w:firstLine="480" w:firstLineChars="200"/>
        <w:rPr>
          <w:color w:val="auto"/>
          <w:sz w:val="24"/>
          <w:szCs w:val="24"/>
          <w:highlight w:val="none"/>
        </w:rPr>
      </w:pPr>
      <w:bookmarkStart w:id="979" w:name="_Toc292559411"/>
      <w:bookmarkStart w:id="980" w:name="_Toc292559916"/>
      <w:bookmarkStart w:id="981" w:name="_Toc267251461"/>
      <w:bookmarkStart w:id="982" w:name="_Toc296891246"/>
      <w:bookmarkStart w:id="983" w:name="_Toc296944545"/>
      <w:bookmarkStart w:id="984" w:name="_Toc297120506"/>
      <w:bookmarkStart w:id="985" w:name="_Toc296346707"/>
      <w:bookmarkStart w:id="986" w:name="_Toc297048392"/>
      <w:bookmarkStart w:id="987" w:name="_Toc296503206"/>
      <w:bookmarkStart w:id="988" w:name="_Toc296347205"/>
      <w:bookmarkStart w:id="989" w:name="_Toc296891034"/>
      <w:bookmarkStart w:id="990" w:name="_Toc312678041"/>
      <w:bookmarkStart w:id="991" w:name="_Toc300935003"/>
      <w:bookmarkStart w:id="992" w:name="_Toc297123553"/>
      <w:bookmarkStart w:id="993" w:name="_Toc297216212"/>
      <w:bookmarkStart w:id="994" w:name="_Toc303539160"/>
      <w:bookmarkStart w:id="995" w:name="_Toc304295580"/>
      <w:r>
        <w:rPr>
          <w:color w:val="auto"/>
          <w:sz w:val="24"/>
          <w:szCs w:val="24"/>
          <w:highlight w:val="none"/>
          <w:lang w:val="en-US" w:eastAsia="zh-CN"/>
        </w:rPr>
        <w:t xml:space="preserve">12.1 合同价格形式 </w:t>
      </w:r>
    </w:p>
    <w:p w14:paraId="08A9005F">
      <w:pPr>
        <w:snapToGrid w:val="0"/>
        <w:spacing w:line="440" w:lineRule="exact"/>
        <w:ind w:firstLine="480" w:firstLineChars="200"/>
        <w:rPr>
          <w:color w:val="auto"/>
          <w:sz w:val="24"/>
          <w:szCs w:val="24"/>
          <w:highlight w:val="none"/>
        </w:rPr>
      </w:pPr>
      <w:r>
        <w:rPr>
          <w:color w:val="auto"/>
          <w:sz w:val="24"/>
          <w:szCs w:val="24"/>
          <w:highlight w:val="none"/>
          <w:lang w:val="en-US" w:eastAsia="zh-CN"/>
        </w:rPr>
        <w:t xml:space="preserve">1、单价合同。 </w:t>
      </w:r>
    </w:p>
    <w:p w14:paraId="553BF17C">
      <w:pPr>
        <w:snapToGrid w:val="0"/>
        <w:spacing w:line="440" w:lineRule="exact"/>
        <w:ind w:firstLine="480" w:firstLineChars="200"/>
        <w:rPr>
          <w:color w:val="auto"/>
          <w:sz w:val="24"/>
          <w:szCs w:val="24"/>
          <w:highlight w:val="none"/>
        </w:rPr>
      </w:pPr>
      <w:r>
        <w:rPr>
          <w:color w:val="auto"/>
          <w:sz w:val="24"/>
          <w:szCs w:val="24"/>
          <w:highlight w:val="none"/>
          <w:lang w:val="en-US" w:eastAsia="zh-CN"/>
        </w:rPr>
        <w:t>综合单价包含的风险范围：</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 xml:space="preserve"> </w:t>
      </w:r>
      <w:r>
        <w:rPr>
          <w:color w:val="auto"/>
          <w:sz w:val="24"/>
          <w:szCs w:val="24"/>
          <w:highlight w:val="none"/>
          <w:lang w:val="en-US" w:eastAsia="zh-CN"/>
        </w:rPr>
        <w:t xml:space="preserve">。 </w:t>
      </w:r>
    </w:p>
    <w:p w14:paraId="4209D7CF">
      <w:pPr>
        <w:snapToGrid w:val="0"/>
        <w:spacing w:line="440" w:lineRule="exact"/>
        <w:ind w:firstLine="480" w:firstLineChars="200"/>
        <w:rPr>
          <w:color w:val="auto"/>
          <w:sz w:val="24"/>
          <w:szCs w:val="24"/>
          <w:highlight w:val="none"/>
        </w:rPr>
      </w:pPr>
      <w:r>
        <w:rPr>
          <w:color w:val="auto"/>
          <w:sz w:val="24"/>
          <w:szCs w:val="24"/>
          <w:highlight w:val="none"/>
          <w:lang w:val="en-US" w:eastAsia="zh-CN"/>
        </w:rPr>
        <w:t>风险费用的计算方法：</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 xml:space="preserve"> </w:t>
      </w:r>
      <w:r>
        <w:rPr>
          <w:color w:val="auto"/>
          <w:sz w:val="24"/>
          <w:szCs w:val="24"/>
          <w:highlight w:val="none"/>
          <w:lang w:val="en-US" w:eastAsia="zh-CN"/>
        </w:rPr>
        <w:t xml:space="preserve">。 </w:t>
      </w:r>
    </w:p>
    <w:p w14:paraId="1D63E362">
      <w:pPr>
        <w:snapToGrid w:val="0"/>
        <w:spacing w:line="440" w:lineRule="exact"/>
        <w:ind w:firstLine="480" w:firstLineChars="200"/>
        <w:rPr>
          <w:color w:val="auto"/>
          <w:sz w:val="24"/>
          <w:szCs w:val="24"/>
          <w:highlight w:val="none"/>
        </w:rPr>
      </w:pPr>
      <w:r>
        <w:rPr>
          <w:color w:val="auto"/>
          <w:sz w:val="24"/>
          <w:szCs w:val="24"/>
          <w:highlight w:val="none"/>
          <w:lang w:val="en-US" w:eastAsia="zh-CN"/>
        </w:rPr>
        <w:t>风险范围以外合同价格的调整方法：</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 xml:space="preserve"> </w:t>
      </w:r>
      <w:r>
        <w:rPr>
          <w:color w:val="auto"/>
          <w:sz w:val="24"/>
          <w:szCs w:val="24"/>
          <w:highlight w:val="none"/>
          <w:lang w:val="en-US" w:eastAsia="zh-CN"/>
        </w:rPr>
        <w:t xml:space="preserve">。 </w:t>
      </w:r>
    </w:p>
    <w:p w14:paraId="3AA27B1B">
      <w:pPr>
        <w:snapToGrid w:val="0"/>
        <w:spacing w:line="440" w:lineRule="exact"/>
        <w:ind w:firstLine="480" w:firstLineChars="200"/>
        <w:rPr>
          <w:color w:val="auto"/>
          <w:sz w:val="24"/>
          <w:szCs w:val="24"/>
          <w:highlight w:val="none"/>
        </w:rPr>
      </w:pPr>
      <w:r>
        <w:rPr>
          <w:color w:val="auto"/>
          <w:sz w:val="24"/>
          <w:szCs w:val="24"/>
          <w:highlight w:val="none"/>
          <w:lang w:val="en-US" w:eastAsia="zh-CN"/>
        </w:rPr>
        <w:t xml:space="preserve">2、总价合同。 </w:t>
      </w:r>
    </w:p>
    <w:p w14:paraId="27F12AC6">
      <w:pPr>
        <w:snapToGrid w:val="0"/>
        <w:spacing w:line="440" w:lineRule="exact"/>
        <w:ind w:firstLine="480" w:firstLineChars="200"/>
        <w:rPr>
          <w:color w:val="auto"/>
          <w:sz w:val="24"/>
          <w:szCs w:val="24"/>
          <w:highlight w:val="none"/>
        </w:rPr>
      </w:pPr>
      <w:r>
        <w:rPr>
          <w:color w:val="auto"/>
          <w:sz w:val="24"/>
          <w:szCs w:val="24"/>
          <w:highlight w:val="none"/>
          <w:lang w:val="en-US" w:eastAsia="zh-CN"/>
        </w:rPr>
        <w:t>总价包含的风险范围：</w:t>
      </w:r>
      <w:r>
        <w:rPr>
          <w:color w:val="auto"/>
          <w:sz w:val="24"/>
          <w:szCs w:val="24"/>
          <w:highlight w:val="none"/>
          <w:u w:val="single"/>
          <w:lang w:val="en-US" w:eastAsia="zh-CN"/>
        </w:rPr>
        <w:t>除因发包人原因造成的变更及经发包人签字确认签证以外，其他情况均不做调整</w:t>
      </w:r>
      <w:r>
        <w:rPr>
          <w:color w:val="auto"/>
          <w:sz w:val="24"/>
          <w:szCs w:val="24"/>
          <w:highlight w:val="none"/>
          <w:lang w:val="en-US" w:eastAsia="zh-CN"/>
        </w:rPr>
        <w:t xml:space="preserve">。 </w:t>
      </w:r>
    </w:p>
    <w:p w14:paraId="1ABA9A72">
      <w:pPr>
        <w:snapToGrid w:val="0"/>
        <w:spacing w:line="440" w:lineRule="exact"/>
        <w:ind w:firstLine="480" w:firstLineChars="200"/>
        <w:rPr>
          <w:color w:val="auto"/>
          <w:sz w:val="24"/>
          <w:szCs w:val="24"/>
          <w:highlight w:val="none"/>
        </w:rPr>
      </w:pPr>
      <w:r>
        <w:rPr>
          <w:color w:val="auto"/>
          <w:sz w:val="24"/>
          <w:szCs w:val="24"/>
          <w:highlight w:val="none"/>
          <w:lang w:val="en-US" w:eastAsia="zh-CN"/>
        </w:rPr>
        <w:t>风险费用的计算方法：</w:t>
      </w:r>
      <w:r>
        <w:rPr>
          <w:color w:val="auto"/>
          <w:sz w:val="24"/>
          <w:szCs w:val="24"/>
          <w:highlight w:val="none"/>
          <w:u w:val="single"/>
          <w:lang w:val="en-US" w:eastAsia="zh-CN"/>
        </w:rPr>
        <w:t xml:space="preserve">不作计算 </w:t>
      </w:r>
      <w:r>
        <w:rPr>
          <w:color w:val="auto"/>
          <w:sz w:val="24"/>
          <w:szCs w:val="24"/>
          <w:highlight w:val="none"/>
          <w:lang w:val="en-US" w:eastAsia="zh-CN"/>
        </w:rPr>
        <w:t xml:space="preserve">。 </w:t>
      </w:r>
    </w:p>
    <w:p w14:paraId="3CAE0B24">
      <w:pPr>
        <w:snapToGrid w:val="0"/>
        <w:spacing w:line="440" w:lineRule="exact"/>
        <w:ind w:firstLine="480" w:firstLineChars="200"/>
        <w:rPr>
          <w:color w:val="auto"/>
          <w:sz w:val="24"/>
          <w:szCs w:val="24"/>
          <w:highlight w:val="none"/>
        </w:rPr>
      </w:pPr>
      <w:r>
        <w:rPr>
          <w:color w:val="auto"/>
          <w:sz w:val="24"/>
          <w:szCs w:val="24"/>
          <w:highlight w:val="none"/>
          <w:lang w:val="en-US" w:eastAsia="zh-CN"/>
        </w:rPr>
        <w:t>风险范围以外合同价格的调整方法：</w:t>
      </w:r>
      <w:r>
        <w:rPr>
          <w:color w:val="auto"/>
          <w:sz w:val="24"/>
          <w:szCs w:val="24"/>
          <w:highlight w:val="none"/>
          <w:u w:val="single"/>
          <w:lang w:val="en-US" w:eastAsia="zh-CN"/>
        </w:rPr>
        <w:t>不调整</w:t>
      </w:r>
      <w:r>
        <w:rPr>
          <w:color w:val="auto"/>
          <w:sz w:val="24"/>
          <w:szCs w:val="24"/>
          <w:highlight w:val="none"/>
          <w:lang w:val="en-US" w:eastAsia="zh-CN"/>
        </w:rPr>
        <w:t xml:space="preserve">。 </w:t>
      </w:r>
    </w:p>
    <w:p w14:paraId="3893A0FD">
      <w:pPr>
        <w:snapToGrid w:val="0"/>
        <w:spacing w:line="440" w:lineRule="exact"/>
        <w:ind w:firstLine="480" w:firstLineChars="200"/>
        <w:rPr>
          <w:color w:val="auto"/>
          <w:sz w:val="24"/>
          <w:szCs w:val="24"/>
          <w:highlight w:val="none"/>
        </w:rPr>
      </w:pPr>
      <w:r>
        <w:rPr>
          <w:color w:val="auto"/>
          <w:sz w:val="24"/>
          <w:szCs w:val="24"/>
          <w:highlight w:val="none"/>
          <w:lang w:val="en-US" w:eastAsia="zh-CN"/>
        </w:rPr>
        <w:t>3、其他价格方式：</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 xml:space="preserve"> </w:t>
      </w:r>
      <w:r>
        <w:rPr>
          <w:color w:val="auto"/>
          <w:sz w:val="24"/>
          <w:szCs w:val="24"/>
          <w:highlight w:val="none"/>
          <w:lang w:val="en-US" w:eastAsia="zh-CN"/>
        </w:rPr>
        <w:t>。</w:t>
      </w:r>
    </w:p>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14:paraId="68955B6D">
      <w:pPr>
        <w:snapToGrid w:val="0"/>
        <w:spacing w:line="440" w:lineRule="exact"/>
        <w:ind w:firstLine="480" w:firstLineChars="200"/>
        <w:rPr>
          <w:color w:val="auto"/>
          <w:sz w:val="24"/>
          <w:szCs w:val="24"/>
          <w:highlight w:val="none"/>
        </w:rPr>
      </w:pPr>
      <w:bookmarkStart w:id="996" w:name="_Toc303539161"/>
      <w:bookmarkStart w:id="997" w:name="_Toc304295581"/>
      <w:bookmarkStart w:id="998" w:name="_Toc297123554"/>
      <w:bookmarkStart w:id="999" w:name="_Toc300935004"/>
      <w:bookmarkStart w:id="1000" w:name="_Toc312678042"/>
      <w:bookmarkStart w:id="1001" w:name="_Toc297216213"/>
      <w:bookmarkStart w:id="1002" w:name="_Toc296944546"/>
      <w:bookmarkStart w:id="1003" w:name="_Toc297120507"/>
      <w:bookmarkStart w:id="1004" w:name="_Toc296891035"/>
      <w:bookmarkStart w:id="1005" w:name="_Toc292559412"/>
      <w:bookmarkStart w:id="1006" w:name="_Toc296503207"/>
      <w:bookmarkStart w:id="1007" w:name="_Toc296891247"/>
      <w:bookmarkStart w:id="1008" w:name="_Toc297048393"/>
      <w:bookmarkStart w:id="1009" w:name="_Toc292559917"/>
      <w:bookmarkStart w:id="1010" w:name="_Toc296346708"/>
      <w:bookmarkStart w:id="1011" w:name="_Toc296347206"/>
      <w:r>
        <w:rPr>
          <w:color w:val="auto"/>
          <w:sz w:val="24"/>
          <w:szCs w:val="24"/>
          <w:highlight w:val="none"/>
        </w:rPr>
        <w:t>12.2 预付款</w:t>
      </w:r>
    </w:p>
    <w:bookmarkEnd w:id="996"/>
    <w:bookmarkEnd w:id="997"/>
    <w:bookmarkEnd w:id="998"/>
    <w:bookmarkEnd w:id="999"/>
    <w:bookmarkEnd w:id="1000"/>
    <w:bookmarkEnd w:id="1001"/>
    <w:p w14:paraId="30D3C87A">
      <w:pPr>
        <w:pStyle w:val="114"/>
        <w:spacing w:line="500" w:lineRule="exact"/>
        <w:ind w:firstLine="480" w:firstLineChars="200"/>
        <w:rPr>
          <w:rFonts w:hint="eastAsia" w:ascii="宋体" w:hAnsi="宋体" w:cs="Arial"/>
          <w:b/>
          <w:color w:val="auto"/>
          <w:sz w:val="24"/>
          <w:szCs w:val="24"/>
          <w:highlight w:val="none"/>
        </w:rPr>
      </w:pPr>
      <w:r>
        <w:rPr>
          <w:color w:val="auto"/>
          <w:sz w:val="24"/>
          <w:szCs w:val="24"/>
          <w:highlight w:val="none"/>
        </w:rPr>
        <w:t>12.2.1</w:t>
      </w:r>
      <w:r>
        <w:rPr>
          <w:rFonts w:hint="eastAsia" w:ascii="宋体" w:hAnsi="宋体" w:cs="Arial"/>
          <w:b/>
          <w:color w:val="auto"/>
          <w:sz w:val="24"/>
          <w:szCs w:val="24"/>
          <w:highlight w:val="none"/>
        </w:rPr>
        <w:t>预付款支付比例或金额：</w:t>
      </w:r>
      <w:r>
        <w:rPr>
          <w:rFonts w:hint="eastAsia" w:ascii="宋体" w:hAnsi="宋体" w:cs="Arial"/>
          <w:b w:val="0"/>
          <w:bCs/>
          <w:color w:val="auto"/>
          <w:sz w:val="24"/>
          <w:szCs w:val="24"/>
          <w:highlight w:val="none"/>
          <w:u w:val="single"/>
          <w:lang w:val="en-US" w:eastAsia="zh-CN"/>
        </w:rPr>
        <w:t>成交人须在工程所在地劳动监察部门指定的银行开具农民工工资指定的账户，采购人一次性足额将合同价款的30%的预付款打入劳动监察部门指定农民工保证金专户</w:t>
      </w:r>
      <w:r>
        <w:rPr>
          <w:rFonts w:hint="eastAsia" w:ascii="宋体" w:hAnsi="宋体" w:cs="Arial"/>
          <w:b w:val="0"/>
          <w:bCs/>
          <w:color w:val="auto"/>
          <w:sz w:val="24"/>
          <w:szCs w:val="24"/>
          <w:highlight w:val="none"/>
          <w:lang w:val="en-US" w:eastAsia="zh-CN"/>
        </w:rPr>
        <w:t>。</w:t>
      </w:r>
    </w:p>
    <w:p w14:paraId="5CE8FA96">
      <w:pPr>
        <w:pStyle w:val="114"/>
        <w:spacing w:line="500" w:lineRule="exact"/>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预付款支付期限：</w:t>
      </w:r>
      <w:r>
        <w:rPr>
          <w:rFonts w:hint="eastAsia" w:ascii="宋体" w:hAnsi="宋体" w:cs="Arial"/>
          <w:b/>
          <w:color w:val="auto"/>
          <w:sz w:val="24"/>
          <w:szCs w:val="24"/>
          <w:highlight w:val="none"/>
          <w:u w:val="single"/>
        </w:rPr>
        <w:t>人员设备进场开工后7日内</w:t>
      </w:r>
      <w:r>
        <w:rPr>
          <w:rFonts w:hint="eastAsia" w:ascii="宋体" w:hAnsi="宋体" w:cs="Arial"/>
          <w:b/>
          <w:color w:val="auto"/>
          <w:sz w:val="24"/>
          <w:szCs w:val="24"/>
          <w:highlight w:val="none"/>
        </w:rPr>
        <w:t>。</w:t>
      </w:r>
    </w:p>
    <w:p w14:paraId="5B724B94">
      <w:pPr>
        <w:pStyle w:val="114"/>
        <w:spacing w:line="50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预付款的扣回方式：</w:t>
      </w:r>
      <w:r>
        <w:rPr>
          <w:rFonts w:hint="eastAsia" w:ascii="宋体" w:hAnsi="宋体" w:cs="Arial"/>
          <w:color w:val="auto"/>
          <w:sz w:val="24"/>
          <w:szCs w:val="24"/>
          <w:highlight w:val="none"/>
          <w:u w:val="single"/>
        </w:rPr>
        <w:t>按每月工程进度款同比例扣回，并在达到合同总价的80%前确保全部扣完。</w:t>
      </w:r>
    </w:p>
    <w:p w14:paraId="2342E9C0">
      <w:pPr>
        <w:snapToGrid w:val="0"/>
        <w:spacing w:line="440" w:lineRule="exact"/>
        <w:ind w:firstLine="480" w:firstLineChars="200"/>
        <w:jc w:val="left"/>
        <w:rPr>
          <w:color w:val="auto"/>
          <w:sz w:val="24"/>
          <w:szCs w:val="24"/>
          <w:highlight w:val="none"/>
        </w:rPr>
      </w:pPr>
      <w:r>
        <w:rPr>
          <w:color w:val="auto"/>
          <w:sz w:val="24"/>
          <w:szCs w:val="24"/>
          <w:highlight w:val="none"/>
        </w:rPr>
        <w:t>12.2.2 预付款担保</w:t>
      </w:r>
    </w:p>
    <w:p w14:paraId="39EC5FA7">
      <w:pPr>
        <w:snapToGrid w:val="0"/>
        <w:spacing w:line="440" w:lineRule="exact"/>
        <w:ind w:firstLine="480" w:firstLineChars="200"/>
        <w:jc w:val="left"/>
        <w:rPr>
          <w:color w:val="auto"/>
          <w:sz w:val="24"/>
          <w:szCs w:val="24"/>
          <w:highlight w:val="none"/>
        </w:rPr>
      </w:pPr>
      <w:r>
        <w:rPr>
          <w:color w:val="auto"/>
          <w:sz w:val="24"/>
          <w:szCs w:val="24"/>
          <w:highlight w:val="none"/>
        </w:rPr>
        <w:t>承包人提交预付款担保的期限：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w:t>
      </w:r>
    </w:p>
    <w:p w14:paraId="4D28397A">
      <w:pPr>
        <w:snapToGrid w:val="0"/>
        <w:spacing w:line="440" w:lineRule="exact"/>
        <w:ind w:firstLine="480" w:firstLineChars="200"/>
        <w:jc w:val="left"/>
        <w:rPr>
          <w:color w:val="auto"/>
          <w:sz w:val="24"/>
          <w:szCs w:val="24"/>
          <w:highlight w:val="none"/>
        </w:rPr>
      </w:pPr>
      <w:r>
        <w:rPr>
          <w:color w:val="auto"/>
          <w:sz w:val="24"/>
          <w:szCs w:val="24"/>
          <w:highlight w:val="none"/>
        </w:rPr>
        <w:t>预付款担保的形式为：</w:t>
      </w:r>
      <w:r>
        <w:rPr>
          <w:rFonts w:hint="eastAsia"/>
          <w:color w:val="auto"/>
          <w:sz w:val="24"/>
          <w:szCs w:val="24"/>
          <w:highlight w:val="none"/>
          <w:u w:val="single"/>
          <w:lang w:eastAsia="zh-CN"/>
        </w:rPr>
        <w:t>无</w:t>
      </w:r>
      <w:r>
        <w:rPr>
          <w:rFonts w:hint="eastAsia"/>
          <w:color w:val="auto"/>
          <w:sz w:val="24"/>
          <w:szCs w:val="24"/>
          <w:highlight w:val="none"/>
          <w:u w:val="single"/>
        </w:rPr>
        <w:t xml:space="preserve"> </w:t>
      </w:r>
      <w:r>
        <w:rPr>
          <w:color w:val="auto"/>
          <w:sz w:val="24"/>
          <w:szCs w:val="24"/>
          <w:highlight w:val="none"/>
        </w:rPr>
        <w:t>。</w:t>
      </w:r>
    </w:p>
    <w:p w14:paraId="6CA49A14">
      <w:pPr>
        <w:snapToGrid w:val="0"/>
        <w:spacing w:line="440" w:lineRule="exact"/>
        <w:ind w:firstLine="482" w:firstLineChars="200"/>
        <w:jc w:val="left"/>
        <w:rPr>
          <w:b/>
          <w:bCs/>
          <w:color w:val="auto"/>
          <w:sz w:val="24"/>
          <w:szCs w:val="24"/>
          <w:highlight w:val="none"/>
        </w:rPr>
      </w:pPr>
      <w:r>
        <w:rPr>
          <w:b/>
          <w:bCs/>
          <w:color w:val="auto"/>
          <w:sz w:val="24"/>
          <w:szCs w:val="24"/>
          <w:highlight w:val="none"/>
          <w:lang w:val="en-US" w:eastAsia="zh-CN"/>
        </w:rPr>
        <w:t xml:space="preserve">12.3 计量 </w:t>
      </w:r>
    </w:p>
    <w:p w14:paraId="5063C067">
      <w:pPr>
        <w:snapToGrid w:val="0"/>
        <w:spacing w:line="440" w:lineRule="exact"/>
        <w:ind w:firstLine="480" w:firstLineChars="200"/>
        <w:jc w:val="left"/>
        <w:rPr>
          <w:color w:val="auto"/>
          <w:sz w:val="24"/>
          <w:szCs w:val="24"/>
          <w:highlight w:val="none"/>
          <w:lang w:val="en-US" w:eastAsia="zh-CN"/>
        </w:rPr>
      </w:pPr>
      <w:r>
        <w:rPr>
          <w:color w:val="auto"/>
          <w:sz w:val="24"/>
          <w:szCs w:val="24"/>
          <w:highlight w:val="none"/>
          <w:lang w:val="en-US" w:eastAsia="zh-CN"/>
        </w:rPr>
        <w:t>12.3.1 计量原则</w:t>
      </w:r>
    </w:p>
    <w:p w14:paraId="35B8239C">
      <w:pPr>
        <w:snapToGrid w:val="0"/>
        <w:spacing w:line="440" w:lineRule="exact"/>
        <w:ind w:firstLine="480" w:firstLineChars="200"/>
        <w:jc w:val="left"/>
        <w:rPr>
          <w:color w:val="auto"/>
          <w:sz w:val="24"/>
          <w:szCs w:val="24"/>
          <w:highlight w:val="none"/>
        </w:rPr>
      </w:pPr>
      <w:r>
        <w:rPr>
          <w:color w:val="auto"/>
          <w:sz w:val="24"/>
          <w:szCs w:val="24"/>
          <w:highlight w:val="none"/>
          <w:lang w:val="en-US" w:eastAsia="zh-CN"/>
        </w:rPr>
        <w:t>工程量计算规则：</w:t>
      </w:r>
      <w:r>
        <w:rPr>
          <w:rFonts w:hint="default"/>
          <w:color w:val="auto"/>
          <w:sz w:val="24"/>
          <w:szCs w:val="24"/>
          <w:highlight w:val="none"/>
          <w:u w:val="single"/>
          <w:lang w:val="en-US" w:eastAsia="zh-CN"/>
        </w:rPr>
        <w:t>执行国家标准《建设工程工程量清单计价规范》（GB50500-2013）</w:t>
      </w:r>
      <w:r>
        <w:rPr>
          <w:rFonts w:hint="default"/>
          <w:color w:val="auto"/>
          <w:sz w:val="24"/>
          <w:szCs w:val="24"/>
          <w:highlight w:val="none"/>
          <w:lang w:val="en-US" w:eastAsia="zh-CN"/>
        </w:rPr>
        <w:t xml:space="preserve">。 </w:t>
      </w:r>
    </w:p>
    <w:p w14:paraId="02107CA0">
      <w:pPr>
        <w:snapToGrid w:val="0"/>
        <w:spacing w:line="440" w:lineRule="exact"/>
        <w:ind w:firstLine="480" w:firstLineChars="200"/>
        <w:jc w:val="left"/>
        <w:rPr>
          <w:color w:val="auto"/>
          <w:sz w:val="24"/>
          <w:szCs w:val="24"/>
          <w:highlight w:val="none"/>
        </w:rPr>
      </w:pPr>
      <w:r>
        <w:rPr>
          <w:color w:val="auto"/>
          <w:sz w:val="24"/>
          <w:szCs w:val="24"/>
          <w:highlight w:val="none"/>
          <w:lang w:val="en-US" w:eastAsia="zh-CN"/>
        </w:rPr>
        <w:t xml:space="preserve">12.3.2 计量周期 </w:t>
      </w:r>
    </w:p>
    <w:p w14:paraId="1D325D10">
      <w:pPr>
        <w:snapToGrid w:val="0"/>
        <w:spacing w:line="440" w:lineRule="exact"/>
        <w:ind w:firstLine="480" w:firstLineChars="200"/>
        <w:jc w:val="left"/>
        <w:rPr>
          <w:color w:val="auto"/>
          <w:sz w:val="24"/>
          <w:szCs w:val="24"/>
          <w:highlight w:val="none"/>
        </w:rPr>
      </w:pPr>
      <w:r>
        <w:rPr>
          <w:color w:val="auto"/>
          <w:sz w:val="24"/>
          <w:szCs w:val="24"/>
          <w:highlight w:val="none"/>
          <w:lang w:val="en-US" w:eastAsia="zh-CN"/>
        </w:rPr>
        <w:t>关于计量周期的约定：</w:t>
      </w:r>
      <w:r>
        <w:rPr>
          <w:rFonts w:hint="default"/>
          <w:color w:val="auto"/>
          <w:sz w:val="24"/>
          <w:szCs w:val="24"/>
          <w:highlight w:val="none"/>
          <w:u w:val="single"/>
          <w:lang w:val="en-US" w:eastAsia="zh-CN"/>
        </w:rPr>
        <w:t>执行本合同通用条款</w:t>
      </w:r>
      <w:r>
        <w:rPr>
          <w:rFonts w:hint="eastAsia"/>
          <w:color w:val="auto"/>
          <w:sz w:val="24"/>
          <w:szCs w:val="24"/>
          <w:highlight w:val="none"/>
          <w:u w:val="single"/>
          <w:lang w:val="en-US" w:eastAsia="zh-CN"/>
        </w:rPr>
        <w:t xml:space="preserve"> </w:t>
      </w:r>
      <w:r>
        <w:rPr>
          <w:color w:val="auto"/>
          <w:sz w:val="24"/>
          <w:szCs w:val="24"/>
          <w:highlight w:val="none"/>
          <w:lang w:val="en-US" w:eastAsia="zh-CN"/>
        </w:rPr>
        <w:t xml:space="preserve">。 </w:t>
      </w:r>
    </w:p>
    <w:p w14:paraId="0D11BAE0">
      <w:pPr>
        <w:snapToGrid w:val="0"/>
        <w:spacing w:line="440" w:lineRule="exact"/>
        <w:ind w:firstLine="480" w:firstLineChars="200"/>
        <w:jc w:val="left"/>
        <w:rPr>
          <w:color w:val="auto"/>
          <w:sz w:val="24"/>
          <w:szCs w:val="24"/>
          <w:highlight w:val="none"/>
        </w:rPr>
      </w:pPr>
      <w:r>
        <w:rPr>
          <w:color w:val="auto"/>
          <w:sz w:val="24"/>
          <w:szCs w:val="24"/>
          <w:highlight w:val="none"/>
          <w:lang w:val="en-US" w:eastAsia="zh-CN"/>
        </w:rPr>
        <w:t xml:space="preserve">12.3.3 单价合同的计量 </w:t>
      </w:r>
    </w:p>
    <w:p w14:paraId="65703691">
      <w:pPr>
        <w:snapToGrid w:val="0"/>
        <w:spacing w:line="440" w:lineRule="exact"/>
        <w:ind w:firstLine="480" w:firstLineChars="200"/>
        <w:jc w:val="left"/>
        <w:rPr>
          <w:color w:val="auto"/>
          <w:sz w:val="24"/>
          <w:szCs w:val="24"/>
          <w:highlight w:val="none"/>
        </w:rPr>
      </w:pPr>
      <w:r>
        <w:rPr>
          <w:color w:val="auto"/>
          <w:sz w:val="24"/>
          <w:szCs w:val="24"/>
          <w:highlight w:val="none"/>
          <w:lang w:val="en-US" w:eastAsia="zh-CN"/>
        </w:rPr>
        <w:t>关于单价合同计量的约定：</w:t>
      </w:r>
      <w:r>
        <w:rPr>
          <w:rFonts w:hint="default"/>
          <w:color w:val="auto"/>
          <w:sz w:val="24"/>
          <w:szCs w:val="24"/>
          <w:highlight w:val="none"/>
          <w:u w:val="single"/>
          <w:lang w:val="en-US" w:eastAsia="zh-CN"/>
        </w:rPr>
        <w:t xml:space="preserve"> 执行本合同通用条款 </w:t>
      </w:r>
      <w:r>
        <w:rPr>
          <w:rFonts w:hint="default"/>
          <w:color w:val="auto"/>
          <w:sz w:val="24"/>
          <w:szCs w:val="24"/>
          <w:highlight w:val="none"/>
          <w:lang w:val="en-US" w:eastAsia="zh-CN"/>
        </w:rPr>
        <w:t xml:space="preserve">。 </w:t>
      </w:r>
    </w:p>
    <w:bookmarkEnd w:id="1002"/>
    <w:bookmarkEnd w:id="1003"/>
    <w:bookmarkEnd w:id="1004"/>
    <w:bookmarkEnd w:id="1005"/>
    <w:bookmarkEnd w:id="1006"/>
    <w:bookmarkEnd w:id="1007"/>
    <w:bookmarkEnd w:id="1008"/>
    <w:bookmarkEnd w:id="1009"/>
    <w:bookmarkEnd w:id="1010"/>
    <w:bookmarkEnd w:id="1011"/>
    <w:p w14:paraId="7B6A6FC4">
      <w:pPr>
        <w:snapToGrid w:val="0"/>
        <w:spacing w:line="360" w:lineRule="auto"/>
        <w:ind w:firstLine="480" w:firstLineChars="200"/>
        <w:jc w:val="left"/>
        <w:rPr>
          <w:color w:val="auto"/>
          <w:sz w:val="24"/>
          <w:szCs w:val="24"/>
          <w:highlight w:val="none"/>
        </w:rPr>
      </w:pPr>
      <w:r>
        <w:rPr>
          <w:color w:val="auto"/>
          <w:sz w:val="24"/>
          <w:szCs w:val="24"/>
          <w:highlight w:val="none"/>
        </w:rPr>
        <w:t>12.3.4 总价合同的计量</w:t>
      </w:r>
    </w:p>
    <w:p w14:paraId="47F27CC4">
      <w:pPr>
        <w:snapToGrid w:val="0"/>
        <w:spacing w:line="440" w:lineRule="exact"/>
        <w:ind w:firstLine="480" w:firstLineChars="200"/>
        <w:jc w:val="left"/>
        <w:rPr>
          <w:rFonts w:hint="eastAsia" w:eastAsia="宋体"/>
          <w:color w:val="auto"/>
          <w:sz w:val="24"/>
          <w:szCs w:val="24"/>
          <w:highlight w:val="none"/>
          <w:lang w:eastAsia="zh-CN"/>
        </w:rPr>
      </w:pPr>
      <w:r>
        <w:rPr>
          <w:color w:val="auto"/>
          <w:sz w:val="24"/>
          <w:szCs w:val="24"/>
          <w:highlight w:val="none"/>
        </w:rPr>
        <w:t>关于总价合同计量的约定：</w:t>
      </w:r>
      <w:r>
        <w:rPr>
          <w:rFonts w:hint="eastAsia"/>
          <w:color w:val="auto"/>
          <w:sz w:val="24"/>
          <w:szCs w:val="24"/>
          <w:highlight w:val="none"/>
          <w:u w:val="single"/>
        </w:rPr>
        <w:t>每月25日前报当期完成工程量，次月十五日前完成审批与支付</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工程量的偏差不调整。</w:t>
      </w:r>
    </w:p>
    <w:p w14:paraId="4276E882">
      <w:pPr>
        <w:snapToGrid w:val="0"/>
        <w:spacing w:line="360" w:lineRule="auto"/>
        <w:ind w:firstLine="120" w:firstLineChars="50"/>
        <w:rPr>
          <w:color w:val="auto"/>
          <w:sz w:val="24"/>
          <w:szCs w:val="24"/>
          <w:highlight w:val="none"/>
        </w:rPr>
      </w:pPr>
    </w:p>
    <w:p w14:paraId="4893E0E6">
      <w:pPr>
        <w:snapToGrid w:val="0"/>
        <w:spacing w:line="360" w:lineRule="auto"/>
        <w:ind w:firstLine="480" w:firstLineChars="200"/>
        <w:jc w:val="left"/>
        <w:rPr>
          <w:color w:val="auto"/>
          <w:sz w:val="24"/>
          <w:szCs w:val="24"/>
          <w:highlight w:val="none"/>
        </w:rPr>
      </w:pPr>
      <w:r>
        <w:rPr>
          <w:color w:val="auto"/>
          <w:sz w:val="24"/>
          <w:szCs w:val="24"/>
          <w:highlight w:val="none"/>
        </w:rPr>
        <w:t>12.3.5总价合同采用支付分解表计量支付的，是否适用第</w:t>
      </w:r>
      <w:r>
        <w:rPr>
          <w:color w:val="auto"/>
          <w:kern w:val="0"/>
          <w:sz w:val="24"/>
          <w:szCs w:val="24"/>
          <w:highlight w:val="none"/>
        </w:rPr>
        <w:t xml:space="preserve">12.3.4 </w:t>
      </w:r>
      <w:r>
        <w:rPr>
          <w:color w:val="auto"/>
          <w:sz w:val="24"/>
          <w:szCs w:val="24"/>
          <w:highlight w:val="none"/>
        </w:rPr>
        <w:t>项</w:t>
      </w:r>
      <w:r>
        <w:rPr>
          <w:color w:val="auto"/>
          <w:kern w:val="0"/>
          <w:sz w:val="24"/>
          <w:szCs w:val="24"/>
          <w:highlight w:val="none"/>
        </w:rPr>
        <w:t>〔总价合同的计量〕</w:t>
      </w:r>
      <w:r>
        <w:rPr>
          <w:color w:val="auto"/>
          <w:sz w:val="24"/>
          <w:szCs w:val="24"/>
          <w:highlight w:val="none"/>
        </w:rPr>
        <w:t>约定进行计量：</w:t>
      </w:r>
      <w:r>
        <w:rPr>
          <w:rFonts w:hint="eastAsia"/>
          <w:color w:val="auto"/>
          <w:sz w:val="24"/>
          <w:szCs w:val="24"/>
          <w:highlight w:val="none"/>
          <w:u w:val="single"/>
        </w:rPr>
        <w:t xml:space="preserve"> / </w:t>
      </w:r>
      <w:r>
        <w:rPr>
          <w:color w:val="auto"/>
          <w:sz w:val="24"/>
          <w:szCs w:val="24"/>
          <w:highlight w:val="none"/>
        </w:rPr>
        <w:t>。</w:t>
      </w:r>
    </w:p>
    <w:p w14:paraId="41E7ED73">
      <w:pPr>
        <w:snapToGrid w:val="0"/>
        <w:spacing w:line="360" w:lineRule="auto"/>
        <w:ind w:firstLine="480" w:firstLineChars="200"/>
        <w:jc w:val="left"/>
        <w:rPr>
          <w:color w:val="auto"/>
          <w:sz w:val="24"/>
          <w:szCs w:val="24"/>
          <w:highlight w:val="none"/>
        </w:rPr>
      </w:pPr>
      <w:r>
        <w:rPr>
          <w:color w:val="auto"/>
          <w:sz w:val="24"/>
          <w:szCs w:val="24"/>
          <w:highlight w:val="none"/>
        </w:rPr>
        <w:t>12.3.6 其他价格形式合同的计量</w:t>
      </w:r>
    </w:p>
    <w:p w14:paraId="1A163A6A">
      <w:pPr>
        <w:snapToGrid w:val="0"/>
        <w:spacing w:line="360" w:lineRule="auto"/>
        <w:jc w:val="left"/>
        <w:rPr>
          <w:color w:val="auto"/>
          <w:sz w:val="24"/>
          <w:szCs w:val="24"/>
          <w:highlight w:val="none"/>
        </w:rPr>
      </w:pPr>
      <w:r>
        <w:rPr>
          <w:color w:val="auto"/>
          <w:sz w:val="24"/>
          <w:szCs w:val="24"/>
          <w:highlight w:val="none"/>
        </w:rPr>
        <w:t xml:space="preserve">    其他价格形式的计量方式和程序：</w:t>
      </w:r>
      <w:r>
        <w:rPr>
          <w:color w:val="auto"/>
          <w:sz w:val="24"/>
          <w:szCs w:val="24"/>
          <w:highlight w:val="none"/>
          <w:u w:val="single"/>
        </w:rPr>
        <w:t xml:space="preserve"> </w:t>
      </w:r>
      <w:r>
        <w:rPr>
          <w:rFonts w:hint="eastAsia"/>
          <w:color w:val="auto"/>
          <w:sz w:val="24"/>
          <w:szCs w:val="24"/>
          <w:highlight w:val="none"/>
          <w:u w:val="single"/>
        </w:rPr>
        <w:t>/</w:t>
      </w:r>
      <w:r>
        <w:rPr>
          <w:color w:val="auto"/>
          <w:sz w:val="24"/>
          <w:szCs w:val="24"/>
          <w:highlight w:val="none"/>
          <w:u w:val="single"/>
        </w:rPr>
        <w:t xml:space="preserve">  </w:t>
      </w:r>
      <w:r>
        <w:rPr>
          <w:color w:val="auto"/>
          <w:sz w:val="24"/>
          <w:szCs w:val="24"/>
          <w:highlight w:val="none"/>
        </w:rPr>
        <w:t>。</w:t>
      </w:r>
    </w:p>
    <w:p w14:paraId="3DCDE3B9">
      <w:pPr>
        <w:snapToGrid w:val="0"/>
        <w:spacing w:line="360" w:lineRule="auto"/>
        <w:ind w:firstLine="482" w:firstLineChars="200"/>
        <w:rPr>
          <w:b/>
          <w:bCs/>
          <w:color w:val="auto"/>
          <w:sz w:val="24"/>
          <w:szCs w:val="24"/>
          <w:highlight w:val="none"/>
        </w:rPr>
      </w:pPr>
      <w:r>
        <w:rPr>
          <w:b/>
          <w:bCs/>
          <w:color w:val="auto"/>
          <w:sz w:val="24"/>
          <w:szCs w:val="24"/>
          <w:highlight w:val="none"/>
        </w:rPr>
        <w:t>12.4 工程进度款支付</w:t>
      </w:r>
    </w:p>
    <w:p w14:paraId="3D69CA07">
      <w:pPr>
        <w:snapToGrid w:val="0"/>
        <w:spacing w:line="360" w:lineRule="auto"/>
        <w:ind w:firstLine="480" w:firstLineChars="200"/>
        <w:jc w:val="left"/>
        <w:rPr>
          <w:color w:val="auto"/>
          <w:sz w:val="24"/>
          <w:szCs w:val="24"/>
          <w:highlight w:val="none"/>
        </w:rPr>
      </w:pPr>
      <w:bookmarkStart w:id="1012" w:name="_Toc297120511"/>
      <w:bookmarkStart w:id="1013" w:name="_Toc296891251"/>
      <w:bookmarkStart w:id="1014" w:name="_Toc292559416"/>
      <w:bookmarkStart w:id="1015" w:name="_Toc303539163"/>
      <w:bookmarkStart w:id="1016" w:name="_Toc292559921"/>
      <w:bookmarkStart w:id="1017" w:name="_Toc296346712"/>
      <w:bookmarkStart w:id="1018" w:name="_Toc296944550"/>
      <w:bookmarkStart w:id="1019" w:name="_Toc296347210"/>
      <w:bookmarkStart w:id="1020" w:name="_Toc297123556"/>
      <w:bookmarkStart w:id="1021" w:name="_Toc297216215"/>
      <w:bookmarkStart w:id="1022" w:name="_Toc297048397"/>
      <w:bookmarkStart w:id="1023" w:name="_Toc296503211"/>
      <w:bookmarkStart w:id="1024" w:name="_Toc300935006"/>
      <w:bookmarkStart w:id="1025" w:name="_Toc296891039"/>
      <w:r>
        <w:rPr>
          <w:color w:val="auto"/>
          <w:sz w:val="24"/>
          <w:szCs w:val="24"/>
          <w:highlight w:val="none"/>
        </w:rPr>
        <w:t>12.4.1 付款周期</w:t>
      </w:r>
    </w:p>
    <w:p w14:paraId="1E5A964A">
      <w:pPr>
        <w:snapToGrid w:val="0"/>
        <w:spacing w:line="360" w:lineRule="auto"/>
        <w:ind w:firstLine="480" w:firstLineChars="200"/>
        <w:jc w:val="left"/>
        <w:rPr>
          <w:color w:val="auto"/>
          <w:sz w:val="24"/>
          <w:szCs w:val="24"/>
          <w:highlight w:val="none"/>
        </w:rPr>
      </w:pPr>
      <w:r>
        <w:rPr>
          <w:color w:val="auto"/>
          <w:sz w:val="24"/>
          <w:szCs w:val="24"/>
          <w:highlight w:val="none"/>
        </w:rPr>
        <w:t>关于付款周期的约定：</w:t>
      </w:r>
      <w:r>
        <w:rPr>
          <w:color w:val="auto"/>
          <w:sz w:val="24"/>
          <w:szCs w:val="24"/>
          <w:highlight w:val="none"/>
          <w:u w:val="single"/>
        </w:rPr>
        <w:t>按</w:t>
      </w:r>
      <w:r>
        <w:rPr>
          <w:rFonts w:hint="eastAsia"/>
          <w:color w:val="auto"/>
          <w:sz w:val="24"/>
          <w:szCs w:val="24"/>
          <w:highlight w:val="none"/>
          <w:u w:val="single"/>
          <w:lang w:eastAsia="zh-CN"/>
        </w:rPr>
        <w:t>合同进度</w:t>
      </w:r>
      <w:r>
        <w:rPr>
          <w:color w:val="auto"/>
          <w:sz w:val="24"/>
          <w:szCs w:val="24"/>
          <w:highlight w:val="none"/>
          <w:u w:val="single"/>
        </w:rPr>
        <w:t>支付</w:t>
      </w:r>
      <w:r>
        <w:rPr>
          <w:color w:val="auto"/>
          <w:sz w:val="24"/>
          <w:szCs w:val="24"/>
          <w:highlight w:val="none"/>
        </w:rPr>
        <w:t>。</w:t>
      </w:r>
    </w:p>
    <w:p w14:paraId="3D2A79CA">
      <w:pPr>
        <w:snapToGrid w:val="0"/>
        <w:spacing w:line="360" w:lineRule="auto"/>
        <w:ind w:firstLine="480" w:firstLineChars="200"/>
        <w:jc w:val="left"/>
        <w:rPr>
          <w:color w:val="auto"/>
          <w:sz w:val="24"/>
          <w:szCs w:val="24"/>
          <w:highlight w:val="none"/>
        </w:rPr>
      </w:pPr>
      <w:r>
        <w:rPr>
          <w:color w:val="auto"/>
          <w:sz w:val="24"/>
          <w:szCs w:val="24"/>
          <w:highlight w:val="none"/>
        </w:rPr>
        <w:t>12.4.2 进度付款申请单的编制</w:t>
      </w:r>
    </w:p>
    <w:p w14:paraId="46E854C4">
      <w:pPr>
        <w:snapToGrid w:val="0"/>
        <w:spacing w:line="360" w:lineRule="auto"/>
        <w:ind w:firstLine="120" w:firstLineChars="50"/>
        <w:rPr>
          <w:color w:val="auto"/>
          <w:sz w:val="24"/>
          <w:szCs w:val="24"/>
          <w:highlight w:val="none"/>
        </w:rPr>
      </w:pPr>
      <w:r>
        <w:rPr>
          <w:color w:val="auto"/>
          <w:sz w:val="24"/>
          <w:szCs w:val="24"/>
          <w:highlight w:val="none"/>
        </w:rPr>
        <w:t xml:space="preserve">  关于进度付款申请单编制的约定：</w:t>
      </w:r>
      <w:r>
        <w:rPr>
          <w:rFonts w:hint="eastAsia"/>
          <w:color w:val="auto"/>
          <w:sz w:val="24"/>
          <w:szCs w:val="24"/>
          <w:highlight w:val="none"/>
          <w:u w:val="single"/>
        </w:rPr>
        <w:t xml:space="preserve"> 每月25号前提供当期完成的工程量，并编制进度款申请资料。</w:t>
      </w:r>
    </w:p>
    <w:p w14:paraId="3F3E9172">
      <w:pPr>
        <w:snapToGrid w:val="0"/>
        <w:spacing w:line="360" w:lineRule="auto"/>
        <w:ind w:firstLine="480" w:firstLineChars="200"/>
        <w:jc w:val="left"/>
        <w:rPr>
          <w:color w:val="auto"/>
          <w:sz w:val="24"/>
          <w:szCs w:val="24"/>
          <w:highlight w:val="none"/>
        </w:rPr>
      </w:pPr>
      <w:r>
        <w:rPr>
          <w:color w:val="auto"/>
          <w:sz w:val="24"/>
          <w:szCs w:val="24"/>
          <w:highlight w:val="none"/>
        </w:rPr>
        <w:t>1</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color w:val="auto"/>
          <w:sz w:val="24"/>
          <w:szCs w:val="24"/>
          <w:highlight w:val="none"/>
        </w:rPr>
        <w:t>2.4.3 进度付款申请单的提交</w:t>
      </w:r>
    </w:p>
    <w:p w14:paraId="5917C304">
      <w:pPr>
        <w:snapToGrid w:val="0"/>
        <w:spacing w:line="360" w:lineRule="auto"/>
        <w:ind w:firstLine="480" w:firstLineChars="200"/>
        <w:jc w:val="left"/>
        <w:rPr>
          <w:rFonts w:hint="eastAsia" w:eastAsia="宋体"/>
          <w:color w:val="auto"/>
          <w:sz w:val="24"/>
          <w:szCs w:val="24"/>
          <w:highlight w:val="none"/>
          <w:lang w:eastAsia="zh-CN"/>
        </w:rPr>
      </w:pPr>
      <w:r>
        <w:rPr>
          <w:color w:val="auto"/>
          <w:sz w:val="24"/>
          <w:szCs w:val="24"/>
          <w:highlight w:val="none"/>
        </w:rPr>
        <w:t>（1）单价合同进度付款申请单提交的约定：</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p>
    <w:p w14:paraId="7ADC7205">
      <w:pPr>
        <w:snapToGrid w:val="0"/>
        <w:spacing w:line="360" w:lineRule="auto"/>
        <w:ind w:firstLine="480" w:firstLineChars="200"/>
        <w:jc w:val="left"/>
        <w:rPr>
          <w:color w:val="auto"/>
          <w:sz w:val="24"/>
          <w:szCs w:val="24"/>
          <w:highlight w:val="none"/>
        </w:rPr>
      </w:pPr>
      <w:r>
        <w:rPr>
          <w:color w:val="auto"/>
          <w:sz w:val="24"/>
          <w:szCs w:val="24"/>
          <w:highlight w:val="none"/>
        </w:rPr>
        <w:t>（2）总价合同进度付款申请单提交的约定：</w:t>
      </w:r>
      <w:r>
        <w:rPr>
          <w:color w:val="auto"/>
          <w:sz w:val="24"/>
          <w:szCs w:val="24"/>
          <w:highlight w:val="none"/>
          <w:u w:val="single"/>
        </w:rPr>
        <w:t xml:space="preserve"> </w:t>
      </w:r>
      <w:r>
        <w:rPr>
          <w:color w:val="auto"/>
          <w:sz w:val="24"/>
          <w:szCs w:val="24"/>
          <w:highlight w:val="none"/>
          <w:u w:val="single"/>
          <w:lang w:val="en-US" w:eastAsia="zh-CN"/>
        </w:rPr>
        <w:t>收到中标通知书之日起5日内，承包人需向发包人一次性足额缴纳中标成交价的</w:t>
      </w:r>
      <w:r>
        <w:rPr>
          <w:rFonts w:hint="eastAsia"/>
          <w:color w:val="auto"/>
          <w:sz w:val="24"/>
          <w:szCs w:val="24"/>
          <w:highlight w:val="none"/>
          <w:u w:val="single"/>
          <w:lang w:val="en-US" w:eastAsia="zh-CN"/>
        </w:rPr>
        <w:t>3</w:t>
      </w:r>
      <w:r>
        <w:rPr>
          <w:color w:val="auto"/>
          <w:sz w:val="24"/>
          <w:szCs w:val="24"/>
          <w:highlight w:val="none"/>
          <w:u w:val="single"/>
          <w:lang w:val="en-US" w:eastAsia="zh-CN"/>
        </w:rPr>
        <w:t>%履约保证金；合同签订生效后，成交人须在工程所在地劳动监察部门指定的银行开具农民工工资指定的账户，采购人一次性足额将合同价款的 30%的预付款打入劳动监察部门指定农民工保证金专户，发放工资时，成交人向采购人报送支付申请额度，经采购人审核同意后进行发放。监理人、采购人审核月进度工程量，按照不高于当月实际完成量的 80%（含预付款内的农民工工资）向成交人支付工程进度款，支付至合同价款的85%时，不再按照进度支付。待工程竣工验收合格后提交相应施工资料至采购人指定的结算审计单位进行审核，出具审定报告并提供全套施工资料至发包人后，即支付至审定价款的 97%，无息原账户退还履约保证金，剩余审定价的3%待质保期满后无质量问题一次性支付。</w:t>
      </w:r>
    </w:p>
    <w:p w14:paraId="1A88CC32">
      <w:pPr>
        <w:snapToGrid w:val="0"/>
        <w:spacing w:line="360" w:lineRule="auto"/>
        <w:ind w:firstLine="465"/>
        <w:jc w:val="left"/>
        <w:rPr>
          <w:rFonts w:hint="eastAsia"/>
          <w:color w:val="auto"/>
          <w:sz w:val="24"/>
          <w:szCs w:val="24"/>
          <w:highlight w:val="none"/>
        </w:rPr>
      </w:pPr>
      <w:r>
        <w:rPr>
          <w:color w:val="auto"/>
          <w:sz w:val="24"/>
          <w:szCs w:val="24"/>
          <w:highlight w:val="none"/>
        </w:rPr>
        <w:t>（3）其他价格形式合同进度付款申请单提交的约定：</w:t>
      </w:r>
      <w:r>
        <w:rPr>
          <w:color w:val="auto"/>
          <w:sz w:val="24"/>
          <w:szCs w:val="24"/>
          <w:highlight w:val="none"/>
          <w:u w:val="single"/>
        </w:rPr>
        <w:t xml:space="preserve"> </w:t>
      </w:r>
      <w:r>
        <w:rPr>
          <w:rFonts w:hint="eastAsia"/>
          <w:color w:val="auto"/>
          <w:sz w:val="24"/>
          <w:szCs w:val="24"/>
          <w:highlight w:val="none"/>
          <w:u w:val="single"/>
        </w:rPr>
        <w:t>无</w:t>
      </w:r>
      <w:r>
        <w:rPr>
          <w:color w:val="auto"/>
          <w:sz w:val="24"/>
          <w:szCs w:val="24"/>
          <w:highlight w:val="none"/>
          <w:u w:val="single"/>
        </w:rPr>
        <w:t xml:space="preserve"> </w:t>
      </w:r>
      <w:r>
        <w:rPr>
          <w:color w:val="auto"/>
          <w:sz w:val="24"/>
          <w:szCs w:val="24"/>
          <w:highlight w:val="none"/>
        </w:rPr>
        <w:t>。</w:t>
      </w:r>
    </w:p>
    <w:p w14:paraId="028A2947">
      <w:pPr>
        <w:snapToGrid w:val="0"/>
        <w:spacing w:line="360" w:lineRule="auto"/>
        <w:ind w:firstLine="480" w:firstLineChars="200"/>
        <w:jc w:val="left"/>
        <w:rPr>
          <w:color w:val="auto"/>
          <w:sz w:val="24"/>
          <w:szCs w:val="24"/>
          <w:highlight w:val="none"/>
        </w:rPr>
      </w:pPr>
      <w:r>
        <w:rPr>
          <w:color w:val="auto"/>
          <w:sz w:val="24"/>
          <w:szCs w:val="24"/>
          <w:highlight w:val="none"/>
        </w:rPr>
        <w:t>12.4.4 进度款审核和支付</w:t>
      </w:r>
    </w:p>
    <w:p w14:paraId="1F0B1CCF">
      <w:pPr>
        <w:snapToGrid w:val="0"/>
        <w:spacing w:line="360" w:lineRule="auto"/>
        <w:ind w:firstLine="480" w:firstLineChars="200"/>
        <w:jc w:val="left"/>
        <w:rPr>
          <w:color w:val="auto"/>
          <w:sz w:val="24"/>
          <w:szCs w:val="24"/>
          <w:highlight w:val="none"/>
          <w:u w:val="single"/>
        </w:rPr>
      </w:pPr>
      <w:r>
        <w:rPr>
          <w:color w:val="auto"/>
          <w:sz w:val="24"/>
          <w:szCs w:val="24"/>
          <w:highlight w:val="none"/>
        </w:rPr>
        <w:t>（1）发包人的期限：</w:t>
      </w:r>
      <w:r>
        <w:rPr>
          <w:color w:val="auto"/>
          <w:sz w:val="24"/>
          <w:szCs w:val="24"/>
          <w:highlight w:val="none"/>
          <w:u w:val="single"/>
        </w:rPr>
        <w:t>收到申请7天内</w:t>
      </w:r>
      <w:r>
        <w:rPr>
          <w:color w:val="auto"/>
          <w:sz w:val="24"/>
          <w:szCs w:val="24"/>
          <w:highlight w:val="none"/>
        </w:rPr>
        <w:t>。</w:t>
      </w:r>
    </w:p>
    <w:p w14:paraId="4A897BB5">
      <w:pPr>
        <w:snapToGrid w:val="0"/>
        <w:spacing w:line="360" w:lineRule="auto"/>
        <w:ind w:firstLine="480" w:firstLineChars="200"/>
        <w:jc w:val="left"/>
        <w:rPr>
          <w:color w:val="auto"/>
          <w:sz w:val="24"/>
          <w:szCs w:val="24"/>
          <w:highlight w:val="none"/>
        </w:rPr>
      </w:pPr>
      <w:r>
        <w:rPr>
          <w:color w:val="auto"/>
          <w:sz w:val="24"/>
          <w:szCs w:val="24"/>
          <w:highlight w:val="none"/>
        </w:rPr>
        <w:t>发包人完成审批并签发进度款支付证书的期限：</w:t>
      </w:r>
      <w:r>
        <w:rPr>
          <w:rFonts w:hint="eastAsia"/>
          <w:color w:val="auto"/>
          <w:sz w:val="24"/>
          <w:szCs w:val="24"/>
          <w:highlight w:val="none"/>
          <w:u w:val="single"/>
        </w:rPr>
        <w:t xml:space="preserve">在发包人收到付款申请单及相关资料后的10天内 </w:t>
      </w:r>
      <w:r>
        <w:rPr>
          <w:color w:val="auto"/>
          <w:sz w:val="24"/>
          <w:szCs w:val="24"/>
          <w:highlight w:val="none"/>
        </w:rPr>
        <w:t>。</w:t>
      </w:r>
    </w:p>
    <w:p w14:paraId="21A9ED8F">
      <w:pPr>
        <w:snapToGrid w:val="0"/>
        <w:spacing w:line="360" w:lineRule="auto"/>
        <w:ind w:firstLine="480" w:firstLineChars="200"/>
        <w:jc w:val="left"/>
        <w:rPr>
          <w:color w:val="auto"/>
          <w:sz w:val="24"/>
          <w:szCs w:val="24"/>
          <w:highlight w:val="none"/>
        </w:rPr>
      </w:pPr>
      <w:r>
        <w:rPr>
          <w:color w:val="auto"/>
          <w:sz w:val="24"/>
          <w:szCs w:val="24"/>
          <w:highlight w:val="none"/>
        </w:rPr>
        <w:t>（2）发包人支付进度款的期限：</w:t>
      </w:r>
      <w:r>
        <w:rPr>
          <w:color w:val="auto"/>
          <w:sz w:val="24"/>
          <w:szCs w:val="24"/>
          <w:highlight w:val="none"/>
          <w:u w:val="single"/>
        </w:rPr>
        <w:t>进度款支付证书签发后1</w:t>
      </w:r>
      <w:r>
        <w:rPr>
          <w:rFonts w:hint="eastAsia"/>
          <w:color w:val="auto"/>
          <w:sz w:val="24"/>
          <w:szCs w:val="24"/>
          <w:highlight w:val="none"/>
          <w:u w:val="single"/>
        </w:rPr>
        <w:t>5</w:t>
      </w:r>
      <w:r>
        <w:rPr>
          <w:color w:val="auto"/>
          <w:sz w:val="24"/>
          <w:szCs w:val="24"/>
          <w:highlight w:val="none"/>
          <w:u w:val="single"/>
        </w:rPr>
        <w:t>天内完成支付</w:t>
      </w:r>
      <w:r>
        <w:rPr>
          <w:color w:val="auto"/>
          <w:sz w:val="24"/>
          <w:szCs w:val="24"/>
          <w:highlight w:val="none"/>
        </w:rPr>
        <w:t>。</w:t>
      </w:r>
    </w:p>
    <w:p w14:paraId="47600525">
      <w:pPr>
        <w:snapToGrid w:val="0"/>
        <w:spacing w:line="360" w:lineRule="auto"/>
        <w:jc w:val="left"/>
        <w:rPr>
          <w:color w:val="auto"/>
          <w:sz w:val="24"/>
          <w:szCs w:val="24"/>
          <w:highlight w:val="none"/>
        </w:rPr>
      </w:pPr>
      <w:r>
        <w:rPr>
          <w:color w:val="auto"/>
          <w:sz w:val="24"/>
          <w:szCs w:val="24"/>
          <w:highlight w:val="none"/>
        </w:rPr>
        <w:t xml:space="preserve">    发包人逾期支付进度款的违约金的计算方式：</w:t>
      </w:r>
      <w:r>
        <w:rPr>
          <w:rFonts w:hint="eastAsia"/>
          <w:color w:val="auto"/>
          <w:sz w:val="24"/>
          <w:szCs w:val="24"/>
          <w:highlight w:val="none"/>
          <w:u w:val="single"/>
        </w:rPr>
        <w:t>发包人不支付违约金</w:t>
      </w:r>
      <w:r>
        <w:rPr>
          <w:color w:val="auto"/>
          <w:sz w:val="24"/>
          <w:szCs w:val="24"/>
          <w:highlight w:val="none"/>
        </w:rPr>
        <w:t>。</w:t>
      </w:r>
    </w:p>
    <w:p w14:paraId="20B6995A">
      <w:pPr>
        <w:snapToGrid w:val="0"/>
        <w:spacing w:line="360" w:lineRule="auto"/>
        <w:ind w:firstLine="600" w:firstLineChars="250"/>
        <w:jc w:val="left"/>
        <w:rPr>
          <w:color w:val="auto"/>
          <w:sz w:val="24"/>
          <w:szCs w:val="24"/>
          <w:highlight w:val="none"/>
        </w:rPr>
      </w:pPr>
      <w:r>
        <w:rPr>
          <w:color w:val="auto"/>
          <w:sz w:val="24"/>
          <w:szCs w:val="24"/>
          <w:highlight w:val="none"/>
        </w:rPr>
        <w:t>12.4.6 支付分解表的编制</w:t>
      </w:r>
    </w:p>
    <w:p w14:paraId="4876A391">
      <w:pPr>
        <w:snapToGrid w:val="0"/>
        <w:spacing w:line="360" w:lineRule="auto"/>
        <w:ind w:left="4800" w:hanging="4800" w:hangingChars="2000"/>
        <w:jc w:val="left"/>
        <w:rPr>
          <w:color w:val="auto"/>
          <w:sz w:val="24"/>
          <w:szCs w:val="24"/>
          <w:highlight w:val="none"/>
        </w:rPr>
      </w:pPr>
      <w:r>
        <w:rPr>
          <w:color w:val="auto"/>
          <w:sz w:val="24"/>
          <w:szCs w:val="24"/>
          <w:highlight w:val="none"/>
        </w:rPr>
        <w:t xml:space="preserve">    2、总价合同支付分解表的编制与审批：</w:t>
      </w:r>
      <w:r>
        <w:rPr>
          <w:rFonts w:hint="eastAsia"/>
          <w:color w:val="auto"/>
          <w:sz w:val="24"/>
          <w:szCs w:val="24"/>
          <w:highlight w:val="none"/>
          <w:u w:val="single"/>
        </w:rPr>
        <w:t xml:space="preserve"> </w:t>
      </w:r>
      <w:r>
        <w:rPr>
          <w:color w:val="auto"/>
          <w:sz w:val="24"/>
          <w:szCs w:val="24"/>
          <w:highlight w:val="none"/>
          <w:u w:val="single"/>
        </w:rPr>
        <w:t xml:space="preserve">按通用条款本条执行 </w:t>
      </w:r>
      <w:r>
        <w:rPr>
          <w:color w:val="auto"/>
          <w:sz w:val="24"/>
          <w:szCs w:val="24"/>
          <w:highlight w:val="none"/>
        </w:rPr>
        <w:t>。</w:t>
      </w:r>
    </w:p>
    <w:p w14:paraId="39D99EDE">
      <w:pPr>
        <w:snapToGrid w:val="0"/>
        <w:spacing w:line="360" w:lineRule="auto"/>
        <w:jc w:val="left"/>
        <w:rPr>
          <w:color w:val="auto"/>
          <w:sz w:val="24"/>
          <w:szCs w:val="24"/>
          <w:highlight w:val="none"/>
        </w:rPr>
      </w:pPr>
      <w:r>
        <w:rPr>
          <w:color w:val="auto"/>
          <w:sz w:val="24"/>
          <w:szCs w:val="24"/>
          <w:highlight w:val="none"/>
        </w:rPr>
        <w:t xml:space="preserve">    3、单价合同的总价项目支付分解表的编制与审批：</w:t>
      </w:r>
      <w:r>
        <w:rPr>
          <w:rFonts w:hint="eastAsia"/>
          <w:color w:val="auto"/>
          <w:sz w:val="24"/>
          <w:szCs w:val="24"/>
          <w:highlight w:val="none"/>
          <w:u w:val="single"/>
          <w:lang w:val="en-US" w:eastAsia="zh-CN"/>
        </w:rPr>
        <w:t xml:space="preserve"> / </w:t>
      </w:r>
      <w:r>
        <w:rPr>
          <w:color w:val="auto"/>
          <w:sz w:val="24"/>
          <w:szCs w:val="24"/>
          <w:highlight w:val="none"/>
        </w:rPr>
        <w:t>。</w:t>
      </w:r>
    </w:p>
    <w:bookmarkEnd w:id="945"/>
    <w:p w14:paraId="5DFF28F7">
      <w:pPr>
        <w:pStyle w:val="5"/>
        <w:snapToGrid w:val="0"/>
        <w:spacing w:before="0" w:after="0" w:line="360" w:lineRule="auto"/>
        <w:rPr>
          <w:rFonts w:ascii="Times New Roman" w:hAnsi="Times New Roman" w:eastAsia="宋体"/>
          <w:bCs/>
          <w:color w:val="auto"/>
          <w:sz w:val="24"/>
          <w:szCs w:val="24"/>
          <w:highlight w:val="none"/>
        </w:rPr>
      </w:pPr>
      <w:bookmarkStart w:id="1026" w:name="_Toc351203645"/>
      <w:bookmarkStart w:id="1027" w:name="_Toc296891259"/>
      <w:bookmarkStart w:id="1028" w:name="_Toc297048405"/>
      <w:bookmarkStart w:id="1029" w:name="_Toc296346720"/>
      <w:bookmarkStart w:id="1030" w:name="_Toc296347218"/>
      <w:bookmarkStart w:id="1031" w:name="_Toc303539172"/>
      <w:bookmarkStart w:id="1032" w:name="_Toc292559424"/>
      <w:bookmarkStart w:id="1033" w:name="_Toc300935015"/>
      <w:bookmarkStart w:id="1034" w:name="_Toc296944558"/>
      <w:bookmarkStart w:id="1035" w:name="_Toc297123564"/>
      <w:bookmarkStart w:id="1036" w:name="_Toc296891047"/>
      <w:bookmarkStart w:id="1037" w:name="_Toc292559929"/>
      <w:bookmarkStart w:id="1038" w:name="_Toc312678053"/>
      <w:bookmarkStart w:id="1039" w:name="_Toc304295593"/>
      <w:bookmarkStart w:id="1040" w:name="_Toc297216223"/>
      <w:bookmarkStart w:id="1041" w:name="_Toc297120519"/>
      <w:bookmarkStart w:id="1042" w:name="_Toc296503219"/>
      <w:r>
        <w:rPr>
          <w:rFonts w:ascii="Times New Roman" w:hAnsi="Times New Roman" w:eastAsia="宋体"/>
          <w:bCs/>
          <w:color w:val="auto"/>
          <w:sz w:val="24"/>
          <w:szCs w:val="24"/>
          <w:highlight w:val="none"/>
        </w:rPr>
        <w:t>13. 验收和工程试车</w:t>
      </w:r>
      <w:bookmarkEnd w:id="1026"/>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14:paraId="7C266547">
      <w:pPr>
        <w:snapToGrid w:val="0"/>
        <w:spacing w:line="360" w:lineRule="auto"/>
        <w:ind w:firstLine="480" w:firstLineChars="200"/>
        <w:rPr>
          <w:color w:val="auto"/>
          <w:sz w:val="24"/>
          <w:szCs w:val="24"/>
          <w:highlight w:val="none"/>
        </w:rPr>
      </w:pPr>
      <w:r>
        <w:rPr>
          <w:color w:val="auto"/>
          <w:sz w:val="24"/>
          <w:szCs w:val="24"/>
          <w:highlight w:val="none"/>
        </w:rPr>
        <w:t>13.1 分部分项工程验收</w:t>
      </w:r>
    </w:p>
    <w:p w14:paraId="4DD9E670">
      <w:pPr>
        <w:snapToGrid w:val="0"/>
        <w:spacing w:line="360" w:lineRule="auto"/>
        <w:ind w:firstLine="480" w:firstLineChars="200"/>
        <w:jc w:val="left"/>
        <w:rPr>
          <w:color w:val="auto"/>
          <w:sz w:val="24"/>
          <w:szCs w:val="24"/>
          <w:highlight w:val="none"/>
        </w:rPr>
      </w:pPr>
      <w:r>
        <w:rPr>
          <w:color w:val="auto"/>
          <w:sz w:val="24"/>
          <w:szCs w:val="24"/>
          <w:highlight w:val="none"/>
        </w:rPr>
        <w:t>13.1.2</w:t>
      </w:r>
      <w:r>
        <w:rPr>
          <w:rFonts w:hint="eastAsia"/>
          <w:color w:val="auto"/>
          <w:sz w:val="24"/>
          <w:szCs w:val="24"/>
          <w:highlight w:val="none"/>
          <w:lang w:eastAsia="zh-CN"/>
        </w:rPr>
        <w:t>发包</w:t>
      </w:r>
      <w:r>
        <w:rPr>
          <w:color w:val="auto"/>
          <w:sz w:val="24"/>
          <w:szCs w:val="24"/>
          <w:highlight w:val="none"/>
        </w:rPr>
        <w:t>人不能按时进行验收时，应提前</w:t>
      </w:r>
      <w:r>
        <w:rPr>
          <w:rFonts w:hint="eastAsia"/>
          <w:color w:val="auto"/>
          <w:sz w:val="24"/>
          <w:szCs w:val="24"/>
          <w:highlight w:val="none"/>
          <w:u w:val="single"/>
        </w:rPr>
        <w:t xml:space="preserve"> </w:t>
      </w:r>
      <w:r>
        <w:rPr>
          <w:color w:val="auto"/>
          <w:sz w:val="24"/>
          <w:szCs w:val="24"/>
          <w:highlight w:val="none"/>
          <w:u w:val="single"/>
        </w:rPr>
        <w:t xml:space="preserve">24 </w:t>
      </w:r>
      <w:r>
        <w:rPr>
          <w:color w:val="auto"/>
          <w:sz w:val="24"/>
          <w:szCs w:val="24"/>
          <w:highlight w:val="none"/>
        </w:rPr>
        <w:t>小时提交书面延期要求。</w:t>
      </w:r>
    </w:p>
    <w:p w14:paraId="57359049">
      <w:pPr>
        <w:snapToGrid w:val="0"/>
        <w:spacing w:line="360" w:lineRule="auto"/>
        <w:ind w:firstLine="480" w:firstLineChars="200"/>
        <w:jc w:val="left"/>
        <w:rPr>
          <w:b/>
          <w:color w:val="auto"/>
          <w:sz w:val="24"/>
          <w:szCs w:val="24"/>
          <w:highlight w:val="none"/>
        </w:rPr>
      </w:pPr>
      <w:r>
        <w:rPr>
          <w:color w:val="auto"/>
          <w:sz w:val="24"/>
          <w:szCs w:val="24"/>
          <w:highlight w:val="none"/>
        </w:rPr>
        <w:t>关于延期最长不得超过：</w:t>
      </w:r>
      <w:r>
        <w:rPr>
          <w:color w:val="auto"/>
          <w:sz w:val="24"/>
          <w:szCs w:val="24"/>
          <w:highlight w:val="none"/>
          <w:u w:val="single"/>
        </w:rPr>
        <w:t xml:space="preserve"> 48  </w:t>
      </w:r>
      <w:r>
        <w:rPr>
          <w:color w:val="auto"/>
          <w:sz w:val="24"/>
          <w:szCs w:val="24"/>
          <w:highlight w:val="none"/>
        </w:rPr>
        <w:t>小时。</w:t>
      </w:r>
    </w:p>
    <w:p w14:paraId="03B39A50">
      <w:pPr>
        <w:snapToGrid w:val="0"/>
        <w:spacing w:line="360" w:lineRule="auto"/>
        <w:ind w:firstLine="480" w:firstLineChars="200"/>
        <w:rPr>
          <w:color w:val="auto"/>
          <w:sz w:val="24"/>
          <w:szCs w:val="24"/>
          <w:highlight w:val="none"/>
        </w:rPr>
      </w:pPr>
      <w:bookmarkStart w:id="1043" w:name="_Toc304295596"/>
      <w:bookmarkStart w:id="1044" w:name="_Toc297216224"/>
      <w:bookmarkStart w:id="1045" w:name="_Toc312678056"/>
      <w:bookmarkStart w:id="1046" w:name="_Toc296347222"/>
      <w:bookmarkStart w:id="1047" w:name="_Toc296346724"/>
      <w:bookmarkStart w:id="1048" w:name="_Toc296944562"/>
      <w:bookmarkStart w:id="1049" w:name="_Toc296503223"/>
      <w:bookmarkStart w:id="1050" w:name="_Toc292559428"/>
      <w:bookmarkStart w:id="1051" w:name="_Toc297048409"/>
      <w:bookmarkStart w:id="1052" w:name="_Toc303539173"/>
      <w:bookmarkStart w:id="1053" w:name="_Toc292559933"/>
      <w:bookmarkStart w:id="1054" w:name="_Toc300935016"/>
      <w:bookmarkStart w:id="1055" w:name="_Toc297120523"/>
      <w:bookmarkStart w:id="1056" w:name="_Toc297123565"/>
      <w:bookmarkStart w:id="1057" w:name="_Toc296891263"/>
      <w:bookmarkStart w:id="1058" w:name="_Toc296891051"/>
      <w:bookmarkStart w:id="1059" w:name="_Toc267251475"/>
      <w:bookmarkStart w:id="1060" w:name="_Toc267251473"/>
      <w:bookmarkStart w:id="1061" w:name="_Toc267251476"/>
      <w:bookmarkStart w:id="1062" w:name="_Toc267251471"/>
      <w:bookmarkStart w:id="1063" w:name="_Toc267251472"/>
      <w:bookmarkStart w:id="1064" w:name="_Toc267251474"/>
      <w:bookmarkStart w:id="1065" w:name="_Toc267251470"/>
      <w:r>
        <w:rPr>
          <w:color w:val="auto"/>
          <w:sz w:val="24"/>
          <w:szCs w:val="24"/>
          <w:highlight w:val="none"/>
        </w:rPr>
        <w:t>13.2 竣工验收</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0CB6B6DD">
      <w:pPr>
        <w:snapToGrid w:val="0"/>
        <w:spacing w:line="360" w:lineRule="auto"/>
        <w:ind w:firstLine="480" w:firstLineChars="200"/>
        <w:jc w:val="left"/>
        <w:rPr>
          <w:color w:val="auto"/>
          <w:sz w:val="24"/>
          <w:szCs w:val="24"/>
          <w:highlight w:val="none"/>
        </w:rPr>
      </w:pPr>
      <w:bookmarkStart w:id="1066" w:name="_Toc280868704"/>
      <w:bookmarkStart w:id="1067" w:name="_Toc280868705"/>
      <w:bookmarkStart w:id="1068" w:name="_Toc280868706"/>
      <w:bookmarkStart w:id="1069" w:name="_Toc280868707"/>
      <w:bookmarkStart w:id="1070" w:name="_Toc280868708"/>
      <w:bookmarkStart w:id="1071" w:name="_Toc280868709"/>
      <w:r>
        <w:rPr>
          <w:color w:val="auto"/>
          <w:sz w:val="24"/>
          <w:szCs w:val="24"/>
          <w:highlight w:val="none"/>
        </w:rPr>
        <w:t>13.2.2竣工验收程序</w:t>
      </w:r>
    </w:p>
    <w:bookmarkEnd w:id="1066"/>
    <w:p w14:paraId="39EF2551">
      <w:pPr>
        <w:snapToGrid w:val="0"/>
        <w:spacing w:line="360" w:lineRule="auto"/>
        <w:ind w:firstLine="480" w:firstLineChars="200"/>
        <w:jc w:val="left"/>
        <w:rPr>
          <w:color w:val="auto"/>
          <w:sz w:val="24"/>
          <w:szCs w:val="24"/>
          <w:highlight w:val="none"/>
        </w:rPr>
      </w:pPr>
      <w:r>
        <w:rPr>
          <w:color w:val="auto"/>
          <w:kern w:val="0"/>
          <w:sz w:val="24"/>
          <w:szCs w:val="24"/>
          <w:highlight w:val="none"/>
        </w:rPr>
        <w:t>关于竣工验收程序的约定：</w:t>
      </w:r>
      <w:r>
        <w:rPr>
          <w:color w:val="auto"/>
          <w:kern w:val="0"/>
          <w:sz w:val="24"/>
          <w:szCs w:val="24"/>
          <w:highlight w:val="none"/>
          <w:u w:val="single"/>
          <w:lang w:val="en-US" w:eastAsia="zh-CN"/>
        </w:rPr>
        <w:t>执行本合同通用条款</w:t>
      </w:r>
      <w:r>
        <w:rPr>
          <w:rFonts w:hint="eastAsia"/>
          <w:color w:val="auto"/>
          <w:sz w:val="24"/>
          <w:szCs w:val="24"/>
          <w:highlight w:val="none"/>
          <w:u w:val="single"/>
        </w:rPr>
        <w:t xml:space="preserve"> </w:t>
      </w:r>
      <w:r>
        <w:rPr>
          <w:color w:val="auto"/>
          <w:sz w:val="24"/>
          <w:szCs w:val="24"/>
          <w:highlight w:val="none"/>
        </w:rPr>
        <w:t>。</w:t>
      </w:r>
    </w:p>
    <w:p w14:paraId="5EBC9CC8">
      <w:pPr>
        <w:snapToGrid w:val="0"/>
        <w:spacing w:line="360" w:lineRule="auto"/>
        <w:jc w:val="left"/>
        <w:rPr>
          <w:color w:val="auto"/>
          <w:sz w:val="24"/>
          <w:szCs w:val="24"/>
          <w:highlight w:val="none"/>
        </w:rPr>
      </w:pPr>
      <w:r>
        <w:rPr>
          <w:color w:val="auto"/>
          <w:kern w:val="0"/>
          <w:sz w:val="24"/>
          <w:szCs w:val="24"/>
          <w:highlight w:val="none"/>
        </w:rPr>
        <w:t xml:space="preserve">    发包人不按照本项约定组织竣工验收、颁发工程接收证书的违约金的计算方法：</w:t>
      </w:r>
      <w:r>
        <w:rPr>
          <w:color w:val="auto"/>
          <w:sz w:val="24"/>
          <w:szCs w:val="24"/>
          <w:highlight w:val="none"/>
          <w:u w:val="single"/>
        </w:rPr>
        <w:t>按通用条款本条执行</w:t>
      </w:r>
      <w:r>
        <w:rPr>
          <w:color w:val="auto"/>
          <w:sz w:val="24"/>
          <w:szCs w:val="24"/>
          <w:highlight w:val="none"/>
        </w:rPr>
        <w:t>。</w:t>
      </w:r>
    </w:p>
    <w:bookmarkEnd w:id="1067"/>
    <w:p w14:paraId="4F010E9A">
      <w:pPr>
        <w:snapToGrid w:val="0"/>
        <w:spacing w:line="360" w:lineRule="auto"/>
        <w:ind w:firstLine="480" w:firstLineChars="200"/>
        <w:jc w:val="left"/>
        <w:rPr>
          <w:color w:val="auto"/>
          <w:sz w:val="24"/>
          <w:szCs w:val="24"/>
          <w:highlight w:val="none"/>
        </w:rPr>
      </w:pPr>
      <w:r>
        <w:rPr>
          <w:color w:val="auto"/>
          <w:sz w:val="24"/>
          <w:szCs w:val="24"/>
          <w:highlight w:val="none"/>
        </w:rPr>
        <w:t>13.2.</w:t>
      </w:r>
      <w:r>
        <w:rPr>
          <w:rFonts w:hint="eastAsia"/>
          <w:color w:val="auto"/>
          <w:sz w:val="24"/>
          <w:szCs w:val="24"/>
          <w:highlight w:val="none"/>
        </w:rPr>
        <w:t>3</w:t>
      </w:r>
      <w:r>
        <w:rPr>
          <w:color w:val="auto"/>
          <w:sz w:val="24"/>
          <w:szCs w:val="24"/>
          <w:highlight w:val="none"/>
        </w:rPr>
        <w:t>移交、接收全部与部分工程</w:t>
      </w:r>
    </w:p>
    <w:bookmarkEnd w:id="1068"/>
    <w:p w14:paraId="5DC39605">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承包人向发包人移交工程的期限：</w:t>
      </w:r>
      <w:r>
        <w:rPr>
          <w:color w:val="auto"/>
          <w:sz w:val="24"/>
          <w:szCs w:val="24"/>
          <w:highlight w:val="none"/>
          <w:u w:val="single"/>
        </w:rPr>
        <w:t>颁发工程接收证书后7天内</w:t>
      </w:r>
      <w:r>
        <w:rPr>
          <w:color w:val="auto"/>
          <w:sz w:val="24"/>
          <w:szCs w:val="24"/>
          <w:highlight w:val="none"/>
        </w:rPr>
        <w:t>。</w:t>
      </w:r>
    </w:p>
    <w:p w14:paraId="38DD4654">
      <w:pPr>
        <w:snapToGrid w:val="0"/>
        <w:spacing w:line="360" w:lineRule="auto"/>
        <w:ind w:firstLine="480" w:firstLineChars="200"/>
        <w:jc w:val="left"/>
        <w:rPr>
          <w:color w:val="auto"/>
          <w:sz w:val="24"/>
          <w:szCs w:val="24"/>
          <w:highlight w:val="none"/>
          <w:u w:val="single"/>
        </w:rPr>
      </w:pPr>
      <w:r>
        <w:rPr>
          <w:color w:val="auto"/>
          <w:kern w:val="0"/>
          <w:sz w:val="24"/>
          <w:szCs w:val="24"/>
          <w:highlight w:val="none"/>
        </w:rPr>
        <w:t>发包人未按本合同约定接收全部或部分工程的，违约金的计算方法为：</w:t>
      </w:r>
      <w:r>
        <w:rPr>
          <w:color w:val="auto"/>
          <w:sz w:val="24"/>
          <w:szCs w:val="24"/>
          <w:highlight w:val="none"/>
          <w:u w:val="single"/>
        </w:rPr>
        <w:t>双方另行协商确定</w:t>
      </w:r>
      <w:r>
        <w:rPr>
          <w:color w:val="auto"/>
          <w:sz w:val="24"/>
          <w:szCs w:val="24"/>
          <w:highlight w:val="none"/>
        </w:rPr>
        <w:t>。</w:t>
      </w:r>
    </w:p>
    <w:bookmarkEnd w:id="1069"/>
    <w:p w14:paraId="7B423343">
      <w:pPr>
        <w:snapToGrid w:val="0"/>
        <w:spacing w:line="360" w:lineRule="auto"/>
        <w:jc w:val="left"/>
        <w:rPr>
          <w:color w:val="auto"/>
          <w:sz w:val="24"/>
          <w:szCs w:val="24"/>
          <w:highlight w:val="none"/>
        </w:rPr>
      </w:pPr>
      <w:r>
        <w:rPr>
          <w:color w:val="auto"/>
          <w:sz w:val="24"/>
          <w:szCs w:val="24"/>
          <w:highlight w:val="none"/>
        </w:rPr>
        <w:t xml:space="preserve">    承包人未按时移交工程的，违约金的计算方法为：</w:t>
      </w:r>
      <w:r>
        <w:rPr>
          <w:rFonts w:hint="eastAsia"/>
          <w:color w:val="auto"/>
          <w:sz w:val="24"/>
          <w:szCs w:val="24"/>
          <w:highlight w:val="none"/>
          <w:u w:val="single"/>
        </w:rPr>
        <w:t xml:space="preserve"> 每逾期一日，承包人应向发包人支付相当于本合同总价款的万分之五的违约金。</w:t>
      </w:r>
    </w:p>
    <w:p w14:paraId="70463F06">
      <w:pPr>
        <w:snapToGrid w:val="0"/>
        <w:spacing w:line="360" w:lineRule="auto"/>
        <w:ind w:firstLine="480" w:firstLineChars="200"/>
        <w:rPr>
          <w:color w:val="auto"/>
          <w:sz w:val="24"/>
          <w:szCs w:val="24"/>
          <w:highlight w:val="none"/>
        </w:rPr>
      </w:pPr>
      <w:r>
        <w:rPr>
          <w:color w:val="auto"/>
          <w:sz w:val="24"/>
          <w:szCs w:val="24"/>
          <w:highlight w:val="none"/>
        </w:rPr>
        <w:t>13.3 工程试车</w:t>
      </w:r>
    </w:p>
    <w:bookmarkEnd w:id="1070"/>
    <w:p w14:paraId="0AA89E4E">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13.3.1 试车程序</w:t>
      </w:r>
    </w:p>
    <w:p w14:paraId="10B42C73">
      <w:pPr>
        <w:snapToGrid w:val="0"/>
        <w:spacing w:line="360" w:lineRule="auto"/>
        <w:jc w:val="left"/>
        <w:rPr>
          <w:color w:val="auto"/>
          <w:kern w:val="0"/>
          <w:sz w:val="24"/>
          <w:szCs w:val="24"/>
          <w:highlight w:val="none"/>
        </w:rPr>
      </w:pPr>
      <w:r>
        <w:rPr>
          <w:color w:val="auto"/>
          <w:kern w:val="0"/>
          <w:sz w:val="24"/>
          <w:szCs w:val="24"/>
          <w:highlight w:val="none"/>
        </w:rPr>
        <w:t xml:space="preserve">    工程试车内容：</w:t>
      </w:r>
      <w:r>
        <w:rPr>
          <w:color w:val="auto"/>
          <w:sz w:val="24"/>
          <w:szCs w:val="24"/>
          <w:highlight w:val="none"/>
          <w:u w:val="single"/>
        </w:rPr>
        <w:t xml:space="preserve"> </w:t>
      </w:r>
      <w:r>
        <w:rPr>
          <w:color w:val="auto"/>
          <w:sz w:val="24"/>
          <w:szCs w:val="24"/>
          <w:highlight w:val="none"/>
          <w:u w:val="single"/>
          <w:lang w:val="en-US" w:eastAsia="zh-CN"/>
        </w:rPr>
        <w:t>执行本合同通用条款</w:t>
      </w:r>
      <w:r>
        <w:rPr>
          <w:color w:val="auto"/>
          <w:sz w:val="24"/>
          <w:szCs w:val="24"/>
          <w:highlight w:val="none"/>
        </w:rPr>
        <w:t>。</w:t>
      </w:r>
    </w:p>
    <w:p w14:paraId="24ED2B10">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（1）单机无负荷试车费用由</w:t>
      </w:r>
      <w:r>
        <w:rPr>
          <w:color w:val="auto"/>
          <w:sz w:val="24"/>
          <w:szCs w:val="24"/>
          <w:highlight w:val="none"/>
          <w:u w:val="single"/>
        </w:rPr>
        <w:t xml:space="preserve"> </w:t>
      </w:r>
      <w:r>
        <w:rPr>
          <w:color w:val="auto"/>
          <w:sz w:val="24"/>
          <w:szCs w:val="24"/>
          <w:highlight w:val="none"/>
          <w:u w:val="single"/>
          <w:lang w:val="en-US" w:eastAsia="zh-CN"/>
        </w:rPr>
        <w:t>承包人</w:t>
      </w:r>
      <w:r>
        <w:rPr>
          <w:color w:val="auto"/>
          <w:sz w:val="24"/>
          <w:szCs w:val="24"/>
          <w:highlight w:val="none"/>
          <w:u w:val="single"/>
        </w:rPr>
        <w:t xml:space="preserve"> </w:t>
      </w:r>
      <w:r>
        <w:rPr>
          <w:color w:val="auto"/>
          <w:kern w:val="0"/>
          <w:sz w:val="24"/>
          <w:szCs w:val="24"/>
          <w:highlight w:val="none"/>
        </w:rPr>
        <w:t>承担；</w:t>
      </w:r>
    </w:p>
    <w:p w14:paraId="74FDD1C4">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（2）无负荷联动试车费用由</w:t>
      </w:r>
      <w:r>
        <w:rPr>
          <w:color w:val="auto"/>
          <w:sz w:val="24"/>
          <w:szCs w:val="24"/>
          <w:highlight w:val="none"/>
          <w:u w:val="single"/>
        </w:rPr>
        <w:t xml:space="preserve"> </w:t>
      </w:r>
      <w:r>
        <w:rPr>
          <w:color w:val="auto"/>
          <w:sz w:val="24"/>
          <w:szCs w:val="24"/>
          <w:highlight w:val="none"/>
          <w:u w:val="single"/>
          <w:lang w:val="en-US" w:eastAsia="zh-CN"/>
        </w:rPr>
        <w:t>承包人</w:t>
      </w:r>
      <w:r>
        <w:rPr>
          <w:color w:val="auto"/>
          <w:sz w:val="24"/>
          <w:szCs w:val="24"/>
          <w:highlight w:val="none"/>
          <w:u w:val="single"/>
        </w:rPr>
        <w:t xml:space="preserve"> </w:t>
      </w:r>
      <w:r>
        <w:rPr>
          <w:color w:val="auto"/>
          <w:kern w:val="0"/>
          <w:sz w:val="24"/>
          <w:szCs w:val="24"/>
          <w:highlight w:val="none"/>
        </w:rPr>
        <w:t>承担。</w:t>
      </w:r>
    </w:p>
    <w:p w14:paraId="18D00926">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13.3.3 投料试车</w:t>
      </w:r>
    </w:p>
    <w:p w14:paraId="57590983">
      <w:pPr>
        <w:snapToGrid w:val="0"/>
        <w:spacing w:line="360" w:lineRule="auto"/>
        <w:jc w:val="left"/>
        <w:rPr>
          <w:color w:val="auto"/>
          <w:kern w:val="0"/>
          <w:sz w:val="24"/>
          <w:szCs w:val="24"/>
          <w:highlight w:val="none"/>
        </w:rPr>
      </w:pPr>
      <w:r>
        <w:rPr>
          <w:color w:val="auto"/>
          <w:kern w:val="0"/>
          <w:sz w:val="24"/>
          <w:szCs w:val="24"/>
          <w:highlight w:val="none"/>
        </w:rPr>
        <w:t xml:space="preserve">    关于投料试车相关事项的约定：</w:t>
      </w:r>
      <w:r>
        <w:rPr>
          <w:color w:val="auto"/>
          <w:kern w:val="0"/>
          <w:sz w:val="24"/>
          <w:szCs w:val="24"/>
          <w:highlight w:val="none"/>
          <w:u w:val="single"/>
          <w:lang w:val="en-US" w:eastAsia="zh-CN"/>
        </w:rPr>
        <w:t>相关费用均由承包方承担</w:t>
      </w:r>
      <w:r>
        <w:rPr>
          <w:color w:val="auto"/>
          <w:sz w:val="24"/>
          <w:szCs w:val="24"/>
          <w:highlight w:val="none"/>
          <w:u w:val="single"/>
        </w:rPr>
        <w:t xml:space="preserve"> </w:t>
      </w:r>
      <w:r>
        <w:rPr>
          <w:color w:val="auto"/>
          <w:sz w:val="24"/>
          <w:szCs w:val="24"/>
          <w:highlight w:val="none"/>
        </w:rPr>
        <w:t>。</w:t>
      </w:r>
    </w:p>
    <w:p w14:paraId="78DE5C04">
      <w:pPr>
        <w:snapToGrid w:val="0"/>
        <w:spacing w:line="360" w:lineRule="auto"/>
        <w:ind w:firstLine="480" w:firstLineChars="200"/>
        <w:rPr>
          <w:color w:val="auto"/>
          <w:sz w:val="24"/>
          <w:szCs w:val="24"/>
          <w:highlight w:val="none"/>
        </w:rPr>
      </w:pPr>
      <w:r>
        <w:rPr>
          <w:color w:val="auto"/>
          <w:sz w:val="24"/>
          <w:szCs w:val="24"/>
          <w:highlight w:val="none"/>
        </w:rPr>
        <w:t>13.6 竣工退场</w:t>
      </w:r>
    </w:p>
    <w:p w14:paraId="083C7EF4">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13.6.1 竣工退场</w:t>
      </w:r>
    </w:p>
    <w:p w14:paraId="302CD1F3">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承包人完成竣工退场的期限：</w:t>
      </w:r>
      <w:r>
        <w:rPr>
          <w:color w:val="auto"/>
          <w:sz w:val="24"/>
          <w:szCs w:val="24"/>
          <w:highlight w:val="none"/>
          <w:u w:val="single"/>
        </w:rPr>
        <w:t>颁发工程接收证书后7天内完成工程的移交 </w:t>
      </w:r>
      <w:r>
        <w:rPr>
          <w:color w:val="auto"/>
          <w:kern w:val="0"/>
          <w:sz w:val="24"/>
          <w:szCs w:val="24"/>
          <w:highlight w:val="none"/>
        </w:rPr>
        <w:t>。</w:t>
      </w:r>
    </w:p>
    <w:p w14:paraId="2AA1F603">
      <w:pPr>
        <w:pStyle w:val="5"/>
        <w:snapToGrid w:val="0"/>
        <w:spacing w:before="0" w:after="0" w:line="360" w:lineRule="auto"/>
        <w:rPr>
          <w:rFonts w:ascii="Times New Roman" w:hAnsi="Times New Roman" w:eastAsia="宋体"/>
          <w:bCs/>
          <w:color w:val="auto"/>
          <w:sz w:val="24"/>
          <w:szCs w:val="24"/>
          <w:highlight w:val="none"/>
        </w:rPr>
      </w:pPr>
      <w:bookmarkStart w:id="1072" w:name="_Toc351203646"/>
      <w:r>
        <w:rPr>
          <w:rFonts w:ascii="Times New Roman" w:hAnsi="Times New Roman" w:eastAsia="宋体"/>
          <w:bCs/>
          <w:color w:val="auto"/>
          <w:sz w:val="24"/>
          <w:szCs w:val="24"/>
          <w:highlight w:val="none"/>
        </w:rPr>
        <w:t>14. 竣工结算</w:t>
      </w:r>
      <w:bookmarkEnd w:id="1072"/>
    </w:p>
    <w:p w14:paraId="1556DB8E">
      <w:pPr>
        <w:snapToGrid w:val="0"/>
        <w:spacing w:line="360" w:lineRule="auto"/>
        <w:ind w:firstLine="480" w:firstLineChars="200"/>
        <w:rPr>
          <w:color w:val="auto"/>
          <w:sz w:val="24"/>
          <w:szCs w:val="24"/>
          <w:highlight w:val="none"/>
        </w:rPr>
      </w:pPr>
      <w:r>
        <w:rPr>
          <w:color w:val="auto"/>
          <w:sz w:val="24"/>
          <w:szCs w:val="24"/>
          <w:highlight w:val="none"/>
        </w:rPr>
        <w:t>14.1 竣工结算申请</w:t>
      </w:r>
    </w:p>
    <w:p w14:paraId="068C90D3">
      <w:pPr>
        <w:snapToGrid w:val="0"/>
        <w:spacing w:line="360" w:lineRule="auto"/>
        <w:ind w:firstLine="480" w:firstLineChars="200"/>
        <w:jc w:val="left"/>
        <w:rPr>
          <w:color w:val="auto"/>
          <w:sz w:val="24"/>
          <w:szCs w:val="24"/>
          <w:highlight w:val="none"/>
        </w:rPr>
      </w:pPr>
      <w:r>
        <w:rPr>
          <w:color w:val="auto"/>
          <w:sz w:val="24"/>
          <w:szCs w:val="24"/>
          <w:highlight w:val="none"/>
        </w:rPr>
        <w:t>承包人提交竣工结算申请单的期限：</w:t>
      </w:r>
      <w:r>
        <w:rPr>
          <w:color w:val="auto"/>
          <w:sz w:val="24"/>
          <w:szCs w:val="24"/>
          <w:highlight w:val="none"/>
          <w:u w:val="single"/>
        </w:rPr>
        <w:t>工程竣工验收合格后28天内</w:t>
      </w:r>
      <w:r>
        <w:rPr>
          <w:color w:val="auto"/>
          <w:sz w:val="24"/>
          <w:szCs w:val="24"/>
          <w:highlight w:val="none"/>
        </w:rPr>
        <w:t>。</w:t>
      </w:r>
    </w:p>
    <w:p w14:paraId="39D75856">
      <w:pPr>
        <w:snapToGrid w:val="0"/>
        <w:spacing w:line="360" w:lineRule="auto"/>
        <w:jc w:val="left"/>
        <w:rPr>
          <w:color w:val="auto"/>
          <w:sz w:val="24"/>
          <w:szCs w:val="24"/>
          <w:highlight w:val="none"/>
        </w:rPr>
      </w:pPr>
      <w:r>
        <w:rPr>
          <w:color w:val="auto"/>
          <w:sz w:val="24"/>
          <w:szCs w:val="24"/>
          <w:highlight w:val="none"/>
        </w:rPr>
        <w:t xml:space="preserve">    竣工结算申请单应包括的内容：</w:t>
      </w:r>
      <w:r>
        <w:rPr>
          <w:color w:val="auto"/>
          <w:sz w:val="24"/>
          <w:szCs w:val="24"/>
          <w:highlight w:val="none"/>
          <w:u w:val="single"/>
        </w:rPr>
        <w:t>按通用条款本条执行</w:t>
      </w:r>
      <w:r>
        <w:rPr>
          <w:color w:val="auto"/>
          <w:sz w:val="24"/>
          <w:szCs w:val="24"/>
          <w:highlight w:val="none"/>
        </w:rPr>
        <w:t>。</w:t>
      </w:r>
    </w:p>
    <w:p w14:paraId="33CC219F">
      <w:pPr>
        <w:snapToGrid w:val="0"/>
        <w:spacing w:line="360" w:lineRule="auto"/>
        <w:ind w:firstLine="480" w:firstLineChars="200"/>
        <w:rPr>
          <w:color w:val="auto"/>
          <w:sz w:val="24"/>
          <w:szCs w:val="24"/>
          <w:highlight w:val="none"/>
        </w:rPr>
      </w:pPr>
      <w:r>
        <w:rPr>
          <w:color w:val="auto"/>
          <w:sz w:val="24"/>
          <w:szCs w:val="24"/>
          <w:highlight w:val="none"/>
        </w:rPr>
        <w:t>14.2 竣工结算审核</w:t>
      </w:r>
    </w:p>
    <w:p w14:paraId="3F2DC76E">
      <w:pPr>
        <w:snapToGrid w:val="0"/>
        <w:spacing w:line="360" w:lineRule="auto"/>
        <w:ind w:firstLine="480" w:firstLineChars="200"/>
        <w:jc w:val="left"/>
        <w:rPr>
          <w:color w:val="auto"/>
          <w:sz w:val="24"/>
          <w:szCs w:val="24"/>
          <w:highlight w:val="none"/>
        </w:rPr>
      </w:pPr>
      <w:r>
        <w:rPr>
          <w:color w:val="auto"/>
          <w:sz w:val="24"/>
          <w:szCs w:val="24"/>
          <w:highlight w:val="none"/>
        </w:rPr>
        <w:t>发包人审批竣工付款申请单的期限：</w:t>
      </w:r>
      <w:r>
        <w:rPr>
          <w:color w:val="auto"/>
          <w:sz w:val="24"/>
          <w:szCs w:val="24"/>
          <w:highlight w:val="none"/>
          <w:u w:val="single"/>
        </w:rPr>
        <w:t>收到竣工付款申请单14天内</w:t>
      </w:r>
      <w:r>
        <w:rPr>
          <w:color w:val="auto"/>
          <w:sz w:val="24"/>
          <w:szCs w:val="24"/>
          <w:highlight w:val="none"/>
        </w:rPr>
        <w:t>。</w:t>
      </w:r>
    </w:p>
    <w:p w14:paraId="42A2D1A0">
      <w:pPr>
        <w:snapToGrid w:val="0"/>
        <w:spacing w:line="360" w:lineRule="auto"/>
        <w:ind w:firstLine="480" w:firstLineChars="200"/>
        <w:jc w:val="left"/>
        <w:rPr>
          <w:color w:val="auto"/>
          <w:sz w:val="24"/>
          <w:szCs w:val="24"/>
          <w:highlight w:val="none"/>
        </w:rPr>
      </w:pPr>
      <w:r>
        <w:rPr>
          <w:color w:val="auto"/>
          <w:sz w:val="24"/>
          <w:szCs w:val="24"/>
          <w:highlight w:val="none"/>
        </w:rPr>
        <w:t>发包人完成竣工付款的期限：</w:t>
      </w:r>
      <w:r>
        <w:rPr>
          <w:color w:val="auto"/>
          <w:sz w:val="24"/>
          <w:szCs w:val="24"/>
          <w:highlight w:val="none"/>
          <w:u w:val="single"/>
        </w:rPr>
        <w:t>签发竣工付款申请单2</w:t>
      </w:r>
      <w:r>
        <w:rPr>
          <w:rFonts w:hint="eastAsia"/>
          <w:color w:val="auto"/>
          <w:sz w:val="24"/>
          <w:szCs w:val="24"/>
          <w:highlight w:val="none"/>
          <w:u w:val="single"/>
        </w:rPr>
        <w:t>8</w:t>
      </w:r>
      <w:r>
        <w:rPr>
          <w:color w:val="auto"/>
          <w:sz w:val="24"/>
          <w:szCs w:val="24"/>
          <w:highlight w:val="none"/>
          <w:u w:val="single"/>
        </w:rPr>
        <w:t>天内 </w:t>
      </w:r>
      <w:r>
        <w:rPr>
          <w:color w:val="auto"/>
          <w:sz w:val="24"/>
          <w:szCs w:val="24"/>
          <w:highlight w:val="none"/>
        </w:rPr>
        <w:t>。</w:t>
      </w:r>
    </w:p>
    <w:p w14:paraId="27E48955">
      <w:pPr>
        <w:snapToGrid w:val="0"/>
        <w:spacing w:line="360" w:lineRule="auto"/>
        <w:jc w:val="left"/>
        <w:rPr>
          <w:color w:val="auto"/>
          <w:sz w:val="24"/>
          <w:szCs w:val="24"/>
          <w:highlight w:val="none"/>
        </w:rPr>
      </w:pPr>
      <w:r>
        <w:rPr>
          <w:color w:val="auto"/>
          <w:sz w:val="24"/>
          <w:szCs w:val="24"/>
          <w:highlight w:val="none"/>
        </w:rPr>
        <w:t xml:space="preserve">    关于竣工付款证书异议部分复核的方式和程序：</w:t>
      </w:r>
      <w:r>
        <w:rPr>
          <w:color w:val="auto"/>
          <w:sz w:val="24"/>
          <w:szCs w:val="24"/>
          <w:highlight w:val="none"/>
          <w:u w:val="single"/>
        </w:rPr>
        <w:t>按通用条款本条执行</w:t>
      </w:r>
      <w:r>
        <w:rPr>
          <w:color w:val="auto"/>
          <w:sz w:val="24"/>
          <w:szCs w:val="24"/>
          <w:highlight w:val="none"/>
        </w:rPr>
        <w:t>。</w:t>
      </w:r>
    </w:p>
    <w:p w14:paraId="652D7910">
      <w:pPr>
        <w:snapToGrid w:val="0"/>
        <w:spacing w:line="360" w:lineRule="auto"/>
        <w:ind w:firstLine="480" w:firstLineChars="200"/>
        <w:rPr>
          <w:color w:val="auto"/>
          <w:sz w:val="24"/>
          <w:szCs w:val="24"/>
          <w:highlight w:val="none"/>
        </w:rPr>
      </w:pPr>
      <w:r>
        <w:rPr>
          <w:color w:val="auto"/>
          <w:sz w:val="24"/>
          <w:szCs w:val="24"/>
          <w:highlight w:val="none"/>
        </w:rPr>
        <w:t>14.4 最终结清</w:t>
      </w:r>
    </w:p>
    <w:p w14:paraId="42382EEF">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14.4.1 最终结清申请单</w:t>
      </w:r>
    </w:p>
    <w:p w14:paraId="783CD049">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承包人提交最终结清申请单的份数：</w:t>
      </w:r>
      <w:r>
        <w:rPr>
          <w:rFonts w:hint="eastAsia"/>
          <w:color w:val="auto"/>
          <w:sz w:val="24"/>
          <w:szCs w:val="24"/>
          <w:highlight w:val="none"/>
          <w:u w:val="single"/>
          <w:lang w:val="en-US" w:eastAsia="zh-CN"/>
        </w:rPr>
        <w:t>6</w:t>
      </w:r>
      <w:r>
        <w:rPr>
          <w:color w:val="auto"/>
          <w:sz w:val="24"/>
          <w:szCs w:val="24"/>
          <w:highlight w:val="none"/>
          <w:u w:val="single"/>
        </w:rPr>
        <w:t>份</w:t>
      </w:r>
      <w:r>
        <w:rPr>
          <w:color w:val="auto"/>
          <w:sz w:val="24"/>
          <w:szCs w:val="24"/>
          <w:highlight w:val="none"/>
        </w:rPr>
        <w:t>。</w:t>
      </w:r>
    </w:p>
    <w:p w14:paraId="704170A0">
      <w:pPr>
        <w:snapToGrid w:val="0"/>
        <w:spacing w:line="360" w:lineRule="auto"/>
        <w:ind w:firstLine="480" w:firstLineChars="200"/>
        <w:jc w:val="left"/>
        <w:rPr>
          <w:color w:val="auto"/>
          <w:sz w:val="24"/>
          <w:szCs w:val="24"/>
          <w:highlight w:val="none"/>
        </w:rPr>
      </w:pPr>
      <w:r>
        <w:rPr>
          <w:color w:val="auto"/>
          <w:kern w:val="0"/>
          <w:sz w:val="24"/>
          <w:szCs w:val="24"/>
          <w:highlight w:val="none"/>
        </w:rPr>
        <w:t>承包人提交最终结算申请单的期限：</w:t>
      </w:r>
      <w:r>
        <w:rPr>
          <w:color w:val="auto"/>
          <w:sz w:val="24"/>
          <w:szCs w:val="24"/>
          <w:highlight w:val="none"/>
          <w:u w:val="single"/>
        </w:rPr>
        <w:t>缺陷期满7天内</w:t>
      </w:r>
      <w:r>
        <w:rPr>
          <w:color w:val="auto"/>
          <w:sz w:val="24"/>
          <w:szCs w:val="24"/>
          <w:highlight w:val="none"/>
        </w:rPr>
        <w:t xml:space="preserve">。 </w:t>
      </w:r>
    </w:p>
    <w:p w14:paraId="39B7E160">
      <w:pPr>
        <w:snapToGrid w:val="0"/>
        <w:spacing w:line="360" w:lineRule="auto"/>
        <w:ind w:firstLine="480" w:firstLineChars="200"/>
        <w:jc w:val="left"/>
        <w:rPr>
          <w:color w:val="auto"/>
          <w:sz w:val="24"/>
          <w:szCs w:val="24"/>
          <w:highlight w:val="none"/>
        </w:rPr>
      </w:pPr>
      <w:r>
        <w:rPr>
          <w:color w:val="auto"/>
          <w:sz w:val="24"/>
          <w:szCs w:val="24"/>
          <w:highlight w:val="none"/>
        </w:rPr>
        <w:t>14.4.2 最终结清证书和支付</w:t>
      </w:r>
    </w:p>
    <w:p w14:paraId="1A7C8DAE">
      <w:pPr>
        <w:snapToGrid w:val="0"/>
        <w:spacing w:line="360" w:lineRule="auto"/>
        <w:ind w:firstLine="480" w:firstLineChars="200"/>
        <w:jc w:val="left"/>
        <w:rPr>
          <w:color w:val="auto"/>
          <w:sz w:val="24"/>
          <w:szCs w:val="24"/>
          <w:highlight w:val="none"/>
        </w:rPr>
      </w:pPr>
      <w:r>
        <w:rPr>
          <w:color w:val="auto"/>
          <w:sz w:val="24"/>
          <w:szCs w:val="24"/>
          <w:highlight w:val="none"/>
        </w:rPr>
        <w:t>（1）发包人完成最终结清申请单的审批并颁发最终结清证书的期限：</w:t>
      </w:r>
      <w:r>
        <w:rPr>
          <w:color w:val="auto"/>
          <w:sz w:val="24"/>
          <w:szCs w:val="24"/>
          <w:highlight w:val="none"/>
          <w:u w:val="single"/>
        </w:rPr>
        <w:t>收到申请</w:t>
      </w:r>
      <w:r>
        <w:rPr>
          <w:rFonts w:hint="eastAsia"/>
          <w:color w:val="auto"/>
          <w:sz w:val="24"/>
          <w:szCs w:val="24"/>
          <w:highlight w:val="none"/>
          <w:u w:val="single"/>
        </w:rPr>
        <w:t>28</w:t>
      </w:r>
      <w:r>
        <w:rPr>
          <w:color w:val="auto"/>
          <w:sz w:val="24"/>
          <w:szCs w:val="24"/>
          <w:highlight w:val="none"/>
          <w:u w:val="single"/>
        </w:rPr>
        <w:t>天内</w:t>
      </w:r>
      <w:r>
        <w:rPr>
          <w:color w:val="auto"/>
          <w:sz w:val="24"/>
          <w:szCs w:val="24"/>
          <w:highlight w:val="none"/>
        </w:rPr>
        <w:t>。</w:t>
      </w:r>
    </w:p>
    <w:p w14:paraId="0CE53E5B">
      <w:pPr>
        <w:snapToGrid w:val="0"/>
        <w:spacing w:line="360" w:lineRule="auto"/>
        <w:ind w:firstLine="480" w:firstLineChars="200"/>
        <w:jc w:val="left"/>
        <w:rPr>
          <w:color w:val="auto"/>
          <w:sz w:val="24"/>
          <w:szCs w:val="24"/>
          <w:highlight w:val="none"/>
        </w:rPr>
      </w:pPr>
      <w:r>
        <w:rPr>
          <w:color w:val="auto"/>
          <w:sz w:val="24"/>
          <w:szCs w:val="24"/>
          <w:highlight w:val="none"/>
        </w:rPr>
        <w:t>（2）发包人完成支付的期限：</w:t>
      </w:r>
      <w:r>
        <w:rPr>
          <w:rFonts w:hint="eastAsia"/>
          <w:color w:val="auto"/>
          <w:sz w:val="24"/>
          <w:szCs w:val="24"/>
          <w:highlight w:val="none"/>
          <w:u w:val="single"/>
        </w:rPr>
        <w:t>颁发最终结清证书后的14天内。如遇逾期支付的情况，无需支付违约金、利息或其它费用</w:t>
      </w:r>
      <w:r>
        <w:rPr>
          <w:color w:val="auto"/>
          <w:sz w:val="24"/>
          <w:szCs w:val="24"/>
          <w:highlight w:val="none"/>
        </w:rPr>
        <w:t>。</w:t>
      </w:r>
    </w:p>
    <w:bookmarkEnd w:id="1059"/>
    <w:bookmarkEnd w:id="1060"/>
    <w:bookmarkEnd w:id="1061"/>
    <w:bookmarkEnd w:id="1062"/>
    <w:bookmarkEnd w:id="1063"/>
    <w:bookmarkEnd w:id="1064"/>
    <w:bookmarkEnd w:id="1065"/>
    <w:bookmarkEnd w:id="1071"/>
    <w:p w14:paraId="02BE2E00">
      <w:pPr>
        <w:pStyle w:val="5"/>
        <w:snapToGrid w:val="0"/>
        <w:spacing w:before="0" w:after="0" w:line="360" w:lineRule="auto"/>
        <w:rPr>
          <w:rFonts w:ascii="Times New Roman" w:hAnsi="Times New Roman" w:eastAsia="宋体"/>
          <w:bCs/>
          <w:color w:val="auto"/>
          <w:sz w:val="24"/>
          <w:szCs w:val="24"/>
          <w:highlight w:val="none"/>
        </w:rPr>
      </w:pPr>
      <w:bookmarkStart w:id="1073" w:name="_Toc351203647"/>
      <w:bookmarkStart w:id="1074" w:name="_Toc267251483"/>
      <w:bookmarkStart w:id="1075" w:name="_Toc267251484"/>
      <w:bookmarkStart w:id="1076" w:name="_Toc267251482"/>
      <w:bookmarkStart w:id="1077" w:name="_Toc267251485"/>
      <w:bookmarkStart w:id="1078" w:name="_Toc267251486"/>
      <w:bookmarkStart w:id="1079" w:name="_Toc267251490"/>
      <w:bookmarkStart w:id="1080" w:name="_Toc267251488"/>
      <w:bookmarkStart w:id="1081" w:name="_Toc267251489"/>
      <w:bookmarkStart w:id="1082" w:name="_Toc267251491"/>
      <w:bookmarkStart w:id="1083" w:name="_Toc267251499"/>
      <w:bookmarkStart w:id="1084" w:name="_Toc267251495"/>
      <w:bookmarkStart w:id="1085" w:name="_Toc267251496"/>
      <w:bookmarkStart w:id="1086" w:name="_Toc267251494"/>
      <w:bookmarkStart w:id="1087" w:name="_Toc267251501"/>
      <w:bookmarkStart w:id="1088" w:name="_Toc267251498"/>
      <w:bookmarkStart w:id="1089" w:name="_Toc267251497"/>
      <w:bookmarkStart w:id="1090" w:name="_Toc267251492"/>
      <w:bookmarkStart w:id="1091" w:name="_Toc267251493"/>
      <w:bookmarkStart w:id="1092" w:name="_Toc267251503"/>
      <w:bookmarkStart w:id="1093" w:name="_Toc267251502"/>
      <w:bookmarkStart w:id="1094" w:name="_Toc267251506"/>
      <w:bookmarkStart w:id="1095" w:name="_Toc267251504"/>
      <w:bookmarkStart w:id="1096" w:name="_Toc267251507"/>
      <w:bookmarkStart w:id="1097" w:name="_Toc267251508"/>
      <w:bookmarkStart w:id="1098" w:name="_Toc267251510"/>
      <w:bookmarkStart w:id="1099" w:name="_Toc267251515"/>
      <w:bookmarkStart w:id="1100" w:name="_Toc267251514"/>
      <w:bookmarkStart w:id="1101" w:name="_Toc267251513"/>
      <w:bookmarkStart w:id="1102" w:name="_Toc267251511"/>
      <w:bookmarkStart w:id="1103" w:name="_Toc267251509"/>
      <w:r>
        <w:rPr>
          <w:rFonts w:ascii="Times New Roman" w:hAnsi="Times New Roman" w:eastAsia="宋体"/>
          <w:bCs/>
          <w:color w:val="auto"/>
          <w:sz w:val="24"/>
          <w:szCs w:val="24"/>
          <w:highlight w:val="none"/>
        </w:rPr>
        <w:t>15. 缺陷责任期与保修</w:t>
      </w:r>
      <w:bookmarkEnd w:id="1073"/>
    </w:p>
    <w:p w14:paraId="639EBCB9">
      <w:pPr>
        <w:snapToGrid w:val="0"/>
        <w:spacing w:line="360" w:lineRule="auto"/>
        <w:ind w:firstLine="480" w:firstLineChars="200"/>
        <w:rPr>
          <w:color w:val="auto"/>
          <w:sz w:val="24"/>
          <w:szCs w:val="24"/>
          <w:highlight w:val="none"/>
        </w:rPr>
      </w:pPr>
      <w:r>
        <w:rPr>
          <w:color w:val="auto"/>
          <w:sz w:val="24"/>
          <w:szCs w:val="24"/>
          <w:highlight w:val="none"/>
        </w:rPr>
        <w:t>15.2缺陷责任期</w:t>
      </w:r>
      <w:bookmarkEnd w:id="1074"/>
    </w:p>
    <w:p w14:paraId="663A6AC7">
      <w:pPr>
        <w:snapToGrid w:val="0"/>
        <w:spacing w:line="360" w:lineRule="auto"/>
        <w:jc w:val="left"/>
        <w:rPr>
          <w:color w:val="auto"/>
          <w:sz w:val="24"/>
          <w:szCs w:val="24"/>
          <w:highlight w:val="none"/>
        </w:rPr>
      </w:pPr>
      <w:r>
        <w:rPr>
          <w:color w:val="auto"/>
          <w:sz w:val="24"/>
          <w:szCs w:val="24"/>
          <w:highlight w:val="none"/>
        </w:rPr>
        <w:t xml:space="preserve">    缺陷责任期的具体期限：</w:t>
      </w:r>
      <w:r>
        <w:rPr>
          <w:color w:val="auto"/>
          <w:sz w:val="24"/>
          <w:szCs w:val="24"/>
          <w:highlight w:val="none"/>
          <w:u w:val="single"/>
          <w:lang w:val="en-US" w:eastAsia="zh-CN"/>
        </w:rPr>
        <w:t>自竣工日期起 2 年</w:t>
      </w:r>
      <w:r>
        <w:rPr>
          <w:color w:val="auto"/>
          <w:sz w:val="24"/>
          <w:szCs w:val="24"/>
          <w:highlight w:val="none"/>
        </w:rPr>
        <w:t>。</w:t>
      </w:r>
    </w:p>
    <w:p w14:paraId="10EE0250">
      <w:pPr>
        <w:snapToGrid w:val="0"/>
        <w:spacing w:line="360" w:lineRule="auto"/>
        <w:ind w:firstLine="480" w:firstLineChars="200"/>
        <w:rPr>
          <w:color w:val="auto"/>
          <w:sz w:val="24"/>
          <w:szCs w:val="24"/>
          <w:highlight w:val="none"/>
        </w:rPr>
      </w:pPr>
      <w:r>
        <w:rPr>
          <w:color w:val="auto"/>
          <w:sz w:val="24"/>
          <w:szCs w:val="24"/>
          <w:highlight w:val="none"/>
        </w:rPr>
        <w:t>15.3 质量保证金</w:t>
      </w:r>
    </w:p>
    <w:p w14:paraId="1440CE47">
      <w:pPr>
        <w:snapToGrid w:val="0"/>
        <w:spacing w:line="360" w:lineRule="auto"/>
        <w:ind w:firstLine="480" w:firstLineChars="200"/>
        <w:jc w:val="left"/>
        <w:rPr>
          <w:color w:val="auto"/>
          <w:sz w:val="24"/>
          <w:szCs w:val="24"/>
          <w:highlight w:val="none"/>
        </w:rPr>
      </w:pPr>
      <w:r>
        <w:rPr>
          <w:color w:val="auto"/>
          <w:sz w:val="24"/>
          <w:szCs w:val="24"/>
          <w:highlight w:val="none"/>
        </w:rPr>
        <w:t>关于是否扣留质量保证金的约定：</w:t>
      </w:r>
      <w:r>
        <w:rPr>
          <w:color w:val="auto"/>
          <w:sz w:val="24"/>
          <w:szCs w:val="24"/>
          <w:highlight w:val="none"/>
          <w:u w:val="single"/>
        </w:rPr>
        <w:t xml:space="preserve"> </w:t>
      </w:r>
      <w:r>
        <w:rPr>
          <w:color w:val="auto"/>
          <w:sz w:val="24"/>
          <w:szCs w:val="24"/>
          <w:highlight w:val="none"/>
          <w:u w:val="single"/>
          <w:lang w:val="en-US" w:eastAsia="zh-CN"/>
        </w:rPr>
        <w:t>扣留结算审定价款 3%质量保证金，缺陷责任期终止无质量缺陷问题，无息退还</w:t>
      </w:r>
      <w:r>
        <w:rPr>
          <w:color w:val="auto"/>
          <w:sz w:val="24"/>
          <w:szCs w:val="24"/>
          <w:highlight w:val="none"/>
        </w:rPr>
        <w:t>。</w:t>
      </w:r>
    </w:p>
    <w:p w14:paraId="10604871">
      <w:pPr>
        <w:snapToGrid w:val="0"/>
        <w:spacing w:line="360" w:lineRule="auto"/>
        <w:ind w:firstLine="480" w:firstLineChars="200"/>
        <w:jc w:val="left"/>
        <w:rPr>
          <w:color w:val="auto"/>
          <w:sz w:val="24"/>
          <w:szCs w:val="24"/>
          <w:highlight w:val="none"/>
        </w:rPr>
      </w:pPr>
      <w:r>
        <w:rPr>
          <w:color w:val="auto"/>
          <w:sz w:val="24"/>
          <w:szCs w:val="24"/>
          <w:highlight w:val="none"/>
        </w:rPr>
        <w:t>15.3.1 承包人提供质量保证金的方式</w:t>
      </w:r>
    </w:p>
    <w:p w14:paraId="53D1F265">
      <w:pPr>
        <w:snapToGrid w:val="0"/>
        <w:spacing w:line="360" w:lineRule="auto"/>
        <w:ind w:firstLine="480" w:firstLineChars="200"/>
        <w:jc w:val="left"/>
        <w:rPr>
          <w:color w:val="auto"/>
          <w:sz w:val="24"/>
          <w:szCs w:val="24"/>
          <w:highlight w:val="none"/>
        </w:rPr>
      </w:pPr>
      <w:r>
        <w:rPr>
          <w:color w:val="auto"/>
          <w:sz w:val="24"/>
          <w:szCs w:val="24"/>
          <w:highlight w:val="none"/>
        </w:rPr>
        <w:t>质量保证金采用以下第</w:t>
      </w:r>
      <w:r>
        <w:rPr>
          <w:color w:val="auto"/>
          <w:sz w:val="24"/>
          <w:szCs w:val="24"/>
          <w:highlight w:val="none"/>
          <w:u w:val="single"/>
        </w:rPr>
        <w:t xml:space="preserve"> </w:t>
      </w:r>
      <w:r>
        <w:rPr>
          <w:color w:val="auto"/>
          <w:kern w:val="0"/>
          <w:sz w:val="24"/>
          <w:szCs w:val="24"/>
          <w:highlight w:val="none"/>
          <w:u w:val="single"/>
        </w:rPr>
        <w:t>（</w:t>
      </w:r>
      <w:r>
        <w:rPr>
          <w:rFonts w:hint="eastAsia"/>
          <w:color w:val="auto"/>
          <w:kern w:val="0"/>
          <w:sz w:val="24"/>
          <w:szCs w:val="24"/>
          <w:highlight w:val="none"/>
          <w:u w:val="single"/>
          <w:lang w:val="en-US" w:eastAsia="zh-CN"/>
        </w:rPr>
        <w:t>3</w:t>
      </w:r>
      <w:r>
        <w:rPr>
          <w:color w:val="auto"/>
          <w:kern w:val="0"/>
          <w:sz w:val="24"/>
          <w:szCs w:val="24"/>
          <w:highlight w:val="none"/>
          <w:u w:val="single"/>
        </w:rPr>
        <w:t>）</w:t>
      </w:r>
      <w:r>
        <w:rPr>
          <w:color w:val="auto"/>
          <w:sz w:val="24"/>
          <w:szCs w:val="24"/>
          <w:highlight w:val="none"/>
          <w:u w:val="single"/>
        </w:rPr>
        <w:t xml:space="preserve"> </w:t>
      </w:r>
      <w:r>
        <w:rPr>
          <w:color w:val="auto"/>
          <w:sz w:val="24"/>
          <w:szCs w:val="24"/>
          <w:highlight w:val="none"/>
        </w:rPr>
        <w:t>种方式：</w:t>
      </w:r>
    </w:p>
    <w:p w14:paraId="2A346E4E">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（1）质量保证金保函，保证金额为：</w:t>
      </w:r>
      <w:r>
        <w:rPr>
          <w:color w:val="auto"/>
          <w:kern w:val="0"/>
          <w:sz w:val="24"/>
          <w:szCs w:val="24"/>
          <w:highlight w:val="none"/>
          <w:u w:val="single"/>
        </w:rPr>
        <w:t xml:space="preserve">  </w:t>
      </w:r>
      <w:r>
        <w:rPr>
          <w:rFonts w:hint="eastAsia"/>
          <w:color w:val="auto"/>
          <w:sz w:val="24"/>
          <w:szCs w:val="24"/>
          <w:highlight w:val="none"/>
          <w:u w:val="single"/>
        </w:rPr>
        <w:t>无</w:t>
      </w:r>
      <w:r>
        <w:rPr>
          <w:color w:val="auto"/>
          <w:kern w:val="0"/>
          <w:sz w:val="24"/>
          <w:szCs w:val="24"/>
          <w:highlight w:val="none"/>
          <w:u w:val="single"/>
        </w:rPr>
        <w:t xml:space="preserve"> </w:t>
      </w:r>
      <w:r>
        <w:rPr>
          <w:color w:val="auto"/>
          <w:kern w:val="0"/>
          <w:sz w:val="24"/>
          <w:szCs w:val="24"/>
          <w:highlight w:val="none"/>
        </w:rPr>
        <w:t xml:space="preserve">； </w:t>
      </w:r>
    </w:p>
    <w:p w14:paraId="69C397FB">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（2）</w:t>
      </w:r>
      <w:r>
        <w:rPr>
          <w:color w:val="auto"/>
          <w:kern w:val="0"/>
          <w:sz w:val="24"/>
          <w:szCs w:val="24"/>
          <w:highlight w:val="none"/>
          <w:u w:val="single"/>
        </w:rPr>
        <w:t xml:space="preserve"> </w:t>
      </w:r>
      <w:r>
        <w:rPr>
          <w:rFonts w:hint="eastAsia"/>
          <w:color w:val="auto"/>
          <w:kern w:val="0"/>
          <w:sz w:val="24"/>
          <w:szCs w:val="24"/>
          <w:highlight w:val="none"/>
          <w:u w:val="single"/>
          <w:lang w:val="en-US" w:eastAsia="zh-CN"/>
        </w:rPr>
        <w:t xml:space="preserve">/ </w:t>
      </w:r>
      <w:r>
        <w:rPr>
          <w:rFonts w:hint="eastAsia"/>
          <w:color w:val="auto"/>
          <w:kern w:val="0"/>
          <w:sz w:val="24"/>
          <w:szCs w:val="24"/>
          <w:highlight w:val="none"/>
          <w:u w:val="none"/>
          <w:lang w:val="en-US" w:eastAsia="zh-CN"/>
        </w:rPr>
        <w:t>%</w:t>
      </w:r>
      <w:r>
        <w:rPr>
          <w:color w:val="auto"/>
          <w:kern w:val="0"/>
          <w:sz w:val="24"/>
          <w:szCs w:val="24"/>
          <w:highlight w:val="none"/>
        </w:rPr>
        <w:t>的工程款；</w:t>
      </w:r>
    </w:p>
    <w:p w14:paraId="5AD07A99">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（3）其他方式：</w:t>
      </w:r>
      <w:r>
        <w:rPr>
          <w:color w:val="auto"/>
          <w:kern w:val="0"/>
          <w:sz w:val="24"/>
          <w:szCs w:val="24"/>
          <w:highlight w:val="none"/>
          <w:u w:val="single"/>
          <w:lang w:val="en-US" w:eastAsia="zh-CN"/>
        </w:rPr>
        <w:t>结算审定价的3%</w:t>
      </w:r>
      <w:r>
        <w:rPr>
          <w:color w:val="auto"/>
          <w:kern w:val="0"/>
          <w:sz w:val="24"/>
          <w:szCs w:val="24"/>
          <w:highlight w:val="none"/>
        </w:rPr>
        <w:t>。</w:t>
      </w:r>
    </w:p>
    <w:p w14:paraId="74733B01">
      <w:pPr>
        <w:snapToGrid w:val="0"/>
        <w:spacing w:line="360" w:lineRule="auto"/>
        <w:ind w:firstLine="480" w:firstLineChars="200"/>
        <w:jc w:val="left"/>
        <w:rPr>
          <w:color w:val="auto"/>
          <w:sz w:val="24"/>
          <w:szCs w:val="24"/>
          <w:highlight w:val="none"/>
        </w:rPr>
      </w:pPr>
      <w:r>
        <w:rPr>
          <w:color w:val="auto"/>
          <w:sz w:val="24"/>
          <w:szCs w:val="24"/>
          <w:highlight w:val="none"/>
        </w:rPr>
        <w:t xml:space="preserve">15.3.2 质量保证金的扣留 </w:t>
      </w:r>
    </w:p>
    <w:p w14:paraId="0A76D442">
      <w:pPr>
        <w:snapToGrid w:val="0"/>
        <w:spacing w:line="360" w:lineRule="auto"/>
        <w:ind w:firstLine="480" w:firstLineChars="200"/>
        <w:jc w:val="left"/>
        <w:rPr>
          <w:color w:val="auto"/>
          <w:sz w:val="24"/>
          <w:szCs w:val="24"/>
          <w:highlight w:val="none"/>
        </w:rPr>
      </w:pPr>
      <w:r>
        <w:rPr>
          <w:color w:val="auto"/>
          <w:sz w:val="24"/>
          <w:szCs w:val="24"/>
          <w:highlight w:val="none"/>
        </w:rPr>
        <w:t>质量保证金的扣留采取以下第</w:t>
      </w:r>
      <w:r>
        <w:rPr>
          <w:color w:val="auto"/>
          <w:sz w:val="24"/>
          <w:szCs w:val="24"/>
          <w:highlight w:val="none"/>
          <w:u w:val="single"/>
        </w:rPr>
        <w:t xml:space="preserve">  </w:t>
      </w:r>
      <w:r>
        <w:rPr>
          <w:color w:val="auto"/>
          <w:kern w:val="0"/>
          <w:sz w:val="24"/>
          <w:szCs w:val="24"/>
          <w:highlight w:val="none"/>
          <w:u w:val="single"/>
        </w:rPr>
        <w:t>（</w:t>
      </w:r>
      <w:r>
        <w:rPr>
          <w:rFonts w:hint="eastAsia"/>
          <w:color w:val="auto"/>
          <w:kern w:val="0"/>
          <w:sz w:val="24"/>
          <w:szCs w:val="24"/>
          <w:highlight w:val="none"/>
          <w:u w:val="single"/>
          <w:lang w:val="en-US" w:eastAsia="zh-CN"/>
        </w:rPr>
        <w:t>3</w:t>
      </w:r>
      <w:r>
        <w:rPr>
          <w:color w:val="auto"/>
          <w:kern w:val="0"/>
          <w:sz w:val="24"/>
          <w:szCs w:val="24"/>
          <w:highlight w:val="none"/>
          <w:u w:val="single"/>
        </w:rPr>
        <w:t>）</w:t>
      </w:r>
      <w:r>
        <w:rPr>
          <w:color w:val="auto"/>
          <w:sz w:val="24"/>
          <w:szCs w:val="24"/>
          <w:highlight w:val="none"/>
          <w:u w:val="single"/>
        </w:rPr>
        <w:t xml:space="preserve">  </w:t>
      </w:r>
      <w:r>
        <w:rPr>
          <w:color w:val="auto"/>
          <w:sz w:val="24"/>
          <w:szCs w:val="24"/>
          <w:highlight w:val="none"/>
        </w:rPr>
        <w:t>种方式：</w:t>
      </w:r>
    </w:p>
    <w:p w14:paraId="16A8BF0C">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（1）在支付工程进度款时逐次扣留，在此情形下，质量保证金的计算基数不包括预付款的支付、扣回以及价格调整的金额；</w:t>
      </w:r>
    </w:p>
    <w:p w14:paraId="1C2479B8">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（2）工程竣工结算时一次性扣留质量保证金；</w:t>
      </w:r>
    </w:p>
    <w:p w14:paraId="2082B7F0">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（3）其他扣留方式：</w:t>
      </w:r>
      <w:r>
        <w:rPr>
          <w:color w:val="auto"/>
          <w:kern w:val="0"/>
          <w:sz w:val="24"/>
          <w:szCs w:val="24"/>
          <w:highlight w:val="none"/>
          <w:u w:val="single"/>
          <w:lang w:val="en-US" w:eastAsia="zh-CN"/>
        </w:rPr>
        <w:t xml:space="preserve">扣留结算审定价3%作为质量保证金，缺陷责任期终止无质量问题无息退还 </w:t>
      </w:r>
      <w:r>
        <w:rPr>
          <w:color w:val="auto"/>
          <w:kern w:val="0"/>
          <w:sz w:val="24"/>
          <w:szCs w:val="24"/>
          <w:highlight w:val="none"/>
          <w:lang w:val="en-US" w:eastAsia="zh-CN"/>
        </w:rPr>
        <w:t>。</w:t>
      </w:r>
    </w:p>
    <w:p w14:paraId="75657615">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关于质量保证金的补充约定：</w:t>
      </w:r>
      <w:r>
        <w:rPr>
          <w:color w:val="auto"/>
          <w:kern w:val="0"/>
          <w:sz w:val="24"/>
          <w:szCs w:val="24"/>
          <w:highlight w:val="none"/>
          <w:u w:val="single"/>
          <w:lang w:val="en-US" w:eastAsia="zh-CN"/>
        </w:rPr>
        <w:t>缺陷责任期内或工程质量达不到合同约定的等级，由承包人负责维修或返工，如承包人不维修或不返工也不承担费用，发包人有权委托第三方进行维修返工，费用从工程款中扣除，同时，扣除承包人结算审定价的 1%作为违约金</w:t>
      </w:r>
      <w:r>
        <w:rPr>
          <w:color w:val="auto"/>
          <w:kern w:val="0"/>
          <w:sz w:val="24"/>
          <w:szCs w:val="24"/>
          <w:highlight w:val="none"/>
          <w:lang w:val="en-US" w:eastAsia="zh-CN"/>
        </w:rPr>
        <w:t>。</w:t>
      </w:r>
    </w:p>
    <w:bookmarkEnd w:id="1075"/>
    <w:bookmarkEnd w:id="1076"/>
    <w:p w14:paraId="1F633A99">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15.4保修</w:t>
      </w:r>
    </w:p>
    <w:bookmarkEnd w:id="1077"/>
    <w:p w14:paraId="3E11ECF1">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15.4.1 保修责任</w:t>
      </w:r>
    </w:p>
    <w:p w14:paraId="72791611">
      <w:pPr>
        <w:snapToGrid w:val="0"/>
        <w:spacing w:line="360" w:lineRule="auto"/>
        <w:jc w:val="left"/>
        <w:rPr>
          <w:color w:val="auto"/>
          <w:kern w:val="0"/>
          <w:sz w:val="24"/>
          <w:szCs w:val="24"/>
          <w:highlight w:val="none"/>
        </w:rPr>
      </w:pPr>
      <w:r>
        <w:rPr>
          <w:color w:val="auto"/>
          <w:sz w:val="24"/>
          <w:szCs w:val="24"/>
          <w:highlight w:val="none"/>
        </w:rPr>
        <w:t xml:space="preserve">    工程保修期为：</w:t>
      </w:r>
      <w:r>
        <w:rPr>
          <w:color w:val="auto"/>
          <w:kern w:val="0"/>
          <w:sz w:val="24"/>
          <w:szCs w:val="24"/>
          <w:highlight w:val="none"/>
          <w:u w:val="single"/>
        </w:rPr>
        <w:t>见工程质量保修书</w:t>
      </w:r>
      <w:r>
        <w:rPr>
          <w:color w:val="auto"/>
          <w:kern w:val="0"/>
          <w:sz w:val="24"/>
          <w:szCs w:val="24"/>
          <w:highlight w:val="none"/>
        </w:rPr>
        <w:t>。</w:t>
      </w:r>
    </w:p>
    <w:p w14:paraId="7CE04F49">
      <w:pPr>
        <w:snapToGrid w:val="0"/>
        <w:spacing w:line="360" w:lineRule="auto"/>
        <w:ind w:firstLine="468" w:firstLineChars="195"/>
        <w:jc w:val="left"/>
        <w:rPr>
          <w:color w:val="auto"/>
          <w:sz w:val="24"/>
          <w:szCs w:val="24"/>
          <w:highlight w:val="none"/>
        </w:rPr>
      </w:pPr>
      <w:r>
        <w:rPr>
          <w:color w:val="auto"/>
          <w:sz w:val="24"/>
          <w:szCs w:val="24"/>
          <w:highlight w:val="none"/>
        </w:rPr>
        <w:t>15.4.3 修复通知</w:t>
      </w:r>
    </w:p>
    <w:p w14:paraId="69A1B010">
      <w:pPr>
        <w:snapToGrid w:val="0"/>
        <w:spacing w:line="360" w:lineRule="auto"/>
        <w:jc w:val="left"/>
        <w:rPr>
          <w:color w:val="auto"/>
          <w:kern w:val="0"/>
          <w:sz w:val="24"/>
          <w:szCs w:val="24"/>
          <w:highlight w:val="none"/>
        </w:rPr>
      </w:pPr>
      <w:r>
        <w:rPr>
          <w:color w:val="auto"/>
          <w:kern w:val="0"/>
          <w:sz w:val="24"/>
          <w:szCs w:val="24"/>
          <w:highlight w:val="none"/>
        </w:rPr>
        <w:t xml:space="preserve">    承包人收到保修通知并到达工程现场的合理时间：</w:t>
      </w:r>
      <w:r>
        <w:rPr>
          <w:color w:val="auto"/>
          <w:kern w:val="0"/>
          <w:sz w:val="24"/>
          <w:szCs w:val="24"/>
          <w:highlight w:val="none"/>
          <w:u w:val="single"/>
        </w:rPr>
        <w:t>收到通知后24小时内</w:t>
      </w:r>
      <w:r>
        <w:rPr>
          <w:color w:val="auto"/>
          <w:kern w:val="0"/>
          <w:sz w:val="24"/>
          <w:szCs w:val="24"/>
          <w:highlight w:val="none"/>
          <w:u w:val="single"/>
          <w:lang w:val="en-US" w:eastAsia="zh-CN"/>
        </w:rPr>
        <w:t>到达工程现场并开展修复工作</w:t>
      </w:r>
      <w:r>
        <w:rPr>
          <w:color w:val="auto"/>
          <w:kern w:val="0"/>
          <w:sz w:val="24"/>
          <w:szCs w:val="24"/>
          <w:highlight w:val="none"/>
        </w:rPr>
        <w:t>。</w:t>
      </w:r>
    </w:p>
    <w:bookmarkEnd w:id="1078"/>
    <w:bookmarkEnd w:id="1079"/>
    <w:bookmarkEnd w:id="1080"/>
    <w:bookmarkEnd w:id="1081"/>
    <w:p w14:paraId="030994FA">
      <w:pPr>
        <w:pStyle w:val="5"/>
        <w:snapToGrid w:val="0"/>
        <w:spacing w:before="0" w:after="0" w:line="360" w:lineRule="auto"/>
        <w:rPr>
          <w:rFonts w:ascii="Times New Roman" w:hAnsi="Times New Roman" w:eastAsia="宋体"/>
          <w:bCs/>
          <w:color w:val="auto"/>
          <w:sz w:val="24"/>
          <w:szCs w:val="24"/>
          <w:highlight w:val="none"/>
        </w:rPr>
      </w:pPr>
      <w:bookmarkStart w:id="1104" w:name="_Toc351203648"/>
      <w:bookmarkStart w:id="1105" w:name="_Toc280868717"/>
      <w:bookmarkStart w:id="1106" w:name="_Toc280868718"/>
      <w:r>
        <w:rPr>
          <w:rFonts w:ascii="Times New Roman" w:hAnsi="Times New Roman" w:eastAsia="宋体"/>
          <w:bCs/>
          <w:color w:val="auto"/>
          <w:sz w:val="24"/>
          <w:szCs w:val="24"/>
          <w:highlight w:val="none"/>
        </w:rPr>
        <w:t>16. 违约</w:t>
      </w:r>
      <w:bookmarkEnd w:id="1104"/>
    </w:p>
    <w:p w14:paraId="0D04209E">
      <w:pPr>
        <w:snapToGrid w:val="0"/>
        <w:spacing w:line="360" w:lineRule="auto"/>
        <w:ind w:firstLine="480" w:firstLineChars="200"/>
        <w:rPr>
          <w:color w:val="auto"/>
          <w:sz w:val="24"/>
          <w:szCs w:val="24"/>
          <w:highlight w:val="none"/>
        </w:rPr>
      </w:pPr>
      <w:r>
        <w:rPr>
          <w:color w:val="auto"/>
          <w:sz w:val="24"/>
          <w:szCs w:val="24"/>
          <w:highlight w:val="none"/>
        </w:rPr>
        <w:t>16.1 发包人违约</w:t>
      </w:r>
    </w:p>
    <w:p w14:paraId="3DD25921">
      <w:pPr>
        <w:snapToGrid w:val="0"/>
        <w:spacing w:line="360" w:lineRule="auto"/>
        <w:ind w:firstLine="480" w:firstLineChars="200"/>
        <w:jc w:val="left"/>
        <w:rPr>
          <w:color w:val="auto"/>
          <w:sz w:val="24"/>
          <w:szCs w:val="24"/>
          <w:highlight w:val="none"/>
        </w:rPr>
      </w:pPr>
      <w:r>
        <w:rPr>
          <w:color w:val="auto"/>
          <w:sz w:val="24"/>
          <w:szCs w:val="24"/>
          <w:highlight w:val="none"/>
        </w:rPr>
        <w:t>16.1.1发包人违约的情形</w:t>
      </w:r>
    </w:p>
    <w:p w14:paraId="645BF16B">
      <w:pPr>
        <w:snapToGrid w:val="0"/>
        <w:spacing w:line="360" w:lineRule="auto"/>
        <w:ind w:left="1200" w:hanging="1200" w:hangingChars="500"/>
        <w:jc w:val="left"/>
        <w:rPr>
          <w:color w:val="auto"/>
          <w:kern w:val="0"/>
          <w:sz w:val="24"/>
          <w:szCs w:val="24"/>
          <w:highlight w:val="none"/>
        </w:rPr>
      </w:pPr>
      <w:r>
        <w:rPr>
          <w:color w:val="auto"/>
          <w:kern w:val="0"/>
          <w:sz w:val="24"/>
          <w:szCs w:val="24"/>
          <w:highlight w:val="none"/>
        </w:rPr>
        <w:t xml:space="preserve">    发包人违约的其他情形：</w:t>
      </w:r>
      <w:r>
        <w:rPr>
          <w:color w:val="auto"/>
          <w:kern w:val="0"/>
          <w:sz w:val="24"/>
          <w:szCs w:val="24"/>
          <w:highlight w:val="none"/>
          <w:u w:val="single"/>
        </w:rPr>
        <w:t>双方另行协商确定</w:t>
      </w:r>
      <w:r>
        <w:rPr>
          <w:color w:val="auto"/>
          <w:kern w:val="0"/>
          <w:sz w:val="24"/>
          <w:szCs w:val="24"/>
          <w:highlight w:val="none"/>
        </w:rPr>
        <w:t>。</w:t>
      </w:r>
    </w:p>
    <w:p w14:paraId="107EE1E3">
      <w:pPr>
        <w:snapToGrid w:val="0"/>
        <w:spacing w:line="360" w:lineRule="auto"/>
        <w:ind w:left="1200" w:hanging="1200" w:hangingChars="500"/>
        <w:jc w:val="left"/>
        <w:rPr>
          <w:color w:val="auto"/>
          <w:kern w:val="0"/>
          <w:sz w:val="24"/>
          <w:szCs w:val="24"/>
          <w:highlight w:val="none"/>
        </w:rPr>
      </w:pPr>
      <w:r>
        <w:rPr>
          <w:color w:val="auto"/>
          <w:kern w:val="0"/>
          <w:sz w:val="24"/>
          <w:szCs w:val="24"/>
          <w:highlight w:val="none"/>
        </w:rPr>
        <w:t xml:space="preserve">    16.1.2 发包人违约的责任</w:t>
      </w:r>
    </w:p>
    <w:p w14:paraId="4D411581">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发包人违约责任的承担方式和计算方法：</w:t>
      </w:r>
    </w:p>
    <w:p w14:paraId="2C8B7759">
      <w:pPr>
        <w:snapToGrid w:val="0"/>
        <w:spacing w:line="360" w:lineRule="auto"/>
        <w:ind w:firstLine="480" w:firstLineChars="200"/>
        <w:jc w:val="left"/>
        <w:rPr>
          <w:color w:val="auto"/>
          <w:kern w:val="0"/>
          <w:sz w:val="24"/>
          <w:szCs w:val="24"/>
          <w:highlight w:val="none"/>
          <w:u w:val="single"/>
        </w:rPr>
      </w:pPr>
      <w:r>
        <w:rPr>
          <w:color w:val="auto"/>
          <w:kern w:val="0"/>
          <w:sz w:val="24"/>
          <w:szCs w:val="24"/>
          <w:highlight w:val="none"/>
        </w:rPr>
        <w:t>（1）因发包人原因未能在计划开工日期前7天内下达开工通知的违约责任：</w:t>
      </w:r>
      <w:r>
        <w:rPr>
          <w:rFonts w:hint="eastAsia"/>
          <w:color w:val="auto"/>
          <w:kern w:val="0"/>
          <w:sz w:val="24"/>
          <w:szCs w:val="24"/>
          <w:highlight w:val="none"/>
          <w:u w:val="single"/>
        </w:rPr>
        <w:t>发包</w:t>
      </w:r>
      <w:r>
        <w:rPr>
          <w:color w:val="auto"/>
          <w:kern w:val="0"/>
          <w:sz w:val="24"/>
          <w:szCs w:val="24"/>
          <w:highlight w:val="none"/>
          <w:u w:val="single"/>
        </w:rPr>
        <w:t>人不承担违约责任</w:t>
      </w:r>
      <w:r>
        <w:rPr>
          <w:color w:val="auto"/>
          <w:kern w:val="0"/>
          <w:sz w:val="24"/>
          <w:szCs w:val="24"/>
          <w:highlight w:val="none"/>
        </w:rPr>
        <w:t>。</w:t>
      </w:r>
    </w:p>
    <w:p w14:paraId="7BA49F9E">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（2）因发包人原因未能按合同约定支付合同价款的违约责任：</w:t>
      </w:r>
      <w:r>
        <w:rPr>
          <w:rFonts w:hint="eastAsia"/>
          <w:color w:val="auto"/>
          <w:kern w:val="0"/>
          <w:sz w:val="24"/>
          <w:szCs w:val="24"/>
          <w:highlight w:val="none"/>
          <w:u w:val="single"/>
        </w:rPr>
        <w:t>发包</w:t>
      </w:r>
      <w:r>
        <w:rPr>
          <w:color w:val="auto"/>
          <w:kern w:val="0"/>
          <w:sz w:val="24"/>
          <w:szCs w:val="24"/>
          <w:highlight w:val="none"/>
          <w:u w:val="single"/>
        </w:rPr>
        <w:t>人不承担违约责任</w:t>
      </w:r>
      <w:r>
        <w:rPr>
          <w:color w:val="auto"/>
          <w:kern w:val="0"/>
          <w:sz w:val="24"/>
          <w:szCs w:val="24"/>
          <w:highlight w:val="none"/>
        </w:rPr>
        <w:t>。</w:t>
      </w:r>
    </w:p>
    <w:p w14:paraId="3AD09B70">
      <w:pPr>
        <w:snapToGrid w:val="0"/>
        <w:spacing w:line="360" w:lineRule="auto"/>
        <w:jc w:val="left"/>
        <w:rPr>
          <w:color w:val="auto"/>
          <w:kern w:val="0"/>
          <w:sz w:val="24"/>
          <w:szCs w:val="24"/>
          <w:highlight w:val="none"/>
        </w:rPr>
      </w:pPr>
      <w:r>
        <w:rPr>
          <w:color w:val="auto"/>
          <w:kern w:val="0"/>
          <w:sz w:val="24"/>
          <w:szCs w:val="24"/>
          <w:highlight w:val="none"/>
        </w:rPr>
        <w:t xml:space="preserve">    （3）发包人违反第10.1款〔变更的范围〕第（2）项约定，自行实施被取消的工作或转由他人实施的违约责任：</w:t>
      </w:r>
      <w:r>
        <w:rPr>
          <w:color w:val="auto"/>
          <w:kern w:val="0"/>
          <w:sz w:val="24"/>
          <w:szCs w:val="24"/>
          <w:highlight w:val="none"/>
          <w:u w:val="single"/>
        </w:rPr>
        <w:t>双方另行协商确定</w:t>
      </w:r>
      <w:r>
        <w:rPr>
          <w:color w:val="auto"/>
          <w:kern w:val="0"/>
          <w:sz w:val="24"/>
          <w:szCs w:val="24"/>
          <w:highlight w:val="none"/>
        </w:rPr>
        <w:t>。</w:t>
      </w:r>
    </w:p>
    <w:p w14:paraId="0DAF9E06">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color w:val="auto"/>
          <w:kern w:val="0"/>
          <w:sz w:val="24"/>
          <w:szCs w:val="24"/>
          <w:highlight w:val="none"/>
          <w:u w:val="single"/>
        </w:rPr>
        <w:t>发包人应重新提供符合合同约定的材料、工程设备，因此影响合同工期的，工期将相应顺延，但发包人无需支付违约金。</w:t>
      </w:r>
      <w:r>
        <w:rPr>
          <w:color w:val="auto"/>
          <w:kern w:val="0"/>
          <w:sz w:val="24"/>
          <w:szCs w:val="24"/>
          <w:highlight w:val="none"/>
        </w:rPr>
        <w:t>。</w:t>
      </w:r>
    </w:p>
    <w:p w14:paraId="38B3EC49">
      <w:pPr>
        <w:snapToGrid w:val="0"/>
        <w:spacing w:line="360" w:lineRule="auto"/>
        <w:jc w:val="left"/>
        <w:rPr>
          <w:color w:val="auto"/>
          <w:kern w:val="0"/>
          <w:sz w:val="24"/>
          <w:szCs w:val="24"/>
          <w:highlight w:val="none"/>
        </w:rPr>
      </w:pPr>
      <w:r>
        <w:rPr>
          <w:color w:val="auto"/>
          <w:kern w:val="0"/>
          <w:sz w:val="24"/>
          <w:szCs w:val="24"/>
          <w:highlight w:val="none"/>
        </w:rPr>
        <w:t xml:space="preserve">    （5）因发包人违反合同约定造成暂停施工的违约责任：</w:t>
      </w:r>
      <w:r>
        <w:rPr>
          <w:rFonts w:hint="eastAsia"/>
          <w:color w:val="auto"/>
          <w:kern w:val="0"/>
          <w:sz w:val="24"/>
          <w:szCs w:val="24"/>
          <w:highlight w:val="none"/>
          <w:u w:val="single"/>
          <w:lang w:val="en-US" w:eastAsia="zh-CN"/>
        </w:rPr>
        <w:t xml:space="preserve"> /  </w:t>
      </w:r>
      <w:r>
        <w:rPr>
          <w:color w:val="auto"/>
          <w:kern w:val="0"/>
          <w:sz w:val="24"/>
          <w:szCs w:val="24"/>
          <w:highlight w:val="none"/>
        </w:rPr>
        <w:t>。</w:t>
      </w:r>
    </w:p>
    <w:p w14:paraId="4CF67A61">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（6）发包人无正当理由没有在约定期限内发出复工指示，导致承包人无法复工的违约责任：</w:t>
      </w:r>
      <w:r>
        <w:rPr>
          <w:rFonts w:hint="eastAsia"/>
          <w:color w:val="auto"/>
          <w:kern w:val="0"/>
          <w:sz w:val="24"/>
          <w:szCs w:val="24"/>
          <w:highlight w:val="none"/>
          <w:u w:val="single"/>
        </w:rPr>
        <w:t>工期将顺延，但不支付违约金</w:t>
      </w:r>
      <w:r>
        <w:rPr>
          <w:color w:val="auto"/>
          <w:kern w:val="0"/>
          <w:sz w:val="24"/>
          <w:szCs w:val="24"/>
          <w:highlight w:val="none"/>
        </w:rPr>
        <w:t>。</w:t>
      </w:r>
    </w:p>
    <w:p w14:paraId="0DF35397">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（7）其他：</w:t>
      </w:r>
      <w:r>
        <w:rPr>
          <w:color w:val="auto"/>
          <w:kern w:val="0"/>
          <w:sz w:val="24"/>
          <w:szCs w:val="24"/>
          <w:highlight w:val="none"/>
          <w:u w:val="single"/>
        </w:rPr>
        <w:t xml:space="preserve"> </w:t>
      </w:r>
      <w:r>
        <w:rPr>
          <w:rFonts w:hint="eastAsia"/>
          <w:color w:val="auto"/>
          <w:kern w:val="0"/>
          <w:sz w:val="24"/>
          <w:szCs w:val="24"/>
          <w:highlight w:val="none"/>
          <w:u w:val="single"/>
        </w:rPr>
        <w:t>无</w:t>
      </w:r>
      <w:r>
        <w:rPr>
          <w:rFonts w:hint="eastAsia"/>
          <w:color w:val="auto"/>
          <w:kern w:val="0"/>
          <w:sz w:val="24"/>
          <w:szCs w:val="24"/>
          <w:highlight w:val="none"/>
          <w:u w:val="single"/>
          <w:lang w:val="en-US" w:eastAsia="zh-CN"/>
        </w:rPr>
        <w:t xml:space="preserve"> </w:t>
      </w:r>
      <w:r>
        <w:rPr>
          <w:color w:val="auto"/>
          <w:kern w:val="0"/>
          <w:sz w:val="24"/>
          <w:szCs w:val="24"/>
          <w:highlight w:val="none"/>
          <w:u w:val="single"/>
        </w:rPr>
        <w:t xml:space="preserve"> </w:t>
      </w:r>
      <w:r>
        <w:rPr>
          <w:color w:val="auto"/>
          <w:kern w:val="0"/>
          <w:sz w:val="24"/>
          <w:szCs w:val="24"/>
          <w:highlight w:val="none"/>
        </w:rPr>
        <w:t>。</w:t>
      </w:r>
    </w:p>
    <w:p w14:paraId="33CFB657">
      <w:pPr>
        <w:snapToGrid w:val="0"/>
        <w:spacing w:line="360" w:lineRule="auto"/>
        <w:ind w:firstLine="480" w:firstLineChars="200"/>
        <w:jc w:val="left"/>
        <w:rPr>
          <w:color w:val="auto"/>
          <w:sz w:val="24"/>
          <w:szCs w:val="24"/>
          <w:highlight w:val="none"/>
        </w:rPr>
      </w:pPr>
      <w:r>
        <w:rPr>
          <w:color w:val="auto"/>
          <w:sz w:val="24"/>
          <w:szCs w:val="24"/>
          <w:highlight w:val="none"/>
        </w:rPr>
        <w:t>16.1.3 因发包人违约解除合同</w:t>
      </w:r>
    </w:p>
    <w:p w14:paraId="59907B16">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承包人按16.1.1项〔发包人违约的情形〕约定暂停施工满</w:t>
      </w:r>
      <w:r>
        <w:rPr>
          <w:color w:val="auto"/>
          <w:kern w:val="0"/>
          <w:sz w:val="24"/>
          <w:szCs w:val="24"/>
          <w:highlight w:val="none"/>
          <w:u w:val="single"/>
        </w:rPr>
        <w:t xml:space="preserve"> 60 </w:t>
      </w:r>
      <w:r>
        <w:rPr>
          <w:color w:val="auto"/>
          <w:kern w:val="0"/>
          <w:sz w:val="24"/>
          <w:szCs w:val="24"/>
          <w:highlight w:val="none"/>
        </w:rPr>
        <w:t>天后发包人仍不纠正其违约行为并致使合同目的不能实现的，承包人有权解除合同。</w:t>
      </w:r>
    </w:p>
    <w:p w14:paraId="4C2CA893">
      <w:pPr>
        <w:snapToGrid w:val="0"/>
        <w:spacing w:line="360" w:lineRule="auto"/>
        <w:ind w:firstLine="480" w:firstLineChars="200"/>
        <w:rPr>
          <w:color w:val="auto"/>
          <w:sz w:val="24"/>
          <w:szCs w:val="24"/>
          <w:highlight w:val="none"/>
        </w:rPr>
      </w:pPr>
      <w:r>
        <w:rPr>
          <w:color w:val="auto"/>
          <w:sz w:val="24"/>
          <w:szCs w:val="24"/>
          <w:highlight w:val="none"/>
        </w:rPr>
        <w:t>16.2 承包人违约</w:t>
      </w:r>
    </w:p>
    <w:p w14:paraId="3C3F257B">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16.2.1 承包人违约的情形</w:t>
      </w:r>
    </w:p>
    <w:p w14:paraId="41601B2F">
      <w:pPr>
        <w:snapToGrid w:val="0"/>
        <w:spacing w:line="360" w:lineRule="auto"/>
        <w:ind w:firstLine="480"/>
        <w:jc w:val="left"/>
        <w:rPr>
          <w:color w:val="auto"/>
          <w:kern w:val="0"/>
          <w:sz w:val="24"/>
          <w:szCs w:val="24"/>
          <w:highlight w:val="none"/>
        </w:rPr>
      </w:pPr>
      <w:r>
        <w:rPr>
          <w:color w:val="auto"/>
          <w:kern w:val="0"/>
          <w:sz w:val="24"/>
          <w:szCs w:val="24"/>
          <w:highlight w:val="none"/>
        </w:rPr>
        <w:t>承包人违约的其他情形：</w:t>
      </w:r>
    </w:p>
    <w:p w14:paraId="3C17C723">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(1)承包人违反合同约定进行转包或违法分包的； </w:t>
      </w:r>
    </w:p>
    <w:p w14:paraId="08CBC3C0">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(2)承包人违反合同约定采购和使用不合格的材料和工程设备的； </w:t>
      </w:r>
    </w:p>
    <w:p w14:paraId="727CC1FC">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(3)因承包人原因导致工程质量不符合合同要求的； </w:t>
      </w:r>
    </w:p>
    <w:p w14:paraId="44C268CF">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(4)承包人未经批准，私自将已按照合同约定进入施工现场的材料或设备撤离施工现场的； </w:t>
      </w:r>
    </w:p>
    <w:p w14:paraId="2A4A741D">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(5)承包人未能按施工进度计划及时完成合同约定的工作，造成工期延误的； </w:t>
      </w:r>
    </w:p>
    <w:p w14:paraId="725436C4">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(6)承包人在缺陷责任期及保修期内，未能在合理期限对工程缺陷进行修复，或拒绝按发包人要求进行修复的； </w:t>
      </w:r>
    </w:p>
    <w:p w14:paraId="7B978AF5">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(7)承包人明确表示或者以其行为表明不履行合同主要义务的； </w:t>
      </w:r>
    </w:p>
    <w:p w14:paraId="2A38E03F">
      <w:pPr>
        <w:snapToGrid w:val="0"/>
        <w:spacing w:line="360" w:lineRule="auto"/>
        <w:ind w:firstLine="480"/>
        <w:jc w:val="left"/>
        <w:rPr>
          <w:color w:val="auto"/>
          <w:kern w:val="0"/>
          <w:sz w:val="24"/>
          <w:szCs w:val="24"/>
          <w:highlight w:val="none"/>
        </w:rPr>
      </w:pPr>
      <w:r>
        <w:rPr>
          <w:color w:val="auto"/>
          <w:kern w:val="0"/>
          <w:sz w:val="24"/>
          <w:szCs w:val="24"/>
          <w:highlight w:val="none"/>
          <w:lang w:val="en-US" w:eastAsia="zh-CN"/>
        </w:rPr>
        <w:t xml:space="preserve">(8)承包人未能按照合同约定履行其他义务的。 </w:t>
      </w:r>
    </w:p>
    <w:p w14:paraId="07633883">
      <w:pPr>
        <w:snapToGrid w:val="0"/>
        <w:spacing w:line="360" w:lineRule="auto"/>
        <w:ind w:firstLine="480" w:firstLineChars="200"/>
        <w:jc w:val="left"/>
        <w:rPr>
          <w:color w:val="auto"/>
          <w:kern w:val="0"/>
          <w:sz w:val="24"/>
          <w:szCs w:val="24"/>
          <w:highlight w:val="none"/>
        </w:rPr>
      </w:pPr>
      <w:r>
        <w:rPr>
          <w:color w:val="auto"/>
          <w:kern w:val="0"/>
          <w:sz w:val="24"/>
          <w:szCs w:val="24"/>
          <w:highlight w:val="none"/>
        </w:rPr>
        <w:t>16.2.2承包人违约的责任</w:t>
      </w:r>
    </w:p>
    <w:p w14:paraId="6D9F7A8E">
      <w:pPr>
        <w:snapToGrid w:val="0"/>
        <w:spacing w:line="360" w:lineRule="auto"/>
        <w:jc w:val="left"/>
        <w:rPr>
          <w:color w:val="auto"/>
          <w:kern w:val="0"/>
          <w:sz w:val="24"/>
          <w:szCs w:val="24"/>
          <w:highlight w:val="none"/>
          <w:u w:val="single"/>
        </w:rPr>
      </w:pPr>
      <w:r>
        <w:rPr>
          <w:color w:val="auto"/>
          <w:kern w:val="0"/>
          <w:sz w:val="24"/>
          <w:szCs w:val="24"/>
          <w:highlight w:val="none"/>
        </w:rPr>
        <w:t xml:space="preserve">    承包人违约责任的承担方式和计算方法：</w:t>
      </w:r>
      <w:r>
        <w:rPr>
          <w:color w:val="auto"/>
          <w:kern w:val="0"/>
          <w:sz w:val="24"/>
          <w:szCs w:val="24"/>
          <w:highlight w:val="none"/>
          <w:u w:val="single"/>
        </w:rPr>
        <w:t>双方另行协商确定</w:t>
      </w:r>
      <w:r>
        <w:rPr>
          <w:color w:val="auto"/>
          <w:kern w:val="0"/>
          <w:sz w:val="24"/>
          <w:szCs w:val="24"/>
          <w:highlight w:val="none"/>
        </w:rPr>
        <w:t>。</w:t>
      </w:r>
      <w:r>
        <w:rPr>
          <w:color w:val="auto"/>
          <w:sz w:val="24"/>
          <w:szCs w:val="24"/>
          <w:highlight w:val="none"/>
        </w:rPr>
        <w:t xml:space="preserve">    </w:t>
      </w:r>
    </w:p>
    <w:p w14:paraId="35F4888E">
      <w:pPr>
        <w:snapToGrid w:val="0"/>
        <w:spacing w:line="360" w:lineRule="auto"/>
        <w:ind w:firstLine="480" w:firstLineChars="200"/>
        <w:jc w:val="left"/>
        <w:rPr>
          <w:color w:val="auto"/>
          <w:sz w:val="24"/>
          <w:szCs w:val="24"/>
          <w:highlight w:val="none"/>
        </w:rPr>
      </w:pPr>
      <w:r>
        <w:rPr>
          <w:color w:val="auto"/>
          <w:sz w:val="24"/>
          <w:szCs w:val="24"/>
          <w:highlight w:val="none"/>
        </w:rPr>
        <w:t>16.2.3 因承包人违约解除合同</w:t>
      </w:r>
    </w:p>
    <w:p w14:paraId="1D481A9D">
      <w:pPr>
        <w:snapToGrid w:val="0"/>
        <w:spacing w:line="360" w:lineRule="auto"/>
        <w:rPr>
          <w:color w:val="auto"/>
          <w:kern w:val="0"/>
          <w:sz w:val="24"/>
          <w:szCs w:val="24"/>
          <w:highlight w:val="none"/>
        </w:rPr>
      </w:pPr>
      <w:r>
        <w:rPr>
          <w:color w:val="auto"/>
          <w:kern w:val="0"/>
          <w:sz w:val="24"/>
          <w:szCs w:val="24"/>
          <w:highlight w:val="none"/>
        </w:rPr>
        <w:t xml:space="preserve">    关于承包人违约解除合同的特别约定：</w:t>
      </w:r>
      <w:r>
        <w:rPr>
          <w:color w:val="auto"/>
          <w:sz w:val="24"/>
          <w:szCs w:val="24"/>
          <w:highlight w:val="none"/>
          <w:u w:val="single"/>
        </w:rPr>
        <w:t>按通用条款本条执行</w:t>
      </w:r>
      <w:r>
        <w:rPr>
          <w:color w:val="auto"/>
          <w:kern w:val="0"/>
          <w:sz w:val="24"/>
          <w:szCs w:val="24"/>
          <w:highlight w:val="none"/>
        </w:rPr>
        <w:t>。</w:t>
      </w:r>
    </w:p>
    <w:p w14:paraId="36DA1EDE">
      <w:pPr>
        <w:snapToGrid w:val="0"/>
        <w:spacing w:line="360" w:lineRule="auto"/>
        <w:ind w:firstLine="480" w:firstLineChars="200"/>
        <w:rPr>
          <w:color w:val="auto"/>
          <w:kern w:val="0"/>
          <w:sz w:val="24"/>
          <w:szCs w:val="24"/>
          <w:highlight w:val="none"/>
        </w:rPr>
      </w:pPr>
      <w:r>
        <w:rPr>
          <w:color w:val="auto"/>
          <w:kern w:val="0"/>
          <w:sz w:val="24"/>
          <w:szCs w:val="24"/>
          <w:highlight w:val="none"/>
        </w:rPr>
        <w:t>发包人继续使用承包人在施工现场的材料、设备、临时工程、承包人文件和由承包人或以其名义编制的其他文件的费用承担方式：</w:t>
      </w:r>
      <w:r>
        <w:rPr>
          <w:color w:val="auto"/>
          <w:kern w:val="0"/>
          <w:sz w:val="24"/>
          <w:szCs w:val="24"/>
          <w:highlight w:val="none"/>
          <w:u w:val="single"/>
        </w:rPr>
        <w:t>双方另行协商确定</w:t>
      </w:r>
      <w:r>
        <w:rPr>
          <w:color w:val="auto"/>
          <w:kern w:val="0"/>
          <w:sz w:val="24"/>
          <w:szCs w:val="24"/>
          <w:highlight w:val="none"/>
        </w:rPr>
        <w:t>。</w:t>
      </w:r>
    </w:p>
    <w:p w14:paraId="647E75AE">
      <w:pPr>
        <w:pStyle w:val="5"/>
        <w:snapToGrid w:val="0"/>
        <w:spacing w:before="0" w:after="0" w:line="360" w:lineRule="auto"/>
        <w:rPr>
          <w:rFonts w:ascii="Times New Roman" w:hAnsi="Times New Roman" w:eastAsia="宋体"/>
          <w:bCs/>
          <w:color w:val="auto"/>
          <w:sz w:val="24"/>
          <w:szCs w:val="24"/>
          <w:highlight w:val="none"/>
        </w:rPr>
      </w:pPr>
      <w:bookmarkStart w:id="1107" w:name="_Toc351203649"/>
      <w:r>
        <w:rPr>
          <w:rFonts w:ascii="Times New Roman" w:hAnsi="Times New Roman" w:eastAsia="宋体"/>
          <w:bCs/>
          <w:color w:val="auto"/>
          <w:sz w:val="24"/>
          <w:szCs w:val="24"/>
          <w:highlight w:val="none"/>
        </w:rPr>
        <w:t>17. 不可抗力</w:t>
      </w:r>
      <w:bookmarkEnd w:id="1107"/>
      <w:r>
        <w:rPr>
          <w:rFonts w:ascii="Times New Roman" w:hAnsi="Times New Roman" w:eastAsia="宋体"/>
          <w:bCs/>
          <w:color w:val="auto"/>
          <w:sz w:val="24"/>
          <w:szCs w:val="24"/>
          <w:highlight w:val="none"/>
        </w:rPr>
        <w:t xml:space="preserve"> </w:t>
      </w:r>
      <w:bookmarkEnd w:id="1105"/>
    </w:p>
    <w:p w14:paraId="6D65843E">
      <w:pPr>
        <w:snapToGrid w:val="0"/>
        <w:spacing w:line="360" w:lineRule="auto"/>
        <w:ind w:firstLine="480" w:firstLineChars="200"/>
        <w:rPr>
          <w:color w:val="auto"/>
          <w:sz w:val="24"/>
          <w:szCs w:val="24"/>
          <w:highlight w:val="none"/>
        </w:rPr>
      </w:pPr>
      <w:r>
        <w:rPr>
          <w:color w:val="auto"/>
          <w:sz w:val="24"/>
          <w:szCs w:val="24"/>
          <w:highlight w:val="none"/>
        </w:rPr>
        <w:t>17.1 不可抗力的确认</w:t>
      </w:r>
    </w:p>
    <w:p w14:paraId="7152CF63">
      <w:pPr>
        <w:snapToGrid w:val="0"/>
        <w:spacing w:line="360" w:lineRule="auto"/>
        <w:ind w:firstLine="480" w:firstLineChars="200"/>
        <w:jc w:val="left"/>
        <w:rPr>
          <w:color w:val="auto"/>
          <w:kern w:val="0"/>
          <w:sz w:val="24"/>
          <w:szCs w:val="24"/>
          <w:highlight w:val="none"/>
          <w:u w:val="single"/>
        </w:rPr>
      </w:pPr>
      <w:r>
        <w:rPr>
          <w:color w:val="auto"/>
          <w:sz w:val="24"/>
          <w:szCs w:val="24"/>
          <w:highlight w:val="none"/>
        </w:rPr>
        <w:t>除通用合同条款约定的不可抗力事件之外，视为不可抗力的其他情形：</w:t>
      </w:r>
    </w:p>
    <w:p w14:paraId="12C60CD3">
      <w:pPr>
        <w:snapToGrid w:val="0"/>
        <w:spacing w:line="360" w:lineRule="auto"/>
        <w:jc w:val="left"/>
        <w:rPr>
          <w:color w:val="auto"/>
          <w:kern w:val="0"/>
          <w:sz w:val="24"/>
          <w:szCs w:val="24"/>
          <w:highlight w:val="none"/>
          <w:u w:val="single"/>
        </w:rPr>
      </w:pPr>
      <w:r>
        <w:rPr>
          <w:color w:val="auto"/>
          <w:kern w:val="0"/>
          <w:sz w:val="24"/>
          <w:szCs w:val="24"/>
          <w:highlight w:val="none"/>
          <w:u w:val="single"/>
        </w:rPr>
        <w:t xml:space="preserve"> 双方另行协商确定 </w:t>
      </w:r>
      <w:r>
        <w:rPr>
          <w:color w:val="auto"/>
          <w:kern w:val="0"/>
          <w:sz w:val="24"/>
          <w:szCs w:val="24"/>
          <w:highlight w:val="none"/>
        </w:rPr>
        <w:t>。</w:t>
      </w:r>
    </w:p>
    <w:p w14:paraId="536949B5">
      <w:pPr>
        <w:snapToGrid w:val="0"/>
        <w:spacing w:line="360" w:lineRule="auto"/>
        <w:ind w:firstLine="480" w:firstLineChars="200"/>
        <w:rPr>
          <w:color w:val="auto"/>
          <w:sz w:val="24"/>
          <w:szCs w:val="24"/>
          <w:highlight w:val="none"/>
        </w:rPr>
      </w:pPr>
      <w:r>
        <w:rPr>
          <w:color w:val="auto"/>
          <w:sz w:val="24"/>
          <w:szCs w:val="24"/>
          <w:highlight w:val="none"/>
        </w:rPr>
        <w:t>17.4 因不可抗力解除合同</w:t>
      </w:r>
    </w:p>
    <w:p w14:paraId="7A899D36">
      <w:pPr>
        <w:snapToGrid w:val="0"/>
        <w:spacing w:line="360" w:lineRule="auto"/>
        <w:ind w:firstLine="480" w:firstLineChars="200"/>
        <w:jc w:val="left"/>
        <w:rPr>
          <w:color w:val="auto"/>
          <w:sz w:val="24"/>
          <w:szCs w:val="24"/>
          <w:highlight w:val="none"/>
        </w:rPr>
      </w:pPr>
      <w:r>
        <w:rPr>
          <w:color w:val="auto"/>
          <w:sz w:val="24"/>
          <w:szCs w:val="24"/>
          <w:highlight w:val="none"/>
        </w:rPr>
        <w:t>合同解除后，发包人应在商定或确定发包人应支付款项后</w:t>
      </w:r>
      <w:r>
        <w:rPr>
          <w:color w:val="auto"/>
          <w:sz w:val="24"/>
          <w:szCs w:val="24"/>
          <w:highlight w:val="none"/>
          <w:u w:val="single"/>
        </w:rPr>
        <w:t xml:space="preserve"> 60 </w:t>
      </w:r>
      <w:r>
        <w:rPr>
          <w:color w:val="auto"/>
          <w:sz w:val="24"/>
          <w:szCs w:val="24"/>
          <w:highlight w:val="none"/>
        </w:rPr>
        <w:t>天内完成款项的支付。</w:t>
      </w:r>
    </w:p>
    <w:p w14:paraId="405CAE35">
      <w:pPr>
        <w:pStyle w:val="5"/>
        <w:snapToGrid w:val="0"/>
        <w:spacing w:before="0" w:after="0" w:line="360" w:lineRule="auto"/>
        <w:rPr>
          <w:rFonts w:ascii="Times New Roman" w:hAnsi="Times New Roman" w:eastAsia="宋体"/>
          <w:bCs/>
          <w:color w:val="auto"/>
          <w:sz w:val="24"/>
          <w:szCs w:val="24"/>
          <w:highlight w:val="none"/>
        </w:rPr>
      </w:pPr>
      <w:bookmarkStart w:id="1108" w:name="_Toc351203650"/>
      <w:r>
        <w:rPr>
          <w:rFonts w:ascii="Times New Roman" w:hAnsi="Times New Roman" w:eastAsia="宋体"/>
          <w:bCs/>
          <w:color w:val="auto"/>
          <w:sz w:val="24"/>
          <w:szCs w:val="24"/>
          <w:highlight w:val="none"/>
        </w:rPr>
        <w:t>18. 保险</w:t>
      </w:r>
      <w:bookmarkEnd w:id="1108"/>
    </w:p>
    <w:bookmarkEnd w:id="1106"/>
    <w:p w14:paraId="6AA2334E">
      <w:pPr>
        <w:snapToGrid w:val="0"/>
        <w:spacing w:line="360" w:lineRule="auto"/>
        <w:ind w:firstLine="480" w:firstLineChars="200"/>
        <w:rPr>
          <w:color w:val="auto"/>
          <w:sz w:val="24"/>
          <w:szCs w:val="24"/>
          <w:highlight w:val="none"/>
        </w:rPr>
      </w:pPr>
      <w:r>
        <w:rPr>
          <w:color w:val="auto"/>
          <w:sz w:val="24"/>
          <w:szCs w:val="24"/>
          <w:highlight w:val="none"/>
        </w:rPr>
        <w:t>18.1 工程保险</w:t>
      </w:r>
    </w:p>
    <w:p w14:paraId="6160D14C">
      <w:pPr>
        <w:snapToGrid w:val="0"/>
        <w:spacing w:line="360" w:lineRule="auto"/>
        <w:ind w:firstLine="480" w:firstLineChars="200"/>
        <w:jc w:val="left"/>
        <w:rPr>
          <w:rFonts w:hint="eastAsia"/>
          <w:color w:val="auto"/>
          <w:sz w:val="24"/>
          <w:szCs w:val="24"/>
          <w:highlight w:val="none"/>
          <w:u w:val="single"/>
        </w:rPr>
      </w:pPr>
      <w:r>
        <w:rPr>
          <w:color w:val="auto"/>
          <w:sz w:val="24"/>
          <w:szCs w:val="24"/>
          <w:highlight w:val="none"/>
        </w:rPr>
        <w:t>关于工程保险的特别约定：</w:t>
      </w:r>
      <w:r>
        <w:rPr>
          <w:rFonts w:hint="eastAsia"/>
          <w:color w:val="auto"/>
          <w:sz w:val="24"/>
          <w:szCs w:val="24"/>
          <w:highlight w:val="none"/>
          <w:u w:val="single"/>
        </w:rPr>
        <w:t> 由承包人承担 。</w:t>
      </w:r>
    </w:p>
    <w:p w14:paraId="584BB0DA">
      <w:pPr>
        <w:snapToGrid w:val="0"/>
        <w:spacing w:line="360" w:lineRule="auto"/>
        <w:ind w:firstLine="480" w:firstLineChars="200"/>
        <w:jc w:val="left"/>
        <w:rPr>
          <w:color w:val="auto"/>
          <w:sz w:val="24"/>
          <w:szCs w:val="24"/>
          <w:highlight w:val="none"/>
        </w:rPr>
      </w:pPr>
      <w:r>
        <w:rPr>
          <w:rFonts w:hint="eastAsia"/>
          <w:color w:val="auto"/>
          <w:sz w:val="24"/>
          <w:szCs w:val="24"/>
          <w:highlight w:val="none"/>
        </w:rPr>
        <w:t>保险期限为：</w:t>
      </w:r>
      <w:r>
        <w:rPr>
          <w:rFonts w:hint="eastAsia"/>
          <w:color w:val="auto"/>
          <w:sz w:val="24"/>
          <w:szCs w:val="24"/>
          <w:highlight w:val="none"/>
          <w:u w:val="single"/>
        </w:rPr>
        <w:t>工程开工至全部工程竣工验收</w:t>
      </w:r>
      <w:r>
        <w:rPr>
          <w:color w:val="auto"/>
          <w:kern w:val="0"/>
          <w:sz w:val="24"/>
          <w:szCs w:val="24"/>
          <w:highlight w:val="none"/>
        </w:rPr>
        <w:t>。</w:t>
      </w:r>
    </w:p>
    <w:p w14:paraId="7B1B0FD7">
      <w:pPr>
        <w:snapToGrid w:val="0"/>
        <w:spacing w:line="360" w:lineRule="auto"/>
        <w:ind w:firstLine="480" w:firstLineChars="200"/>
        <w:rPr>
          <w:color w:val="auto"/>
          <w:sz w:val="24"/>
          <w:szCs w:val="24"/>
          <w:highlight w:val="none"/>
        </w:rPr>
      </w:pPr>
      <w:r>
        <w:rPr>
          <w:color w:val="auto"/>
          <w:sz w:val="24"/>
          <w:szCs w:val="24"/>
          <w:highlight w:val="none"/>
        </w:rPr>
        <w:t>18.3 其他保险</w:t>
      </w:r>
    </w:p>
    <w:p w14:paraId="773D6B86">
      <w:pPr>
        <w:snapToGrid w:val="0"/>
        <w:spacing w:line="360" w:lineRule="auto"/>
        <w:ind w:firstLine="480" w:firstLineChars="200"/>
        <w:jc w:val="left"/>
        <w:rPr>
          <w:color w:val="auto"/>
          <w:kern w:val="0"/>
          <w:sz w:val="24"/>
          <w:szCs w:val="24"/>
          <w:highlight w:val="none"/>
        </w:rPr>
      </w:pPr>
      <w:r>
        <w:rPr>
          <w:color w:val="auto"/>
          <w:sz w:val="24"/>
          <w:szCs w:val="24"/>
          <w:highlight w:val="none"/>
        </w:rPr>
        <w:t>关于其他保险的约定：</w:t>
      </w:r>
      <w:r>
        <w:rPr>
          <w:color w:val="auto"/>
          <w:kern w:val="0"/>
          <w:sz w:val="24"/>
          <w:szCs w:val="24"/>
          <w:highlight w:val="none"/>
          <w:u w:val="single"/>
        </w:rPr>
        <w:t xml:space="preserve">  </w:t>
      </w:r>
      <w:r>
        <w:rPr>
          <w:rFonts w:hint="eastAsia"/>
          <w:color w:val="auto"/>
          <w:kern w:val="0"/>
          <w:sz w:val="24"/>
          <w:szCs w:val="24"/>
          <w:highlight w:val="none"/>
          <w:u w:val="single"/>
        </w:rPr>
        <w:t>无</w:t>
      </w:r>
      <w:r>
        <w:rPr>
          <w:color w:val="auto"/>
          <w:kern w:val="0"/>
          <w:sz w:val="24"/>
          <w:szCs w:val="24"/>
          <w:highlight w:val="none"/>
          <w:u w:val="single"/>
        </w:rPr>
        <w:t xml:space="preserve">   </w:t>
      </w:r>
      <w:r>
        <w:rPr>
          <w:color w:val="auto"/>
          <w:kern w:val="0"/>
          <w:sz w:val="24"/>
          <w:szCs w:val="24"/>
          <w:highlight w:val="none"/>
        </w:rPr>
        <w:t>。</w:t>
      </w:r>
    </w:p>
    <w:p w14:paraId="28FD4C23">
      <w:pPr>
        <w:tabs>
          <w:tab w:val="right" w:pos="8820"/>
        </w:tabs>
        <w:snapToGrid w:val="0"/>
        <w:spacing w:line="360" w:lineRule="auto"/>
        <w:jc w:val="left"/>
        <w:rPr>
          <w:color w:val="auto"/>
          <w:kern w:val="0"/>
          <w:sz w:val="24"/>
          <w:szCs w:val="24"/>
          <w:highlight w:val="none"/>
        </w:rPr>
      </w:pPr>
      <w:r>
        <w:rPr>
          <w:color w:val="auto"/>
          <w:sz w:val="24"/>
          <w:szCs w:val="24"/>
          <w:highlight w:val="none"/>
        </w:rPr>
        <w:t xml:space="preserve">    承包人是否应为其施工设备等办理财产保险：</w:t>
      </w:r>
      <w:r>
        <w:rPr>
          <w:color w:val="auto"/>
          <w:sz w:val="24"/>
          <w:szCs w:val="24"/>
          <w:highlight w:val="none"/>
          <w:u w:val="single"/>
          <w:lang w:val="en-US" w:eastAsia="zh-CN"/>
        </w:rPr>
        <w:t>由承包人投保并承担费用</w:t>
      </w:r>
      <w:r>
        <w:rPr>
          <w:color w:val="auto"/>
          <w:sz w:val="24"/>
          <w:szCs w:val="24"/>
          <w:highlight w:val="none"/>
        </w:rPr>
        <w:t>。</w:t>
      </w:r>
    </w:p>
    <w:p w14:paraId="50C28E90">
      <w:pPr>
        <w:snapToGrid w:val="0"/>
        <w:spacing w:line="360" w:lineRule="auto"/>
        <w:ind w:firstLine="480" w:firstLineChars="200"/>
        <w:rPr>
          <w:color w:val="auto"/>
          <w:sz w:val="24"/>
          <w:szCs w:val="24"/>
          <w:highlight w:val="none"/>
        </w:rPr>
      </w:pPr>
      <w:r>
        <w:rPr>
          <w:color w:val="auto"/>
          <w:sz w:val="24"/>
          <w:szCs w:val="24"/>
          <w:highlight w:val="none"/>
        </w:rPr>
        <w:t>18.7 通知义务</w:t>
      </w:r>
    </w:p>
    <w:p w14:paraId="6B330DE7">
      <w:pPr>
        <w:snapToGrid w:val="0"/>
        <w:spacing w:line="360" w:lineRule="auto"/>
        <w:jc w:val="left"/>
        <w:rPr>
          <w:color w:val="auto"/>
          <w:sz w:val="24"/>
          <w:szCs w:val="24"/>
          <w:highlight w:val="none"/>
        </w:rPr>
      </w:pPr>
      <w:r>
        <w:rPr>
          <w:color w:val="auto"/>
          <w:kern w:val="0"/>
          <w:sz w:val="24"/>
          <w:szCs w:val="24"/>
          <w:highlight w:val="none"/>
        </w:rPr>
        <w:t xml:space="preserve">    关于变更保险合同时的通知义务的约定：</w:t>
      </w:r>
      <w:r>
        <w:rPr>
          <w:color w:val="auto"/>
          <w:sz w:val="24"/>
          <w:szCs w:val="24"/>
          <w:highlight w:val="none"/>
          <w:u w:val="single"/>
        </w:rPr>
        <w:t>按通用条款本条执行</w:t>
      </w:r>
      <w:r>
        <w:rPr>
          <w:color w:val="auto"/>
          <w:sz w:val="24"/>
          <w:szCs w:val="24"/>
          <w:highlight w:val="none"/>
        </w:rPr>
        <w:t>。</w:t>
      </w:r>
    </w:p>
    <w:bookmarkEnd w:id="1082"/>
    <w:bookmarkEnd w:id="1083"/>
    <w:bookmarkEnd w:id="1084"/>
    <w:bookmarkEnd w:id="1085"/>
    <w:bookmarkEnd w:id="1086"/>
    <w:bookmarkEnd w:id="1087"/>
    <w:bookmarkEnd w:id="1088"/>
    <w:bookmarkEnd w:id="1089"/>
    <w:bookmarkEnd w:id="1090"/>
    <w:bookmarkEnd w:id="1091"/>
    <w:bookmarkEnd w:id="1092"/>
    <w:bookmarkEnd w:id="1093"/>
    <w:p w14:paraId="36FB8B2E">
      <w:pPr>
        <w:pStyle w:val="5"/>
        <w:snapToGrid w:val="0"/>
        <w:spacing w:before="0" w:after="0" w:line="360" w:lineRule="auto"/>
        <w:rPr>
          <w:rFonts w:ascii="Times New Roman" w:hAnsi="Times New Roman" w:eastAsia="宋体"/>
          <w:bCs/>
          <w:color w:val="auto"/>
          <w:sz w:val="24"/>
          <w:szCs w:val="24"/>
          <w:highlight w:val="none"/>
        </w:rPr>
      </w:pPr>
      <w:bookmarkStart w:id="1109" w:name="_Toc351203651"/>
      <w:r>
        <w:rPr>
          <w:rFonts w:ascii="Times New Roman" w:hAnsi="Times New Roman" w:eastAsia="宋体"/>
          <w:bCs/>
          <w:color w:val="auto"/>
          <w:sz w:val="24"/>
          <w:szCs w:val="24"/>
          <w:highlight w:val="none"/>
        </w:rPr>
        <w:t>20. 争议解决</w:t>
      </w:r>
      <w:bookmarkEnd w:id="1109"/>
    </w:p>
    <w:bookmarkEnd w:id="1094"/>
    <w:bookmarkEnd w:id="1095"/>
    <w:p w14:paraId="1C81B1E1">
      <w:pPr>
        <w:snapToGrid w:val="0"/>
        <w:spacing w:line="360" w:lineRule="auto"/>
        <w:ind w:firstLine="480" w:firstLineChars="200"/>
        <w:rPr>
          <w:color w:val="auto"/>
          <w:sz w:val="24"/>
          <w:szCs w:val="24"/>
          <w:highlight w:val="none"/>
        </w:rPr>
      </w:pPr>
      <w:r>
        <w:rPr>
          <w:color w:val="auto"/>
          <w:sz w:val="24"/>
          <w:szCs w:val="24"/>
          <w:highlight w:val="none"/>
        </w:rPr>
        <w:t>20.3 争</w:t>
      </w:r>
      <w:bookmarkEnd w:id="1096"/>
      <w:r>
        <w:rPr>
          <w:color w:val="auto"/>
          <w:sz w:val="24"/>
          <w:szCs w:val="24"/>
          <w:highlight w:val="none"/>
        </w:rPr>
        <w:t>议评审</w:t>
      </w:r>
    </w:p>
    <w:p w14:paraId="4A066F5F">
      <w:pPr>
        <w:snapToGrid w:val="0"/>
        <w:spacing w:line="360" w:lineRule="auto"/>
        <w:ind w:left="170" w:leftChars="71" w:firstLine="360" w:firstLineChars="150"/>
        <w:jc w:val="left"/>
        <w:rPr>
          <w:color w:val="auto"/>
          <w:sz w:val="24"/>
          <w:szCs w:val="24"/>
          <w:highlight w:val="none"/>
        </w:rPr>
      </w:pPr>
      <w:r>
        <w:rPr>
          <w:color w:val="auto"/>
          <w:sz w:val="24"/>
          <w:szCs w:val="24"/>
          <w:highlight w:val="none"/>
        </w:rPr>
        <w:t>合同当事人是否同意将工程争议提交争议评审小组决定：</w:t>
      </w:r>
      <w:r>
        <w:rPr>
          <w:rFonts w:hint="eastAsia"/>
          <w:color w:val="auto"/>
          <w:kern w:val="0"/>
          <w:sz w:val="24"/>
          <w:szCs w:val="24"/>
          <w:highlight w:val="none"/>
          <w:u w:val="single"/>
        </w:rPr>
        <w:t>不同意</w:t>
      </w:r>
      <w:r>
        <w:rPr>
          <w:rFonts w:hint="eastAsia"/>
          <w:color w:val="auto"/>
          <w:kern w:val="0"/>
          <w:sz w:val="24"/>
          <w:szCs w:val="24"/>
          <w:highlight w:val="none"/>
          <w:u w:val="single"/>
          <w:lang w:val="en-US" w:eastAsia="zh-CN"/>
        </w:rPr>
        <w:t>,直接提交工程所在地法院</w:t>
      </w:r>
      <w:r>
        <w:rPr>
          <w:color w:val="auto"/>
          <w:sz w:val="24"/>
          <w:szCs w:val="24"/>
          <w:highlight w:val="none"/>
        </w:rPr>
        <w:t xml:space="preserve">。  </w:t>
      </w:r>
    </w:p>
    <w:p w14:paraId="3C204E20">
      <w:pPr>
        <w:snapToGrid w:val="0"/>
        <w:spacing w:line="360" w:lineRule="auto"/>
        <w:ind w:firstLine="480" w:firstLineChars="200"/>
        <w:jc w:val="left"/>
        <w:rPr>
          <w:color w:val="auto"/>
          <w:sz w:val="24"/>
          <w:szCs w:val="24"/>
          <w:highlight w:val="none"/>
        </w:rPr>
      </w:pPr>
      <w:r>
        <w:rPr>
          <w:color w:val="auto"/>
          <w:sz w:val="24"/>
          <w:szCs w:val="24"/>
          <w:highlight w:val="none"/>
        </w:rPr>
        <w:t>20.3.1 争议评审小组的确定</w:t>
      </w:r>
    </w:p>
    <w:p w14:paraId="320E15CB">
      <w:pPr>
        <w:snapToGrid w:val="0"/>
        <w:spacing w:line="360" w:lineRule="auto"/>
        <w:ind w:firstLine="480" w:firstLineChars="200"/>
        <w:jc w:val="left"/>
        <w:rPr>
          <w:color w:val="auto"/>
          <w:sz w:val="24"/>
          <w:szCs w:val="24"/>
          <w:highlight w:val="none"/>
          <w:u w:val="single"/>
        </w:rPr>
      </w:pPr>
      <w:r>
        <w:rPr>
          <w:color w:val="auto"/>
          <w:sz w:val="24"/>
          <w:szCs w:val="24"/>
          <w:highlight w:val="none"/>
        </w:rPr>
        <w:t>争议评审小组成员的确定：</w:t>
      </w:r>
      <w:r>
        <w:rPr>
          <w:rFonts w:hint="eastAsia"/>
          <w:color w:val="auto"/>
          <w:sz w:val="24"/>
          <w:szCs w:val="24"/>
          <w:highlight w:val="none"/>
          <w:u w:val="single"/>
          <w:lang w:val="en-US" w:eastAsia="zh-CN"/>
        </w:rPr>
        <w:t xml:space="preserve"> /  </w:t>
      </w:r>
      <w:r>
        <w:rPr>
          <w:color w:val="auto"/>
          <w:sz w:val="24"/>
          <w:szCs w:val="24"/>
          <w:highlight w:val="none"/>
        </w:rPr>
        <w:t>。</w:t>
      </w:r>
    </w:p>
    <w:p w14:paraId="629F54E8">
      <w:pPr>
        <w:snapToGrid w:val="0"/>
        <w:spacing w:line="360" w:lineRule="auto"/>
        <w:ind w:firstLine="480" w:firstLineChars="200"/>
        <w:jc w:val="left"/>
        <w:rPr>
          <w:color w:val="auto"/>
          <w:sz w:val="24"/>
          <w:szCs w:val="24"/>
          <w:highlight w:val="none"/>
        </w:rPr>
      </w:pPr>
      <w:r>
        <w:rPr>
          <w:color w:val="auto"/>
          <w:sz w:val="24"/>
          <w:szCs w:val="24"/>
          <w:highlight w:val="none"/>
        </w:rPr>
        <w:t>选定争议评审员的期限：</w:t>
      </w:r>
      <w:r>
        <w:rPr>
          <w:rFonts w:hint="eastAsia"/>
          <w:color w:val="auto"/>
          <w:sz w:val="24"/>
          <w:szCs w:val="24"/>
          <w:highlight w:val="none"/>
          <w:u w:val="single"/>
          <w:lang w:val="en-US" w:eastAsia="zh-CN"/>
        </w:rPr>
        <w:t xml:space="preserve">  /  </w:t>
      </w:r>
      <w:r>
        <w:rPr>
          <w:color w:val="auto"/>
          <w:sz w:val="24"/>
          <w:szCs w:val="24"/>
          <w:highlight w:val="none"/>
        </w:rPr>
        <w:t>。</w:t>
      </w:r>
    </w:p>
    <w:p w14:paraId="1AE92E72">
      <w:pPr>
        <w:snapToGrid w:val="0"/>
        <w:spacing w:line="360" w:lineRule="auto"/>
        <w:ind w:firstLine="480" w:firstLineChars="200"/>
        <w:jc w:val="left"/>
        <w:rPr>
          <w:color w:val="auto"/>
          <w:sz w:val="24"/>
          <w:szCs w:val="24"/>
          <w:highlight w:val="none"/>
        </w:rPr>
      </w:pPr>
      <w:r>
        <w:rPr>
          <w:color w:val="auto"/>
          <w:sz w:val="24"/>
          <w:szCs w:val="24"/>
          <w:highlight w:val="none"/>
        </w:rPr>
        <w:t>争议评审小组成员的报酬承担方式：</w:t>
      </w:r>
      <w:r>
        <w:rPr>
          <w:rFonts w:hint="eastAsia"/>
          <w:color w:val="auto"/>
          <w:sz w:val="24"/>
          <w:szCs w:val="24"/>
          <w:highlight w:val="none"/>
          <w:u w:val="single"/>
          <w:lang w:val="en-US" w:eastAsia="zh-CN"/>
        </w:rPr>
        <w:t xml:space="preserve">  /  </w:t>
      </w:r>
      <w:r>
        <w:rPr>
          <w:color w:val="auto"/>
          <w:sz w:val="24"/>
          <w:szCs w:val="24"/>
          <w:highlight w:val="none"/>
        </w:rPr>
        <w:t>。</w:t>
      </w:r>
    </w:p>
    <w:p w14:paraId="070DFD65">
      <w:pPr>
        <w:snapToGrid w:val="0"/>
        <w:spacing w:line="360" w:lineRule="auto"/>
        <w:ind w:firstLine="480" w:firstLineChars="200"/>
        <w:jc w:val="left"/>
        <w:rPr>
          <w:color w:val="auto"/>
          <w:sz w:val="24"/>
          <w:szCs w:val="24"/>
          <w:highlight w:val="none"/>
        </w:rPr>
      </w:pPr>
      <w:r>
        <w:rPr>
          <w:color w:val="auto"/>
          <w:sz w:val="24"/>
          <w:szCs w:val="24"/>
          <w:highlight w:val="none"/>
        </w:rPr>
        <w:t>其他事项的约定：</w:t>
      </w:r>
      <w:r>
        <w:rPr>
          <w:color w:val="auto"/>
          <w:sz w:val="24"/>
          <w:szCs w:val="24"/>
          <w:highlight w:val="none"/>
          <w:u w:val="single"/>
        </w:rPr>
        <w:t xml:space="preserve"> </w:t>
      </w:r>
      <w:r>
        <w:rPr>
          <w:rFonts w:hint="eastAsia"/>
          <w:color w:val="auto"/>
          <w:sz w:val="24"/>
          <w:szCs w:val="24"/>
          <w:highlight w:val="none"/>
          <w:u w:val="single"/>
        </w:rPr>
        <w:t>无</w:t>
      </w:r>
      <w:r>
        <w:rPr>
          <w:color w:val="auto"/>
          <w:sz w:val="24"/>
          <w:szCs w:val="24"/>
          <w:highlight w:val="none"/>
          <w:u w:val="single"/>
        </w:rPr>
        <w:t xml:space="preserve">  </w:t>
      </w:r>
      <w:r>
        <w:rPr>
          <w:color w:val="auto"/>
          <w:sz w:val="24"/>
          <w:szCs w:val="24"/>
          <w:highlight w:val="none"/>
        </w:rPr>
        <w:t>。</w:t>
      </w:r>
    </w:p>
    <w:p w14:paraId="6B049C96">
      <w:pPr>
        <w:autoSpaceDE w:val="0"/>
        <w:autoSpaceDN w:val="0"/>
        <w:adjustRightInd w:val="0"/>
        <w:snapToGrid w:val="0"/>
        <w:spacing w:line="360" w:lineRule="auto"/>
        <w:ind w:firstLine="480" w:firstLineChars="200"/>
        <w:jc w:val="left"/>
        <w:rPr>
          <w:color w:val="auto"/>
          <w:kern w:val="0"/>
          <w:sz w:val="24"/>
          <w:szCs w:val="24"/>
          <w:highlight w:val="none"/>
        </w:rPr>
      </w:pPr>
      <w:r>
        <w:rPr>
          <w:color w:val="auto"/>
          <w:kern w:val="0"/>
          <w:sz w:val="24"/>
          <w:szCs w:val="24"/>
          <w:highlight w:val="none"/>
        </w:rPr>
        <w:t>20.3.2 争议评审小组的决定</w:t>
      </w:r>
    </w:p>
    <w:p w14:paraId="7C006092">
      <w:pPr>
        <w:snapToGrid w:val="0"/>
        <w:spacing w:line="360" w:lineRule="auto"/>
        <w:ind w:firstLine="480" w:firstLineChars="200"/>
        <w:jc w:val="left"/>
        <w:rPr>
          <w:color w:val="auto"/>
          <w:sz w:val="24"/>
          <w:szCs w:val="24"/>
          <w:highlight w:val="none"/>
        </w:rPr>
      </w:pPr>
      <w:r>
        <w:rPr>
          <w:color w:val="auto"/>
          <w:sz w:val="24"/>
          <w:szCs w:val="24"/>
          <w:highlight w:val="none"/>
        </w:rPr>
        <w:t>合同当事人关于本项的约定：</w:t>
      </w:r>
      <w:r>
        <w:rPr>
          <w:rFonts w:hint="eastAsia"/>
          <w:color w:val="auto"/>
          <w:sz w:val="24"/>
          <w:szCs w:val="24"/>
          <w:highlight w:val="none"/>
          <w:u w:val="single"/>
          <w:lang w:val="en-US" w:eastAsia="zh-CN"/>
        </w:rPr>
        <w:t xml:space="preserve">  /   </w:t>
      </w:r>
      <w:r>
        <w:rPr>
          <w:color w:val="auto"/>
          <w:sz w:val="24"/>
          <w:szCs w:val="24"/>
          <w:highlight w:val="none"/>
        </w:rPr>
        <w:t>。</w:t>
      </w:r>
    </w:p>
    <w:p w14:paraId="090C1183">
      <w:pPr>
        <w:snapToGrid w:val="0"/>
        <w:spacing w:line="360" w:lineRule="auto"/>
        <w:ind w:firstLine="480" w:firstLineChars="200"/>
        <w:rPr>
          <w:color w:val="auto"/>
          <w:sz w:val="24"/>
          <w:szCs w:val="24"/>
          <w:highlight w:val="none"/>
        </w:rPr>
      </w:pPr>
      <w:r>
        <w:rPr>
          <w:color w:val="auto"/>
          <w:sz w:val="24"/>
          <w:szCs w:val="24"/>
          <w:highlight w:val="none"/>
        </w:rPr>
        <w:t>20.4仲裁或诉讼</w:t>
      </w:r>
      <w:bookmarkEnd w:id="1097"/>
    </w:p>
    <w:p w14:paraId="31CC8A11">
      <w:pPr>
        <w:snapToGrid w:val="0"/>
        <w:spacing w:line="360" w:lineRule="auto"/>
        <w:ind w:firstLine="480" w:firstLineChars="200"/>
        <w:rPr>
          <w:color w:val="auto"/>
          <w:sz w:val="24"/>
          <w:szCs w:val="24"/>
          <w:highlight w:val="none"/>
        </w:rPr>
      </w:pPr>
      <w:r>
        <w:rPr>
          <w:color w:val="auto"/>
          <w:sz w:val="24"/>
          <w:szCs w:val="24"/>
          <w:highlight w:val="none"/>
        </w:rPr>
        <w:t>因合同及合同有关事项发生的争议，按下列第</w:t>
      </w:r>
      <w:r>
        <w:rPr>
          <w:color w:val="auto"/>
          <w:sz w:val="24"/>
          <w:szCs w:val="24"/>
          <w:highlight w:val="none"/>
          <w:u w:val="single"/>
        </w:rPr>
        <w:t xml:space="preserve">  （2）   </w:t>
      </w:r>
      <w:r>
        <w:rPr>
          <w:color w:val="auto"/>
          <w:sz w:val="24"/>
          <w:szCs w:val="24"/>
          <w:highlight w:val="none"/>
        </w:rPr>
        <w:t>种方式解决：</w:t>
      </w:r>
    </w:p>
    <w:p w14:paraId="110A3E5E">
      <w:pPr>
        <w:snapToGrid w:val="0"/>
        <w:spacing w:line="360" w:lineRule="auto"/>
        <w:ind w:firstLine="480" w:firstLineChars="200"/>
        <w:jc w:val="left"/>
        <w:rPr>
          <w:color w:val="auto"/>
          <w:sz w:val="24"/>
          <w:szCs w:val="24"/>
          <w:highlight w:val="none"/>
        </w:rPr>
      </w:pPr>
      <w:r>
        <w:rPr>
          <w:color w:val="auto"/>
          <w:sz w:val="24"/>
          <w:szCs w:val="24"/>
          <w:highlight w:val="none"/>
        </w:rPr>
        <w:t>（1）向</w:t>
      </w:r>
      <w:r>
        <w:rPr>
          <w:color w:val="auto"/>
          <w:sz w:val="24"/>
          <w:szCs w:val="24"/>
          <w:highlight w:val="none"/>
          <w:u w:val="single"/>
        </w:rPr>
        <w:t xml:space="preserve">   </w:t>
      </w:r>
      <w:r>
        <w:rPr>
          <w:rFonts w:hint="eastAsia"/>
          <w:color w:val="auto"/>
          <w:sz w:val="24"/>
          <w:szCs w:val="24"/>
          <w:highlight w:val="none"/>
          <w:u w:val="single"/>
        </w:rPr>
        <w:t>/</w:t>
      </w:r>
      <w:r>
        <w:rPr>
          <w:color w:val="auto"/>
          <w:sz w:val="24"/>
          <w:szCs w:val="24"/>
          <w:highlight w:val="none"/>
          <w:u w:val="single"/>
        </w:rPr>
        <w:t xml:space="preserve">    </w:t>
      </w:r>
      <w:r>
        <w:rPr>
          <w:color w:val="auto"/>
          <w:sz w:val="24"/>
          <w:szCs w:val="24"/>
          <w:highlight w:val="none"/>
        </w:rPr>
        <w:t>仲裁委员会申请仲裁；</w:t>
      </w:r>
    </w:p>
    <w:p w14:paraId="54711CCE">
      <w:pPr>
        <w:snapToGrid w:val="0"/>
        <w:spacing w:line="360" w:lineRule="auto"/>
        <w:ind w:firstLine="480" w:firstLineChars="200"/>
        <w:jc w:val="left"/>
        <w:rPr>
          <w:color w:val="auto"/>
          <w:sz w:val="24"/>
          <w:szCs w:val="24"/>
          <w:highlight w:val="none"/>
        </w:rPr>
      </w:pPr>
      <w:r>
        <w:rPr>
          <w:color w:val="auto"/>
          <w:sz w:val="24"/>
          <w:szCs w:val="24"/>
          <w:highlight w:val="none"/>
        </w:rPr>
        <w:t>（2）向</w:t>
      </w:r>
      <w:r>
        <w:rPr>
          <w:color w:val="auto"/>
          <w:sz w:val="24"/>
          <w:szCs w:val="24"/>
          <w:highlight w:val="none"/>
          <w:u w:val="single"/>
        </w:rPr>
        <w:t xml:space="preserve">  工程所在地  </w:t>
      </w:r>
      <w:r>
        <w:rPr>
          <w:color w:val="auto"/>
          <w:sz w:val="24"/>
          <w:szCs w:val="24"/>
          <w:highlight w:val="none"/>
        </w:rPr>
        <w:t>人民法院起诉。</w:t>
      </w:r>
      <w:bookmarkEnd w:id="1098"/>
      <w:bookmarkEnd w:id="1099"/>
      <w:bookmarkEnd w:id="1100"/>
      <w:bookmarkEnd w:id="1101"/>
      <w:bookmarkEnd w:id="1102"/>
      <w:bookmarkEnd w:id="1103"/>
    </w:p>
    <w:p w14:paraId="119FFC07">
      <w:pPr>
        <w:numPr>
          <w:ilvl w:val="0"/>
          <w:numId w:val="13"/>
        </w:numPr>
        <w:snapToGrid w:val="0"/>
        <w:spacing w:line="360" w:lineRule="auto"/>
        <w:rPr>
          <w:rFonts w:hint="eastAsia" w:hAnsi="宋体"/>
          <w:color w:val="auto"/>
          <w:sz w:val="24"/>
          <w:szCs w:val="24"/>
          <w:highlight w:val="none"/>
        </w:rPr>
      </w:pPr>
      <w:r>
        <w:rPr>
          <w:rFonts w:hint="eastAsia" w:hAnsi="宋体"/>
          <w:color w:val="auto"/>
          <w:sz w:val="24"/>
          <w:szCs w:val="24"/>
          <w:highlight w:val="none"/>
        </w:rPr>
        <w:t>补充条款：</w:t>
      </w:r>
    </w:p>
    <w:p w14:paraId="4410B17C">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施工过程中如发生第三方人身安全事故及第三方损害情况均由承包人负责赔偿，对于承包人所雇用的工人发生意外事故或伤害，应由承包人自行承担。对于此类事故或损害和赔偿，发包人均不予承担任何责任，且发包人不承担涉及此类事故或损害与赔偿或与此有关的索赔、诉讼、损害赔偿、诉讼费、赔偿费及其他所有费用。因第三方人员伤亡及安全生产事故，发包人有权对承包人进行追责和索赔，并根据事故情况将承包人拉入兵团招投标采购黑名单。</w:t>
      </w:r>
    </w:p>
    <w:p w14:paraId="7FFBF9B7">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应当加强工程款管理，做到专款专用，不得拖欠材料、设备货款、农民工和工人工资等费用。发包人、监理单位对工程款使用情况进行监督检查时，承包人应当积极配合，不得阻扰和拒绝。如承包人发生本款所述拖欠行为，一经查实，发包人责令承包人自行组织资金迅速偿还欠款。对恶意拖欠和拒不按计划偿付时，发包人可以代扣工程款（或履约保证金），并将有关情况报相关主管部门调查处理，必要时可解除合同并依法追究承包人的责任。</w:t>
      </w:r>
    </w:p>
    <w:p w14:paraId="2C9A3828">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在施工过程中需进行成品保护、加固、维护，造成的院内（外）现有路面、绿化、建（构）筑物等设施损坏，承包人负责赔偿或修复，并赔偿相关损失。</w:t>
      </w:r>
    </w:p>
    <w:p w14:paraId="2BB973E8">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项目施工过程中因不及时清扫造成的院内环境脏乱，每遭到投诉一次扣除履约保证金的 1‰。</w:t>
      </w:r>
    </w:p>
    <w:p w14:paraId="06A3F954">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项目施工完成后未对施工现场及相关区域进行清废和保洁（包括但不限于废料清除、屋面全面清扫、路面清洗等），发包人将安排保洁单位进行清扫，费用从履约保证金中扣除。</w:t>
      </w:r>
    </w:p>
    <w:p w14:paraId="62B9A19D">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项目使用的材料需向发包人提供合格产品证明，材料进场须先报监理人审核后再报发包人审定，方可进场，未经发包人同意材料进场施工的，发包人有权责令更换材料，并扣除履约担保金 1‰-3‰的违约金。</w:t>
      </w:r>
    </w:p>
    <w:p w14:paraId="047897F2">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承包人如违反合同约定，除承担给发包人造成的经济损失外，还应承担引发诉讼产生的诉讼费、律师费、公证费、保全及保全担保费等费用。</w:t>
      </w:r>
    </w:p>
    <w:p w14:paraId="2B7908CC">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对已有路面、草坪、树木、设备（如：空调、监控、照明等）进行成品保护，如有损坏，必须原样恢复，若无法恢复，则赔偿发包人相关损失。拆除设备应做好成品保护，如恢复安装后无法运行的，承包人应予以修复，维修费用由承包人承担，若造成损坏无法修复的，承包人应照价赔偿。</w:t>
      </w:r>
    </w:p>
    <w:p w14:paraId="4BA5657E">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施工人员进出通道及围挡搭设完毕后，需经行业主管部门进行安全检查后方可投入使用，此项费用由施工单位自行考虑。</w:t>
      </w:r>
    </w:p>
    <w:p w14:paraId="5E8B2F8F">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承包人每周一应向发包人提供上周工作日志资料，每逾期一次或提交资料不合格扣除履约保证金3‰的违约金。</w:t>
      </w:r>
    </w:p>
    <w:p w14:paraId="7A5687C3">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特殊作业人员必须经过专业培训，并持有效合格证或上岗证上岗。监理人有权随时检查承包人派驻现场人员的上岗资格证明情况。如发现无证上岗人员，每发生一次，发包人按履约保证金的1‰扣除，由此造成的安全事故和损失由承包人自行承担。</w:t>
      </w:r>
    </w:p>
    <w:p w14:paraId="74E0883C">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在施工过程中，遵守有关环境保护的法律、法规，履行环境保护义务，并对违反法律、法规所造成的环境破坏、人身伤害和财产损失负责。承包人应按批准的施工环保措施计划有序地堆放和处理施工废弃物，避免对环境造成的破坏，保持现场清洁，不得出现不必要的障碍。各类设备和材料应妥善存放，并随时将废料、垃圾及不再需要的临时设施清运出指定地点内。当承包人未能按要求完成清理工作，发包人可指定他人完成此项工作，其费用从发包人向承包人支付的任何款项中扣除。</w:t>
      </w:r>
    </w:p>
    <w:p w14:paraId="180CBF01">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承包方临设搭建，食宿、办公场地由施工单位自行考虑，须经发包人同意后进行相关设施搭建，并做好环境保护。</w:t>
      </w:r>
    </w:p>
    <w:p w14:paraId="7C19AF9C">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被认为在送交响应文件之前，已进行了现场考察，对现场和其周围环境以及可得到的有关资料进行了查看和核查，承包人已取得可能对投标有影响或起作用的风险、意外等必要资料。承包人应采取一切合理的措施保护施工场地内外环境并防止由于其作业方法导致的污染、噪音或其他原因造成的对周围地下管线和邻近建筑物、构筑物、草地、乔木、树木等的伤害和受损。</w:t>
      </w:r>
    </w:p>
    <w:p w14:paraId="2810D6C4">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承包人应在竣工之日起30日内提供完整的工程竣工结算资料，经发包人书面形式催促后15天内仍未提供或没有明确答复，发包人有权根据已有资料进行审定，且承包人每延误一天支付签约合同价格 5‰的违约金。</w:t>
      </w:r>
    </w:p>
    <w:p w14:paraId="2B586FA8">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 xml:space="preserve">承包人未按时移交工程的，每逾期一天扣除合同金额 5‰的违约金。 </w:t>
      </w:r>
    </w:p>
    <w:p w14:paraId="7DA8B8F8">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承包人未在规定时间内足额缴纳履约保证金即视为不响应招标文件。</w:t>
      </w:r>
    </w:p>
    <w:p w14:paraId="7ACA964B">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施工期间设计变更必须经建设方同意，暂列金的使用必须经建设方书面同意，暂列金余额应归发包人所有。</w:t>
      </w:r>
    </w:p>
    <w:p w14:paraId="71E5E335">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在竣工结算中，由于承包方原因导致结算价格超过合同价款时，超出部分由承包单位自行承担。</w:t>
      </w:r>
    </w:p>
    <w:p w14:paraId="06F50884">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发包人提供的所有资料，承包方需要自行复核，若因发包人提供的资料与实际不符造成的损失及相关费用，由承包方自行承担。</w:t>
      </w:r>
    </w:p>
    <w:p w14:paraId="4F9B5785">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承包方所使用主材、设备提供不少于三个国内知名品牌，报监理方审核，由建设方确认后，方可使用，承包方不得以材料渠道单一等问题拒绝向发包方提供相关材料。</w:t>
      </w:r>
    </w:p>
    <w:p w14:paraId="29109FE3">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拆除工程中，承包方负责将拆除的有剩余价值的设备材料分类存放，发包方负责对有剩余价值物品进行处置，处置收益归发包方所有，剩余物品由承包方处置。</w:t>
      </w:r>
    </w:p>
    <w:p w14:paraId="18B3AA15">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承包方必须图纸设计要求开展相关监测（检测）工作，承包方对监测数据准确性负责，并按发包方方要求报送监测数据。</w:t>
      </w:r>
    </w:p>
    <w:p w14:paraId="5491C00D">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水电费在竣工验收后由承包方向发包方单独缴纳。</w:t>
      </w:r>
    </w:p>
    <w:p w14:paraId="3547610F">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特别提醒：中标人不得将工程转包和违法分包。如该工程承包人因本工程被诉讼主张权利时，将发包人列为共同被告的，由此所产生的一切费用（包括但不限于律师费、诉讼费、鉴定费等）均由承包人承担。</w:t>
      </w:r>
    </w:p>
    <w:p w14:paraId="14C5926F">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承包人与发包人共同确认利旧设备清单和设备状态后，将拆卸下来的设备必须按照类别进行分类存放。并对每个设备及其部件进行详细记录设备信息，包括存放位置、状态等信息。</w:t>
      </w:r>
    </w:p>
    <w:p w14:paraId="58F12988">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在项目建设完成后，对所有设备进行详细检查，确保设备完好无损。对设备进行功能测试，确保设备能够正常工作。恢复系统配置和设置，确保新建系统与利旧设备之间的兼容性。对整个系统进行验证，确保系统能够正常运行并满足使用需求。</w:t>
      </w:r>
    </w:p>
    <w:p w14:paraId="721066E7">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承包方需明确关键节点日期。因承包方采购设备或进度安排不合理造成工期拖延，按违约条款处理。</w:t>
      </w:r>
    </w:p>
    <w:p w14:paraId="27A3284D">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承包方提供的辅材，包括不限于线缆、桥架、管材、接插件等必须满足国标，禁止使用非标产品和翻新件。</w:t>
      </w:r>
    </w:p>
    <w:p w14:paraId="7F395D0F">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承包人驻场人员必须与投标资料配置人员相符，否则按合同相关扣除履约保证金。</w:t>
      </w:r>
    </w:p>
    <w:p w14:paraId="4DB33CCD">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项目竣工验收前，发包人委托第三方进行室内空气质量检测，检测结果达不到国家相关标准要求的，项目不予验收，相关整改费用由承包人承担，工期延误按合同条款扣除履约保证金。</w:t>
      </w:r>
    </w:p>
    <w:p w14:paraId="2E0869E7">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未经发包人同意，承包人以任何理由连续停工达到三天的，发包人有权单方面解除合同，履约保证金不予退还，已完成施工内容及构建筑物均归发包人所有，所发生的包括但不限于人材机等一切费用均由承包人自行承担，发包人不予支付相关任何费用。</w:t>
      </w:r>
    </w:p>
    <w:p w14:paraId="140CBC9B">
      <w:pPr>
        <w:widowControl w:val="0"/>
        <w:numPr>
          <w:ilvl w:val="0"/>
          <w:numId w:val="14"/>
        </w:numPr>
        <w:snapToGrid w:val="0"/>
        <w:spacing w:line="360" w:lineRule="auto"/>
        <w:ind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承包人项目负责人需每周一次向发包人当面汇报工程进展情况及下一步施工计划、研究解决相关问题。若发生承包人项目负责人不向发包人当面汇报的，处合同总金额 1‰的违约金。</w:t>
      </w:r>
    </w:p>
    <w:p w14:paraId="32B944E0">
      <w:pPr>
        <w:widowControl w:val="0"/>
        <w:numPr>
          <w:ilvl w:val="0"/>
          <w:numId w:val="14"/>
        </w:numPr>
        <w:snapToGrid w:val="0"/>
        <w:spacing w:line="360" w:lineRule="auto"/>
        <w:ind w:firstLine="480" w:firstLineChars="200"/>
        <w:jc w:val="both"/>
        <w:rPr>
          <w:rFonts w:hint="eastAsia"/>
          <w:color w:val="auto"/>
          <w:sz w:val="24"/>
          <w:szCs w:val="24"/>
          <w:highlight w:val="none"/>
        </w:rPr>
      </w:pPr>
      <w:r>
        <w:rPr>
          <w:rFonts w:hint="eastAsia" w:hAnsi="宋体"/>
          <w:color w:val="auto"/>
          <w:sz w:val="24"/>
          <w:szCs w:val="24"/>
          <w:highlight w:val="none"/>
          <w:lang w:val="en-US" w:eastAsia="zh-CN"/>
        </w:rPr>
        <w:t>本项目合同约定与磋商文件及承包人理解不一致时，按有利于发包人的标准理解执行。</w:t>
      </w:r>
    </w:p>
    <w:p w14:paraId="2CB6083A">
      <w:pPr>
        <w:widowControl w:val="0"/>
        <w:numPr>
          <w:ilvl w:val="0"/>
          <w:numId w:val="14"/>
        </w:numPr>
        <w:snapToGrid w:val="0"/>
        <w:spacing w:line="360" w:lineRule="auto"/>
        <w:ind w:firstLine="480" w:firstLineChars="200"/>
        <w:jc w:val="both"/>
        <w:rPr>
          <w:rFonts w:hint="eastAsia"/>
          <w:color w:val="auto"/>
          <w:sz w:val="24"/>
          <w:szCs w:val="24"/>
          <w:highlight w:val="none"/>
        </w:rPr>
      </w:pPr>
      <w:r>
        <w:rPr>
          <w:rFonts w:hint="eastAsia"/>
          <w:color w:val="auto"/>
          <w:sz w:val="24"/>
          <w:szCs w:val="24"/>
          <w:highlight w:val="none"/>
        </w:rPr>
        <w:t>承包人有义务按照规定开具合规的增值税专业发票，发包方在取得合规的增值税专用发票后才支付款项。不得虚开增值税专用发票，如承包方开具的发票不规范，不合法或涉嫌虚开，承包人不仅要承担赔偿责任，而且不能免除其开具合法发票的义务。</w:t>
      </w:r>
    </w:p>
    <w:p w14:paraId="41604AC6">
      <w:pPr>
        <w:widowControl w:val="0"/>
        <w:numPr>
          <w:ilvl w:val="0"/>
          <w:numId w:val="14"/>
        </w:numPr>
        <w:snapToGrid w:val="0"/>
        <w:spacing w:line="360" w:lineRule="auto"/>
        <w:ind w:firstLine="480" w:firstLineChars="200"/>
        <w:jc w:val="both"/>
        <w:rPr>
          <w:rFonts w:hint="eastAsia"/>
          <w:color w:val="auto"/>
          <w:sz w:val="24"/>
          <w:szCs w:val="24"/>
          <w:highlight w:val="none"/>
        </w:rPr>
      </w:pPr>
      <w:r>
        <w:rPr>
          <w:rFonts w:hint="eastAsia"/>
          <w:color w:val="auto"/>
          <w:sz w:val="24"/>
          <w:szCs w:val="24"/>
          <w:highlight w:val="none"/>
        </w:rPr>
        <w:t>合同在执行过程中，发包人确定的承包人实际发生的合同约定的价外费用，其进行结算支付时，承包人也应当开具正规的增值税专用发票。</w:t>
      </w:r>
    </w:p>
    <w:p w14:paraId="3FD326EB">
      <w:pPr>
        <w:widowControl w:val="0"/>
        <w:numPr>
          <w:ilvl w:val="0"/>
          <w:numId w:val="14"/>
        </w:numPr>
        <w:snapToGrid w:val="0"/>
        <w:spacing w:line="360" w:lineRule="auto"/>
        <w:ind w:firstLine="480" w:firstLineChars="200"/>
        <w:jc w:val="both"/>
        <w:rPr>
          <w:rFonts w:hint="eastAsia"/>
          <w:color w:val="auto"/>
          <w:sz w:val="24"/>
          <w:szCs w:val="24"/>
          <w:highlight w:val="none"/>
        </w:rPr>
      </w:pPr>
      <w:r>
        <w:rPr>
          <w:rFonts w:hint="eastAsia"/>
          <w:color w:val="auto"/>
          <w:sz w:val="24"/>
          <w:szCs w:val="24"/>
          <w:highlight w:val="none"/>
        </w:rPr>
        <w:t>合同内容发生变更导致的增值税专用发票记载项目发生变化的，应当作废、重开、补开、红字开具增值税专用发票，如果发包人取得的增值税专用发票尚未认证抵扣，则由开票方作废，原发票重新开具增值税专用发票；如果原增值税专用发票已经认证抵扣，则由开票方就合同增加的金额补开增值税专用发票，就减少的金额开具红字增值税专用发票。</w:t>
      </w:r>
    </w:p>
    <w:p w14:paraId="59FA80A2">
      <w:pPr>
        <w:widowControl w:val="0"/>
        <w:numPr>
          <w:ilvl w:val="0"/>
          <w:numId w:val="14"/>
        </w:numPr>
        <w:snapToGrid w:val="0"/>
        <w:spacing w:line="360" w:lineRule="auto"/>
        <w:ind w:firstLine="480" w:firstLineChars="200"/>
        <w:jc w:val="both"/>
        <w:rPr>
          <w:rFonts w:hint="eastAsia"/>
          <w:color w:val="auto"/>
          <w:sz w:val="24"/>
          <w:szCs w:val="24"/>
          <w:highlight w:val="none"/>
        </w:rPr>
      </w:pPr>
      <w:r>
        <w:rPr>
          <w:rFonts w:hint="eastAsia"/>
          <w:color w:val="auto"/>
          <w:sz w:val="24"/>
          <w:szCs w:val="24"/>
          <w:highlight w:val="none"/>
        </w:rPr>
        <w:t>在合同履行期间如有其他需要补充的内容，甲乙双方可以通过补充协议的方式明确，补充协议签订后应在。</w:t>
      </w:r>
    </w:p>
    <w:p w14:paraId="49E4351B">
      <w:pPr>
        <w:snapToGrid w:val="0"/>
        <w:spacing w:line="360" w:lineRule="auto"/>
        <w:ind w:firstLine="480" w:firstLineChars="200"/>
        <w:jc w:val="left"/>
        <w:rPr>
          <w:color w:val="auto"/>
          <w:sz w:val="24"/>
          <w:szCs w:val="24"/>
          <w:highlight w:val="none"/>
        </w:rPr>
      </w:pPr>
    </w:p>
    <w:p w14:paraId="7B6D37D5">
      <w:pPr>
        <w:spacing w:line="360" w:lineRule="auto"/>
        <w:jc w:val="left"/>
        <w:rPr>
          <w:b/>
          <w:color w:val="auto"/>
          <w:sz w:val="24"/>
          <w:szCs w:val="24"/>
          <w:highlight w:val="none"/>
        </w:rPr>
      </w:pPr>
      <w:r>
        <w:rPr>
          <w:color w:val="auto"/>
          <w:sz w:val="24"/>
          <w:szCs w:val="24"/>
          <w:highlight w:val="none"/>
        </w:rPr>
        <w:br w:type="page"/>
      </w:r>
      <w:bookmarkStart w:id="1110" w:name="_Toc351203652"/>
      <w:r>
        <w:rPr>
          <w:b/>
          <w:color w:val="auto"/>
          <w:sz w:val="24"/>
          <w:szCs w:val="24"/>
          <w:highlight w:val="none"/>
        </w:rPr>
        <w:t>附件</w:t>
      </w:r>
      <w:bookmarkEnd w:id="1110"/>
    </w:p>
    <w:p w14:paraId="5B8A25BD">
      <w:pPr>
        <w:spacing w:line="360" w:lineRule="auto"/>
        <w:jc w:val="left"/>
        <w:rPr>
          <w:color w:val="auto"/>
          <w:sz w:val="24"/>
          <w:szCs w:val="24"/>
          <w:highlight w:val="none"/>
        </w:rPr>
      </w:pPr>
      <w:r>
        <w:rPr>
          <w:color w:val="auto"/>
          <w:sz w:val="24"/>
          <w:szCs w:val="24"/>
          <w:highlight w:val="none"/>
        </w:rPr>
        <w:t>协议书附件：</w:t>
      </w:r>
    </w:p>
    <w:p w14:paraId="7D350568">
      <w:pPr>
        <w:spacing w:line="360" w:lineRule="auto"/>
        <w:jc w:val="left"/>
        <w:rPr>
          <w:color w:val="auto"/>
          <w:sz w:val="24"/>
          <w:szCs w:val="24"/>
          <w:highlight w:val="none"/>
        </w:rPr>
      </w:pPr>
      <w:r>
        <w:rPr>
          <w:color w:val="auto"/>
          <w:sz w:val="24"/>
          <w:szCs w:val="24"/>
          <w:highlight w:val="none"/>
        </w:rPr>
        <w:t>附件1：承包人承揽工程项目一览表</w:t>
      </w:r>
    </w:p>
    <w:p w14:paraId="4A7FA4DC">
      <w:pPr>
        <w:spacing w:line="360" w:lineRule="auto"/>
        <w:jc w:val="left"/>
        <w:rPr>
          <w:color w:val="auto"/>
          <w:sz w:val="24"/>
          <w:szCs w:val="24"/>
          <w:highlight w:val="none"/>
        </w:rPr>
      </w:pPr>
      <w:r>
        <w:rPr>
          <w:color w:val="auto"/>
          <w:sz w:val="24"/>
          <w:szCs w:val="24"/>
          <w:highlight w:val="none"/>
        </w:rPr>
        <w:t>专用合同条款附件：</w:t>
      </w:r>
    </w:p>
    <w:p w14:paraId="45BF37A3">
      <w:pPr>
        <w:spacing w:line="360" w:lineRule="auto"/>
        <w:jc w:val="left"/>
        <w:rPr>
          <w:color w:val="auto"/>
          <w:sz w:val="24"/>
          <w:szCs w:val="24"/>
          <w:highlight w:val="none"/>
        </w:rPr>
      </w:pPr>
      <w:r>
        <w:rPr>
          <w:color w:val="auto"/>
          <w:sz w:val="24"/>
          <w:szCs w:val="24"/>
          <w:highlight w:val="none"/>
        </w:rPr>
        <w:t>附件2：发包人供应材料设备一览表</w:t>
      </w:r>
    </w:p>
    <w:p w14:paraId="3EF5F271">
      <w:pPr>
        <w:spacing w:line="360" w:lineRule="auto"/>
        <w:jc w:val="left"/>
        <w:rPr>
          <w:color w:val="auto"/>
          <w:sz w:val="24"/>
          <w:szCs w:val="24"/>
          <w:highlight w:val="none"/>
        </w:rPr>
      </w:pPr>
      <w:r>
        <w:rPr>
          <w:color w:val="auto"/>
          <w:sz w:val="24"/>
          <w:szCs w:val="24"/>
          <w:highlight w:val="none"/>
        </w:rPr>
        <w:t>附件3：工程质量保修书</w:t>
      </w:r>
    </w:p>
    <w:p w14:paraId="2FE19609">
      <w:pPr>
        <w:spacing w:line="360" w:lineRule="auto"/>
        <w:jc w:val="left"/>
        <w:rPr>
          <w:color w:val="auto"/>
          <w:sz w:val="24"/>
          <w:szCs w:val="24"/>
          <w:highlight w:val="none"/>
        </w:rPr>
      </w:pPr>
      <w:r>
        <w:rPr>
          <w:color w:val="auto"/>
          <w:sz w:val="24"/>
          <w:szCs w:val="24"/>
          <w:highlight w:val="none"/>
        </w:rPr>
        <w:t>附件4：主要建设工程文件目录</w:t>
      </w:r>
    </w:p>
    <w:p w14:paraId="42AB4808">
      <w:pPr>
        <w:spacing w:line="360" w:lineRule="auto"/>
        <w:jc w:val="left"/>
        <w:rPr>
          <w:color w:val="auto"/>
          <w:sz w:val="24"/>
          <w:szCs w:val="24"/>
          <w:highlight w:val="none"/>
        </w:rPr>
      </w:pPr>
      <w:r>
        <w:rPr>
          <w:color w:val="auto"/>
          <w:sz w:val="24"/>
          <w:szCs w:val="24"/>
          <w:highlight w:val="none"/>
        </w:rPr>
        <w:t>附件5：承包人用于本工程施工的机械设备表</w:t>
      </w:r>
    </w:p>
    <w:p w14:paraId="6B377A1E">
      <w:pPr>
        <w:spacing w:line="360" w:lineRule="auto"/>
        <w:jc w:val="left"/>
        <w:rPr>
          <w:color w:val="auto"/>
          <w:sz w:val="24"/>
          <w:szCs w:val="24"/>
          <w:highlight w:val="none"/>
        </w:rPr>
      </w:pPr>
      <w:r>
        <w:rPr>
          <w:color w:val="auto"/>
          <w:sz w:val="24"/>
          <w:szCs w:val="24"/>
          <w:highlight w:val="none"/>
        </w:rPr>
        <w:t>附件6：承包人主要施工管理人员表</w:t>
      </w:r>
    </w:p>
    <w:p w14:paraId="72695D68">
      <w:pPr>
        <w:spacing w:line="360" w:lineRule="auto"/>
        <w:jc w:val="left"/>
        <w:rPr>
          <w:color w:val="auto"/>
          <w:sz w:val="24"/>
          <w:szCs w:val="24"/>
          <w:highlight w:val="none"/>
        </w:rPr>
      </w:pPr>
      <w:r>
        <w:rPr>
          <w:color w:val="auto"/>
          <w:sz w:val="24"/>
          <w:szCs w:val="24"/>
          <w:highlight w:val="none"/>
        </w:rPr>
        <w:t>附件7：分包人主要施工管理人员表</w:t>
      </w:r>
    </w:p>
    <w:p w14:paraId="624F5705">
      <w:pPr>
        <w:spacing w:line="360" w:lineRule="auto"/>
        <w:jc w:val="left"/>
        <w:rPr>
          <w:color w:val="auto"/>
          <w:sz w:val="24"/>
          <w:szCs w:val="24"/>
          <w:highlight w:val="none"/>
        </w:rPr>
      </w:pPr>
      <w:r>
        <w:rPr>
          <w:color w:val="auto"/>
          <w:sz w:val="24"/>
          <w:szCs w:val="24"/>
          <w:highlight w:val="none"/>
        </w:rPr>
        <w:t>附件8：履约担保格式</w:t>
      </w:r>
    </w:p>
    <w:p w14:paraId="6258C6C8">
      <w:pPr>
        <w:spacing w:line="360" w:lineRule="auto"/>
        <w:jc w:val="left"/>
        <w:rPr>
          <w:color w:val="auto"/>
          <w:sz w:val="24"/>
          <w:szCs w:val="24"/>
          <w:highlight w:val="none"/>
        </w:rPr>
      </w:pPr>
      <w:r>
        <w:rPr>
          <w:color w:val="auto"/>
          <w:sz w:val="24"/>
          <w:szCs w:val="24"/>
          <w:highlight w:val="none"/>
        </w:rPr>
        <w:t>附件9：预付款担保格式</w:t>
      </w:r>
    </w:p>
    <w:p w14:paraId="32D56E6B">
      <w:pPr>
        <w:spacing w:line="360" w:lineRule="auto"/>
        <w:jc w:val="left"/>
        <w:rPr>
          <w:color w:val="auto"/>
          <w:sz w:val="24"/>
          <w:szCs w:val="24"/>
          <w:highlight w:val="none"/>
        </w:rPr>
      </w:pPr>
      <w:r>
        <w:rPr>
          <w:color w:val="auto"/>
          <w:sz w:val="24"/>
          <w:szCs w:val="24"/>
          <w:highlight w:val="none"/>
        </w:rPr>
        <w:t>附件10：支付担保格式</w:t>
      </w:r>
    </w:p>
    <w:p w14:paraId="29BD76C3">
      <w:pPr>
        <w:spacing w:line="360" w:lineRule="auto"/>
        <w:rPr>
          <w:rFonts w:hint="eastAsia"/>
          <w:color w:val="auto"/>
          <w:sz w:val="24"/>
          <w:szCs w:val="24"/>
          <w:highlight w:val="none"/>
        </w:rPr>
      </w:pPr>
      <w:r>
        <w:rPr>
          <w:color w:val="auto"/>
          <w:sz w:val="24"/>
          <w:szCs w:val="24"/>
          <w:highlight w:val="none"/>
        </w:rPr>
        <w:t>附件11：暂估价一览表</w:t>
      </w:r>
      <w:r>
        <w:rPr>
          <w:color w:val="auto"/>
          <w:sz w:val="24"/>
          <w:szCs w:val="24"/>
          <w:highlight w:val="none"/>
        </w:rPr>
        <w:br w:type="textWrapping"/>
      </w:r>
      <w:r>
        <w:rPr>
          <w:color w:val="auto"/>
          <w:sz w:val="24"/>
          <w:szCs w:val="24"/>
          <w:highlight w:val="none"/>
        </w:rPr>
        <w:t>附件1</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建设工程廉政责任书</w:t>
      </w:r>
    </w:p>
    <w:p w14:paraId="2D1FF959">
      <w:pPr>
        <w:spacing w:line="360" w:lineRule="auto"/>
        <w:rPr>
          <w:color w:val="auto"/>
          <w:sz w:val="24"/>
          <w:szCs w:val="24"/>
          <w:highlight w:val="none"/>
        </w:rPr>
      </w:pPr>
    </w:p>
    <w:p w14:paraId="633B01EE">
      <w:pPr>
        <w:pStyle w:val="114"/>
        <w:spacing w:before="156" w:after="156" w:line="440" w:lineRule="atLeast"/>
        <w:rPr>
          <w:rFonts w:hint="eastAsia" w:ascii="宋体" w:hAnsi="宋体" w:cs="Arial"/>
          <w:b/>
          <w:color w:val="auto"/>
          <w:sz w:val="28"/>
          <w:szCs w:val="28"/>
          <w:highlight w:val="none"/>
        </w:rPr>
      </w:pPr>
    </w:p>
    <w:p w14:paraId="4A6B6100">
      <w:pPr>
        <w:pStyle w:val="114"/>
        <w:spacing w:before="156" w:after="156" w:line="440" w:lineRule="atLeast"/>
        <w:rPr>
          <w:rFonts w:hint="eastAsia" w:ascii="宋体" w:hAnsi="宋体" w:cs="Arial"/>
          <w:b/>
          <w:color w:val="auto"/>
          <w:sz w:val="28"/>
          <w:szCs w:val="28"/>
          <w:highlight w:val="none"/>
        </w:rPr>
      </w:pPr>
    </w:p>
    <w:p w14:paraId="3DE69968">
      <w:pPr>
        <w:pStyle w:val="114"/>
        <w:spacing w:before="156" w:after="156" w:line="440" w:lineRule="atLeast"/>
        <w:rPr>
          <w:rFonts w:hint="eastAsia" w:ascii="宋体" w:hAnsi="宋体" w:cs="Arial"/>
          <w:b/>
          <w:color w:val="auto"/>
          <w:sz w:val="28"/>
          <w:szCs w:val="28"/>
          <w:highlight w:val="none"/>
        </w:rPr>
      </w:pPr>
    </w:p>
    <w:p w14:paraId="67C4514C">
      <w:pPr>
        <w:pStyle w:val="114"/>
        <w:spacing w:before="156" w:after="156" w:line="440" w:lineRule="atLeast"/>
        <w:rPr>
          <w:rFonts w:hint="eastAsia" w:ascii="宋体" w:hAnsi="宋体" w:cs="Arial"/>
          <w:b/>
          <w:color w:val="auto"/>
          <w:sz w:val="28"/>
          <w:szCs w:val="28"/>
          <w:highlight w:val="none"/>
        </w:rPr>
      </w:pPr>
    </w:p>
    <w:p w14:paraId="0626484B">
      <w:pPr>
        <w:pStyle w:val="114"/>
        <w:spacing w:before="156" w:after="156" w:line="440" w:lineRule="atLeast"/>
        <w:rPr>
          <w:rFonts w:hint="eastAsia" w:ascii="宋体" w:hAnsi="宋体" w:cs="Arial"/>
          <w:b/>
          <w:color w:val="auto"/>
          <w:sz w:val="28"/>
          <w:szCs w:val="28"/>
          <w:highlight w:val="none"/>
        </w:rPr>
      </w:pPr>
    </w:p>
    <w:p w14:paraId="204C5C00">
      <w:pPr>
        <w:pStyle w:val="114"/>
        <w:spacing w:before="156" w:after="156" w:line="440" w:lineRule="atLeast"/>
        <w:rPr>
          <w:rFonts w:hint="eastAsia" w:ascii="宋体" w:hAnsi="宋体" w:cs="Arial"/>
          <w:b/>
          <w:color w:val="auto"/>
          <w:sz w:val="28"/>
          <w:szCs w:val="28"/>
          <w:highlight w:val="none"/>
        </w:rPr>
      </w:pPr>
    </w:p>
    <w:p w14:paraId="0B311598">
      <w:pPr>
        <w:pStyle w:val="114"/>
        <w:spacing w:before="156" w:after="156" w:line="440" w:lineRule="atLeast"/>
        <w:rPr>
          <w:rFonts w:hint="eastAsia" w:ascii="宋体" w:hAnsi="宋体" w:cs="Arial"/>
          <w:b/>
          <w:color w:val="auto"/>
          <w:sz w:val="28"/>
          <w:szCs w:val="28"/>
          <w:highlight w:val="none"/>
        </w:rPr>
      </w:pPr>
    </w:p>
    <w:p w14:paraId="3F5EBFDD">
      <w:pPr>
        <w:pStyle w:val="114"/>
        <w:spacing w:before="156" w:after="156" w:line="440" w:lineRule="atLeast"/>
        <w:rPr>
          <w:rFonts w:hint="eastAsia" w:ascii="宋体" w:hAnsi="宋体" w:cs="Arial"/>
          <w:b/>
          <w:color w:val="auto"/>
          <w:sz w:val="28"/>
          <w:szCs w:val="28"/>
          <w:highlight w:val="none"/>
        </w:rPr>
      </w:pPr>
    </w:p>
    <w:p w14:paraId="1874AD1A">
      <w:pPr>
        <w:pStyle w:val="114"/>
        <w:spacing w:before="156" w:after="156" w:line="440" w:lineRule="atLeast"/>
        <w:rPr>
          <w:rFonts w:hint="eastAsia" w:ascii="宋体" w:hAnsi="宋体" w:cs="Arial"/>
          <w:b/>
          <w:color w:val="auto"/>
          <w:sz w:val="28"/>
          <w:szCs w:val="28"/>
          <w:highlight w:val="none"/>
        </w:rPr>
      </w:pPr>
    </w:p>
    <w:p w14:paraId="68CBD69A">
      <w:pPr>
        <w:pStyle w:val="114"/>
        <w:spacing w:before="156" w:after="156" w:line="440" w:lineRule="atLeast"/>
        <w:rPr>
          <w:rFonts w:hint="eastAsia" w:ascii="宋体" w:hAnsi="宋体" w:cs="Arial"/>
          <w:b/>
          <w:color w:val="auto"/>
          <w:sz w:val="28"/>
          <w:szCs w:val="28"/>
          <w:highlight w:val="none"/>
        </w:rPr>
      </w:pPr>
    </w:p>
    <w:p w14:paraId="52EA225D">
      <w:pPr>
        <w:pStyle w:val="114"/>
        <w:spacing w:before="156" w:after="156" w:line="440" w:lineRule="atLeast"/>
        <w:rPr>
          <w:rFonts w:hint="eastAsia" w:ascii="宋体" w:hAnsi="宋体" w:cs="Arial"/>
          <w:b/>
          <w:color w:val="auto"/>
          <w:sz w:val="28"/>
          <w:szCs w:val="28"/>
          <w:highlight w:val="none"/>
        </w:rPr>
      </w:pPr>
    </w:p>
    <w:p w14:paraId="5D027A90">
      <w:pPr>
        <w:pStyle w:val="114"/>
        <w:spacing w:before="156" w:after="156" w:line="440" w:lineRule="atLeast"/>
        <w:rPr>
          <w:rFonts w:ascii="宋体" w:hAnsi="宋体" w:cs="Arial"/>
          <w:b/>
          <w:color w:val="auto"/>
          <w:sz w:val="28"/>
          <w:szCs w:val="28"/>
          <w:highlight w:val="none"/>
        </w:rPr>
      </w:pPr>
      <w:r>
        <w:rPr>
          <w:rFonts w:hint="eastAsia" w:ascii="宋体" w:hAnsi="宋体" w:cs="Arial"/>
          <w:b/>
          <w:color w:val="auto"/>
          <w:sz w:val="28"/>
          <w:szCs w:val="28"/>
          <w:highlight w:val="none"/>
        </w:rPr>
        <w:t>附件1：</w:t>
      </w:r>
    </w:p>
    <w:p w14:paraId="290F693F">
      <w:pPr>
        <w:pStyle w:val="114"/>
        <w:spacing w:before="156" w:after="156" w:line="440" w:lineRule="atLeast"/>
        <w:jc w:val="center"/>
        <w:rPr>
          <w:rFonts w:ascii="宋体" w:hAnsi="宋体" w:cs="Arial"/>
          <w:b/>
          <w:color w:val="auto"/>
          <w:sz w:val="28"/>
          <w:szCs w:val="28"/>
          <w:highlight w:val="none"/>
        </w:rPr>
      </w:pPr>
      <w:r>
        <w:rPr>
          <w:rFonts w:hint="eastAsia" w:ascii="宋体" w:hAnsi="宋体" w:cs="Arial"/>
          <w:b/>
          <w:color w:val="auto"/>
          <w:sz w:val="28"/>
          <w:szCs w:val="28"/>
          <w:highlight w:val="none"/>
        </w:rPr>
        <w:t>承包人承揽工程项目一览表</w:t>
      </w:r>
    </w:p>
    <w:tbl>
      <w:tblPr>
        <w:tblStyle w:val="31"/>
        <w:tblW w:w="10131" w:type="dxa"/>
        <w:jc w:val="center"/>
        <w:tblCellSpacing w:w="15" w:type="dxa"/>
        <w:tblLayout w:type="fixed"/>
        <w:tblCellMar>
          <w:top w:w="0" w:type="dxa"/>
          <w:left w:w="28" w:type="dxa"/>
          <w:bottom w:w="0" w:type="dxa"/>
          <w:right w:w="28" w:type="dxa"/>
        </w:tblCellMar>
      </w:tblPr>
      <w:tblGrid>
        <w:gridCol w:w="1101"/>
        <w:gridCol w:w="957"/>
        <w:gridCol w:w="1161"/>
        <w:gridCol w:w="1122"/>
        <w:gridCol w:w="805"/>
        <w:gridCol w:w="989"/>
        <w:gridCol w:w="1070"/>
        <w:gridCol w:w="1149"/>
        <w:gridCol w:w="895"/>
        <w:gridCol w:w="882"/>
      </w:tblGrid>
      <w:tr w14:paraId="57BB932F">
        <w:tblPrEx>
          <w:tblCellMar>
            <w:top w:w="0" w:type="dxa"/>
            <w:left w:w="28" w:type="dxa"/>
            <w:bottom w:w="0" w:type="dxa"/>
            <w:right w:w="28" w:type="dxa"/>
          </w:tblCellMar>
        </w:tblPrEx>
        <w:trPr>
          <w:tblCellSpacing w:w="15" w:type="dxa"/>
          <w:jc w:val="center"/>
        </w:trPr>
        <w:tc>
          <w:tcPr>
            <w:tcW w:w="1056" w:type="dxa"/>
            <w:tcBorders>
              <w:top w:val="single" w:color="auto" w:sz="12" w:space="0"/>
              <w:left w:val="single" w:color="auto" w:sz="12" w:space="0"/>
              <w:bottom w:val="double" w:color="auto" w:sz="2" w:space="0"/>
              <w:right w:val="single" w:color="auto" w:sz="6" w:space="0"/>
            </w:tcBorders>
            <w:noWrap w:val="0"/>
            <w:vAlign w:val="center"/>
          </w:tcPr>
          <w:p w14:paraId="0D5041EB">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单位工程名称</w:t>
            </w:r>
          </w:p>
        </w:tc>
        <w:tc>
          <w:tcPr>
            <w:tcW w:w="927" w:type="dxa"/>
            <w:tcBorders>
              <w:top w:val="single" w:color="auto" w:sz="12" w:space="0"/>
              <w:left w:val="single" w:color="auto" w:sz="6" w:space="0"/>
              <w:bottom w:val="double" w:color="auto" w:sz="2" w:space="0"/>
              <w:right w:val="single" w:color="auto" w:sz="6" w:space="0"/>
            </w:tcBorders>
            <w:noWrap w:val="0"/>
            <w:vAlign w:val="center"/>
          </w:tcPr>
          <w:p w14:paraId="076491E9">
            <w:pPr>
              <w:pStyle w:val="115"/>
              <w:spacing w:before="0" w:beforeAutospacing="0" w:after="0" w:afterAutospacing="0" w:line="440" w:lineRule="atLeast"/>
              <w:ind w:left="63" w:right="63"/>
              <w:jc w:val="center"/>
              <w:rPr>
                <w:rFonts w:hint="eastAsia" w:cs="Arial"/>
                <w:color w:val="auto"/>
                <w:sz w:val="21"/>
                <w:szCs w:val="21"/>
                <w:highlight w:val="none"/>
              </w:rPr>
            </w:pPr>
            <w:r>
              <w:rPr>
                <w:rFonts w:hint="eastAsia" w:cs="Arial"/>
                <w:color w:val="auto"/>
                <w:sz w:val="21"/>
                <w:szCs w:val="21"/>
                <w:highlight w:val="none"/>
              </w:rPr>
              <w:t>建设</w:t>
            </w:r>
          </w:p>
          <w:p w14:paraId="4D7EDB05">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规模</w:t>
            </w:r>
          </w:p>
        </w:tc>
        <w:tc>
          <w:tcPr>
            <w:tcW w:w="1131" w:type="dxa"/>
            <w:tcBorders>
              <w:top w:val="single" w:color="auto" w:sz="12" w:space="0"/>
              <w:left w:val="single" w:color="auto" w:sz="6" w:space="0"/>
              <w:bottom w:val="double" w:color="auto" w:sz="2" w:space="0"/>
              <w:right w:val="single" w:color="auto" w:sz="6" w:space="0"/>
            </w:tcBorders>
            <w:noWrap w:val="0"/>
            <w:vAlign w:val="center"/>
          </w:tcPr>
          <w:p w14:paraId="2CDF5F0A">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建筑面积(平方米)</w:t>
            </w:r>
          </w:p>
        </w:tc>
        <w:tc>
          <w:tcPr>
            <w:tcW w:w="1092" w:type="dxa"/>
            <w:tcBorders>
              <w:top w:val="single" w:color="auto" w:sz="12" w:space="0"/>
              <w:left w:val="single" w:color="auto" w:sz="6" w:space="0"/>
              <w:bottom w:val="double" w:color="auto" w:sz="2" w:space="0"/>
              <w:right w:val="single" w:color="auto" w:sz="6" w:space="0"/>
            </w:tcBorders>
            <w:noWrap w:val="0"/>
            <w:vAlign w:val="center"/>
          </w:tcPr>
          <w:p w14:paraId="63D573B1">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结构形式</w:t>
            </w:r>
          </w:p>
        </w:tc>
        <w:tc>
          <w:tcPr>
            <w:tcW w:w="775" w:type="dxa"/>
            <w:tcBorders>
              <w:top w:val="single" w:color="auto" w:sz="12" w:space="0"/>
              <w:left w:val="single" w:color="auto" w:sz="6" w:space="0"/>
              <w:bottom w:val="double" w:color="auto" w:sz="2" w:space="0"/>
              <w:right w:val="single" w:color="auto" w:sz="6" w:space="0"/>
            </w:tcBorders>
            <w:noWrap w:val="0"/>
            <w:vAlign w:val="center"/>
          </w:tcPr>
          <w:p w14:paraId="6FD65022">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层数</w:t>
            </w:r>
          </w:p>
        </w:tc>
        <w:tc>
          <w:tcPr>
            <w:tcW w:w="959" w:type="dxa"/>
            <w:tcBorders>
              <w:top w:val="single" w:color="auto" w:sz="12" w:space="0"/>
              <w:left w:val="single" w:color="auto" w:sz="6" w:space="0"/>
              <w:bottom w:val="double" w:color="auto" w:sz="2" w:space="0"/>
              <w:right w:val="single" w:color="auto" w:sz="6" w:space="0"/>
            </w:tcBorders>
            <w:noWrap w:val="0"/>
            <w:vAlign w:val="center"/>
          </w:tcPr>
          <w:p w14:paraId="10D3E28F">
            <w:pPr>
              <w:pStyle w:val="115"/>
              <w:spacing w:before="0" w:beforeAutospacing="0" w:after="0" w:afterAutospacing="0" w:line="440" w:lineRule="atLeast"/>
              <w:ind w:left="63" w:right="63"/>
              <w:jc w:val="center"/>
              <w:rPr>
                <w:rFonts w:hint="eastAsia" w:cs="Arial"/>
                <w:color w:val="auto"/>
                <w:sz w:val="21"/>
                <w:szCs w:val="21"/>
                <w:highlight w:val="none"/>
              </w:rPr>
            </w:pPr>
            <w:r>
              <w:rPr>
                <w:rFonts w:hint="eastAsia" w:cs="Arial"/>
                <w:color w:val="auto"/>
                <w:sz w:val="21"/>
                <w:szCs w:val="21"/>
                <w:highlight w:val="none"/>
              </w:rPr>
              <w:t>生产</w:t>
            </w:r>
          </w:p>
          <w:p w14:paraId="486F7668">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能力</w:t>
            </w:r>
          </w:p>
        </w:tc>
        <w:tc>
          <w:tcPr>
            <w:tcW w:w="1040" w:type="dxa"/>
            <w:tcBorders>
              <w:top w:val="single" w:color="auto" w:sz="12" w:space="0"/>
              <w:left w:val="single" w:color="auto" w:sz="6" w:space="0"/>
              <w:bottom w:val="double" w:color="auto" w:sz="2" w:space="0"/>
              <w:right w:val="single" w:color="auto" w:sz="6" w:space="0"/>
            </w:tcBorders>
            <w:noWrap w:val="0"/>
            <w:vAlign w:val="center"/>
          </w:tcPr>
          <w:p w14:paraId="2FAB77D7">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设备安装内容</w:t>
            </w:r>
          </w:p>
        </w:tc>
        <w:tc>
          <w:tcPr>
            <w:tcW w:w="1119" w:type="dxa"/>
            <w:tcBorders>
              <w:top w:val="single" w:color="auto" w:sz="12" w:space="0"/>
              <w:left w:val="single" w:color="auto" w:sz="6" w:space="0"/>
              <w:bottom w:val="double" w:color="auto" w:sz="2" w:space="0"/>
              <w:right w:val="single" w:color="auto" w:sz="6" w:space="0"/>
            </w:tcBorders>
            <w:noWrap w:val="0"/>
            <w:vAlign w:val="center"/>
          </w:tcPr>
          <w:p w14:paraId="6F158B19">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合同价格（元）</w:t>
            </w:r>
          </w:p>
        </w:tc>
        <w:tc>
          <w:tcPr>
            <w:tcW w:w="865" w:type="dxa"/>
            <w:tcBorders>
              <w:top w:val="single" w:color="auto" w:sz="12" w:space="0"/>
              <w:left w:val="single" w:color="auto" w:sz="6" w:space="0"/>
              <w:bottom w:val="double" w:color="auto" w:sz="2" w:space="0"/>
              <w:right w:val="single" w:color="auto" w:sz="6" w:space="0"/>
            </w:tcBorders>
            <w:noWrap w:val="0"/>
            <w:vAlign w:val="center"/>
          </w:tcPr>
          <w:p w14:paraId="4B8295F7">
            <w:pPr>
              <w:pStyle w:val="115"/>
              <w:spacing w:before="0" w:beforeAutospacing="0" w:after="0" w:afterAutospacing="0" w:line="440" w:lineRule="atLeast"/>
              <w:ind w:left="63" w:right="63"/>
              <w:jc w:val="center"/>
              <w:rPr>
                <w:rFonts w:hint="eastAsia" w:cs="Arial"/>
                <w:color w:val="auto"/>
                <w:sz w:val="21"/>
                <w:szCs w:val="21"/>
                <w:highlight w:val="none"/>
              </w:rPr>
            </w:pPr>
            <w:r>
              <w:rPr>
                <w:rFonts w:hint="eastAsia" w:cs="Arial"/>
                <w:color w:val="auto"/>
                <w:sz w:val="21"/>
                <w:szCs w:val="21"/>
                <w:highlight w:val="none"/>
              </w:rPr>
              <w:t>开工</w:t>
            </w:r>
          </w:p>
          <w:p w14:paraId="140F9A78">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日期</w:t>
            </w:r>
          </w:p>
        </w:tc>
        <w:tc>
          <w:tcPr>
            <w:tcW w:w="837" w:type="dxa"/>
            <w:tcBorders>
              <w:top w:val="single" w:color="auto" w:sz="12" w:space="0"/>
              <w:left w:val="single" w:color="auto" w:sz="6" w:space="0"/>
              <w:bottom w:val="double" w:color="auto" w:sz="2" w:space="0"/>
              <w:right w:val="single" w:color="auto" w:sz="12" w:space="0"/>
            </w:tcBorders>
            <w:noWrap w:val="0"/>
            <w:vAlign w:val="center"/>
          </w:tcPr>
          <w:p w14:paraId="1CACC24C">
            <w:pPr>
              <w:pStyle w:val="115"/>
              <w:spacing w:before="0" w:beforeAutospacing="0" w:after="0" w:afterAutospacing="0" w:line="440" w:lineRule="atLeast"/>
              <w:ind w:left="63" w:right="63"/>
              <w:jc w:val="center"/>
              <w:rPr>
                <w:rFonts w:hint="eastAsia" w:cs="Arial"/>
                <w:color w:val="auto"/>
                <w:sz w:val="21"/>
                <w:szCs w:val="21"/>
                <w:highlight w:val="none"/>
              </w:rPr>
            </w:pPr>
            <w:r>
              <w:rPr>
                <w:rFonts w:hint="eastAsia" w:cs="Arial"/>
                <w:color w:val="auto"/>
                <w:sz w:val="21"/>
                <w:szCs w:val="21"/>
                <w:highlight w:val="none"/>
              </w:rPr>
              <w:t>竣工</w:t>
            </w:r>
          </w:p>
          <w:p w14:paraId="56D7E569">
            <w:pPr>
              <w:pStyle w:val="115"/>
              <w:spacing w:before="0" w:beforeAutospacing="0" w:after="0" w:afterAutospacing="0" w:line="440" w:lineRule="atLeast"/>
              <w:ind w:left="63" w:right="63"/>
              <w:jc w:val="center"/>
              <w:rPr>
                <w:rFonts w:ascii="Arial" w:hAnsi="Arial" w:cs="Arial"/>
                <w:color w:val="auto"/>
                <w:sz w:val="21"/>
                <w:szCs w:val="21"/>
                <w:highlight w:val="none"/>
              </w:rPr>
            </w:pPr>
            <w:r>
              <w:rPr>
                <w:rFonts w:hint="eastAsia" w:cs="Arial"/>
                <w:color w:val="auto"/>
                <w:sz w:val="21"/>
                <w:szCs w:val="21"/>
                <w:highlight w:val="none"/>
              </w:rPr>
              <w:t>日期</w:t>
            </w:r>
          </w:p>
        </w:tc>
      </w:tr>
      <w:tr w14:paraId="575A60FD">
        <w:tblPrEx>
          <w:tblCellMar>
            <w:top w:w="0" w:type="dxa"/>
            <w:left w:w="28" w:type="dxa"/>
            <w:bottom w:w="0" w:type="dxa"/>
            <w:right w:w="28" w:type="dxa"/>
          </w:tblCellMar>
        </w:tblPrEx>
        <w:trPr>
          <w:trHeight w:val="567" w:hRule="atLeast"/>
          <w:tblCellSpacing w:w="15" w:type="dxa"/>
          <w:jc w:val="center"/>
        </w:trPr>
        <w:tc>
          <w:tcPr>
            <w:tcW w:w="1056" w:type="dxa"/>
            <w:tcBorders>
              <w:top w:val="nil"/>
              <w:left w:val="single" w:color="auto" w:sz="12" w:space="0"/>
              <w:bottom w:val="single" w:color="auto" w:sz="6" w:space="0"/>
              <w:right w:val="single" w:color="auto" w:sz="6" w:space="0"/>
            </w:tcBorders>
            <w:noWrap w:val="0"/>
            <w:vAlign w:val="center"/>
          </w:tcPr>
          <w:p w14:paraId="48B4504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27" w:type="dxa"/>
            <w:tcBorders>
              <w:top w:val="nil"/>
              <w:left w:val="single" w:color="auto" w:sz="6" w:space="0"/>
              <w:bottom w:val="single" w:color="auto" w:sz="6" w:space="0"/>
              <w:right w:val="single" w:color="auto" w:sz="6" w:space="0"/>
            </w:tcBorders>
            <w:noWrap w:val="0"/>
            <w:vAlign w:val="center"/>
          </w:tcPr>
          <w:p w14:paraId="04FA0DA1">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31" w:type="dxa"/>
            <w:tcBorders>
              <w:top w:val="nil"/>
              <w:left w:val="single" w:color="auto" w:sz="6" w:space="0"/>
              <w:bottom w:val="single" w:color="auto" w:sz="6" w:space="0"/>
              <w:right w:val="single" w:color="auto" w:sz="6" w:space="0"/>
            </w:tcBorders>
            <w:noWrap w:val="0"/>
            <w:vAlign w:val="center"/>
          </w:tcPr>
          <w:p w14:paraId="19BF653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92" w:type="dxa"/>
            <w:tcBorders>
              <w:top w:val="nil"/>
              <w:left w:val="single" w:color="auto" w:sz="6" w:space="0"/>
              <w:bottom w:val="single" w:color="auto" w:sz="6" w:space="0"/>
              <w:right w:val="single" w:color="auto" w:sz="6" w:space="0"/>
            </w:tcBorders>
            <w:noWrap w:val="0"/>
            <w:vAlign w:val="center"/>
          </w:tcPr>
          <w:p w14:paraId="49036533">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775" w:type="dxa"/>
            <w:tcBorders>
              <w:top w:val="nil"/>
              <w:left w:val="single" w:color="auto" w:sz="6" w:space="0"/>
              <w:bottom w:val="single" w:color="auto" w:sz="6" w:space="0"/>
              <w:right w:val="single" w:color="auto" w:sz="6" w:space="0"/>
            </w:tcBorders>
            <w:noWrap w:val="0"/>
            <w:vAlign w:val="center"/>
          </w:tcPr>
          <w:p w14:paraId="65BCEEBC">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59" w:type="dxa"/>
            <w:tcBorders>
              <w:top w:val="nil"/>
              <w:left w:val="single" w:color="auto" w:sz="6" w:space="0"/>
              <w:bottom w:val="single" w:color="auto" w:sz="6" w:space="0"/>
              <w:right w:val="single" w:color="auto" w:sz="6" w:space="0"/>
            </w:tcBorders>
            <w:noWrap w:val="0"/>
            <w:vAlign w:val="center"/>
          </w:tcPr>
          <w:p w14:paraId="118E70DB">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40" w:type="dxa"/>
            <w:tcBorders>
              <w:top w:val="nil"/>
              <w:left w:val="single" w:color="auto" w:sz="6" w:space="0"/>
              <w:bottom w:val="single" w:color="auto" w:sz="6" w:space="0"/>
              <w:right w:val="single" w:color="auto" w:sz="6" w:space="0"/>
            </w:tcBorders>
            <w:noWrap w:val="0"/>
            <w:vAlign w:val="center"/>
          </w:tcPr>
          <w:p w14:paraId="165EA03E">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19" w:type="dxa"/>
            <w:tcBorders>
              <w:top w:val="nil"/>
              <w:left w:val="single" w:color="auto" w:sz="6" w:space="0"/>
              <w:bottom w:val="single" w:color="auto" w:sz="6" w:space="0"/>
              <w:right w:val="single" w:color="auto" w:sz="6" w:space="0"/>
            </w:tcBorders>
            <w:noWrap w:val="0"/>
            <w:vAlign w:val="center"/>
          </w:tcPr>
          <w:p w14:paraId="55BAE72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65" w:type="dxa"/>
            <w:tcBorders>
              <w:top w:val="nil"/>
              <w:left w:val="single" w:color="auto" w:sz="6" w:space="0"/>
              <w:bottom w:val="single" w:color="auto" w:sz="6" w:space="0"/>
              <w:right w:val="single" w:color="auto" w:sz="6" w:space="0"/>
            </w:tcBorders>
            <w:noWrap w:val="0"/>
            <w:vAlign w:val="center"/>
          </w:tcPr>
          <w:p w14:paraId="222900D2">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37" w:type="dxa"/>
            <w:tcBorders>
              <w:top w:val="nil"/>
              <w:left w:val="single" w:color="auto" w:sz="6" w:space="0"/>
              <w:bottom w:val="single" w:color="auto" w:sz="6" w:space="0"/>
              <w:right w:val="single" w:color="auto" w:sz="12" w:space="0"/>
            </w:tcBorders>
            <w:noWrap w:val="0"/>
            <w:vAlign w:val="center"/>
          </w:tcPr>
          <w:p w14:paraId="244FFC47">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r>
      <w:tr w14:paraId="314FDAB3">
        <w:tblPrEx>
          <w:tblCellMar>
            <w:top w:w="0" w:type="dxa"/>
            <w:left w:w="28" w:type="dxa"/>
            <w:bottom w:w="0" w:type="dxa"/>
            <w:right w:w="28" w:type="dxa"/>
          </w:tblCellMar>
        </w:tblPrEx>
        <w:trPr>
          <w:trHeight w:val="567" w:hRule="atLeast"/>
          <w:tblCellSpacing w:w="15" w:type="dxa"/>
          <w:jc w:val="center"/>
        </w:trPr>
        <w:tc>
          <w:tcPr>
            <w:tcW w:w="1056" w:type="dxa"/>
            <w:tcBorders>
              <w:top w:val="nil"/>
              <w:left w:val="single" w:color="auto" w:sz="12" w:space="0"/>
              <w:bottom w:val="single" w:color="auto" w:sz="6" w:space="0"/>
              <w:right w:val="single" w:color="auto" w:sz="6" w:space="0"/>
            </w:tcBorders>
            <w:noWrap w:val="0"/>
            <w:vAlign w:val="center"/>
          </w:tcPr>
          <w:p w14:paraId="68D88D36">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27" w:type="dxa"/>
            <w:tcBorders>
              <w:top w:val="nil"/>
              <w:left w:val="single" w:color="auto" w:sz="6" w:space="0"/>
              <w:bottom w:val="single" w:color="auto" w:sz="6" w:space="0"/>
              <w:right w:val="single" w:color="auto" w:sz="6" w:space="0"/>
            </w:tcBorders>
            <w:noWrap w:val="0"/>
            <w:vAlign w:val="center"/>
          </w:tcPr>
          <w:p w14:paraId="64A0E8C4">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31" w:type="dxa"/>
            <w:tcBorders>
              <w:top w:val="nil"/>
              <w:left w:val="single" w:color="auto" w:sz="6" w:space="0"/>
              <w:bottom w:val="single" w:color="auto" w:sz="6" w:space="0"/>
              <w:right w:val="single" w:color="auto" w:sz="6" w:space="0"/>
            </w:tcBorders>
            <w:noWrap w:val="0"/>
            <w:vAlign w:val="center"/>
          </w:tcPr>
          <w:p w14:paraId="5A0CEFB3">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92" w:type="dxa"/>
            <w:tcBorders>
              <w:top w:val="nil"/>
              <w:left w:val="single" w:color="auto" w:sz="6" w:space="0"/>
              <w:bottom w:val="single" w:color="auto" w:sz="6" w:space="0"/>
              <w:right w:val="single" w:color="auto" w:sz="6" w:space="0"/>
            </w:tcBorders>
            <w:noWrap w:val="0"/>
            <w:vAlign w:val="center"/>
          </w:tcPr>
          <w:p w14:paraId="57D352B6">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775" w:type="dxa"/>
            <w:tcBorders>
              <w:top w:val="nil"/>
              <w:left w:val="single" w:color="auto" w:sz="6" w:space="0"/>
              <w:bottom w:val="single" w:color="auto" w:sz="6" w:space="0"/>
              <w:right w:val="single" w:color="auto" w:sz="6" w:space="0"/>
            </w:tcBorders>
            <w:noWrap w:val="0"/>
            <w:vAlign w:val="center"/>
          </w:tcPr>
          <w:p w14:paraId="3BF88EB8">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59" w:type="dxa"/>
            <w:tcBorders>
              <w:top w:val="nil"/>
              <w:left w:val="single" w:color="auto" w:sz="6" w:space="0"/>
              <w:bottom w:val="single" w:color="auto" w:sz="6" w:space="0"/>
              <w:right w:val="single" w:color="auto" w:sz="6" w:space="0"/>
            </w:tcBorders>
            <w:noWrap w:val="0"/>
            <w:vAlign w:val="center"/>
          </w:tcPr>
          <w:p w14:paraId="1A7E5010">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40" w:type="dxa"/>
            <w:tcBorders>
              <w:top w:val="nil"/>
              <w:left w:val="single" w:color="auto" w:sz="6" w:space="0"/>
              <w:bottom w:val="single" w:color="auto" w:sz="6" w:space="0"/>
              <w:right w:val="single" w:color="auto" w:sz="6" w:space="0"/>
            </w:tcBorders>
            <w:noWrap w:val="0"/>
            <w:vAlign w:val="center"/>
          </w:tcPr>
          <w:p w14:paraId="60A15790">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19" w:type="dxa"/>
            <w:tcBorders>
              <w:top w:val="nil"/>
              <w:left w:val="single" w:color="auto" w:sz="6" w:space="0"/>
              <w:bottom w:val="single" w:color="auto" w:sz="6" w:space="0"/>
              <w:right w:val="single" w:color="auto" w:sz="6" w:space="0"/>
            </w:tcBorders>
            <w:noWrap w:val="0"/>
            <w:vAlign w:val="center"/>
          </w:tcPr>
          <w:p w14:paraId="681C98D2">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65" w:type="dxa"/>
            <w:tcBorders>
              <w:top w:val="nil"/>
              <w:left w:val="single" w:color="auto" w:sz="6" w:space="0"/>
              <w:bottom w:val="single" w:color="auto" w:sz="6" w:space="0"/>
              <w:right w:val="single" w:color="auto" w:sz="6" w:space="0"/>
            </w:tcBorders>
            <w:noWrap w:val="0"/>
            <w:vAlign w:val="center"/>
          </w:tcPr>
          <w:p w14:paraId="4CB14E9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37" w:type="dxa"/>
            <w:tcBorders>
              <w:top w:val="nil"/>
              <w:left w:val="single" w:color="auto" w:sz="6" w:space="0"/>
              <w:bottom w:val="single" w:color="auto" w:sz="6" w:space="0"/>
              <w:right w:val="single" w:color="auto" w:sz="12" w:space="0"/>
            </w:tcBorders>
            <w:noWrap w:val="0"/>
            <w:vAlign w:val="center"/>
          </w:tcPr>
          <w:p w14:paraId="56434236">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r>
      <w:tr w14:paraId="45B2C36E">
        <w:tblPrEx>
          <w:tblCellMar>
            <w:top w:w="0" w:type="dxa"/>
            <w:left w:w="28" w:type="dxa"/>
            <w:bottom w:w="0" w:type="dxa"/>
            <w:right w:w="28" w:type="dxa"/>
          </w:tblCellMar>
        </w:tblPrEx>
        <w:trPr>
          <w:trHeight w:val="567" w:hRule="atLeast"/>
          <w:tblCellSpacing w:w="15" w:type="dxa"/>
          <w:jc w:val="center"/>
        </w:trPr>
        <w:tc>
          <w:tcPr>
            <w:tcW w:w="1056" w:type="dxa"/>
            <w:tcBorders>
              <w:top w:val="nil"/>
              <w:left w:val="single" w:color="auto" w:sz="12" w:space="0"/>
              <w:bottom w:val="single" w:color="auto" w:sz="6" w:space="0"/>
              <w:right w:val="single" w:color="auto" w:sz="6" w:space="0"/>
            </w:tcBorders>
            <w:noWrap w:val="0"/>
            <w:vAlign w:val="center"/>
          </w:tcPr>
          <w:p w14:paraId="5EFEA67F">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27" w:type="dxa"/>
            <w:tcBorders>
              <w:top w:val="nil"/>
              <w:left w:val="single" w:color="auto" w:sz="6" w:space="0"/>
              <w:bottom w:val="single" w:color="auto" w:sz="6" w:space="0"/>
              <w:right w:val="single" w:color="auto" w:sz="6" w:space="0"/>
            </w:tcBorders>
            <w:noWrap w:val="0"/>
            <w:vAlign w:val="center"/>
          </w:tcPr>
          <w:p w14:paraId="50AC6110">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31" w:type="dxa"/>
            <w:tcBorders>
              <w:top w:val="nil"/>
              <w:left w:val="single" w:color="auto" w:sz="6" w:space="0"/>
              <w:bottom w:val="single" w:color="auto" w:sz="6" w:space="0"/>
              <w:right w:val="single" w:color="auto" w:sz="6" w:space="0"/>
            </w:tcBorders>
            <w:noWrap w:val="0"/>
            <w:vAlign w:val="center"/>
          </w:tcPr>
          <w:p w14:paraId="0FA14E7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92" w:type="dxa"/>
            <w:tcBorders>
              <w:top w:val="nil"/>
              <w:left w:val="single" w:color="auto" w:sz="6" w:space="0"/>
              <w:bottom w:val="single" w:color="auto" w:sz="6" w:space="0"/>
              <w:right w:val="single" w:color="auto" w:sz="6" w:space="0"/>
            </w:tcBorders>
            <w:noWrap w:val="0"/>
            <w:vAlign w:val="center"/>
          </w:tcPr>
          <w:p w14:paraId="285F3B0C">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775" w:type="dxa"/>
            <w:tcBorders>
              <w:top w:val="nil"/>
              <w:left w:val="single" w:color="auto" w:sz="6" w:space="0"/>
              <w:bottom w:val="single" w:color="auto" w:sz="6" w:space="0"/>
              <w:right w:val="single" w:color="auto" w:sz="6" w:space="0"/>
            </w:tcBorders>
            <w:noWrap w:val="0"/>
            <w:vAlign w:val="center"/>
          </w:tcPr>
          <w:p w14:paraId="10CACBA4">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59" w:type="dxa"/>
            <w:tcBorders>
              <w:top w:val="nil"/>
              <w:left w:val="single" w:color="auto" w:sz="6" w:space="0"/>
              <w:bottom w:val="single" w:color="auto" w:sz="6" w:space="0"/>
              <w:right w:val="single" w:color="auto" w:sz="6" w:space="0"/>
            </w:tcBorders>
            <w:noWrap w:val="0"/>
            <w:vAlign w:val="center"/>
          </w:tcPr>
          <w:p w14:paraId="7EB4988A">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40" w:type="dxa"/>
            <w:tcBorders>
              <w:top w:val="nil"/>
              <w:left w:val="single" w:color="auto" w:sz="6" w:space="0"/>
              <w:bottom w:val="single" w:color="auto" w:sz="6" w:space="0"/>
              <w:right w:val="single" w:color="auto" w:sz="6" w:space="0"/>
            </w:tcBorders>
            <w:noWrap w:val="0"/>
            <w:vAlign w:val="center"/>
          </w:tcPr>
          <w:p w14:paraId="31C594AE">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19" w:type="dxa"/>
            <w:tcBorders>
              <w:top w:val="nil"/>
              <w:left w:val="single" w:color="auto" w:sz="6" w:space="0"/>
              <w:bottom w:val="single" w:color="auto" w:sz="6" w:space="0"/>
              <w:right w:val="single" w:color="auto" w:sz="6" w:space="0"/>
            </w:tcBorders>
            <w:noWrap w:val="0"/>
            <w:vAlign w:val="center"/>
          </w:tcPr>
          <w:p w14:paraId="50B11209">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65" w:type="dxa"/>
            <w:tcBorders>
              <w:top w:val="nil"/>
              <w:left w:val="single" w:color="auto" w:sz="6" w:space="0"/>
              <w:bottom w:val="single" w:color="auto" w:sz="6" w:space="0"/>
              <w:right w:val="single" w:color="auto" w:sz="6" w:space="0"/>
            </w:tcBorders>
            <w:noWrap w:val="0"/>
            <w:vAlign w:val="center"/>
          </w:tcPr>
          <w:p w14:paraId="51956CE8">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37" w:type="dxa"/>
            <w:tcBorders>
              <w:top w:val="nil"/>
              <w:left w:val="single" w:color="auto" w:sz="6" w:space="0"/>
              <w:bottom w:val="single" w:color="auto" w:sz="6" w:space="0"/>
              <w:right w:val="single" w:color="auto" w:sz="12" w:space="0"/>
            </w:tcBorders>
            <w:noWrap w:val="0"/>
            <w:vAlign w:val="center"/>
          </w:tcPr>
          <w:p w14:paraId="0636AB8F">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r>
      <w:tr w14:paraId="7BE99EB0">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411E41D3">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27" w:type="dxa"/>
            <w:tcBorders>
              <w:top w:val="single" w:color="auto" w:sz="6" w:space="0"/>
              <w:left w:val="single" w:color="auto" w:sz="6" w:space="0"/>
              <w:bottom w:val="single" w:color="auto" w:sz="6" w:space="0"/>
              <w:right w:val="single" w:color="auto" w:sz="6" w:space="0"/>
            </w:tcBorders>
            <w:noWrap w:val="0"/>
            <w:vAlign w:val="center"/>
          </w:tcPr>
          <w:p w14:paraId="407E5FA9">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31" w:type="dxa"/>
            <w:tcBorders>
              <w:top w:val="single" w:color="auto" w:sz="6" w:space="0"/>
              <w:left w:val="single" w:color="auto" w:sz="6" w:space="0"/>
              <w:bottom w:val="single" w:color="auto" w:sz="6" w:space="0"/>
              <w:right w:val="single" w:color="auto" w:sz="6" w:space="0"/>
            </w:tcBorders>
            <w:noWrap w:val="0"/>
            <w:vAlign w:val="center"/>
          </w:tcPr>
          <w:p w14:paraId="775C75E2">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92" w:type="dxa"/>
            <w:tcBorders>
              <w:top w:val="single" w:color="auto" w:sz="6" w:space="0"/>
              <w:left w:val="single" w:color="auto" w:sz="6" w:space="0"/>
              <w:bottom w:val="single" w:color="auto" w:sz="6" w:space="0"/>
              <w:right w:val="single" w:color="auto" w:sz="6" w:space="0"/>
            </w:tcBorders>
            <w:noWrap w:val="0"/>
            <w:vAlign w:val="center"/>
          </w:tcPr>
          <w:p w14:paraId="61739DA8">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775" w:type="dxa"/>
            <w:tcBorders>
              <w:top w:val="single" w:color="auto" w:sz="6" w:space="0"/>
              <w:left w:val="single" w:color="auto" w:sz="6" w:space="0"/>
              <w:bottom w:val="single" w:color="auto" w:sz="6" w:space="0"/>
              <w:right w:val="single" w:color="auto" w:sz="6" w:space="0"/>
            </w:tcBorders>
            <w:noWrap w:val="0"/>
            <w:vAlign w:val="center"/>
          </w:tcPr>
          <w:p w14:paraId="3C9AA422">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959" w:type="dxa"/>
            <w:tcBorders>
              <w:top w:val="single" w:color="auto" w:sz="6" w:space="0"/>
              <w:left w:val="single" w:color="auto" w:sz="6" w:space="0"/>
              <w:bottom w:val="single" w:color="auto" w:sz="6" w:space="0"/>
              <w:right w:val="single" w:color="auto" w:sz="6" w:space="0"/>
            </w:tcBorders>
            <w:noWrap w:val="0"/>
            <w:vAlign w:val="center"/>
          </w:tcPr>
          <w:p w14:paraId="2E84BAF8">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040" w:type="dxa"/>
            <w:tcBorders>
              <w:top w:val="single" w:color="auto" w:sz="6" w:space="0"/>
              <w:left w:val="single" w:color="auto" w:sz="6" w:space="0"/>
              <w:bottom w:val="single" w:color="auto" w:sz="6" w:space="0"/>
              <w:right w:val="single" w:color="auto" w:sz="6" w:space="0"/>
            </w:tcBorders>
            <w:noWrap w:val="0"/>
            <w:vAlign w:val="center"/>
          </w:tcPr>
          <w:p w14:paraId="61694682">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3F11DCD">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65" w:type="dxa"/>
            <w:tcBorders>
              <w:top w:val="single" w:color="auto" w:sz="6" w:space="0"/>
              <w:left w:val="single" w:color="auto" w:sz="6" w:space="0"/>
              <w:bottom w:val="single" w:color="auto" w:sz="6" w:space="0"/>
              <w:right w:val="single" w:color="auto" w:sz="6" w:space="0"/>
            </w:tcBorders>
            <w:noWrap w:val="0"/>
            <w:vAlign w:val="center"/>
          </w:tcPr>
          <w:p w14:paraId="3012762B">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c>
          <w:tcPr>
            <w:tcW w:w="837" w:type="dxa"/>
            <w:tcBorders>
              <w:top w:val="single" w:color="auto" w:sz="6" w:space="0"/>
              <w:left w:val="single" w:color="auto" w:sz="6" w:space="0"/>
              <w:bottom w:val="single" w:color="auto" w:sz="6" w:space="0"/>
              <w:right w:val="single" w:color="auto" w:sz="12" w:space="0"/>
            </w:tcBorders>
            <w:noWrap w:val="0"/>
            <w:vAlign w:val="center"/>
          </w:tcPr>
          <w:p w14:paraId="66C22956">
            <w:pPr>
              <w:pStyle w:val="115"/>
              <w:spacing w:before="0" w:beforeAutospacing="0" w:after="0" w:afterAutospacing="0" w:line="440" w:lineRule="atLeast"/>
              <w:ind w:left="63" w:right="63"/>
              <w:jc w:val="center"/>
              <w:rPr>
                <w:rFonts w:ascii="Arial" w:hAnsi="Arial" w:cs="Arial"/>
                <w:color w:val="auto"/>
                <w:sz w:val="18"/>
                <w:szCs w:val="18"/>
                <w:highlight w:val="none"/>
              </w:rPr>
            </w:pPr>
            <w:r>
              <w:rPr>
                <w:rFonts w:hint="eastAsia" w:cs="Arial"/>
                <w:color w:val="auto"/>
                <w:highlight w:val="none"/>
              </w:rPr>
              <w:t> </w:t>
            </w:r>
          </w:p>
        </w:tc>
      </w:tr>
      <w:tr w14:paraId="25E7FB6D">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16650149">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7D4F3938">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4D02F163">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6EC18956">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7F441FF7">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13EAD304">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53CC4E48">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5AC63B8">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75D33522">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542E65FF">
            <w:pPr>
              <w:pStyle w:val="115"/>
              <w:spacing w:before="0" w:beforeAutospacing="0" w:after="0" w:afterAutospacing="0" w:line="440" w:lineRule="atLeast"/>
              <w:ind w:left="63" w:right="63"/>
              <w:jc w:val="center"/>
              <w:rPr>
                <w:rFonts w:hint="eastAsia" w:cs="Arial"/>
                <w:color w:val="auto"/>
                <w:highlight w:val="none"/>
              </w:rPr>
            </w:pPr>
          </w:p>
        </w:tc>
      </w:tr>
      <w:tr w14:paraId="34326A9D">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0DB04BEC">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26AEE526">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5DCCB9A7">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7A4C66FE">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3B905B21">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6B72A75D">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6EA957D0">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3E9E3F37">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596CE1A2">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0202E834">
            <w:pPr>
              <w:pStyle w:val="115"/>
              <w:spacing w:before="0" w:beforeAutospacing="0" w:after="0" w:afterAutospacing="0" w:line="440" w:lineRule="atLeast"/>
              <w:ind w:left="63" w:right="63"/>
              <w:jc w:val="center"/>
              <w:rPr>
                <w:rFonts w:hint="eastAsia" w:cs="Arial"/>
                <w:color w:val="auto"/>
                <w:highlight w:val="none"/>
              </w:rPr>
            </w:pPr>
          </w:p>
        </w:tc>
      </w:tr>
      <w:tr w14:paraId="02CBA23F">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382A9AE1">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6802F136">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12266C32">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6821DDD3">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358B570D">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6D29170B">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570DF709">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64A9BA95">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5668FD94">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2B9A9A8A">
            <w:pPr>
              <w:pStyle w:val="115"/>
              <w:spacing w:before="0" w:beforeAutospacing="0" w:after="0" w:afterAutospacing="0" w:line="440" w:lineRule="atLeast"/>
              <w:ind w:left="63" w:right="63"/>
              <w:jc w:val="center"/>
              <w:rPr>
                <w:rFonts w:hint="eastAsia" w:cs="Arial"/>
                <w:color w:val="auto"/>
                <w:highlight w:val="none"/>
              </w:rPr>
            </w:pPr>
          </w:p>
        </w:tc>
      </w:tr>
      <w:tr w14:paraId="5EAEB838">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00BBD2FD">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63A9E17C">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7F77520D">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026F78A9">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2E8A2C3D">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618B1FBC">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3C7407B0">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38E8A663">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56F3610C">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6E1ED078">
            <w:pPr>
              <w:pStyle w:val="115"/>
              <w:spacing w:before="0" w:beforeAutospacing="0" w:after="0" w:afterAutospacing="0" w:line="440" w:lineRule="atLeast"/>
              <w:ind w:left="63" w:right="63"/>
              <w:jc w:val="center"/>
              <w:rPr>
                <w:rFonts w:hint="eastAsia" w:cs="Arial"/>
                <w:color w:val="auto"/>
                <w:highlight w:val="none"/>
              </w:rPr>
            </w:pPr>
          </w:p>
        </w:tc>
      </w:tr>
      <w:tr w14:paraId="5D39066E">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044AA9A9">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1A94415E">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6AE50042">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76A63602">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489E19E2">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7E716573">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14A5675D">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69D38C98">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7304C718">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4975B061">
            <w:pPr>
              <w:pStyle w:val="115"/>
              <w:spacing w:before="0" w:beforeAutospacing="0" w:after="0" w:afterAutospacing="0" w:line="440" w:lineRule="atLeast"/>
              <w:ind w:left="63" w:right="63"/>
              <w:jc w:val="center"/>
              <w:rPr>
                <w:rFonts w:hint="eastAsia" w:cs="Arial"/>
                <w:color w:val="auto"/>
                <w:highlight w:val="none"/>
              </w:rPr>
            </w:pPr>
          </w:p>
        </w:tc>
      </w:tr>
      <w:tr w14:paraId="24EB2363">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026A20D5">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74D111B3">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6C989055">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71338C25">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5503B56B">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1FB1D609">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09E767B1">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163B1954">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7A34C530">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55C5526C">
            <w:pPr>
              <w:pStyle w:val="115"/>
              <w:spacing w:before="0" w:beforeAutospacing="0" w:after="0" w:afterAutospacing="0" w:line="440" w:lineRule="atLeast"/>
              <w:ind w:left="63" w:right="63"/>
              <w:jc w:val="center"/>
              <w:rPr>
                <w:rFonts w:hint="eastAsia" w:cs="Arial"/>
                <w:color w:val="auto"/>
                <w:highlight w:val="none"/>
              </w:rPr>
            </w:pPr>
          </w:p>
        </w:tc>
      </w:tr>
      <w:tr w14:paraId="7BFF7E49">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18362B97">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2864ACC6">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5A45AB61">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3D59CD94">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46F2EA2A">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324E1E07">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08716ADF">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5E3EFA0B">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4214FA94">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2E6D13C8">
            <w:pPr>
              <w:pStyle w:val="115"/>
              <w:spacing w:before="0" w:beforeAutospacing="0" w:after="0" w:afterAutospacing="0" w:line="440" w:lineRule="atLeast"/>
              <w:ind w:left="63" w:right="63"/>
              <w:jc w:val="center"/>
              <w:rPr>
                <w:rFonts w:hint="eastAsia" w:cs="Arial"/>
                <w:color w:val="auto"/>
                <w:highlight w:val="none"/>
              </w:rPr>
            </w:pPr>
          </w:p>
        </w:tc>
      </w:tr>
      <w:tr w14:paraId="567269A5">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7BC3D6E9">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47E8D9B2">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5A8B4C1C">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1C43C92F">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7BC1717F">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389D6DC6">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2CA15B16">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03048ECB">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2C78C65B">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7974AFF4">
            <w:pPr>
              <w:pStyle w:val="115"/>
              <w:spacing w:before="0" w:beforeAutospacing="0" w:after="0" w:afterAutospacing="0" w:line="440" w:lineRule="atLeast"/>
              <w:ind w:left="63" w:right="63"/>
              <w:jc w:val="center"/>
              <w:rPr>
                <w:rFonts w:hint="eastAsia" w:cs="Arial"/>
                <w:color w:val="auto"/>
                <w:highlight w:val="none"/>
              </w:rPr>
            </w:pPr>
          </w:p>
        </w:tc>
      </w:tr>
      <w:tr w14:paraId="158A2288">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2DBCD7E0">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54AFE52D">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57FB8F91">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6E42AF73">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360A1027">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269ECA7C">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75CCD623">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4C620629">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0F7C51AF">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64277FC0">
            <w:pPr>
              <w:pStyle w:val="115"/>
              <w:spacing w:before="0" w:beforeAutospacing="0" w:after="0" w:afterAutospacing="0" w:line="440" w:lineRule="atLeast"/>
              <w:ind w:left="63" w:right="63"/>
              <w:jc w:val="center"/>
              <w:rPr>
                <w:rFonts w:hint="eastAsia" w:cs="Arial"/>
                <w:color w:val="auto"/>
                <w:highlight w:val="none"/>
              </w:rPr>
            </w:pPr>
          </w:p>
        </w:tc>
      </w:tr>
      <w:tr w14:paraId="68BC9436">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376D1ABF">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6D07A8A6">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347E2160">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18C57DC5">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19C6E9FA">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541E243C">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3D3444F8">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1A40C10C">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4338C7C4">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32D17822">
            <w:pPr>
              <w:pStyle w:val="115"/>
              <w:spacing w:before="0" w:beforeAutospacing="0" w:after="0" w:afterAutospacing="0" w:line="440" w:lineRule="atLeast"/>
              <w:ind w:left="63" w:right="63"/>
              <w:jc w:val="center"/>
              <w:rPr>
                <w:rFonts w:hint="eastAsia" w:cs="Arial"/>
                <w:color w:val="auto"/>
                <w:highlight w:val="none"/>
              </w:rPr>
            </w:pPr>
          </w:p>
        </w:tc>
      </w:tr>
      <w:tr w14:paraId="3F7ECF7F">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2BB09864">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11F333EE">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08D03144">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1C7226A5">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36AA3DEC">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108032A7">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232E7E88">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1458CC0A">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53E5A7EB">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3CB9B41A">
            <w:pPr>
              <w:pStyle w:val="115"/>
              <w:spacing w:before="0" w:beforeAutospacing="0" w:after="0" w:afterAutospacing="0" w:line="440" w:lineRule="atLeast"/>
              <w:ind w:left="63" w:right="63"/>
              <w:jc w:val="center"/>
              <w:rPr>
                <w:rFonts w:hint="eastAsia" w:cs="Arial"/>
                <w:color w:val="auto"/>
                <w:highlight w:val="none"/>
              </w:rPr>
            </w:pPr>
          </w:p>
        </w:tc>
      </w:tr>
      <w:tr w14:paraId="2DD4B538">
        <w:tblPrEx>
          <w:tblCellMar>
            <w:top w:w="0" w:type="dxa"/>
            <w:left w:w="28" w:type="dxa"/>
            <w:bottom w:w="0" w:type="dxa"/>
            <w:right w:w="28" w:type="dxa"/>
          </w:tblCellMar>
        </w:tblPrEx>
        <w:trPr>
          <w:trHeight w:val="582" w:hRule="atLeast"/>
          <w:tblCellSpacing w:w="15" w:type="dxa"/>
          <w:jc w:val="center"/>
        </w:trPr>
        <w:tc>
          <w:tcPr>
            <w:tcW w:w="1056" w:type="dxa"/>
            <w:tcBorders>
              <w:top w:val="single" w:color="auto" w:sz="6" w:space="0"/>
              <w:left w:val="single" w:color="auto" w:sz="12" w:space="0"/>
              <w:bottom w:val="single" w:color="auto" w:sz="6" w:space="0"/>
              <w:right w:val="single" w:color="auto" w:sz="6" w:space="0"/>
            </w:tcBorders>
            <w:noWrap w:val="0"/>
            <w:vAlign w:val="center"/>
          </w:tcPr>
          <w:p w14:paraId="2258A54A">
            <w:pPr>
              <w:pStyle w:val="115"/>
              <w:spacing w:before="0" w:beforeAutospacing="0" w:after="0" w:afterAutospacing="0" w:line="440" w:lineRule="atLeast"/>
              <w:ind w:left="63" w:right="63"/>
              <w:jc w:val="center"/>
              <w:rPr>
                <w:rFonts w:hint="eastAsia" w:cs="Arial"/>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14:paraId="3C7D81F7">
            <w:pPr>
              <w:pStyle w:val="115"/>
              <w:spacing w:before="0" w:beforeAutospacing="0" w:after="0" w:afterAutospacing="0" w:line="440" w:lineRule="atLeast"/>
              <w:ind w:left="63" w:right="63"/>
              <w:jc w:val="center"/>
              <w:rPr>
                <w:rFonts w:hint="eastAsia" w:cs="Arial"/>
                <w:color w:val="auto"/>
                <w:highlight w:val="none"/>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631E6D07">
            <w:pPr>
              <w:pStyle w:val="115"/>
              <w:spacing w:before="0" w:beforeAutospacing="0" w:after="0" w:afterAutospacing="0" w:line="440" w:lineRule="atLeast"/>
              <w:ind w:left="63" w:right="63"/>
              <w:jc w:val="center"/>
              <w:rPr>
                <w:rFonts w:hint="eastAsia" w:cs="Arial"/>
                <w:color w:val="auto"/>
                <w:highlight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14:paraId="79536F53">
            <w:pPr>
              <w:pStyle w:val="115"/>
              <w:spacing w:before="0" w:beforeAutospacing="0" w:after="0" w:afterAutospacing="0" w:line="440" w:lineRule="atLeast"/>
              <w:ind w:left="63" w:right="63"/>
              <w:jc w:val="center"/>
              <w:rPr>
                <w:rFonts w:hint="eastAsia" w:cs="Arial"/>
                <w:color w:val="auto"/>
                <w:highlight w:val="none"/>
              </w:rPr>
            </w:pPr>
          </w:p>
        </w:tc>
        <w:tc>
          <w:tcPr>
            <w:tcW w:w="775" w:type="dxa"/>
            <w:tcBorders>
              <w:top w:val="single" w:color="auto" w:sz="6" w:space="0"/>
              <w:left w:val="single" w:color="auto" w:sz="6" w:space="0"/>
              <w:bottom w:val="single" w:color="auto" w:sz="6" w:space="0"/>
              <w:right w:val="single" w:color="auto" w:sz="6" w:space="0"/>
            </w:tcBorders>
            <w:noWrap w:val="0"/>
            <w:vAlign w:val="center"/>
          </w:tcPr>
          <w:p w14:paraId="57AE5E9C">
            <w:pPr>
              <w:pStyle w:val="115"/>
              <w:spacing w:before="0" w:beforeAutospacing="0" w:after="0" w:afterAutospacing="0" w:line="440" w:lineRule="atLeast"/>
              <w:ind w:left="63" w:right="63"/>
              <w:jc w:val="center"/>
              <w:rPr>
                <w:rFonts w:hint="eastAsia" w:cs="Arial"/>
                <w:color w:val="auto"/>
                <w:highlight w:val="none"/>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0152BA7B">
            <w:pPr>
              <w:pStyle w:val="115"/>
              <w:spacing w:before="0" w:beforeAutospacing="0" w:after="0" w:afterAutospacing="0" w:line="440" w:lineRule="atLeast"/>
              <w:ind w:left="63" w:right="63"/>
              <w:jc w:val="center"/>
              <w:rPr>
                <w:rFonts w:hint="eastAsia" w:cs="Arial"/>
                <w:color w:val="auto"/>
                <w:highlight w:val="none"/>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14:paraId="02BADFD2">
            <w:pPr>
              <w:pStyle w:val="115"/>
              <w:spacing w:before="0" w:beforeAutospacing="0" w:after="0" w:afterAutospacing="0" w:line="440" w:lineRule="atLeast"/>
              <w:ind w:left="63" w:right="63"/>
              <w:jc w:val="center"/>
              <w:rPr>
                <w:rFonts w:hint="eastAsia" w:cs="Arial"/>
                <w:color w:val="auto"/>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E58A678">
            <w:pPr>
              <w:pStyle w:val="115"/>
              <w:spacing w:before="0" w:beforeAutospacing="0" w:after="0" w:afterAutospacing="0" w:line="440" w:lineRule="atLeast"/>
              <w:ind w:left="63" w:right="63"/>
              <w:jc w:val="center"/>
              <w:rPr>
                <w:rFonts w:hint="eastAsia" w:cs="Arial"/>
                <w:color w:val="auto"/>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62E07B00">
            <w:pPr>
              <w:pStyle w:val="115"/>
              <w:spacing w:before="0" w:beforeAutospacing="0" w:after="0" w:afterAutospacing="0" w:line="440" w:lineRule="atLeast"/>
              <w:ind w:left="63" w:right="63"/>
              <w:jc w:val="center"/>
              <w:rPr>
                <w:rFonts w:hint="eastAsia" w:cs="Arial"/>
                <w:color w:val="auto"/>
                <w:highlight w:val="none"/>
              </w:rPr>
            </w:pPr>
          </w:p>
        </w:tc>
        <w:tc>
          <w:tcPr>
            <w:tcW w:w="837" w:type="dxa"/>
            <w:tcBorders>
              <w:top w:val="single" w:color="auto" w:sz="6" w:space="0"/>
              <w:left w:val="single" w:color="auto" w:sz="6" w:space="0"/>
              <w:bottom w:val="single" w:color="auto" w:sz="6" w:space="0"/>
              <w:right w:val="single" w:color="auto" w:sz="12" w:space="0"/>
            </w:tcBorders>
            <w:noWrap w:val="0"/>
            <w:vAlign w:val="center"/>
          </w:tcPr>
          <w:p w14:paraId="625ADE9C">
            <w:pPr>
              <w:pStyle w:val="115"/>
              <w:spacing w:before="0" w:beforeAutospacing="0" w:after="0" w:afterAutospacing="0" w:line="440" w:lineRule="atLeast"/>
              <w:ind w:left="63" w:right="63"/>
              <w:jc w:val="center"/>
              <w:rPr>
                <w:rFonts w:hint="eastAsia" w:cs="Arial"/>
                <w:color w:val="auto"/>
                <w:highlight w:val="none"/>
              </w:rPr>
            </w:pPr>
          </w:p>
        </w:tc>
      </w:tr>
    </w:tbl>
    <w:p w14:paraId="5A19C33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27F6A87">
      <w:pPr>
        <w:spacing w:line="440" w:lineRule="exact"/>
        <w:ind w:left="-972" w:leftChars="-405" w:firstLine="1124" w:firstLineChars="400"/>
        <w:jc w:val="left"/>
        <w:rPr>
          <w:rFonts w:ascii="宋体" w:hAnsi="宋体"/>
          <w:b/>
          <w:color w:val="auto"/>
          <w:sz w:val="28"/>
          <w:szCs w:val="28"/>
          <w:highlight w:val="none"/>
        </w:rPr>
      </w:pPr>
      <w:r>
        <w:rPr>
          <w:rFonts w:ascii="宋体" w:hAnsi="宋体"/>
          <w:b/>
          <w:color w:val="auto"/>
          <w:sz w:val="28"/>
          <w:szCs w:val="28"/>
          <w:highlight w:val="none"/>
        </w:rPr>
        <w:t>附件2：</w:t>
      </w:r>
    </w:p>
    <w:p w14:paraId="37E1EA16">
      <w:pPr>
        <w:spacing w:before="120" w:beforeLines="50" w:after="120" w:afterLines="50" w:line="440" w:lineRule="exact"/>
        <w:jc w:val="center"/>
        <w:rPr>
          <w:rFonts w:hint="eastAsia" w:ascii="宋体" w:hAnsi="宋体"/>
          <w:b/>
          <w:color w:val="auto"/>
          <w:sz w:val="28"/>
          <w:szCs w:val="28"/>
          <w:highlight w:val="none"/>
        </w:rPr>
      </w:pPr>
      <w:r>
        <w:rPr>
          <w:rFonts w:ascii="宋体" w:hAnsi="宋体"/>
          <w:b/>
          <w:color w:val="auto"/>
          <w:sz w:val="28"/>
          <w:szCs w:val="28"/>
          <w:highlight w:val="none"/>
        </w:rPr>
        <w:t>发包人供应材料设备一览表</w:t>
      </w:r>
    </w:p>
    <w:tbl>
      <w:tblPr>
        <w:tblStyle w:val="31"/>
        <w:tblW w:w="9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65"/>
        <w:gridCol w:w="684"/>
        <w:gridCol w:w="851"/>
        <w:gridCol w:w="1044"/>
        <w:gridCol w:w="992"/>
        <w:gridCol w:w="851"/>
        <w:gridCol w:w="1090"/>
        <w:gridCol w:w="837"/>
      </w:tblGrid>
      <w:tr w14:paraId="0531F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12D341CB">
            <w:pPr>
              <w:pStyle w:val="13"/>
              <w:keepNext/>
              <w:spacing w:line="440" w:lineRule="exact"/>
              <w:ind w:left="63" w:right="63"/>
              <w:jc w:val="center"/>
              <w:rPr>
                <w:color w:val="auto"/>
                <w:sz w:val="21"/>
                <w:szCs w:val="21"/>
                <w:highlight w:val="none"/>
              </w:rPr>
            </w:pPr>
            <w:r>
              <w:rPr>
                <w:color w:val="auto"/>
                <w:sz w:val="21"/>
                <w:szCs w:val="21"/>
                <w:highlight w:val="none"/>
              </w:rPr>
              <w:t>序号</w:t>
            </w:r>
          </w:p>
        </w:tc>
        <w:tc>
          <w:tcPr>
            <w:tcW w:w="1276" w:type="dxa"/>
            <w:tcBorders>
              <w:top w:val="single" w:color="auto" w:sz="12" w:space="0"/>
              <w:bottom w:val="double" w:color="auto" w:sz="6" w:space="0"/>
            </w:tcBorders>
            <w:noWrap w:val="0"/>
            <w:vAlign w:val="center"/>
          </w:tcPr>
          <w:p w14:paraId="43C75A08">
            <w:pPr>
              <w:pStyle w:val="13"/>
              <w:keepNext/>
              <w:spacing w:line="440" w:lineRule="exact"/>
              <w:ind w:left="63" w:right="63"/>
              <w:jc w:val="center"/>
              <w:rPr>
                <w:rFonts w:hint="eastAsia"/>
                <w:color w:val="auto"/>
                <w:sz w:val="21"/>
                <w:szCs w:val="21"/>
                <w:highlight w:val="none"/>
              </w:rPr>
            </w:pPr>
            <w:r>
              <w:rPr>
                <w:color w:val="auto"/>
                <w:sz w:val="21"/>
                <w:szCs w:val="21"/>
                <w:highlight w:val="none"/>
              </w:rPr>
              <w:t>材料、</w:t>
            </w:r>
          </w:p>
          <w:p w14:paraId="4810D642">
            <w:pPr>
              <w:pStyle w:val="13"/>
              <w:keepNext/>
              <w:spacing w:line="440" w:lineRule="exact"/>
              <w:ind w:right="63"/>
              <w:jc w:val="center"/>
              <w:rPr>
                <w:color w:val="auto"/>
                <w:sz w:val="21"/>
                <w:szCs w:val="21"/>
                <w:highlight w:val="none"/>
              </w:rPr>
            </w:pPr>
            <w:r>
              <w:rPr>
                <w:color w:val="auto"/>
                <w:sz w:val="21"/>
                <w:szCs w:val="21"/>
                <w:highlight w:val="none"/>
              </w:rPr>
              <w:t>设备品种</w:t>
            </w:r>
          </w:p>
        </w:tc>
        <w:tc>
          <w:tcPr>
            <w:tcW w:w="1165" w:type="dxa"/>
            <w:tcBorders>
              <w:top w:val="single" w:color="auto" w:sz="12" w:space="0"/>
              <w:bottom w:val="double" w:color="auto" w:sz="6" w:space="0"/>
            </w:tcBorders>
            <w:noWrap w:val="0"/>
            <w:vAlign w:val="center"/>
          </w:tcPr>
          <w:p w14:paraId="3842F741">
            <w:pPr>
              <w:pStyle w:val="13"/>
              <w:keepNext/>
              <w:spacing w:line="440" w:lineRule="exact"/>
              <w:ind w:left="63" w:right="63"/>
              <w:jc w:val="center"/>
              <w:rPr>
                <w:color w:val="auto"/>
                <w:sz w:val="21"/>
                <w:szCs w:val="21"/>
                <w:highlight w:val="none"/>
              </w:rPr>
            </w:pPr>
            <w:r>
              <w:rPr>
                <w:color w:val="auto"/>
                <w:sz w:val="21"/>
                <w:szCs w:val="21"/>
                <w:highlight w:val="none"/>
              </w:rPr>
              <w:t>规格型号</w:t>
            </w:r>
          </w:p>
        </w:tc>
        <w:tc>
          <w:tcPr>
            <w:tcW w:w="684" w:type="dxa"/>
            <w:tcBorders>
              <w:top w:val="single" w:color="auto" w:sz="12" w:space="0"/>
              <w:bottom w:val="double" w:color="auto" w:sz="6" w:space="0"/>
            </w:tcBorders>
            <w:noWrap w:val="0"/>
            <w:vAlign w:val="center"/>
          </w:tcPr>
          <w:p w14:paraId="70B8758F">
            <w:pPr>
              <w:pStyle w:val="13"/>
              <w:keepNext/>
              <w:spacing w:line="440" w:lineRule="exact"/>
              <w:ind w:left="63" w:right="63"/>
              <w:jc w:val="center"/>
              <w:rPr>
                <w:color w:val="auto"/>
                <w:sz w:val="21"/>
                <w:szCs w:val="21"/>
                <w:highlight w:val="none"/>
              </w:rPr>
            </w:pPr>
            <w:r>
              <w:rPr>
                <w:color w:val="auto"/>
                <w:sz w:val="21"/>
                <w:szCs w:val="21"/>
                <w:highlight w:val="none"/>
              </w:rPr>
              <w:t>单位</w:t>
            </w:r>
          </w:p>
        </w:tc>
        <w:tc>
          <w:tcPr>
            <w:tcW w:w="851" w:type="dxa"/>
            <w:tcBorders>
              <w:top w:val="single" w:color="auto" w:sz="12" w:space="0"/>
              <w:bottom w:val="double" w:color="auto" w:sz="6" w:space="0"/>
            </w:tcBorders>
            <w:noWrap w:val="0"/>
            <w:vAlign w:val="center"/>
          </w:tcPr>
          <w:p w14:paraId="32943BA9">
            <w:pPr>
              <w:pStyle w:val="13"/>
              <w:keepNext/>
              <w:spacing w:line="440" w:lineRule="exact"/>
              <w:ind w:left="63" w:right="63"/>
              <w:jc w:val="center"/>
              <w:rPr>
                <w:color w:val="auto"/>
                <w:sz w:val="21"/>
                <w:szCs w:val="21"/>
                <w:highlight w:val="none"/>
              </w:rPr>
            </w:pPr>
            <w:r>
              <w:rPr>
                <w:color w:val="auto"/>
                <w:sz w:val="21"/>
                <w:szCs w:val="21"/>
                <w:highlight w:val="none"/>
              </w:rPr>
              <w:t>数量</w:t>
            </w:r>
          </w:p>
        </w:tc>
        <w:tc>
          <w:tcPr>
            <w:tcW w:w="1044" w:type="dxa"/>
            <w:tcBorders>
              <w:top w:val="single" w:color="auto" w:sz="12" w:space="0"/>
              <w:bottom w:val="double" w:color="auto" w:sz="6" w:space="0"/>
            </w:tcBorders>
            <w:noWrap w:val="0"/>
            <w:vAlign w:val="center"/>
          </w:tcPr>
          <w:p w14:paraId="5ABFBEC7">
            <w:pPr>
              <w:pStyle w:val="13"/>
              <w:keepNext/>
              <w:spacing w:line="440" w:lineRule="exact"/>
              <w:ind w:left="63" w:right="63"/>
              <w:jc w:val="center"/>
              <w:rPr>
                <w:color w:val="auto"/>
                <w:sz w:val="21"/>
                <w:szCs w:val="21"/>
                <w:highlight w:val="none"/>
              </w:rPr>
            </w:pPr>
            <w:r>
              <w:rPr>
                <w:color w:val="auto"/>
                <w:sz w:val="21"/>
                <w:szCs w:val="21"/>
                <w:highlight w:val="none"/>
              </w:rPr>
              <w:t>单价</w:t>
            </w:r>
            <w:r>
              <w:rPr>
                <w:rFonts w:hint="eastAsia"/>
                <w:color w:val="auto"/>
                <w:sz w:val="21"/>
                <w:szCs w:val="21"/>
                <w:highlight w:val="none"/>
              </w:rPr>
              <w:t>（元）</w:t>
            </w:r>
          </w:p>
        </w:tc>
        <w:tc>
          <w:tcPr>
            <w:tcW w:w="992" w:type="dxa"/>
            <w:tcBorders>
              <w:top w:val="single" w:color="auto" w:sz="12" w:space="0"/>
              <w:bottom w:val="double" w:color="auto" w:sz="6" w:space="0"/>
            </w:tcBorders>
            <w:noWrap w:val="0"/>
            <w:vAlign w:val="center"/>
          </w:tcPr>
          <w:p w14:paraId="4804FA15">
            <w:pPr>
              <w:pStyle w:val="13"/>
              <w:keepNext/>
              <w:spacing w:line="440" w:lineRule="exact"/>
              <w:ind w:left="63" w:right="63"/>
              <w:jc w:val="center"/>
              <w:rPr>
                <w:color w:val="auto"/>
                <w:sz w:val="21"/>
                <w:szCs w:val="21"/>
                <w:highlight w:val="none"/>
              </w:rPr>
            </w:pPr>
            <w:r>
              <w:rPr>
                <w:color w:val="auto"/>
                <w:sz w:val="21"/>
                <w:szCs w:val="21"/>
                <w:highlight w:val="none"/>
              </w:rPr>
              <w:t>质量</w:t>
            </w:r>
          </w:p>
          <w:p w14:paraId="1648B27D">
            <w:pPr>
              <w:pStyle w:val="13"/>
              <w:keepNext/>
              <w:spacing w:line="440" w:lineRule="exact"/>
              <w:ind w:left="63" w:right="63"/>
              <w:jc w:val="center"/>
              <w:rPr>
                <w:color w:val="auto"/>
                <w:sz w:val="21"/>
                <w:szCs w:val="21"/>
                <w:highlight w:val="none"/>
              </w:rPr>
            </w:pPr>
            <w:r>
              <w:rPr>
                <w:color w:val="auto"/>
                <w:sz w:val="21"/>
                <w:szCs w:val="21"/>
                <w:highlight w:val="none"/>
              </w:rPr>
              <w:t>等级</w:t>
            </w:r>
          </w:p>
        </w:tc>
        <w:tc>
          <w:tcPr>
            <w:tcW w:w="851" w:type="dxa"/>
            <w:tcBorders>
              <w:top w:val="single" w:color="auto" w:sz="12" w:space="0"/>
              <w:bottom w:val="double" w:color="auto" w:sz="6" w:space="0"/>
            </w:tcBorders>
            <w:noWrap w:val="0"/>
            <w:vAlign w:val="center"/>
          </w:tcPr>
          <w:p w14:paraId="59642146">
            <w:pPr>
              <w:pStyle w:val="13"/>
              <w:keepNext/>
              <w:spacing w:line="440" w:lineRule="exact"/>
              <w:ind w:left="63" w:right="63"/>
              <w:jc w:val="center"/>
              <w:rPr>
                <w:color w:val="auto"/>
                <w:sz w:val="21"/>
                <w:szCs w:val="21"/>
                <w:highlight w:val="none"/>
              </w:rPr>
            </w:pPr>
            <w:r>
              <w:rPr>
                <w:color w:val="auto"/>
                <w:sz w:val="21"/>
                <w:szCs w:val="21"/>
                <w:highlight w:val="none"/>
              </w:rPr>
              <w:t>供应</w:t>
            </w:r>
          </w:p>
          <w:p w14:paraId="2CB99386">
            <w:pPr>
              <w:pStyle w:val="13"/>
              <w:keepNext/>
              <w:spacing w:line="440" w:lineRule="exact"/>
              <w:ind w:left="63" w:right="63"/>
              <w:jc w:val="center"/>
              <w:rPr>
                <w:color w:val="auto"/>
                <w:sz w:val="21"/>
                <w:szCs w:val="21"/>
                <w:highlight w:val="none"/>
              </w:rPr>
            </w:pPr>
            <w:r>
              <w:rPr>
                <w:color w:val="auto"/>
                <w:sz w:val="21"/>
                <w:szCs w:val="21"/>
                <w:highlight w:val="none"/>
              </w:rPr>
              <w:t>时间</w:t>
            </w:r>
          </w:p>
        </w:tc>
        <w:tc>
          <w:tcPr>
            <w:tcW w:w="1090" w:type="dxa"/>
            <w:tcBorders>
              <w:top w:val="single" w:color="auto" w:sz="12" w:space="0"/>
              <w:bottom w:val="double" w:color="auto" w:sz="6" w:space="0"/>
            </w:tcBorders>
            <w:noWrap w:val="0"/>
            <w:vAlign w:val="center"/>
          </w:tcPr>
          <w:p w14:paraId="25C4F09A">
            <w:pPr>
              <w:pStyle w:val="13"/>
              <w:keepNext/>
              <w:spacing w:line="440" w:lineRule="exact"/>
              <w:ind w:left="63" w:right="63"/>
              <w:jc w:val="center"/>
              <w:rPr>
                <w:color w:val="auto"/>
                <w:sz w:val="21"/>
                <w:szCs w:val="21"/>
                <w:highlight w:val="none"/>
              </w:rPr>
            </w:pPr>
            <w:r>
              <w:rPr>
                <w:color w:val="auto"/>
                <w:sz w:val="21"/>
                <w:szCs w:val="21"/>
                <w:highlight w:val="none"/>
              </w:rPr>
              <w:t>送达地点</w:t>
            </w:r>
          </w:p>
        </w:tc>
        <w:tc>
          <w:tcPr>
            <w:tcW w:w="837" w:type="dxa"/>
            <w:tcBorders>
              <w:top w:val="single" w:color="auto" w:sz="12" w:space="0"/>
              <w:bottom w:val="double" w:color="auto" w:sz="6" w:space="0"/>
            </w:tcBorders>
            <w:noWrap w:val="0"/>
            <w:vAlign w:val="center"/>
          </w:tcPr>
          <w:p w14:paraId="1816D346">
            <w:pPr>
              <w:pStyle w:val="13"/>
              <w:keepNext/>
              <w:spacing w:line="440" w:lineRule="exact"/>
              <w:ind w:left="63" w:right="63"/>
              <w:jc w:val="center"/>
              <w:rPr>
                <w:color w:val="auto"/>
                <w:sz w:val="24"/>
                <w:highlight w:val="none"/>
              </w:rPr>
            </w:pPr>
            <w:r>
              <w:rPr>
                <w:color w:val="auto"/>
                <w:sz w:val="24"/>
                <w:highlight w:val="none"/>
              </w:rPr>
              <w:t>备注</w:t>
            </w:r>
          </w:p>
        </w:tc>
      </w:tr>
      <w:tr w14:paraId="1E214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3A0DD26">
            <w:pPr>
              <w:pStyle w:val="13"/>
              <w:keepNext/>
              <w:spacing w:line="440" w:lineRule="exact"/>
              <w:ind w:left="63" w:right="63"/>
              <w:rPr>
                <w:color w:val="auto"/>
                <w:sz w:val="24"/>
                <w:highlight w:val="none"/>
              </w:rPr>
            </w:pPr>
          </w:p>
        </w:tc>
        <w:tc>
          <w:tcPr>
            <w:tcW w:w="1276" w:type="dxa"/>
            <w:tcBorders>
              <w:top w:val="double" w:color="auto" w:sz="6" w:space="0"/>
              <w:bottom w:val="single" w:color="auto" w:sz="6" w:space="0"/>
            </w:tcBorders>
            <w:noWrap w:val="0"/>
            <w:vAlign w:val="center"/>
          </w:tcPr>
          <w:p w14:paraId="6BF2145D">
            <w:pPr>
              <w:pStyle w:val="13"/>
              <w:keepNext/>
              <w:spacing w:line="440" w:lineRule="exact"/>
              <w:ind w:left="63" w:right="63"/>
              <w:rPr>
                <w:color w:val="auto"/>
                <w:sz w:val="24"/>
                <w:highlight w:val="none"/>
              </w:rPr>
            </w:pPr>
          </w:p>
        </w:tc>
        <w:tc>
          <w:tcPr>
            <w:tcW w:w="1165" w:type="dxa"/>
            <w:tcBorders>
              <w:top w:val="double" w:color="auto" w:sz="6" w:space="0"/>
              <w:bottom w:val="single" w:color="auto" w:sz="6" w:space="0"/>
            </w:tcBorders>
            <w:noWrap w:val="0"/>
            <w:vAlign w:val="center"/>
          </w:tcPr>
          <w:p w14:paraId="214AE498">
            <w:pPr>
              <w:pStyle w:val="13"/>
              <w:keepNext/>
              <w:spacing w:line="440" w:lineRule="exact"/>
              <w:ind w:left="63" w:right="63"/>
              <w:rPr>
                <w:color w:val="auto"/>
                <w:sz w:val="24"/>
                <w:highlight w:val="none"/>
              </w:rPr>
            </w:pPr>
          </w:p>
        </w:tc>
        <w:tc>
          <w:tcPr>
            <w:tcW w:w="684" w:type="dxa"/>
            <w:tcBorders>
              <w:top w:val="double" w:color="auto" w:sz="6" w:space="0"/>
              <w:bottom w:val="single" w:color="auto" w:sz="6" w:space="0"/>
            </w:tcBorders>
            <w:noWrap w:val="0"/>
            <w:vAlign w:val="center"/>
          </w:tcPr>
          <w:p w14:paraId="09263B7F">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center"/>
          </w:tcPr>
          <w:p w14:paraId="16869862">
            <w:pPr>
              <w:pStyle w:val="13"/>
              <w:keepNext/>
              <w:spacing w:line="440" w:lineRule="exact"/>
              <w:ind w:left="63" w:right="63"/>
              <w:rPr>
                <w:color w:val="auto"/>
                <w:sz w:val="24"/>
                <w:highlight w:val="none"/>
              </w:rPr>
            </w:pPr>
          </w:p>
        </w:tc>
        <w:tc>
          <w:tcPr>
            <w:tcW w:w="1044" w:type="dxa"/>
            <w:tcBorders>
              <w:top w:val="double" w:color="auto" w:sz="6" w:space="0"/>
              <w:bottom w:val="single" w:color="auto" w:sz="6" w:space="0"/>
            </w:tcBorders>
            <w:noWrap w:val="0"/>
            <w:vAlign w:val="center"/>
          </w:tcPr>
          <w:p w14:paraId="64E00150">
            <w:pPr>
              <w:pStyle w:val="13"/>
              <w:keepNext/>
              <w:spacing w:line="440" w:lineRule="exact"/>
              <w:ind w:left="63" w:right="63"/>
              <w:rPr>
                <w:color w:val="auto"/>
                <w:sz w:val="24"/>
                <w:highlight w:val="none"/>
              </w:rPr>
            </w:pPr>
          </w:p>
        </w:tc>
        <w:tc>
          <w:tcPr>
            <w:tcW w:w="992" w:type="dxa"/>
            <w:tcBorders>
              <w:top w:val="double" w:color="auto" w:sz="6" w:space="0"/>
              <w:bottom w:val="single" w:color="auto" w:sz="6" w:space="0"/>
            </w:tcBorders>
            <w:noWrap w:val="0"/>
            <w:vAlign w:val="center"/>
          </w:tcPr>
          <w:p w14:paraId="4B26B7FB">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center"/>
          </w:tcPr>
          <w:p w14:paraId="7D1AA01A">
            <w:pPr>
              <w:pStyle w:val="13"/>
              <w:keepNext/>
              <w:spacing w:line="440" w:lineRule="exact"/>
              <w:ind w:left="63" w:right="63"/>
              <w:rPr>
                <w:color w:val="auto"/>
                <w:sz w:val="24"/>
                <w:highlight w:val="none"/>
              </w:rPr>
            </w:pPr>
          </w:p>
        </w:tc>
        <w:tc>
          <w:tcPr>
            <w:tcW w:w="1090" w:type="dxa"/>
            <w:tcBorders>
              <w:top w:val="double" w:color="auto" w:sz="6" w:space="0"/>
              <w:bottom w:val="single" w:color="auto" w:sz="6" w:space="0"/>
            </w:tcBorders>
            <w:noWrap w:val="0"/>
            <w:vAlign w:val="center"/>
          </w:tcPr>
          <w:p w14:paraId="77DCFB67">
            <w:pPr>
              <w:pStyle w:val="13"/>
              <w:keepNext/>
              <w:spacing w:line="440" w:lineRule="exact"/>
              <w:ind w:left="63" w:right="63"/>
              <w:rPr>
                <w:color w:val="auto"/>
                <w:sz w:val="24"/>
                <w:highlight w:val="none"/>
              </w:rPr>
            </w:pPr>
          </w:p>
        </w:tc>
        <w:tc>
          <w:tcPr>
            <w:tcW w:w="837" w:type="dxa"/>
            <w:tcBorders>
              <w:top w:val="double" w:color="auto" w:sz="6" w:space="0"/>
              <w:bottom w:val="single" w:color="auto" w:sz="6" w:space="0"/>
            </w:tcBorders>
            <w:noWrap w:val="0"/>
            <w:vAlign w:val="center"/>
          </w:tcPr>
          <w:p w14:paraId="1D063EFE">
            <w:pPr>
              <w:pStyle w:val="13"/>
              <w:keepNext/>
              <w:spacing w:line="440" w:lineRule="exact"/>
              <w:ind w:left="63" w:right="63"/>
              <w:rPr>
                <w:color w:val="auto"/>
                <w:sz w:val="24"/>
                <w:highlight w:val="none"/>
              </w:rPr>
            </w:pPr>
          </w:p>
        </w:tc>
      </w:tr>
      <w:tr w14:paraId="30370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14A10CF">
            <w:pPr>
              <w:pStyle w:val="13"/>
              <w:keepNext/>
              <w:spacing w:line="440" w:lineRule="exact"/>
              <w:ind w:left="63" w:right="63"/>
              <w:rPr>
                <w:color w:val="auto"/>
                <w:sz w:val="24"/>
                <w:highlight w:val="none"/>
              </w:rPr>
            </w:pPr>
          </w:p>
        </w:tc>
        <w:tc>
          <w:tcPr>
            <w:tcW w:w="1276" w:type="dxa"/>
            <w:tcBorders>
              <w:top w:val="nil"/>
            </w:tcBorders>
            <w:noWrap w:val="0"/>
            <w:vAlign w:val="center"/>
          </w:tcPr>
          <w:p w14:paraId="15E99728">
            <w:pPr>
              <w:pStyle w:val="13"/>
              <w:keepNext/>
              <w:spacing w:line="440" w:lineRule="exact"/>
              <w:ind w:left="63" w:right="63"/>
              <w:rPr>
                <w:color w:val="auto"/>
                <w:sz w:val="24"/>
                <w:highlight w:val="none"/>
              </w:rPr>
            </w:pPr>
          </w:p>
        </w:tc>
        <w:tc>
          <w:tcPr>
            <w:tcW w:w="1165" w:type="dxa"/>
            <w:tcBorders>
              <w:top w:val="nil"/>
            </w:tcBorders>
            <w:noWrap w:val="0"/>
            <w:vAlign w:val="center"/>
          </w:tcPr>
          <w:p w14:paraId="539D2F3A">
            <w:pPr>
              <w:pStyle w:val="13"/>
              <w:keepNext/>
              <w:spacing w:line="440" w:lineRule="exact"/>
              <w:ind w:left="63" w:right="63"/>
              <w:rPr>
                <w:color w:val="auto"/>
                <w:sz w:val="24"/>
                <w:highlight w:val="none"/>
              </w:rPr>
            </w:pPr>
          </w:p>
        </w:tc>
        <w:tc>
          <w:tcPr>
            <w:tcW w:w="684" w:type="dxa"/>
            <w:tcBorders>
              <w:top w:val="nil"/>
            </w:tcBorders>
            <w:noWrap w:val="0"/>
            <w:vAlign w:val="center"/>
          </w:tcPr>
          <w:p w14:paraId="563F24EB">
            <w:pPr>
              <w:pStyle w:val="13"/>
              <w:keepNext/>
              <w:spacing w:line="440" w:lineRule="exact"/>
              <w:ind w:left="63" w:right="63"/>
              <w:rPr>
                <w:color w:val="auto"/>
                <w:sz w:val="24"/>
                <w:highlight w:val="none"/>
              </w:rPr>
            </w:pPr>
          </w:p>
        </w:tc>
        <w:tc>
          <w:tcPr>
            <w:tcW w:w="851" w:type="dxa"/>
            <w:tcBorders>
              <w:top w:val="nil"/>
            </w:tcBorders>
            <w:noWrap w:val="0"/>
            <w:vAlign w:val="center"/>
          </w:tcPr>
          <w:p w14:paraId="67A007B5">
            <w:pPr>
              <w:pStyle w:val="13"/>
              <w:keepNext/>
              <w:spacing w:line="440" w:lineRule="exact"/>
              <w:ind w:left="63" w:right="63"/>
              <w:rPr>
                <w:color w:val="auto"/>
                <w:sz w:val="24"/>
                <w:highlight w:val="none"/>
              </w:rPr>
            </w:pPr>
          </w:p>
        </w:tc>
        <w:tc>
          <w:tcPr>
            <w:tcW w:w="1044" w:type="dxa"/>
            <w:tcBorders>
              <w:top w:val="nil"/>
            </w:tcBorders>
            <w:noWrap w:val="0"/>
            <w:vAlign w:val="center"/>
          </w:tcPr>
          <w:p w14:paraId="7D683EFD">
            <w:pPr>
              <w:pStyle w:val="13"/>
              <w:keepNext/>
              <w:spacing w:line="440" w:lineRule="exact"/>
              <w:ind w:left="63" w:right="63"/>
              <w:rPr>
                <w:color w:val="auto"/>
                <w:sz w:val="24"/>
                <w:highlight w:val="none"/>
              </w:rPr>
            </w:pPr>
          </w:p>
        </w:tc>
        <w:tc>
          <w:tcPr>
            <w:tcW w:w="992" w:type="dxa"/>
            <w:tcBorders>
              <w:top w:val="nil"/>
            </w:tcBorders>
            <w:noWrap w:val="0"/>
            <w:vAlign w:val="center"/>
          </w:tcPr>
          <w:p w14:paraId="6FF6EFCB">
            <w:pPr>
              <w:pStyle w:val="13"/>
              <w:keepNext/>
              <w:spacing w:line="440" w:lineRule="exact"/>
              <w:ind w:left="63" w:right="63"/>
              <w:rPr>
                <w:color w:val="auto"/>
                <w:sz w:val="24"/>
                <w:highlight w:val="none"/>
              </w:rPr>
            </w:pPr>
          </w:p>
        </w:tc>
        <w:tc>
          <w:tcPr>
            <w:tcW w:w="851" w:type="dxa"/>
            <w:tcBorders>
              <w:top w:val="nil"/>
            </w:tcBorders>
            <w:noWrap w:val="0"/>
            <w:vAlign w:val="center"/>
          </w:tcPr>
          <w:p w14:paraId="17C8DD9A">
            <w:pPr>
              <w:pStyle w:val="13"/>
              <w:keepNext/>
              <w:spacing w:line="440" w:lineRule="exact"/>
              <w:ind w:left="63" w:right="63"/>
              <w:rPr>
                <w:color w:val="auto"/>
                <w:sz w:val="24"/>
                <w:highlight w:val="none"/>
              </w:rPr>
            </w:pPr>
          </w:p>
        </w:tc>
        <w:tc>
          <w:tcPr>
            <w:tcW w:w="1090" w:type="dxa"/>
            <w:tcBorders>
              <w:top w:val="nil"/>
            </w:tcBorders>
            <w:noWrap w:val="0"/>
            <w:vAlign w:val="center"/>
          </w:tcPr>
          <w:p w14:paraId="2C93A016">
            <w:pPr>
              <w:pStyle w:val="13"/>
              <w:keepNext/>
              <w:spacing w:line="440" w:lineRule="exact"/>
              <w:ind w:left="63" w:right="63"/>
              <w:rPr>
                <w:color w:val="auto"/>
                <w:sz w:val="24"/>
                <w:highlight w:val="none"/>
              </w:rPr>
            </w:pPr>
          </w:p>
        </w:tc>
        <w:tc>
          <w:tcPr>
            <w:tcW w:w="837" w:type="dxa"/>
            <w:tcBorders>
              <w:top w:val="nil"/>
            </w:tcBorders>
            <w:noWrap w:val="0"/>
            <w:vAlign w:val="center"/>
          </w:tcPr>
          <w:p w14:paraId="53DAF547">
            <w:pPr>
              <w:pStyle w:val="13"/>
              <w:keepNext/>
              <w:spacing w:line="440" w:lineRule="exact"/>
              <w:ind w:left="63" w:right="63"/>
              <w:rPr>
                <w:color w:val="auto"/>
                <w:sz w:val="24"/>
                <w:highlight w:val="none"/>
              </w:rPr>
            </w:pPr>
          </w:p>
        </w:tc>
      </w:tr>
      <w:tr w14:paraId="5188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4389C1F">
            <w:pPr>
              <w:pStyle w:val="13"/>
              <w:keepNext/>
              <w:spacing w:line="440" w:lineRule="exact"/>
              <w:ind w:left="63" w:right="63"/>
              <w:rPr>
                <w:color w:val="auto"/>
                <w:sz w:val="24"/>
                <w:highlight w:val="none"/>
              </w:rPr>
            </w:pPr>
          </w:p>
        </w:tc>
        <w:tc>
          <w:tcPr>
            <w:tcW w:w="1276" w:type="dxa"/>
            <w:noWrap w:val="0"/>
            <w:vAlign w:val="center"/>
          </w:tcPr>
          <w:p w14:paraId="12E86E46">
            <w:pPr>
              <w:pStyle w:val="13"/>
              <w:keepNext/>
              <w:spacing w:line="440" w:lineRule="exact"/>
              <w:ind w:left="63" w:right="63"/>
              <w:rPr>
                <w:color w:val="auto"/>
                <w:sz w:val="24"/>
                <w:highlight w:val="none"/>
              </w:rPr>
            </w:pPr>
          </w:p>
        </w:tc>
        <w:tc>
          <w:tcPr>
            <w:tcW w:w="1165" w:type="dxa"/>
            <w:noWrap w:val="0"/>
            <w:vAlign w:val="center"/>
          </w:tcPr>
          <w:p w14:paraId="2F9D57CC">
            <w:pPr>
              <w:pStyle w:val="13"/>
              <w:keepNext/>
              <w:spacing w:line="440" w:lineRule="exact"/>
              <w:ind w:left="63" w:right="63"/>
              <w:rPr>
                <w:color w:val="auto"/>
                <w:sz w:val="24"/>
                <w:highlight w:val="none"/>
              </w:rPr>
            </w:pPr>
          </w:p>
        </w:tc>
        <w:tc>
          <w:tcPr>
            <w:tcW w:w="684" w:type="dxa"/>
            <w:noWrap w:val="0"/>
            <w:vAlign w:val="center"/>
          </w:tcPr>
          <w:p w14:paraId="41907EE7">
            <w:pPr>
              <w:pStyle w:val="13"/>
              <w:keepNext/>
              <w:spacing w:line="440" w:lineRule="exact"/>
              <w:ind w:left="63" w:right="63"/>
              <w:rPr>
                <w:color w:val="auto"/>
                <w:sz w:val="24"/>
                <w:highlight w:val="none"/>
              </w:rPr>
            </w:pPr>
          </w:p>
        </w:tc>
        <w:tc>
          <w:tcPr>
            <w:tcW w:w="851" w:type="dxa"/>
            <w:noWrap w:val="0"/>
            <w:vAlign w:val="center"/>
          </w:tcPr>
          <w:p w14:paraId="21E03BF8">
            <w:pPr>
              <w:pStyle w:val="13"/>
              <w:keepNext/>
              <w:spacing w:line="440" w:lineRule="exact"/>
              <w:ind w:left="63" w:right="63"/>
              <w:rPr>
                <w:color w:val="auto"/>
                <w:sz w:val="24"/>
                <w:highlight w:val="none"/>
              </w:rPr>
            </w:pPr>
          </w:p>
        </w:tc>
        <w:tc>
          <w:tcPr>
            <w:tcW w:w="1044" w:type="dxa"/>
            <w:noWrap w:val="0"/>
            <w:vAlign w:val="center"/>
          </w:tcPr>
          <w:p w14:paraId="588AB1A4">
            <w:pPr>
              <w:pStyle w:val="13"/>
              <w:keepNext/>
              <w:spacing w:line="440" w:lineRule="exact"/>
              <w:ind w:left="63" w:right="63"/>
              <w:rPr>
                <w:color w:val="auto"/>
                <w:sz w:val="24"/>
                <w:highlight w:val="none"/>
              </w:rPr>
            </w:pPr>
          </w:p>
        </w:tc>
        <w:tc>
          <w:tcPr>
            <w:tcW w:w="992" w:type="dxa"/>
            <w:noWrap w:val="0"/>
            <w:vAlign w:val="center"/>
          </w:tcPr>
          <w:p w14:paraId="68F82247">
            <w:pPr>
              <w:pStyle w:val="13"/>
              <w:keepNext/>
              <w:spacing w:line="440" w:lineRule="exact"/>
              <w:ind w:left="63" w:right="63"/>
              <w:rPr>
                <w:color w:val="auto"/>
                <w:sz w:val="24"/>
                <w:highlight w:val="none"/>
              </w:rPr>
            </w:pPr>
          </w:p>
        </w:tc>
        <w:tc>
          <w:tcPr>
            <w:tcW w:w="851" w:type="dxa"/>
            <w:noWrap w:val="0"/>
            <w:vAlign w:val="center"/>
          </w:tcPr>
          <w:p w14:paraId="73606586">
            <w:pPr>
              <w:pStyle w:val="13"/>
              <w:keepNext/>
              <w:spacing w:line="440" w:lineRule="exact"/>
              <w:ind w:left="63" w:right="63"/>
              <w:rPr>
                <w:color w:val="auto"/>
                <w:sz w:val="24"/>
                <w:highlight w:val="none"/>
              </w:rPr>
            </w:pPr>
          </w:p>
        </w:tc>
        <w:tc>
          <w:tcPr>
            <w:tcW w:w="1090" w:type="dxa"/>
            <w:noWrap w:val="0"/>
            <w:vAlign w:val="center"/>
          </w:tcPr>
          <w:p w14:paraId="452DB4ED">
            <w:pPr>
              <w:pStyle w:val="13"/>
              <w:keepNext/>
              <w:spacing w:line="440" w:lineRule="exact"/>
              <w:ind w:left="63" w:right="63"/>
              <w:rPr>
                <w:color w:val="auto"/>
                <w:sz w:val="24"/>
                <w:highlight w:val="none"/>
              </w:rPr>
            </w:pPr>
          </w:p>
        </w:tc>
        <w:tc>
          <w:tcPr>
            <w:tcW w:w="837" w:type="dxa"/>
            <w:noWrap w:val="0"/>
            <w:vAlign w:val="center"/>
          </w:tcPr>
          <w:p w14:paraId="274C6BA5">
            <w:pPr>
              <w:pStyle w:val="13"/>
              <w:keepNext/>
              <w:spacing w:line="440" w:lineRule="exact"/>
              <w:ind w:left="63" w:right="63"/>
              <w:rPr>
                <w:color w:val="auto"/>
                <w:sz w:val="24"/>
                <w:highlight w:val="none"/>
              </w:rPr>
            </w:pPr>
          </w:p>
        </w:tc>
      </w:tr>
      <w:tr w14:paraId="567CA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8EFEECE">
            <w:pPr>
              <w:pStyle w:val="13"/>
              <w:keepNext/>
              <w:spacing w:line="440" w:lineRule="exact"/>
              <w:ind w:left="63" w:right="63"/>
              <w:rPr>
                <w:color w:val="auto"/>
                <w:sz w:val="24"/>
                <w:highlight w:val="none"/>
              </w:rPr>
            </w:pPr>
          </w:p>
        </w:tc>
        <w:tc>
          <w:tcPr>
            <w:tcW w:w="1276" w:type="dxa"/>
            <w:noWrap w:val="0"/>
            <w:vAlign w:val="center"/>
          </w:tcPr>
          <w:p w14:paraId="691B19E5">
            <w:pPr>
              <w:pStyle w:val="13"/>
              <w:keepNext/>
              <w:spacing w:line="440" w:lineRule="exact"/>
              <w:ind w:left="63" w:right="63"/>
              <w:rPr>
                <w:color w:val="auto"/>
                <w:sz w:val="24"/>
                <w:highlight w:val="none"/>
              </w:rPr>
            </w:pPr>
          </w:p>
        </w:tc>
        <w:tc>
          <w:tcPr>
            <w:tcW w:w="1165" w:type="dxa"/>
            <w:noWrap w:val="0"/>
            <w:vAlign w:val="center"/>
          </w:tcPr>
          <w:p w14:paraId="7968D802">
            <w:pPr>
              <w:pStyle w:val="13"/>
              <w:keepNext/>
              <w:spacing w:line="440" w:lineRule="exact"/>
              <w:ind w:left="63" w:right="63"/>
              <w:rPr>
                <w:color w:val="auto"/>
                <w:sz w:val="24"/>
                <w:highlight w:val="none"/>
              </w:rPr>
            </w:pPr>
          </w:p>
        </w:tc>
        <w:tc>
          <w:tcPr>
            <w:tcW w:w="684" w:type="dxa"/>
            <w:noWrap w:val="0"/>
            <w:vAlign w:val="center"/>
          </w:tcPr>
          <w:p w14:paraId="6697973E">
            <w:pPr>
              <w:pStyle w:val="13"/>
              <w:keepNext/>
              <w:spacing w:line="440" w:lineRule="exact"/>
              <w:ind w:left="63" w:right="63"/>
              <w:rPr>
                <w:color w:val="auto"/>
                <w:sz w:val="24"/>
                <w:highlight w:val="none"/>
              </w:rPr>
            </w:pPr>
          </w:p>
        </w:tc>
        <w:tc>
          <w:tcPr>
            <w:tcW w:w="851" w:type="dxa"/>
            <w:noWrap w:val="0"/>
            <w:vAlign w:val="center"/>
          </w:tcPr>
          <w:p w14:paraId="3F3AE33B">
            <w:pPr>
              <w:pStyle w:val="13"/>
              <w:keepNext/>
              <w:spacing w:line="440" w:lineRule="exact"/>
              <w:ind w:left="63" w:right="63"/>
              <w:rPr>
                <w:color w:val="auto"/>
                <w:sz w:val="24"/>
                <w:highlight w:val="none"/>
              </w:rPr>
            </w:pPr>
          </w:p>
        </w:tc>
        <w:tc>
          <w:tcPr>
            <w:tcW w:w="1044" w:type="dxa"/>
            <w:noWrap w:val="0"/>
            <w:vAlign w:val="center"/>
          </w:tcPr>
          <w:p w14:paraId="0743E388">
            <w:pPr>
              <w:pStyle w:val="13"/>
              <w:keepNext/>
              <w:spacing w:line="440" w:lineRule="exact"/>
              <w:ind w:left="63" w:right="63"/>
              <w:rPr>
                <w:color w:val="auto"/>
                <w:sz w:val="24"/>
                <w:highlight w:val="none"/>
              </w:rPr>
            </w:pPr>
          </w:p>
        </w:tc>
        <w:tc>
          <w:tcPr>
            <w:tcW w:w="992" w:type="dxa"/>
            <w:noWrap w:val="0"/>
            <w:vAlign w:val="center"/>
          </w:tcPr>
          <w:p w14:paraId="471F4452">
            <w:pPr>
              <w:pStyle w:val="13"/>
              <w:keepNext/>
              <w:spacing w:line="440" w:lineRule="exact"/>
              <w:ind w:left="63" w:right="63"/>
              <w:rPr>
                <w:color w:val="auto"/>
                <w:sz w:val="24"/>
                <w:highlight w:val="none"/>
              </w:rPr>
            </w:pPr>
          </w:p>
        </w:tc>
        <w:tc>
          <w:tcPr>
            <w:tcW w:w="851" w:type="dxa"/>
            <w:noWrap w:val="0"/>
            <w:vAlign w:val="center"/>
          </w:tcPr>
          <w:p w14:paraId="179842F9">
            <w:pPr>
              <w:pStyle w:val="13"/>
              <w:keepNext/>
              <w:spacing w:line="440" w:lineRule="exact"/>
              <w:ind w:left="63" w:right="63"/>
              <w:rPr>
                <w:color w:val="auto"/>
                <w:sz w:val="24"/>
                <w:highlight w:val="none"/>
              </w:rPr>
            </w:pPr>
          </w:p>
        </w:tc>
        <w:tc>
          <w:tcPr>
            <w:tcW w:w="1090" w:type="dxa"/>
            <w:noWrap w:val="0"/>
            <w:vAlign w:val="center"/>
          </w:tcPr>
          <w:p w14:paraId="6A85CBB6">
            <w:pPr>
              <w:pStyle w:val="13"/>
              <w:keepNext/>
              <w:spacing w:line="440" w:lineRule="exact"/>
              <w:ind w:left="63" w:right="63"/>
              <w:rPr>
                <w:color w:val="auto"/>
                <w:sz w:val="24"/>
                <w:highlight w:val="none"/>
              </w:rPr>
            </w:pPr>
          </w:p>
        </w:tc>
        <w:tc>
          <w:tcPr>
            <w:tcW w:w="837" w:type="dxa"/>
            <w:noWrap w:val="0"/>
            <w:vAlign w:val="center"/>
          </w:tcPr>
          <w:p w14:paraId="5AC1159B">
            <w:pPr>
              <w:pStyle w:val="13"/>
              <w:keepNext/>
              <w:spacing w:line="440" w:lineRule="exact"/>
              <w:ind w:left="63" w:right="63"/>
              <w:rPr>
                <w:color w:val="auto"/>
                <w:sz w:val="24"/>
                <w:highlight w:val="none"/>
              </w:rPr>
            </w:pPr>
          </w:p>
        </w:tc>
      </w:tr>
      <w:tr w14:paraId="5223F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55BD4B">
            <w:pPr>
              <w:pStyle w:val="13"/>
              <w:keepNext/>
              <w:spacing w:line="440" w:lineRule="exact"/>
              <w:ind w:left="63" w:right="63"/>
              <w:rPr>
                <w:color w:val="auto"/>
                <w:sz w:val="24"/>
                <w:highlight w:val="none"/>
              </w:rPr>
            </w:pPr>
          </w:p>
        </w:tc>
        <w:tc>
          <w:tcPr>
            <w:tcW w:w="1276" w:type="dxa"/>
            <w:noWrap w:val="0"/>
            <w:vAlign w:val="center"/>
          </w:tcPr>
          <w:p w14:paraId="03B9A1F1">
            <w:pPr>
              <w:pStyle w:val="13"/>
              <w:keepNext/>
              <w:spacing w:line="440" w:lineRule="exact"/>
              <w:ind w:left="63" w:right="63"/>
              <w:rPr>
                <w:color w:val="auto"/>
                <w:sz w:val="24"/>
                <w:highlight w:val="none"/>
              </w:rPr>
            </w:pPr>
          </w:p>
        </w:tc>
        <w:tc>
          <w:tcPr>
            <w:tcW w:w="1165" w:type="dxa"/>
            <w:noWrap w:val="0"/>
            <w:vAlign w:val="center"/>
          </w:tcPr>
          <w:p w14:paraId="256979D7">
            <w:pPr>
              <w:pStyle w:val="13"/>
              <w:keepNext/>
              <w:spacing w:line="440" w:lineRule="exact"/>
              <w:ind w:left="63" w:right="63"/>
              <w:rPr>
                <w:color w:val="auto"/>
                <w:sz w:val="24"/>
                <w:highlight w:val="none"/>
              </w:rPr>
            </w:pPr>
          </w:p>
        </w:tc>
        <w:tc>
          <w:tcPr>
            <w:tcW w:w="684" w:type="dxa"/>
            <w:noWrap w:val="0"/>
            <w:vAlign w:val="center"/>
          </w:tcPr>
          <w:p w14:paraId="642FD62E">
            <w:pPr>
              <w:pStyle w:val="13"/>
              <w:keepNext/>
              <w:spacing w:line="440" w:lineRule="exact"/>
              <w:ind w:left="63" w:right="63"/>
              <w:rPr>
                <w:color w:val="auto"/>
                <w:sz w:val="24"/>
                <w:highlight w:val="none"/>
              </w:rPr>
            </w:pPr>
          </w:p>
        </w:tc>
        <w:tc>
          <w:tcPr>
            <w:tcW w:w="851" w:type="dxa"/>
            <w:noWrap w:val="0"/>
            <w:vAlign w:val="center"/>
          </w:tcPr>
          <w:p w14:paraId="7B6ED772">
            <w:pPr>
              <w:pStyle w:val="13"/>
              <w:keepNext/>
              <w:spacing w:line="440" w:lineRule="exact"/>
              <w:ind w:left="63" w:right="63"/>
              <w:rPr>
                <w:color w:val="auto"/>
                <w:sz w:val="24"/>
                <w:highlight w:val="none"/>
              </w:rPr>
            </w:pPr>
          </w:p>
        </w:tc>
        <w:tc>
          <w:tcPr>
            <w:tcW w:w="1044" w:type="dxa"/>
            <w:noWrap w:val="0"/>
            <w:vAlign w:val="center"/>
          </w:tcPr>
          <w:p w14:paraId="5430BF02">
            <w:pPr>
              <w:pStyle w:val="13"/>
              <w:keepNext/>
              <w:spacing w:line="440" w:lineRule="exact"/>
              <w:ind w:left="63" w:right="63"/>
              <w:rPr>
                <w:color w:val="auto"/>
                <w:sz w:val="24"/>
                <w:highlight w:val="none"/>
              </w:rPr>
            </w:pPr>
          </w:p>
        </w:tc>
        <w:tc>
          <w:tcPr>
            <w:tcW w:w="992" w:type="dxa"/>
            <w:noWrap w:val="0"/>
            <w:vAlign w:val="center"/>
          </w:tcPr>
          <w:p w14:paraId="2C5D17A4">
            <w:pPr>
              <w:pStyle w:val="13"/>
              <w:keepNext/>
              <w:spacing w:line="440" w:lineRule="exact"/>
              <w:ind w:left="63" w:right="63"/>
              <w:rPr>
                <w:color w:val="auto"/>
                <w:sz w:val="24"/>
                <w:highlight w:val="none"/>
              </w:rPr>
            </w:pPr>
          </w:p>
        </w:tc>
        <w:tc>
          <w:tcPr>
            <w:tcW w:w="851" w:type="dxa"/>
            <w:noWrap w:val="0"/>
            <w:vAlign w:val="center"/>
          </w:tcPr>
          <w:p w14:paraId="4F2F4AF1">
            <w:pPr>
              <w:pStyle w:val="13"/>
              <w:keepNext/>
              <w:spacing w:line="440" w:lineRule="exact"/>
              <w:ind w:left="63" w:right="63"/>
              <w:rPr>
                <w:color w:val="auto"/>
                <w:sz w:val="24"/>
                <w:highlight w:val="none"/>
              </w:rPr>
            </w:pPr>
          </w:p>
        </w:tc>
        <w:tc>
          <w:tcPr>
            <w:tcW w:w="1090" w:type="dxa"/>
            <w:noWrap w:val="0"/>
            <w:vAlign w:val="center"/>
          </w:tcPr>
          <w:p w14:paraId="6C577B6C">
            <w:pPr>
              <w:pStyle w:val="13"/>
              <w:keepNext/>
              <w:spacing w:line="440" w:lineRule="exact"/>
              <w:ind w:left="63" w:right="63"/>
              <w:rPr>
                <w:color w:val="auto"/>
                <w:sz w:val="24"/>
                <w:highlight w:val="none"/>
              </w:rPr>
            </w:pPr>
          </w:p>
        </w:tc>
        <w:tc>
          <w:tcPr>
            <w:tcW w:w="837" w:type="dxa"/>
            <w:noWrap w:val="0"/>
            <w:vAlign w:val="center"/>
          </w:tcPr>
          <w:p w14:paraId="0FAD3A44">
            <w:pPr>
              <w:pStyle w:val="13"/>
              <w:keepNext/>
              <w:spacing w:line="440" w:lineRule="exact"/>
              <w:ind w:left="63" w:right="63"/>
              <w:rPr>
                <w:color w:val="auto"/>
                <w:sz w:val="24"/>
                <w:highlight w:val="none"/>
              </w:rPr>
            </w:pPr>
          </w:p>
        </w:tc>
      </w:tr>
      <w:tr w14:paraId="2FECC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3E701F">
            <w:pPr>
              <w:pStyle w:val="13"/>
              <w:keepNext/>
              <w:spacing w:line="440" w:lineRule="exact"/>
              <w:ind w:left="63" w:right="63"/>
              <w:rPr>
                <w:color w:val="auto"/>
                <w:sz w:val="24"/>
                <w:highlight w:val="none"/>
              </w:rPr>
            </w:pPr>
          </w:p>
        </w:tc>
        <w:tc>
          <w:tcPr>
            <w:tcW w:w="1276" w:type="dxa"/>
            <w:noWrap w:val="0"/>
            <w:vAlign w:val="center"/>
          </w:tcPr>
          <w:p w14:paraId="4501083A">
            <w:pPr>
              <w:pStyle w:val="13"/>
              <w:keepNext/>
              <w:spacing w:line="440" w:lineRule="exact"/>
              <w:ind w:left="63" w:right="63"/>
              <w:rPr>
                <w:color w:val="auto"/>
                <w:sz w:val="24"/>
                <w:highlight w:val="none"/>
              </w:rPr>
            </w:pPr>
          </w:p>
        </w:tc>
        <w:tc>
          <w:tcPr>
            <w:tcW w:w="1165" w:type="dxa"/>
            <w:noWrap w:val="0"/>
            <w:vAlign w:val="center"/>
          </w:tcPr>
          <w:p w14:paraId="16B8285E">
            <w:pPr>
              <w:pStyle w:val="13"/>
              <w:keepNext/>
              <w:spacing w:line="440" w:lineRule="exact"/>
              <w:ind w:left="63" w:right="63"/>
              <w:rPr>
                <w:color w:val="auto"/>
                <w:sz w:val="24"/>
                <w:highlight w:val="none"/>
              </w:rPr>
            </w:pPr>
          </w:p>
        </w:tc>
        <w:tc>
          <w:tcPr>
            <w:tcW w:w="684" w:type="dxa"/>
            <w:noWrap w:val="0"/>
            <w:vAlign w:val="center"/>
          </w:tcPr>
          <w:p w14:paraId="26AE9DC9">
            <w:pPr>
              <w:pStyle w:val="13"/>
              <w:keepNext/>
              <w:spacing w:line="440" w:lineRule="exact"/>
              <w:ind w:left="63" w:right="63"/>
              <w:rPr>
                <w:color w:val="auto"/>
                <w:sz w:val="24"/>
                <w:highlight w:val="none"/>
              </w:rPr>
            </w:pPr>
          </w:p>
        </w:tc>
        <w:tc>
          <w:tcPr>
            <w:tcW w:w="851" w:type="dxa"/>
            <w:noWrap w:val="0"/>
            <w:vAlign w:val="center"/>
          </w:tcPr>
          <w:p w14:paraId="709ED7EE">
            <w:pPr>
              <w:pStyle w:val="13"/>
              <w:keepNext/>
              <w:spacing w:line="440" w:lineRule="exact"/>
              <w:ind w:left="63" w:right="63"/>
              <w:rPr>
                <w:color w:val="auto"/>
                <w:sz w:val="24"/>
                <w:highlight w:val="none"/>
              </w:rPr>
            </w:pPr>
          </w:p>
        </w:tc>
        <w:tc>
          <w:tcPr>
            <w:tcW w:w="1044" w:type="dxa"/>
            <w:noWrap w:val="0"/>
            <w:vAlign w:val="center"/>
          </w:tcPr>
          <w:p w14:paraId="28102475">
            <w:pPr>
              <w:pStyle w:val="13"/>
              <w:keepNext/>
              <w:spacing w:line="440" w:lineRule="exact"/>
              <w:ind w:left="63" w:right="63"/>
              <w:rPr>
                <w:color w:val="auto"/>
                <w:sz w:val="24"/>
                <w:highlight w:val="none"/>
              </w:rPr>
            </w:pPr>
          </w:p>
        </w:tc>
        <w:tc>
          <w:tcPr>
            <w:tcW w:w="992" w:type="dxa"/>
            <w:noWrap w:val="0"/>
            <w:vAlign w:val="center"/>
          </w:tcPr>
          <w:p w14:paraId="442C355D">
            <w:pPr>
              <w:pStyle w:val="13"/>
              <w:keepNext/>
              <w:spacing w:line="440" w:lineRule="exact"/>
              <w:ind w:left="63" w:right="63"/>
              <w:rPr>
                <w:color w:val="auto"/>
                <w:sz w:val="24"/>
                <w:highlight w:val="none"/>
              </w:rPr>
            </w:pPr>
          </w:p>
        </w:tc>
        <w:tc>
          <w:tcPr>
            <w:tcW w:w="851" w:type="dxa"/>
            <w:noWrap w:val="0"/>
            <w:vAlign w:val="center"/>
          </w:tcPr>
          <w:p w14:paraId="14FFD41A">
            <w:pPr>
              <w:pStyle w:val="13"/>
              <w:keepNext/>
              <w:spacing w:line="440" w:lineRule="exact"/>
              <w:ind w:left="63" w:right="63"/>
              <w:rPr>
                <w:color w:val="auto"/>
                <w:sz w:val="24"/>
                <w:highlight w:val="none"/>
              </w:rPr>
            </w:pPr>
          </w:p>
        </w:tc>
        <w:tc>
          <w:tcPr>
            <w:tcW w:w="1090" w:type="dxa"/>
            <w:noWrap w:val="0"/>
            <w:vAlign w:val="center"/>
          </w:tcPr>
          <w:p w14:paraId="5DD08DB0">
            <w:pPr>
              <w:pStyle w:val="13"/>
              <w:keepNext/>
              <w:spacing w:line="440" w:lineRule="exact"/>
              <w:ind w:left="63" w:right="63"/>
              <w:rPr>
                <w:color w:val="auto"/>
                <w:sz w:val="24"/>
                <w:highlight w:val="none"/>
              </w:rPr>
            </w:pPr>
          </w:p>
        </w:tc>
        <w:tc>
          <w:tcPr>
            <w:tcW w:w="837" w:type="dxa"/>
            <w:noWrap w:val="0"/>
            <w:vAlign w:val="center"/>
          </w:tcPr>
          <w:p w14:paraId="05E3DBF2">
            <w:pPr>
              <w:pStyle w:val="13"/>
              <w:keepNext/>
              <w:spacing w:line="440" w:lineRule="exact"/>
              <w:ind w:left="63" w:right="63"/>
              <w:rPr>
                <w:color w:val="auto"/>
                <w:sz w:val="24"/>
                <w:highlight w:val="none"/>
              </w:rPr>
            </w:pPr>
          </w:p>
        </w:tc>
      </w:tr>
      <w:tr w14:paraId="73043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B02DEC">
            <w:pPr>
              <w:pStyle w:val="13"/>
              <w:keepNext/>
              <w:spacing w:line="440" w:lineRule="exact"/>
              <w:ind w:left="63" w:right="63"/>
              <w:rPr>
                <w:color w:val="auto"/>
                <w:sz w:val="24"/>
                <w:highlight w:val="none"/>
              </w:rPr>
            </w:pPr>
          </w:p>
        </w:tc>
        <w:tc>
          <w:tcPr>
            <w:tcW w:w="1276" w:type="dxa"/>
            <w:noWrap w:val="0"/>
            <w:vAlign w:val="center"/>
          </w:tcPr>
          <w:p w14:paraId="0E21540D">
            <w:pPr>
              <w:pStyle w:val="13"/>
              <w:keepNext/>
              <w:spacing w:line="440" w:lineRule="exact"/>
              <w:ind w:left="63" w:right="63"/>
              <w:rPr>
                <w:color w:val="auto"/>
                <w:sz w:val="24"/>
                <w:highlight w:val="none"/>
              </w:rPr>
            </w:pPr>
          </w:p>
        </w:tc>
        <w:tc>
          <w:tcPr>
            <w:tcW w:w="1165" w:type="dxa"/>
            <w:noWrap w:val="0"/>
            <w:vAlign w:val="center"/>
          </w:tcPr>
          <w:p w14:paraId="15DB25F9">
            <w:pPr>
              <w:pStyle w:val="13"/>
              <w:keepNext/>
              <w:spacing w:line="440" w:lineRule="exact"/>
              <w:ind w:left="63" w:right="63"/>
              <w:rPr>
                <w:color w:val="auto"/>
                <w:sz w:val="24"/>
                <w:highlight w:val="none"/>
              </w:rPr>
            </w:pPr>
          </w:p>
        </w:tc>
        <w:tc>
          <w:tcPr>
            <w:tcW w:w="684" w:type="dxa"/>
            <w:noWrap w:val="0"/>
            <w:vAlign w:val="center"/>
          </w:tcPr>
          <w:p w14:paraId="4FFCD27A">
            <w:pPr>
              <w:pStyle w:val="13"/>
              <w:keepNext/>
              <w:spacing w:line="440" w:lineRule="exact"/>
              <w:ind w:left="63" w:right="63"/>
              <w:rPr>
                <w:color w:val="auto"/>
                <w:sz w:val="24"/>
                <w:highlight w:val="none"/>
              </w:rPr>
            </w:pPr>
          </w:p>
        </w:tc>
        <w:tc>
          <w:tcPr>
            <w:tcW w:w="851" w:type="dxa"/>
            <w:noWrap w:val="0"/>
            <w:vAlign w:val="center"/>
          </w:tcPr>
          <w:p w14:paraId="25AAF0F2">
            <w:pPr>
              <w:pStyle w:val="13"/>
              <w:keepNext/>
              <w:spacing w:line="440" w:lineRule="exact"/>
              <w:ind w:left="63" w:right="63"/>
              <w:rPr>
                <w:color w:val="auto"/>
                <w:sz w:val="24"/>
                <w:highlight w:val="none"/>
              </w:rPr>
            </w:pPr>
          </w:p>
        </w:tc>
        <w:tc>
          <w:tcPr>
            <w:tcW w:w="1044" w:type="dxa"/>
            <w:noWrap w:val="0"/>
            <w:vAlign w:val="center"/>
          </w:tcPr>
          <w:p w14:paraId="50488DEC">
            <w:pPr>
              <w:pStyle w:val="13"/>
              <w:keepNext/>
              <w:spacing w:line="440" w:lineRule="exact"/>
              <w:ind w:left="63" w:right="63"/>
              <w:rPr>
                <w:color w:val="auto"/>
                <w:sz w:val="24"/>
                <w:highlight w:val="none"/>
              </w:rPr>
            </w:pPr>
          </w:p>
        </w:tc>
        <w:tc>
          <w:tcPr>
            <w:tcW w:w="992" w:type="dxa"/>
            <w:noWrap w:val="0"/>
            <w:vAlign w:val="center"/>
          </w:tcPr>
          <w:p w14:paraId="74FBC552">
            <w:pPr>
              <w:pStyle w:val="13"/>
              <w:keepNext/>
              <w:spacing w:line="440" w:lineRule="exact"/>
              <w:ind w:left="63" w:right="63"/>
              <w:rPr>
                <w:color w:val="auto"/>
                <w:sz w:val="24"/>
                <w:highlight w:val="none"/>
              </w:rPr>
            </w:pPr>
          </w:p>
        </w:tc>
        <w:tc>
          <w:tcPr>
            <w:tcW w:w="851" w:type="dxa"/>
            <w:noWrap w:val="0"/>
            <w:vAlign w:val="center"/>
          </w:tcPr>
          <w:p w14:paraId="5CDB07C4">
            <w:pPr>
              <w:pStyle w:val="13"/>
              <w:keepNext/>
              <w:spacing w:line="440" w:lineRule="exact"/>
              <w:ind w:left="63" w:right="63"/>
              <w:rPr>
                <w:color w:val="auto"/>
                <w:sz w:val="24"/>
                <w:highlight w:val="none"/>
              </w:rPr>
            </w:pPr>
          </w:p>
        </w:tc>
        <w:tc>
          <w:tcPr>
            <w:tcW w:w="1090" w:type="dxa"/>
            <w:noWrap w:val="0"/>
            <w:vAlign w:val="center"/>
          </w:tcPr>
          <w:p w14:paraId="6B75CC9B">
            <w:pPr>
              <w:pStyle w:val="13"/>
              <w:keepNext/>
              <w:spacing w:line="440" w:lineRule="exact"/>
              <w:ind w:left="63" w:right="63"/>
              <w:rPr>
                <w:color w:val="auto"/>
                <w:sz w:val="24"/>
                <w:highlight w:val="none"/>
              </w:rPr>
            </w:pPr>
          </w:p>
        </w:tc>
        <w:tc>
          <w:tcPr>
            <w:tcW w:w="837" w:type="dxa"/>
            <w:noWrap w:val="0"/>
            <w:vAlign w:val="center"/>
          </w:tcPr>
          <w:p w14:paraId="145A3DF2">
            <w:pPr>
              <w:pStyle w:val="13"/>
              <w:keepNext/>
              <w:spacing w:line="440" w:lineRule="exact"/>
              <w:ind w:left="63" w:right="63"/>
              <w:rPr>
                <w:color w:val="auto"/>
                <w:sz w:val="24"/>
                <w:highlight w:val="none"/>
              </w:rPr>
            </w:pPr>
          </w:p>
        </w:tc>
      </w:tr>
      <w:tr w14:paraId="2E28A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5AA651">
            <w:pPr>
              <w:pStyle w:val="13"/>
              <w:keepNext/>
              <w:spacing w:line="440" w:lineRule="exact"/>
              <w:ind w:left="63" w:right="63"/>
              <w:rPr>
                <w:color w:val="auto"/>
                <w:sz w:val="24"/>
                <w:highlight w:val="none"/>
              </w:rPr>
            </w:pPr>
          </w:p>
        </w:tc>
        <w:tc>
          <w:tcPr>
            <w:tcW w:w="1276" w:type="dxa"/>
            <w:noWrap w:val="0"/>
            <w:vAlign w:val="center"/>
          </w:tcPr>
          <w:p w14:paraId="20B6348B">
            <w:pPr>
              <w:pStyle w:val="13"/>
              <w:keepNext/>
              <w:spacing w:line="440" w:lineRule="exact"/>
              <w:ind w:left="63" w:right="63"/>
              <w:rPr>
                <w:color w:val="auto"/>
                <w:sz w:val="24"/>
                <w:highlight w:val="none"/>
              </w:rPr>
            </w:pPr>
          </w:p>
        </w:tc>
        <w:tc>
          <w:tcPr>
            <w:tcW w:w="1165" w:type="dxa"/>
            <w:noWrap w:val="0"/>
            <w:vAlign w:val="center"/>
          </w:tcPr>
          <w:p w14:paraId="7B8901FF">
            <w:pPr>
              <w:pStyle w:val="13"/>
              <w:keepNext/>
              <w:spacing w:line="440" w:lineRule="exact"/>
              <w:ind w:left="63" w:right="63"/>
              <w:rPr>
                <w:color w:val="auto"/>
                <w:sz w:val="24"/>
                <w:highlight w:val="none"/>
              </w:rPr>
            </w:pPr>
          </w:p>
        </w:tc>
        <w:tc>
          <w:tcPr>
            <w:tcW w:w="684" w:type="dxa"/>
            <w:noWrap w:val="0"/>
            <w:vAlign w:val="center"/>
          </w:tcPr>
          <w:p w14:paraId="7F33C537">
            <w:pPr>
              <w:pStyle w:val="13"/>
              <w:keepNext/>
              <w:spacing w:line="440" w:lineRule="exact"/>
              <w:ind w:left="63" w:right="63"/>
              <w:rPr>
                <w:color w:val="auto"/>
                <w:sz w:val="24"/>
                <w:highlight w:val="none"/>
              </w:rPr>
            </w:pPr>
          </w:p>
        </w:tc>
        <w:tc>
          <w:tcPr>
            <w:tcW w:w="851" w:type="dxa"/>
            <w:noWrap w:val="0"/>
            <w:vAlign w:val="center"/>
          </w:tcPr>
          <w:p w14:paraId="52009095">
            <w:pPr>
              <w:pStyle w:val="13"/>
              <w:keepNext/>
              <w:spacing w:line="440" w:lineRule="exact"/>
              <w:ind w:left="63" w:right="63"/>
              <w:rPr>
                <w:color w:val="auto"/>
                <w:sz w:val="24"/>
                <w:highlight w:val="none"/>
              </w:rPr>
            </w:pPr>
          </w:p>
        </w:tc>
        <w:tc>
          <w:tcPr>
            <w:tcW w:w="1044" w:type="dxa"/>
            <w:noWrap w:val="0"/>
            <w:vAlign w:val="center"/>
          </w:tcPr>
          <w:p w14:paraId="40685E48">
            <w:pPr>
              <w:pStyle w:val="13"/>
              <w:keepNext/>
              <w:spacing w:line="440" w:lineRule="exact"/>
              <w:ind w:left="63" w:right="63"/>
              <w:rPr>
                <w:color w:val="auto"/>
                <w:sz w:val="24"/>
                <w:highlight w:val="none"/>
              </w:rPr>
            </w:pPr>
          </w:p>
        </w:tc>
        <w:tc>
          <w:tcPr>
            <w:tcW w:w="992" w:type="dxa"/>
            <w:noWrap w:val="0"/>
            <w:vAlign w:val="center"/>
          </w:tcPr>
          <w:p w14:paraId="3B877495">
            <w:pPr>
              <w:pStyle w:val="13"/>
              <w:keepNext/>
              <w:spacing w:line="440" w:lineRule="exact"/>
              <w:ind w:left="63" w:right="63"/>
              <w:rPr>
                <w:color w:val="auto"/>
                <w:sz w:val="24"/>
                <w:highlight w:val="none"/>
              </w:rPr>
            </w:pPr>
          </w:p>
        </w:tc>
        <w:tc>
          <w:tcPr>
            <w:tcW w:w="851" w:type="dxa"/>
            <w:noWrap w:val="0"/>
            <w:vAlign w:val="center"/>
          </w:tcPr>
          <w:p w14:paraId="6159A629">
            <w:pPr>
              <w:pStyle w:val="13"/>
              <w:keepNext/>
              <w:spacing w:line="440" w:lineRule="exact"/>
              <w:ind w:left="63" w:right="63"/>
              <w:rPr>
                <w:color w:val="auto"/>
                <w:sz w:val="24"/>
                <w:highlight w:val="none"/>
              </w:rPr>
            </w:pPr>
          </w:p>
        </w:tc>
        <w:tc>
          <w:tcPr>
            <w:tcW w:w="1090" w:type="dxa"/>
            <w:noWrap w:val="0"/>
            <w:vAlign w:val="center"/>
          </w:tcPr>
          <w:p w14:paraId="40F160AC">
            <w:pPr>
              <w:pStyle w:val="13"/>
              <w:keepNext/>
              <w:spacing w:line="440" w:lineRule="exact"/>
              <w:ind w:left="63" w:right="63"/>
              <w:rPr>
                <w:color w:val="auto"/>
                <w:sz w:val="24"/>
                <w:highlight w:val="none"/>
              </w:rPr>
            </w:pPr>
          </w:p>
        </w:tc>
        <w:tc>
          <w:tcPr>
            <w:tcW w:w="837" w:type="dxa"/>
            <w:noWrap w:val="0"/>
            <w:vAlign w:val="center"/>
          </w:tcPr>
          <w:p w14:paraId="7650DC28">
            <w:pPr>
              <w:pStyle w:val="13"/>
              <w:keepNext/>
              <w:spacing w:line="440" w:lineRule="exact"/>
              <w:ind w:left="63" w:right="63"/>
              <w:rPr>
                <w:color w:val="auto"/>
                <w:sz w:val="24"/>
                <w:highlight w:val="none"/>
              </w:rPr>
            </w:pPr>
          </w:p>
        </w:tc>
      </w:tr>
      <w:tr w14:paraId="10ECD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10267F0">
            <w:pPr>
              <w:pStyle w:val="13"/>
              <w:keepNext/>
              <w:spacing w:line="440" w:lineRule="exact"/>
              <w:ind w:left="63" w:right="63"/>
              <w:rPr>
                <w:color w:val="auto"/>
                <w:sz w:val="24"/>
                <w:highlight w:val="none"/>
              </w:rPr>
            </w:pPr>
          </w:p>
        </w:tc>
        <w:tc>
          <w:tcPr>
            <w:tcW w:w="1276" w:type="dxa"/>
            <w:noWrap w:val="0"/>
            <w:vAlign w:val="center"/>
          </w:tcPr>
          <w:p w14:paraId="2F296906">
            <w:pPr>
              <w:pStyle w:val="13"/>
              <w:keepNext/>
              <w:spacing w:line="440" w:lineRule="exact"/>
              <w:ind w:left="63" w:right="63"/>
              <w:rPr>
                <w:color w:val="auto"/>
                <w:sz w:val="24"/>
                <w:highlight w:val="none"/>
              </w:rPr>
            </w:pPr>
          </w:p>
        </w:tc>
        <w:tc>
          <w:tcPr>
            <w:tcW w:w="1165" w:type="dxa"/>
            <w:noWrap w:val="0"/>
            <w:vAlign w:val="center"/>
          </w:tcPr>
          <w:p w14:paraId="49D83C6F">
            <w:pPr>
              <w:pStyle w:val="13"/>
              <w:keepNext/>
              <w:spacing w:line="440" w:lineRule="exact"/>
              <w:ind w:left="63" w:right="63"/>
              <w:rPr>
                <w:color w:val="auto"/>
                <w:sz w:val="24"/>
                <w:highlight w:val="none"/>
              </w:rPr>
            </w:pPr>
          </w:p>
        </w:tc>
        <w:tc>
          <w:tcPr>
            <w:tcW w:w="684" w:type="dxa"/>
            <w:noWrap w:val="0"/>
            <w:vAlign w:val="center"/>
          </w:tcPr>
          <w:p w14:paraId="0AC7024F">
            <w:pPr>
              <w:pStyle w:val="13"/>
              <w:keepNext/>
              <w:spacing w:line="440" w:lineRule="exact"/>
              <w:ind w:left="63" w:right="63"/>
              <w:rPr>
                <w:color w:val="auto"/>
                <w:sz w:val="24"/>
                <w:highlight w:val="none"/>
              </w:rPr>
            </w:pPr>
          </w:p>
        </w:tc>
        <w:tc>
          <w:tcPr>
            <w:tcW w:w="851" w:type="dxa"/>
            <w:noWrap w:val="0"/>
            <w:vAlign w:val="center"/>
          </w:tcPr>
          <w:p w14:paraId="3D1108F3">
            <w:pPr>
              <w:pStyle w:val="13"/>
              <w:keepNext/>
              <w:spacing w:line="440" w:lineRule="exact"/>
              <w:ind w:left="63" w:right="63"/>
              <w:rPr>
                <w:color w:val="auto"/>
                <w:sz w:val="24"/>
                <w:highlight w:val="none"/>
              </w:rPr>
            </w:pPr>
          </w:p>
        </w:tc>
        <w:tc>
          <w:tcPr>
            <w:tcW w:w="1044" w:type="dxa"/>
            <w:noWrap w:val="0"/>
            <w:vAlign w:val="center"/>
          </w:tcPr>
          <w:p w14:paraId="3FF8D8C2">
            <w:pPr>
              <w:pStyle w:val="13"/>
              <w:keepNext/>
              <w:spacing w:line="440" w:lineRule="exact"/>
              <w:ind w:left="63" w:right="63"/>
              <w:rPr>
                <w:color w:val="auto"/>
                <w:sz w:val="24"/>
                <w:highlight w:val="none"/>
              </w:rPr>
            </w:pPr>
          </w:p>
        </w:tc>
        <w:tc>
          <w:tcPr>
            <w:tcW w:w="992" w:type="dxa"/>
            <w:noWrap w:val="0"/>
            <w:vAlign w:val="center"/>
          </w:tcPr>
          <w:p w14:paraId="24B60E8C">
            <w:pPr>
              <w:pStyle w:val="13"/>
              <w:keepNext/>
              <w:spacing w:line="440" w:lineRule="exact"/>
              <w:ind w:left="63" w:right="63"/>
              <w:rPr>
                <w:color w:val="auto"/>
                <w:sz w:val="24"/>
                <w:highlight w:val="none"/>
              </w:rPr>
            </w:pPr>
          </w:p>
        </w:tc>
        <w:tc>
          <w:tcPr>
            <w:tcW w:w="851" w:type="dxa"/>
            <w:noWrap w:val="0"/>
            <w:vAlign w:val="center"/>
          </w:tcPr>
          <w:p w14:paraId="0D215DA0">
            <w:pPr>
              <w:pStyle w:val="13"/>
              <w:keepNext/>
              <w:spacing w:line="440" w:lineRule="exact"/>
              <w:ind w:left="63" w:right="63"/>
              <w:rPr>
                <w:color w:val="auto"/>
                <w:sz w:val="24"/>
                <w:highlight w:val="none"/>
              </w:rPr>
            </w:pPr>
          </w:p>
        </w:tc>
        <w:tc>
          <w:tcPr>
            <w:tcW w:w="1090" w:type="dxa"/>
            <w:noWrap w:val="0"/>
            <w:vAlign w:val="center"/>
          </w:tcPr>
          <w:p w14:paraId="2A2B254D">
            <w:pPr>
              <w:pStyle w:val="13"/>
              <w:keepNext/>
              <w:spacing w:line="440" w:lineRule="exact"/>
              <w:ind w:left="63" w:right="63"/>
              <w:rPr>
                <w:color w:val="auto"/>
                <w:sz w:val="24"/>
                <w:highlight w:val="none"/>
              </w:rPr>
            </w:pPr>
          </w:p>
        </w:tc>
        <w:tc>
          <w:tcPr>
            <w:tcW w:w="837" w:type="dxa"/>
            <w:noWrap w:val="0"/>
            <w:vAlign w:val="center"/>
          </w:tcPr>
          <w:p w14:paraId="7E318910">
            <w:pPr>
              <w:pStyle w:val="13"/>
              <w:keepNext/>
              <w:spacing w:line="440" w:lineRule="exact"/>
              <w:ind w:left="63" w:right="63"/>
              <w:rPr>
                <w:color w:val="auto"/>
                <w:sz w:val="24"/>
                <w:highlight w:val="none"/>
              </w:rPr>
            </w:pPr>
          </w:p>
        </w:tc>
      </w:tr>
      <w:tr w14:paraId="6392C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1A6D51C">
            <w:pPr>
              <w:pStyle w:val="13"/>
              <w:keepNext/>
              <w:spacing w:line="440" w:lineRule="exact"/>
              <w:ind w:left="63" w:right="63"/>
              <w:rPr>
                <w:color w:val="auto"/>
                <w:sz w:val="24"/>
                <w:highlight w:val="none"/>
              </w:rPr>
            </w:pPr>
          </w:p>
        </w:tc>
        <w:tc>
          <w:tcPr>
            <w:tcW w:w="1276" w:type="dxa"/>
            <w:noWrap w:val="0"/>
            <w:vAlign w:val="center"/>
          </w:tcPr>
          <w:p w14:paraId="12CEA132">
            <w:pPr>
              <w:pStyle w:val="13"/>
              <w:keepNext/>
              <w:spacing w:line="440" w:lineRule="exact"/>
              <w:ind w:left="63" w:right="63"/>
              <w:rPr>
                <w:color w:val="auto"/>
                <w:sz w:val="24"/>
                <w:highlight w:val="none"/>
              </w:rPr>
            </w:pPr>
          </w:p>
        </w:tc>
        <w:tc>
          <w:tcPr>
            <w:tcW w:w="1165" w:type="dxa"/>
            <w:noWrap w:val="0"/>
            <w:vAlign w:val="center"/>
          </w:tcPr>
          <w:p w14:paraId="6A9C8939">
            <w:pPr>
              <w:pStyle w:val="13"/>
              <w:keepNext/>
              <w:spacing w:line="440" w:lineRule="exact"/>
              <w:ind w:left="63" w:right="63"/>
              <w:rPr>
                <w:color w:val="auto"/>
                <w:sz w:val="24"/>
                <w:highlight w:val="none"/>
              </w:rPr>
            </w:pPr>
          </w:p>
        </w:tc>
        <w:tc>
          <w:tcPr>
            <w:tcW w:w="684" w:type="dxa"/>
            <w:noWrap w:val="0"/>
            <w:vAlign w:val="center"/>
          </w:tcPr>
          <w:p w14:paraId="2D773782">
            <w:pPr>
              <w:pStyle w:val="13"/>
              <w:keepNext/>
              <w:spacing w:line="440" w:lineRule="exact"/>
              <w:ind w:left="63" w:right="63"/>
              <w:rPr>
                <w:color w:val="auto"/>
                <w:sz w:val="24"/>
                <w:highlight w:val="none"/>
              </w:rPr>
            </w:pPr>
          </w:p>
        </w:tc>
        <w:tc>
          <w:tcPr>
            <w:tcW w:w="851" w:type="dxa"/>
            <w:noWrap w:val="0"/>
            <w:vAlign w:val="center"/>
          </w:tcPr>
          <w:p w14:paraId="35D36FEA">
            <w:pPr>
              <w:pStyle w:val="13"/>
              <w:keepNext/>
              <w:spacing w:line="440" w:lineRule="exact"/>
              <w:ind w:left="63" w:right="63"/>
              <w:rPr>
                <w:color w:val="auto"/>
                <w:sz w:val="24"/>
                <w:highlight w:val="none"/>
              </w:rPr>
            </w:pPr>
          </w:p>
        </w:tc>
        <w:tc>
          <w:tcPr>
            <w:tcW w:w="1044" w:type="dxa"/>
            <w:noWrap w:val="0"/>
            <w:vAlign w:val="center"/>
          </w:tcPr>
          <w:p w14:paraId="2B632D77">
            <w:pPr>
              <w:pStyle w:val="13"/>
              <w:keepNext/>
              <w:spacing w:line="440" w:lineRule="exact"/>
              <w:ind w:left="63" w:right="63"/>
              <w:rPr>
                <w:color w:val="auto"/>
                <w:sz w:val="24"/>
                <w:highlight w:val="none"/>
              </w:rPr>
            </w:pPr>
          </w:p>
        </w:tc>
        <w:tc>
          <w:tcPr>
            <w:tcW w:w="992" w:type="dxa"/>
            <w:noWrap w:val="0"/>
            <w:vAlign w:val="center"/>
          </w:tcPr>
          <w:p w14:paraId="241ABCB3">
            <w:pPr>
              <w:pStyle w:val="13"/>
              <w:keepNext/>
              <w:spacing w:line="440" w:lineRule="exact"/>
              <w:ind w:left="63" w:right="63"/>
              <w:rPr>
                <w:color w:val="auto"/>
                <w:sz w:val="24"/>
                <w:highlight w:val="none"/>
              </w:rPr>
            </w:pPr>
          </w:p>
        </w:tc>
        <w:tc>
          <w:tcPr>
            <w:tcW w:w="851" w:type="dxa"/>
            <w:noWrap w:val="0"/>
            <w:vAlign w:val="center"/>
          </w:tcPr>
          <w:p w14:paraId="64213F07">
            <w:pPr>
              <w:pStyle w:val="13"/>
              <w:keepNext/>
              <w:spacing w:line="440" w:lineRule="exact"/>
              <w:ind w:left="63" w:right="63"/>
              <w:rPr>
                <w:color w:val="auto"/>
                <w:sz w:val="24"/>
                <w:highlight w:val="none"/>
              </w:rPr>
            </w:pPr>
          </w:p>
        </w:tc>
        <w:tc>
          <w:tcPr>
            <w:tcW w:w="1090" w:type="dxa"/>
            <w:noWrap w:val="0"/>
            <w:vAlign w:val="center"/>
          </w:tcPr>
          <w:p w14:paraId="5DB100F6">
            <w:pPr>
              <w:pStyle w:val="13"/>
              <w:keepNext/>
              <w:spacing w:line="440" w:lineRule="exact"/>
              <w:ind w:left="63" w:right="63"/>
              <w:rPr>
                <w:color w:val="auto"/>
                <w:sz w:val="24"/>
                <w:highlight w:val="none"/>
              </w:rPr>
            </w:pPr>
          </w:p>
        </w:tc>
        <w:tc>
          <w:tcPr>
            <w:tcW w:w="837" w:type="dxa"/>
            <w:noWrap w:val="0"/>
            <w:vAlign w:val="center"/>
          </w:tcPr>
          <w:p w14:paraId="0FE54892">
            <w:pPr>
              <w:pStyle w:val="13"/>
              <w:keepNext/>
              <w:spacing w:line="440" w:lineRule="exact"/>
              <w:ind w:left="63" w:right="63"/>
              <w:rPr>
                <w:color w:val="auto"/>
                <w:sz w:val="24"/>
                <w:highlight w:val="none"/>
              </w:rPr>
            </w:pPr>
          </w:p>
        </w:tc>
      </w:tr>
      <w:tr w14:paraId="5CB1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E94B360">
            <w:pPr>
              <w:pStyle w:val="13"/>
              <w:keepNext/>
              <w:spacing w:line="440" w:lineRule="exact"/>
              <w:ind w:left="63" w:right="63"/>
              <w:rPr>
                <w:color w:val="auto"/>
                <w:sz w:val="24"/>
                <w:highlight w:val="none"/>
              </w:rPr>
            </w:pPr>
          </w:p>
        </w:tc>
        <w:tc>
          <w:tcPr>
            <w:tcW w:w="1276" w:type="dxa"/>
            <w:noWrap w:val="0"/>
            <w:vAlign w:val="center"/>
          </w:tcPr>
          <w:p w14:paraId="4DB253C8">
            <w:pPr>
              <w:pStyle w:val="13"/>
              <w:keepNext/>
              <w:spacing w:line="440" w:lineRule="exact"/>
              <w:ind w:left="63" w:right="63"/>
              <w:rPr>
                <w:color w:val="auto"/>
                <w:sz w:val="24"/>
                <w:highlight w:val="none"/>
              </w:rPr>
            </w:pPr>
          </w:p>
        </w:tc>
        <w:tc>
          <w:tcPr>
            <w:tcW w:w="1165" w:type="dxa"/>
            <w:noWrap w:val="0"/>
            <w:vAlign w:val="center"/>
          </w:tcPr>
          <w:p w14:paraId="083EC474">
            <w:pPr>
              <w:pStyle w:val="13"/>
              <w:keepNext/>
              <w:spacing w:line="440" w:lineRule="exact"/>
              <w:ind w:left="63" w:right="63"/>
              <w:rPr>
                <w:color w:val="auto"/>
                <w:sz w:val="24"/>
                <w:highlight w:val="none"/>
              </w:rPr>
            </w:pPr>
          </w:p>
        </w:tc>
        <w:tc>
          <w:tcPr>
            <w:tcW w:w="684" w:type="dxa"/>
            <w:noWrap w:val="0"/>
            <w:vAlign w:val="center"/>
          </w:tcPr>
          <w:p w14:paraId="6E884B0F">
            <w:pPr>
              <w:pStyle w:val="13"/>
              <w:keepNext/>
              <w:spacing w:line="440" w:lineRule="exact"/>
              <w:ind w:left="63" w:right="63"/>
              <w:rPr>
                <w:color w:val="auto"/>
                <w:sz w:val="24"/>
                <w:highlight w:val="none"/>
              </w:rPr>
            </w:pPr>
          </w:p>
        </w:tc>
        <w:tc>
          <w:tcPr>
            <w:tcW w:w="851" w:type="dxa"/>
            <w:noWrap w:val="0"/>
            <w:vAlign w:val="center"/>
          </w:tcPr>
          <w:p w14:paraId="006A7670">
            <w:pPr>
              <w:pStyle w:val="13"/>
              <w:keepNext/>
              <w:spacing w:line="440" w:lineRule="exact"/>
              <w:ind w:left="63" w:right="63"/>
              <w:rPr>
                <w:color w:val="auto"/>
                <w:sz w:val="24"/>
                <w:highlight w:val="none"/>
              </w:rPr>
            </w:pPr>
          </w:p>
        </w:tc>
        <w:tc>
          <w:tcPr>
            <w:tcW w:w="1044" w:type="dxa"/>
            <w:noWrap w:val="0"/>
            <w:vAlign w:val="center"/>
          </w:tcPr>
          <w:p w14:paraId="4929B4AD">
            <w:pPr>
              <w:pStyle w:val="13"/>
              <w:keepNext/>
              <w:spacing w:line="440" w:lineRule="exact"/>
              <w:ind w:left="63" w:right="63"/>
              <w:rPr>
                <w:color w:val="auto"/>
                <w:sz w:val="24"/>
                <w:highlight w:val="none"/>
              </w:rPr>
            </w:pPr>
          </w:p>
        </w:tc>
        <w:tc>
          <w:tcPr>
            <w:tcW w:w="992" w:type="dxa"/>
            <w:noWrap w:val="0"/>
            <w:vAlign w:val="center"/>
          </w:tcPr>
          <w:p w14:paraId="4433E90F">
            <w:pPr>
              <w:pStyle w:val="13"/>
              <w:keepNext/>
              <w:spacing w:line="440" w:lineRule="exact"/>
              <w:ind w:left="63" w:right="63"/>
              <w:rPr>
                <w:color w:val="auto"/>
                <w:sz w:val="24"/>
                <w:highlight w:val="none"/>
              </w:rPr>
            </w:pPr>
          </w:p>
        </w:tc>
        <w:tc>
          <w:tcPr>
            <w:tcW w:w="851" w:type="dxa"/>
            <w:noWrap w:val="0"/>
            <w:vAlign w:val="center"/>
          </w:tcPr>
          <w:p w14:paraId="2CEE12B7">
            <w:pPr>
              <w:pStyle w:val="13"/>
              <w:keepNext/>
              <w:spacing w:line="440" w:lineRule="exact"/>
              <w:ind w:left="63" w:right="63"/>
              <w:rPr>
                <w:color w:val="auto"/>
                <w:sz w:val="24"/>
                <w:highlight w:val="none"/>
              </w:rPr>
            </w:pPr>
          </w:p>
        </w:tc>
        <w:tc>
          <w:tcPr>
            <w:tcW w:w="1090" w:type="dxa"/>
            <w:noWrap w:val="0"/>
            <w:vAlign w:val="center"/>
          </w:tcPr>
          <w:p w14:paraId="5E2127E9">
            <w:pPr>
              <w:pStyle w:val="13"/>
              <w:keepNext/>
              <w:spacing w:line="440" w:lineRule="exact"/>
              <w:ind w:left="63" w:right="63"/>
              <w:rPr>
                <w:color w:val="auto"/>
                <w:sz w:val="24"/>
                <w:highlight w:val="none"/>
              </w:rPr>
            </w:pPr>
          </w:p>
        </w:tc>
        <w:tc>
          <w:tcPr>
            <w:tcW w:w="837" w:type="dxa"/>
            <w:noWrap w:val="0"/>
            <w:vAlign w:val="center"/>
          </w:tcPr>
          <w:p w14:paraId="3F77489D">
            <w:pPr>
              <w:pStyle w:val="13"/>
              <w:keepNext/>
              <w:spacing w:line="440" w:lineRule="exact"/>
              <w:ind w:left="63" w:right="63"/>
              <w:rPr>
                <w:color w:val="auto"/>
                <w:sz w:val="24"/>
                <w:highlight w:val="none"/>
              </w:rPr>
            </w:pPr>
          </w:p>
        </w:tc>
      </w:tr>
      <w:tr w14:paraId="1C674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1DA786">
            <w:pPr>
              <w:pStyle w:val="13"/>
              <w:keepNext/>
              <w:spacing w:line="440" w:lineRule="exact"/>
              <w:ind w:left="63" w:right="63"/>
              <w:rPr>
                <w:color w:val="auto"/>
                <w:sz w:val="24"/>
                <w:highlight w:val="none"/>
              </w:rPr>
            </w:pPr>
          </w:p>
        </w:tc>
        <w:tc>
          <w:tcPr>
            <w:tcW w:w="1276" w:type="dxa"/>
            <w:noWrap w:val="0"/>
            <w:vAlign w:val="center"/>
          </w:tcPr>
          <w:p w14:paraId="580F4FAA">
            <w:pPr>
              <w:pStyle w:val="13"/>
              <w:keepNext/>
              <w:spacing w:line="440" w:lineRule="exact"/>
              <w:ind w:left="63" w:right="63"/>
              <w:rPr>
                <w:color w:val="auto"/>
                <w:sz w:val="24"/>
                <w:highlight w:val="none"/>
              </w:rPr>
            </w:pPr>
          </w:p>
        </w:tc>
        <w:tc>
          <w:tcPr>
            <w:tcW w:w="1165" w:type="dxa"/>
            <w:noWrap w:val="0"/>
            <w:vAlign w:val="center"/>
          </w:tcPr>
          <w:p w14:paraId="0296E3F0">
            <w:pPr>
              <w:pStyle w:val="13"/>
              <w:keepNext/>
              <w:spacing w:line="440" w:lineRule="exact"/>
              <w:ind w:left="63" w:right="63"/>
              <w:rPr>
                <w:color w:val="auto"/>
                <w:sz w:val="24"/>
                <w:highlight w:val="none"/>
              </w:rPr>
            </w:pPr>
          </w:p>
        </w:tc>
        <w:tc>
          <w:tcPr>
            <w:tcW w:w="684" w:type="dxa"/>
            <w:noWrap w:val="0"/>
            <w:vAlign w:val="center"/>
          </w:tcPr>
          <w:p w14:paraId="5E0BB611">
            <w:pPr>
              <w:pStyle w:val="13"/>
              <w:keepNext/>
              <w:spacing w:line="440" w:lineRule="exact"/>
              <w:ind w:left="63" w:right="63"/>
              <w:rPr>
                <w:color w:val="auto"/>
                <w:sz w:val="24"/>
                <w:highlight w:val="none"/>
              </w:rPr>
            </w:pPr>
          </w:p>
        </w:tc>
        <w:tc>
          <w:tcPr>
            <w:tcW w:w="851" w:type="dxa"/>
            <w:noWrap w:val="0"/>
            <w:vAlign w:val="center"/>
          </w:tcPr>
          <w:p w14:paraId="3F6D7ABD">
            <w:pPr>
              <w:pStyle w:val="13"/>
              <w:keepNext/>
              <w:spacing w:line="440" w:lineRule="exact"/>
              <w:ind w:left="63" w:right="63"/>
              <w:rPr>
                <w:color w:val="auto"/>
                <w:sz w:val="24"/>
                <w:highlight w:val="none"/>
              </w:rPr>
            </w:pPr>
          </w:p>
        </w:tc>
        <w:tc>
          <w:tcPr>
            <w:tcW w:w="1044" w:type="dxa"/>
            <w:noWrap w:val="0"/>
            <w:vAlign w:val="center"/>
          </w:tcPr>
          <w:p w14:paraId="5C9A5D6C">
            <w:pPr>
              <w:pStyle w:val="13"/>
              <w:keepNext/>
              <w:spacing w:line="440" w:lineRule="exact"/>
              <w:ind w:left="63" w:right="63"/>
              <w:rPr>
                <w:color w:val="auto"/>
                <w:sz w:val="24"/>
                <w:highlight w:val="none"/>
              </w:rPr>
            </w:pPr>
          </w:p>
        </w:tc>
        <w:tc>
          <w:tcPr>
            <w:tcW w:w="992" w:type="dxa"/>
            <w:noWrap w:val="0"/>
            <w:vAlign w:val="center"/>
          </w:tcPr>
          <w:p w14:paraId="7FA26AEE">
            <w:pPr>
              <w:pStyle w:val="13"/>
              <w:keepNext/>
              <w:spacing w:line="440" w:lineRule="exact"/>
              <w:ind w:left="63" w:right="63"/>
              <w:rPr>
                <w:color w:val="auto"/>
                <w:sz w:val="24"/>
                <w:highlight w:val="none"/>
              </w:rPr>
            </w:pPr>
          </w:p>
        </w:tc>
        <w:tc>
          <w:tcPr>
            <w:tcW w:w="851" w:type="dxa"/>
            <w:noWrap w:val="0"/>
            <w:vAlign w:val="center"/>
          </w:tcPr>
          <w:p w14:paraId="4215A833">
            <w:pPr>
              <w:pStyle w:val="13"/>
              <w:keepNext/>
              <w:spacing w:line="440" w:lineRule="exact"/>
              <w:ind w:left="63" w:right="63"/>
              <w:rPr>
                <w:color w:val="auto"/>
                <w:sz w:val="24"/>
                <w:highlight w:val="none"/>
              </w:rPr>
            </w:pPr>
          </w:p>
        </w:tc>
        <w:tc>
          <w:tcPr>
            <w:tcW w:w="1090" w:type="dxa"/>
            <w:noWrap w:val="0"/>
            <w:vAlign w:val="center"/>
          </w:tcPr>
          <w:p w14:paraId="4B4EACAB">
            <w:pPr>
              <w:pStyle w:val="13"/>
              <w:keepNext/>
              <w:spacing w:line="440" w:lineRule="exact"/>
              <w:ind w:left="63" w:right="63"/>
              <w:rPr>
                <w:color w:val="auto"/>
                <w:sz w:val="24"/>
                <w:highlight w:val="none"/>
              </w:rPr>
            </w:pPr>
          </w:p>
        </w:tc>
        <w:tc>
          <w:tcPr>
            <w:tcW w:w="837" w:type="dxa"/>
            <w:noWrap w:val="0"/>
            <w:vAlign w:val="center"/>
          </w:tcPr>
          <w:p w14:paraId="42799013">
            <w:pPr>
              <w:pStyle w:val="13"/>
              <w:keepNext/>
              <w:spacing w:line="440" w:lineRule="exact"/>
              <w:ind w:left="63" w:right="63"/>
              <w:rPr>
                <w:color w:val="auto"/>
                <w:sz w:val="24"/>
                <w:highlight w:val="none"/>
              </w:rPr>
            </w:pPr>
          </w:p>
        </w:tc>
      </w:tr>
      <w:tr w14:paraId="53C22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0EF2589">
            <w:pPr>
              <w:pStyle w:val="13"/>
              <w:keepNext/>
              <w:spacing w:line="440" w:lineRule="exact"/>
              <w:ind w:left="63" w:right="63"/>
              <w:rPr>
                <w:color w:val="auto"/>
                <w:sz w:val="24"/>
                <w:highlight w:val="none"/>
              </w:rPr>
            </w:pPr>
          </w:p>
        </w:tc>
        <w:tc>
          <w:tcPr>
            <w:tcW w:w="1276" w:type="dxa"/>
            <w:noWrap w:val="0"/>
            <w:vAlign w:val="center"/>
          </w:tcPr>
          <w:p w14:paraId="73ED07F2">
            <w:pPr>
              <w:pStyle w:val="13"/>
              <w:keepNext/>
              <w:spacing w:line="440" w:lineRule="exact"/>
              <w:ind w:left="63" w:right="63"/>
              <w:rPr>
                <w:color w:val="auto"/>
                <w:sz w:val="24"/>
                <w:highlight w:val="none"/>
              </w:rPr>
            </w:pPr>
          </w:p>
        </w:tc>
        <w:tc>
          <w:tcPr>
            <w:tcW w:w="1165" w:type="dxa"/>
            <w:noWrap w:val="0"/>
            <w:vAlign w:val="center"/>
          </w:tcPr>
          <w:p w14:paraId="73CC3432">
            <w:pPr>
              <w:pStyle w:val="13"/>
              <w:keepNext/>
              <w:spacing w:line="440" w:lineRule="exact"/>
              <w:ind w:left="63" w:right="63"/>
              <w:rPr>
                <w:color w:val="auto"/>
                <w:sz w:val="24"/>
                <w:highlight w:val="none"/>
              </w:rPr>
            </w:pPr>
          </w:p>
        </w:tc>
        <w:tc>
          <w:tcPr>
            <w:tcW w:w="684" w:type="dxa"/>
            <w:noWrap w:val="0"/>
            <w:vAlign w:val="center"/>
          </w:tcPr>
          <w:p w14:paraId="01FECCB7">
            <w:pPr>
              <w:pStyle w:val="13"/>
              <w:keepNext/>
              <w:spacing w:line="440" w:lineRule="exact"/>
              <w:ind w:left="63" w:right="63"/>
              <w:rPr>
                <w:color w:val="auto"/>
                <w:sz w:val="24"/>
                <w:highlight w:val="none"/>
              </w:rPr>
            </w:pPr>
          </w:p>
        </w:tc>
        <w:tc>
          <w:tcPr>
            <w:tcW w:w="851" w:type="dxa"/>
            <w:noWrap w:val="0"/>
            <w:vAlign w:val="center"/>
          </w:tcPr>
          <w:p w14:paraId="48930913">
            <w:pPr>
              <w:pStyle w:val="13"/>
              <w:keepNext/>
              <w:spacing w:line="440" w:lineRule="exact"/>
              <w:ind w:left="63" w:right="63"/>
              <w:rPr>
                <w:color w:val="auto"/>
                <w:sz w:val="24"/>
                <w:highlight w:val="none"/>
              </w:rPr>
            </w:pPr>
          </w:p>
        </w:tc>
        <w:tc>
          <w:tcPr>
            <w:tcW w:w="1044" w:type="dxa"/>
            <w:noWrap w:val="0"/>
            <w:vAlign w:val="center"/>
          </w:tcPr>
          <w:p w14:paraId="1FCC3818">
            <w:pPr>
              <w:pStyle w:val="13"/>
              <w:keepNext/>
              <w:spacing w:line="440" w:lineRule="exact"/>
              <w:ind w:left="63" w:right="63"/>
              <w:rPr>
                <w:color w:val="auto"/>
                <w:sz w:val="24"/>
                <w:highlight w:val="none"/>
              </w:rPr>
            </w:pPr>
          </w:p>
        </w:tc>
        <w:tc>
          <w:tcPr>
            <w:tcW w:w="992" w:type="dxa"/>
            <w:noWrap w:val="0"/>
            <w:vAlign w:val="center"/>
          </w:tcPr>
          <w:p w14:paraId="0B9E1FEB">
            <w:pPr>
              <w:pStyle w:val="13"/>
              <w:keepNext/>
              <w:spacing w:line="440" w:lineRule="exact"/>
              <w:ind w:left="63" w:right="63"/>
              <w:rPr>
                <w:color w:val="auto"/>
                <w:sz w:val="24"/>
                <w:highlight w:val="none"/>
              </w:rPr>
            </w:pPr>
          </w:p>
        </w:tc>
        <w:tc>
          <w:tcPr>
            <w:tcW w:w="851" w:type="dxa"/>
            <w:noWrap w:val="0"/>
            <w:vAlign w:val="center"/>
          </w:tcPr>
          <w:p w14:paraId="710FB15B">
            <w:pPr>
              <w:pStyle w:val="13"/>
              <w:keepNext/>
              <w:spacing w:line="440" w:lineRule="exact"/>
              <w:ind w:left="63" w:right="63"/>
              <w:rPr>
                <w:color w:val="auto"/>
                <w:sz w:val="24"/>
                <w:highlight w:val="none"/>
              </w:rPr>
            </w:pPr>
          </w:p>
        </w:tc>
        <w:tc>
          <w:tcPr>
            <w:tcW w:w="1090" w:type="dxa"/>
            <w:noWrap w:val="0"/>
            <w:vAlign w:val="center"/>
          </w:tcPr>
          <w:p w14:paraId="7EEFACD8">
            <w:pPr>
              <w:pStyle w:val="13"/>
              <w:keepNext/>
              <w:spacing w:line="440" w:lineRule="exact"/>
              <w:ind w:left="63" w:right="63"/>
              <w:rPr>
                <w:color w:val="auto"/>
                <w:sz w:val="24"/>
                <w:highlight w:val="none"/>
              </w:rPr>
            </w:pPr>
          </w:p>
        </w:tc>
        <w:tc>
          <w:tcPr>
            <w:tcW w:w="837" w:type="dxa"/>
            <w:noWrap w:val="0"/>
            <w:vAlign w:val="center"/>
          </w:tcPr>
          <w:p w14:paraId="13D51766">
            <w:pPr>
              <w:pStyle w:val="13"/>
              <w:keepNext/>
              <w:spacing w:line="440" w:lineRule="exact"/>
              <w:ind w:left="63" w:right="63"/>
              <w:rPr>
                <w:color w:val="auto"/>
                <w:sz w:val="24"/>
                <w:highlight w:val="none"/>
              </w:rPr>
            </w:pPr>
          </w:p>
        </w:tc>
      </w:tr>
      <w:tr w14:paraId="3D7E0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508F149">
            <w:pPr>
              <w:pStyle w:val="13"/>
              <w:keepNext/>
              <w:spacing w:line="440" w:lineRule="exact"/>
              <w:ind w:left="63" w:right="63"/>
              <w:rPr>
                <w:color w:val="auto"/>
                <w:sz w:val="24"/>
                <w:highlight w:val="none"/>
              </w:rPr>
            </w:pPr>
          </w:p>
        </w:tc>
        <w:tc>
          <w:tcPr>
            <w:tcW w:w="1276" w:type="dxa"/>
            <w:noWrap w:val="0"/>
            <w:vAlign w:val="center"/>
          </w:tcPr>
          <w:p w14:paraId="544FFF9C">
            <w:pPr>
              <w:pStyle w:val="13"/>
              <w:keepNext/>
              <w:spacing w:line="440" w:lineRule="exact"/>
              <w:ind w:left="63" w:right="63"/>
              <w:rPr>
                <w:color w:val="auto"/>
                <w:sz w:val="24"/>
                <w:highlight w:val="none"/>
              </w:rPr>
            </w:pPr>
          </w:p>
        </w:tc>
        <w:tc>
          <w:tcPr>
            <w:tcW w:w="1165" w:type="dxa"/>
            <w:noWrap w:val="0"/>
            <w:vAlign w:val="center"/>
          </w:tcPr>
          <w:p w14:paraId="1EC2F147">
            <w:pPr>
              <w:pStyle w:val="13"/>
              <w:keepNext/>
              <w:spacing w:line="440" w:lineRule="exact"/>
              <w:ind w:left="63" w:right="63"/>
              <w:rPr>
                <w:color w:val="auto"/>
                <w:sz w:val="24"/>
                <w:highlight w:val="none"/>
              </w:rPr>
            </w:pPr>
          </w:p>
        </w:tc>
        <w:tc>
          <w:tcPr>
            <w:tcW w:w="684" w:type="dxa"/>
            <w:noWrap w:val="0"/>
            <w:vAlign w:val="center"/>
          </w:tcPr>
          <w:p w14:paraId="020DBCBC">
            <w:pPr>
              <w:pStyle w:val="13"/>
              <w:keepNext/>
              <w:spacing w:line="440" w:lineRule="exact"/>
              <w:ind w:left="63" w:right="63"/>
              <w:rPr>
                <w:color w:val="auto"/>
                <w:sz w:val="24"/>
                <w:highlight w:val="none"/>
              </w:rPr>
            </w:pPr>
          </w:p>
        </w:tc>
        <w:tc>
          <w:tcPr>
            <w:tcW w:w="851" w:type="dxa"/>
            <w:noWrap w:val="0"/>
            <w:vAlign w:val="center"/>
          </w:tcPr>
          <w:p w14:paraId="1BB243CF">
            <w:pPr>
              <w:pStyle w:val="13"/>
              <w:keepNext/>
              <w:spacing w:line="440" w:lineRule="exact"/>
              <w:ind w:left="63" w:right="63"/>
              <w:rPr>
                <w:color w:val="auto"/>
                <w:sz w:val="24"/>
                <w:highlight w:val="none"/>
              </w:rPr>
            </w:pPr>
          </w:p>
        </w:tc>
        <w:tc>
          <w:tcPr>
            <w:tcW w:w="1044" w:type="dxa"/>
            <w:noWrap w:val="0"/>
            <w:vAlign w:val="center"/>
          </w:tcPr>
          <w:p w14:paraId="10A97328">
            <w:pPr>
              <w:pStyle w:val="13"/>
              <w:keepNext/>
              <w:spacing w:line="440" w:lineRule="exact"/>
              <w:ind w:left="63" w:right="63"/>
              <w:rPr>
                <w:color w:val="auto"/>
                <w:sz w:val="24"/>
                <w:highlight w:val="none"/>
              </w:rPr>
            </w:pPr>
          </w:p>
        </w:tc>
        <w:tc>
          <w:tcPr>
            <w:tcW w:w="992" w:type="dxa"/>
            <w:noWrap w:val="0"/>
            <w:vAlign w:val="center"/>
          </w:tcPr>
          <w:p w14:paraId="61FCECE1">
            <w:pPr>
              <w:pStyle w:val="13"/>
              <w:keepNext/>
              <w:spacing w:line="440" w:lineRule="exact"/>
              <w:ind w:left="63" w:right="63"/>
              <w:rPr>
                <w:color w:val="auto"/>
                <w:sz w:val="24"/>
                <w:highlight w:val="none"/>
              </w:rPr>
            </w:pPr>
          </w:p>
        </w:tc>
        <w:tc>
          <w:tcPr>
            <w:tcW w:w="851" w:type="dxa"/>
            <w:noWrap w:val="0"/>
            <w:vAlign w:val="center"/>
          </w:tcPr>
          <w:p w14:paraId="0CBBBC9E">
            <w:pPr>
              <w:pStyle w:val="13"/>
              <w:keepNext/>
              <w:spacing w:line="440" w:lineRule="exact"/>
              <w:ind w:left="63" w:right="63"/>
              <w:rPr>
                <w:color w:val="auto"/>
                <w:sz w:val="24"/>
                <w:highlight w:val="none"/>
              </w:rPr>
            </w:pPr>
          </w:p>
        </w:tc>
        <w:tc>
          <w:tcPr>
            <w:tcW w:w="1090" w:type="dxa"/>
            <w:noWrap w:val="0"/>
            <w:vAlign w:val="center"/>
          </w:tcPr>
          <w:p w14:paraId="0B1EE8A1">
            <w:pPr>
              <w:pStyle w:val="13"/>
              <w:keepNext/>
              <w:spacing w:line="440" w:lineRule="exact"/>
              <w:ind w:left="63" w:right="63"/>
              <w:rPr>
                <w:color w:val="auto"/>
                <w:sz w:val="24"/>
                <w:highlight w:val="none"/>
              </w:rPr>
            </w:pPr>
          </w:p>
        </w:tc>
        <w:tc>
          <w:tcPr>
            <w:tcW w:w="837" w:type="dxa"/>
            <w:noWrap w:val="0"/>
            <w:vAlign w:val="center"/>
          </w:tcPr>
          <w:p w14:paraId="2AF7C82A">
            <w:pPr>
              <w:pStyle w:val="13"/>
              <w:keepNext/>
              <w:spacing w:line="440" w:lineRule="exact"/>
              <w:ind w:left="63" w:right="63"/>
              <w:rPr>
                <w:color w:val="auto"/>
                <w:sz w:val="24"/>
                <w:highlight w:val="none"/>
              </w:rPr>
            </w:pPr>
          </w:p>
        </w:tc>
      </w:tr>
      <w:tr w14:paraId="035F9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7B3960E">
            <w:pPr>
              <w:pStyle w:val="13"/>
              <w:keepNext/>
              <w:spacing w:line="440" w:lineRule="exact"/>
              <w:ind w:left="63" w:right="63"/>
              <w:rPr>
                <w:color w:val="auto"/>
                <w:sz w:val="24"/>
                <w:highlight w:val="none"/>
              </w:rPr>
            </w:pPr>
          </w:p>
        </w:tc>
        <w:tc>
          <w:tcPr>
            <w:tcW w:w="1276" w:type="dxa"/>
            <w:noWrap w:val="0"/>
            <w:vAlign w:val="center"/>
          </w:tcPr>
          <w:p w14:paraId="53DE78FF">
            <w:pPr>
              <w:pStyle w:val="13"/>
              <w:keepNext/>
              <w:spacing w:line="440" w:lineRule="exact"/>
              <w:ind w:left="63" w:right="63"/>
              <w:rPr>
                <w:color w:val="auto"/>
                <w:sz w:val="24"/>
                <w:highlight w:val="none"/>
              </w:rPr>
            </w:pPr>
          </w:p>
        </w:tc>
        <w:tc>
          <w:tcPr>
            <w:tcW w:w="1165" w:type="dxa"/>
            <w:noWrap w:val="0"/>
            <w:vAlign w:val="center"/>
          </w:tcPr>
          <w:p w14:paraId="1C610406">
            <w:pPr>
              <w:pStyle w:val="13"/>
              <w:keepNext/>
              <w:spacing w:line="440" w:lineRule="exact"/>
              <w:ind w:left="63" w:right="63"/>
              <w:rPr>
                <w:color w:val="auto"/>
                <w:sz w:val="24"/>
                <w:highlight w:val="none"/>
              </w:rPr>
            </w:pPr>
          </w:p>
        </w:tc>
        <w:tc>
          <w:tcPr>
            <w:tcW w:w="684" w:type="dxa"/>
            <w:noWrap w:val="0"/>
            <w:vAlign w:val="center"/>
          </w:tcPr>
          <w:p w14:paraId="3BE71C2B">
            <w:pPr>
              <w:pStyle w:val="13"/>
              <w:keepNext/>
              <w:spacing w:line="440" w:lineRule="exact"/>
              <w:ind w:left="63" w:right="63"/>
              <w:rPr>
                <w:color w:val="auto"/>
                <w:sz w:val="24"/>
                <w:highlight w:val="none"/>
              </w:rPr>
            </w:pPr>
          </w:p>
        </w:tc>
        <w:tc>
          <w:tcPr>
            <w:tcW w:w="851" w:type="dxa"/>
            <w:noWrap w:val="0"/>
            <w:vAlign w:val="center"/>
          </w:tcPr>
          <w:p w14:paraId="16515E7F">
            <w:pPr>
              <w:pStyle w:val="13"/>
              <w:keepNext/>
              <w:spacing w:line="440" w:lineRule="exact"/>
              <w:ind w:left="63" w:right="63"/>
              <w:rPr>
                <w:color w:val="auto"/>
                <w:sz w:val="24"/>
                <w:highlight w:val="none"/>
              </w:rPr>
            </w:pPr>
          </w:p>
        </w:tc>
        <w:tc>
          <w:tcPr>
            <w:tcW w:w="1044" w:type="dxa"/>
            <w:noWrap w:val="0"/>
            <w:vAlign w:val="center"/>
          </w:tcPr>
          <w:p w14:paraId="16676DBA">
            <w:pPr>
              <w:pStyle w:val="13"/>
              <w:keepNext/>
              <w:spacing w:line="440" w:lineRule="exact"/>
              <w:ind w:left="63" w:right="63"/>
              <w:rPr>
                <w:color w:val="auto"/>
                <w:sz w:val="24"/>
                <w:highlight w:val="none"/>
              </w:rPr>
            </w:pPr>
          </w:p>
        </w:tc>
        <w:tc>
          <w:tcPr>
            <w:tcW w:w="992" w:type="dxa"/>
            <w:noWrap w:val="0"/>
            <w:vAlign w:val="center"/>
          </w:tcPr>
          <w:p w14:paraId="1679659A">
            <w:pPr>
              <w:pStyle w:val="13"/>
              <w:keepNext/>
              <w:spacing w:line="440" w:lineRule="exact"/>
              <w:ind w:left="63" w:right="63"/>
              <w:rPr>
                <w:color w:val="auto"/>
                <w:sz w:val="24"/>
                <w:highlight w:val="none"/>
              </w:rPr>
            </w:pPr>
          </w:p>
        </w:tc>
        <w:tc>
          <w:tcPr>
            <w:tcW w:w="851" w:type="dxa"/>
            <w:noWrap w:val="0"/>
            <w:vAlign w:val="center"/>
          </w:tcPr>
          <w:p w14:paraId="21E39938">
            <w:pPr>
              <w:pStyle w:val="13"/>
              <w:keepNext/>
              <w:spacing w:line="440" w:lineRule="exact"/>
              <w:ind w:left="63" w:right="63"/>
              <w:rPr>
                <w:color w:val="auto"/>
                <w:sz w:val="24"/>
                <w:highlight w:val="none"/>
              </w:rPr>
            </w:pPr>
          </w:p>
        </w:tc>
        <w:tc>
          <w:tcPr>
            <w:tcW w:w="1090" w:type="dxa"/>
            <w:noWrap w:val="0"/>
            <w:vAlign w:val="center"/>
          </w:tcPr>
          <w:p w14:paraId="3007CA21">
            <w:pPr>
              <w:pStyle w:val="13"/>
              <w:keepNext/>
              <w:spacing w:line="440" w:lineRule="exact"/>
              <w:ind w:left="63" w:right="63"/>
              <w:rPr>
                <w:color w:val="auto"/>
                <w:sz w:val="24"/>
                <w:highlight w:val="none"/>
              </w:rPr>
            </w:pPr>
          </w:p>
        </w:tc>
        <w:tc>
          <w:tcPr>
            <w:tcW w:w="837" w:type="dxa"/>
            <w:noWrap w:val="0"/>
            <w:vAlign w:val="center"/>
          </w:tcPr>
          <w:p w14:paraId="1C2808A6">
            <w:pPr>
              <w:pStyle w:val="13"/>
              <w:keepNext/>
              <w:spacing w:line="440" w:lineRule="exact"/>
              <w:ind w:left="63" w:right="63"/>
              <w:rPr>
                <w:color w:val="auto"/>
                <w:sz w:val="24"/>
                <w:highlight w:val="none"/>
              </w:rPr>
            </w:pPr>
          </w:p>
        </w:tc>
      </w:tr>
      <w:tr w14:paraId="24FA9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C7F21A">
            <w:pPr>
              <w:pStyle w:val="13"/>
              <w:keepNext/>
              <w:spacing w:line="440" w:lineRule="exact"/>
              <w:ind w:left="63" w:right="63"/>
              <w:rPr>
                <w:color w:val="auto"/>
                <w:sz w:val="24"/>
                <w:highlight w:val="none"/>
              </w:rPr>
            </w:pPr>
          </w:p>
        </w:tc>
        <w:tc>
          <w:tcPr>
            <w:tcW w:w="1276" w:type="dxa"/>
            <w:noWrap w:val="0"/>
            <w:vAlign w:val="center"/>
          </w:tcPr>
          <w:p w14:paraId="33634FB0">
            <w:pPr>
              <w:pStyle w:val="13"/>
              <w:keepNext/>
              <w:spacing w:line="440" w:lineRule="exact"/>
              <w:ind w:left="63" w:right="63"/>
              <w:rPr>
                <w:color w:val="auto"/>
                <w:sz w:val="24"/>
                <w:highlight w:val="none"/>
              </w:rPr>
            </w:pPr>
          </w:p>
        </w:tc>
        <w:tc>
          <w:tcPr>
            <w:tcW w:w="1165" w:type="dxa"/>
            <w:noWrap w:val="0"/>
            <w:vAlign w:val="center"/>
          </w:tcPr>
          <w:p w14:paraId="093702A1">
            <w:pPr>
              <w:pStyle w:val="13"/>
              <w:keepNext/>
              <w:spacing w:line="440" w:lineRule="exact"/>
              <w:ind w:left="63" w:right="63"/>
              <w:rPr>
                <w:color w:val="auto"/>
                <w:sz w:val="24"/>
                <w:highlight w:val="none"/>
              </w:rPr>
            </w:pPr>
          </w:p>
        </w:tc>
        <w:tc>
          <w:tcPr>
            <w:tcW w:w="684" w:type="dxa"/>
            <w:noWrap w:val="0"/>
            <w:vAlign w:val="center"/>
          </w:tcPr>
          <w:p w14:paraId="4FE737EC">
            <w:pPr>
              <w:pStyle w:val="13"/>
              <w:keepNext/>
              <w:spacing w:line="440" w:lineRule="exact"/>
              <w:ind w:left="63" w:right="63"/>
              <w:rPr>
                <w:color w:val="auto"/>
                <w:sz w:val="24"/>
                <w:highlight w:val="none"/>
              </w:rPr>
            </w:pPr>
          </w:p>
        </w:tc>
        <w:tc>
          <w:tcPr>
            <w:tcW w:w="851" w:type="dxa"/>
            <w:noWrap w:val="0"/>
            <w:vAlign w:val="center"/>
          </w:tcPr>
          <w:p w14:paraId="633DD601">
            <w:pPr>
              <w:pStyle w:val="13"/>
              <w:keepNext/>
              <w:spacing w:line="440" w:lineRule="exact"/>
              <w:ind w:left="63" w:right="63"/>
              <w:rPr>
                <w:color w:val="auto"/>
                <w:sz w:val="24"/>
                <w:highlight w:val="none"/>
              </w:rPr>
            </w:pPr>
          </w:p>
        </w:tc>
        <w:tc>
          <w:tcPr>
            <w:tcW w:w="1044" w:type="dxa"/>
            <w:noWrap w:val="0"/>
            <w:vAlign w:val="center"/>
          </w:tcPr>
          <w:p w14:paraId="24A332CF">
            <w:pPr>
              <w:pStyle w:val="13"/>
              <w:keepNext/>
              <w:spacing w:line="440" w:lineRule="exact"/>
              <w:ind w:left="63" w:right="63"/>
              <w:rPr>
                <w:color w:val="auto"/>
                <w:sz w:val="24"/>
                <w:highlight w:val="none"/>
              </w:rPr>
            </w:pPr>
          </w:p>
        </w:tc>
        <w:tc>
          <w:tcPr>
            <w:tcW w:w="992" w:type="dxa"/>
            <w:noWrap w:val="0"/>
            <w:vAlign w:val="center"/>
          </w:tcPr>
          <w:p w14:paraId="51FA24A3">
            <w:pPr>
              <w:pStyle w:val="13"/>
              <w:keepNext/>
              <w:spacing w:line="440" w:lineRule="exact"/>
              <w:ind w:left="63" w:right="63"/>
              <w:rPr>
                <w:color w:val="auto"/>
                <w:sz w:val="24"/>
                <w:highlight w:val="none"/>
              </w:rPr>
            </w:pPr>
          </w:p>
        </w:tc>
        <w:tc>
          <w:tcPr>
            <w:tcW w:w="851" w:type="dxa"/>
            <w:noWrap w:val="0"/>
            <w:vAlign w:val="center"/>
          </w:tcPr>
          <w:p w14:paraId="16194952">
            <w:pPr>
              <w:pStyle w:val="13"/>
              <w:keepNext/>
              <w:spacing w:line="440" w:lineRule="exact"/>
              <w:ind w:left="63" w:right="63"/>
              <w:rPr>
                <w:color w:val="auto"/>
                <w:sz w:val="24"/>
                <w:highlight w:val="none"/>
              </w:rPr>
            </w:pPr>
          </w:p>
        </w:tc>
        <w:tc>
          <w:tcPr>
            <w:tcW w:w="1090" w:type="dxa"/>
            <w:noWrap w:val="0"/>
            <w:vAlign w:val="center"/>
          </w:tcPr>
          <w:p w14:paraId="7F9B2493">
            <w:pPr>
              <w:pStyle w:val="13"/>
              <w:keepNext/>
              <w:spacing w:line="440" w:lineRule="exact"/>
              <w:ind w:left="63" w:right="63"/>
              <w:rPr>
                <w:color w:val="auto"/>
                <w:sz w:val="24"/>
                <w:highlight w:val="none"/>
              </w:rPr>
            </w:pPr>
          </w:p>
        </w:tc>
        <w:tc>
          <w:tcPr>
            <w:tcW w:w="837" w:type="dxa"/>
            <w:noWrap w:val="0"/>
            <w:vAlign w:val="center"/>
          </w:tcPr>
          <w:p w14:paraId="25B61B81">
            <w:pPr>
              <w:pStyle w:val="13"/>
              <w:keepNext/>
              <w:spacing w:line="440" w:lineRule="exact"/>
              <w:ind w:left="63" w:right="63"/>
              <w:rPr>
                <w:color w:val="auto"/>
                <w:sz w:val="24"/>
                <w:highlight w:val="none"/>
              </w:rPr>
            </w:pPr>
          </w:p>
        </w:tc>
      </w:tr>
      <w:tr w14:paraId="23D6D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291852">
            <w:pPr>
              <w:pStyle w:val="13"/>
              <w:keepNext/>
              <w:spacing w:line="440" w:lineRule="exact"/>
              <w:ind w:left="63" w:right="63"/>
              <w:rPr>
                <w:color w:val="auto"/>
                <w:sz w:val="24"/>
                <w:highlight w:val="none"/>
              </w:rPr>
            </w:pPr>
          </w:p>
        </w:tc>
        <w:tc>
          <w:tcPr>
            <w:tcW w:w="1276" w:type="dxa"/>
            <w:noWrap w:val="0"/>
            <w:vAlign w:val="center"/>
          </w:tcPr>
          <w:p w14:paraId="60E9794A">
            <w:pPr>
              <w:pStyle w:val="13"/>
              <w:keepNext/>
              <w:spacing w:line="440" w:lineRule="exact"/>
              <w:ind w:left="63" w:right="63"/>
              <w:rPr>
                <w:color w:val="auto"/>
                <w:sz w:val="24"/>
                <w:highlight w:val="none"/>
              </w:rPr>
            </w:pPr>
          </w:p>
        </w:tc>
        <w:tc>
          <w:tcPr>
            <w:tcW w:w="1165" w:type="dxa"/>
            <w:noWrap w:val="0"/>
            <w:vAlign w:val="center"/>
          </w:tcPr>
          <w:p w14:paraId="7EBEA682">
            <w:pPr>
              <w:pStyle w:val="13"/>
              <w:keepNext/>
              <w:spacing w:line="440" w:lineRule="exact"/>
              <w:ind w:left="63" w:right="63"/>
              <w:rPr>
                <w:color w:val="auto"/>
                <w:sz w:val="24"/>
                <w:highlight w:val="none"/>
              </w:rPr>
            </w:pPr>
          </w:p>
        </w:tc>
        <w:tc>
          <w:tcPr>
            <w:tcW w:w="684" w:type="dxa"/>
            <w:noWrap w:val="0"/>
            <w:vAlign w:val="center"/>
          </w:tcPr>
          <w:p w14:paraId="1D2E5FC2">
            <w:pPr>
              <w:pStyle w:val="13"/>
              <w:keepNext/>
              <w:spacing w:line="440" w:lineRule="exact"/>
              <w:ind w:left="63" w:right="63"/>
              <w:rPr>
                <w:color w:val="auto"/>
                <w:sz w:val="24"/>
                <w:highlight w:val="none"/>
              </w:rPr>
            </w:pPr>
          </w:p>
        </w:tc>
        <w:tc>
          <w:tcPr>
            <w:tcW w:w="851" w:type="dxa"/>
            <w:noWrap w:val="0"/>
            <w:vAlign w:val="center"/>
          </w:tcPr>
          <w:p w14:paraId="283A1360">
            <w:pPr>
              <w:pStyle w:val="13"/>
              <w:keepNext/>
              <w:spacing w:line="440" w:lineRule="exact"/>
              <w:ind w:left="63" w:right="63"/>
              <w:rPr>
                <w:color w:val="auto"/>
                <w:sz w:val="24"/>
                <w:highlight w:val="none"/>
              </w:rPr>
            </w:pPr>
          </w:p>
        </w:tc>
        <w:tc>
          <w:tcPr>
            <w:tcW w:w="1044" w:type="dxa"/>
            <w:noWrap w:val="0"/>
            <w:vAlign w:val="center"/>
          </w:tcPr>
          <w:p w14:paraId="2FCD76AB">
            <w:pPr>
              <w:pStyle w:val="13"/>
              <w:keepNext/>
              <w:spacing w:line="440" w:lineRule="exact"/>
              <w:ind w:left="63" w:right="63"/>
              <w:rPr>
                <w:color w:val="auto"/>
                <w:sz w:val="24"/>
                <w:highlight w:val="none"/>
              </w:rPr>
            </w:pPr>
          </w:p>
        </w:tc>
        <w:tc>
          <w:tcPr>
            <w:tcW w:w="992" w:type="dxa"/>
            <w:noWrap w:val="0"/>
            <w:vAlign w:val="center"/>
          </w:tcPr>
          <w:p w14:paraId="7EA27D7C">
            <w:pPr>
              <w:pStyle w:val="13"/>
              <w:keepNext/>
              <w:spacing w:line="440" w:lineRule="exact"/>
              <w:ind w:left="63" w:right="63"/>
              <w:rPr>
                <w:color w:val="auto"/>
                <w:sz w:val="24"/>
                <w:highlight w:val="none"/>
              </w:rPr>
            </w:pPr>
          </w:p>
        </w:tc>
        <w:tc>
          <w:tcPr>
            <w:tcW w:w="851" w:type="dxa"/>
            <w:noWrap w:val="0"/>
            <w:vAlign w:val="center"/>
          </w:tcPr>
          <w:p w14:paraId="55430125">
            <w:pPr>
              <w:pStyle w:val="13"/>
              <w:keepNext/>
              <w:spacing w:line="440" w:lineRule="exact"/>
              <w:ind w:left="63" w:right="63"/>
              <w:rPr>
                <w:color w:val="auto"/>
                <w:sz w:val="24"/>
                <w:highlight w:val="none"/>
              </w:rPr>
            </w:pPr>
          </w:p>
        </w:tc>
        <w:tc>
          <w:tcPr>
            <w:tcW w:w="1090" w:type="dxa"/>
            <w:noWrap w:val="0"/>
            <w:vAlign w:val="center"/>
          </w:tcPr>
          <w:p w14:paraId="2400649A">
            <w:pPr>
              <w:pStyle w:val="13"/>
              <w:keepNext/>
              <w:spacing w:line="440" w:lineRule="exact"/>
              <w:ind w:left="63" w:right="63"/>
              <w:rPr>
                <w:color w:val="auto"/>
                <w:sz w:val="24"/>
                <w:highlight w:val="none"/>
              </w:rPr>
            </w:pPr>
          </w:p>
        </w:tc>
        <w:tc>
          <w:tcPr>
            <w:tcW w:w="837" w:type="dxa"/>
            <w:noWrap w:val="0"/>
            <w:vAlign w:val="center"/>
          </w:tcPr>
          <w:p w14:paraId="2C7C2D26">
            <w:pPr>
              <w:pStyle w:val="13"/>
              <w:keepNext/>
              <w:spacing w:line="440" w:lineRule="exact"/>
              <w:ind w:left="63" w:right="63"/>
              <w:rPr>
                <w:color w:val="auto"/>
                <w:sz w:val="24"/>
                <w:highlight w:val="none"/>
              </w:rPr>
            </w:pPr>
          </w:p>
        </w:tc>
      </w:tr>
      <w:tr w14:paraId="7F663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2241A1">
            <w:pPr>
              <w:pStyle w:val="13"/>
              <w:keepNext/>
              <w:spacing w:line="440" w:lineRule="exact"/>
              <w:ind w:left="63" w:right="63"/>
              <w:rPr>
                <w:color w:val="auto"/>
                <w:sz w:val="24"/>
                <w:highlight w:val="none"/>
              </w:rPr>
            </w:pPr>
          </w:p>
        </w:tc>
        <w:tc>
          <w:tcPr>
            <w:tcW w:w="1276" w:type="dxa"/>
            <w:noWrap w:val="0"/>
            <w:vAlign w:val="center"/>
          </w:tcPr>
          <w:p w14:paraId="02EC4B24">
            <w:pPr>
              <w:pStyle w:val="13"/>
              <w:keepNext/>
              <w:spacing w:line="440" w:lineRule="exact"/>
              <w:ind w:left="63" w:right="63"/>
              <w:rPr>
                <w:color w:val="auto"/>
                <w:sz w:val="24"/>
                <w:highlight w:val="none"/>
              </w:rPr>
            </w:pPr>
          </w:p>
        </w:tc>
        <w:tc>
          <w:tcPr>
            <w:tcW w:w="1165" w:type="dxa"/>
            <w:noWrap w:val="0"/>
            <w:vAlign w:val="center"/>
          </w:tcPr>
          <w:p w14:paraId="6042446F">
            <w:pPr>
              <w:pStyle w:val="13"/>
              <w:keepNext/>
              <w:spacing w:line="440" w:lineRule="exact"/>
              <w:ind w:left="63" w:right="63"/>
              <w:rPr>
                <w:color w:val="auto"/>
                <w:sz w:val="24"/>
                <w:highlight w:val="none"/>
              </w:rPr>
            </w:pPr>
          </w:p>
        </w:tc>
        <w:tc>
          <w:tcPr>
            <w:tcW w:w="684" w:type="dxa"/>
            <w:noWrap w:val="0"/>
            <w:vAlign w:val="center"/>
          </w:tcPr>
          <w:p w14:paraId="38D708F5">
            <w:pPr>
              <w:pStyle w:val="13"/>
              <w:keepNext/>
              <w:spacing w:line="440" w:lineRule="exact"/>
              <w:ind w:left="63" w:right="63"/>
              <w:rPr>
                <w:color w:val="auto"/>
                <w:sz w:val="24"/>
                <w:highlight w:val="none"/>
              </w:rPr>
            </w:pPr>
          </w:p>
        </w:tc>
        <w:tc>
          <w:tcPr>
            <w:tcW w:w="851" w:type="dxa"/>
            <w:noWrap w:val="0"/>
            <w:vAlign w:val="center"/>
          </w:tcPr>
          <w:p w14:paraId="3AC345EA">
            <w:pPr>
              <w:pStyle w:val="13"/>
              <w:keepNext/>
              <w:spacing w:line="440" w:lineRule="exact"/>
              <w:ind w:left="63" w:right="63"/>
              <w:rPr>
                <w:color w:val="auto"/>
                <w:sz w:val="24"/>
                <w:highlight w:val="none"/>
              </w:rPr>
            </w:pPr>
          </w:p>
        </w:tc>
        <w:tc>
          <w:tcPr>
            <w:tcW w:w="1044" w:type="dxa"/>
            <w:noWrap w:val="0"/>
            <w:vAlign w:val="center"/>
          </w:tcPr>
          <w:p w14:paraId="2EC2BA1D">
            <w:pPr>
              <w:pStyle w:val="13"/>
              <w:keepNext/>
              <w:spacing w:line="440" w:lineRule="exact"/>
              <w:ind w:left="63" w:right="63"/>
              <w:rPr>
                <w:color w:val="auto"/>
                <w:sz w:val="24"/>
                <w:highlight w:val="none"/>
              </w:rPr>
            </w:pPr>
          </w:p>
        </w:tc>
        <w:tc>
          <w:tcPr>
            <w:tcW w:w="992" w:type="dxa"/>
            <w:noWrap w:val="0"/>
            <w:vAlign w:val="center"/>
          </w:tcPr>
          <w:p w14:paraId="4F1739A4">
            <w:pPr>
              <w:pStyle w:val="13"/>
              <w:keepNext/>
              <w:spacing w:line="440" w:lineRule="exact"/>
              <w:ind w:left="63" w:right="63"/>
              <w:rPr>
                <w:color w:val="auto"/>
                <w:sz w:val="24"/>
                <w:highlight w:val="none"/>
              </w:rPr>
            </w:pPr>
          </w:p>
        </w:tc>
        <w:tc>
          <w:tcPr>
            <w:tcW w:w="851" w:type="dxa"/>
            <w:noWrap w:val="0"/>
            <w:vAlign w:val="center"/>
          </w:tcPr>
          <w:p w14:paraId="5F0391AF">
            <w:pPr>
              <w:pStyle w:val="13"/>
              <w:keepNext/>
              <w:spacing w:line="440" w:lineRule="exact"/>
              <w:ind w:left="63" w:right="63"/>
              <w:rPr>
                <w:color w:val="auto"/>
                <w:sz w:val="24"/>
                <w:highlight w:val="none"/>
              </w:rPr>
            </w:pPr>
          </w:p>
        </w:tc>
        <w:tc>
          <w:tcPr>
            <w:tcW w:w="1090" w:type="dxa"/>
            <w:noWrap w:val="0"/>
            <w:vAlign w:val="center"/>
          </w:tcPr>
          <w:p w14:paraId="2B7526E2">
            <w:pPr>
              <w:pStyle w:val="13"/>
              <w:keepNext/>
              <w:spacing w:line="440" w:lineRule="exact"/>
              <w:ind w:left="63" w:right="63"/>
              <w:rPr>
                <w:color w:val="auto"/>
                <w:sz w:val="24"/>
                <w:highlight w:val="none"/>
              </w:rPr>
            </w:pPr>
          </w:p>
        </w:tc>
        <w:tc>
          <w:tcPr>
            <w:tcW w:w="837" w:type="dxa"/>
            <w:noWrap w:val="0"/>
            <w:vAlign w:val="center"/>
          </w:tcPr>
          <w:p w14:paraId="47CB645E">
            <w:pPr>
              <w:pStyle w:val="13"/>
              <w:keepNext/>
              <w:spacing w:line="440" w:lineRule="exact"/>
              <w:ind w:left="63" w:right="63"/>
              <w:rPr>
                <w:color w:val="auto"/>
                <w:sz w:val="24"/>
                <w:highlight w:val="none"/>
              </w:rPr>
            </w:pPr>
          </w:p>
        </w:tc>
      </w:tr>
      <w:tr w14:paraId="766B4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C0F36C8">
            <w:pPr>
              <w:pStyle w:val="13"/>
              <w:keepNext/>
              <w:spacing w:line="440" w:lineRule="exact"/>
              <w:ind w:left="63" w:right="63"/>
              <w:rPr>
                <w:color w:val="auto"/>
                <w:sz w:val="24"/>
                <w:highlight w:val="none"/>
              </w:rPr>
            </w:pPr>
          </w:p>
        </w:tc>
        <w:tc>
          <w:tcPr>
            <w:tcW w:w="1276" w:type="dxa"/>
            <w:noWrap w:val="0"/>
            <w:vAlign w:val="center"/>
          </w:tcPr>
          <w:p w14:paraId="6BE31200">
            <w:pPr>
              <w:pStyle w:val="13"/>
              <w:keepNext/>
              <w:spacing w:line="440" w:lineRule="exact"/>
              <w:ind w:left="63" w:right="63"/>
              <w:rPr>
                <w:color w:val="auto"/>
                <w:sz w:val="24"/>
                <w:highlight w:val="none"/>
              </w:rPr>
            </w:pPr>
          </w:p>
        </w:tc>
        <w:tc>
          <w:tcPr>
            <w:tcW w:w="1165" w:type="dxa"/>
            <w:noWrap w:val="0"/>
            <w:vAlign w:val="center"/>
          </w:tcPr>
          <w:p w14:paraId="36F0A38C">
            <w:pPr>
              <w:pStyle w:val="13"/>
              <w:keepNext/>
              <w:spacing w:line="440" w:lineRule="exact"/>
              <w:ind w:left="63" w:right="63"/>
              <w:rPr>
                <w:color w:val="auto"/>
                <w:sz w:val="24"/>
                <w:highlight w:val="none"/>
              </w:rPr>
            </w:pPr>
          </w:p>
        </w:tc>
        <w:tc>
          <w:tcPr>
            <w:tcW w:w="684" w:type="dxa"/>
            <w:noWrap w:val="0"/>
            <w:vAlign w:val="center"/>
          </w:tcPr>
          <w:p w14:paraId="54BD21CB">
            <w:pPr>
              <w:pStyle w:val="13"/>
              <w:keepNext/>
              <w:spacing w:line="440" w:lineRule="exact"/>
              <w:ind w:left="63" w:right="63"/>
              <w:rPr>
                <w:color w:val="auto"/>
                <w:sz w:val="24"/>
                <w:highlight w:val="none"/>
              </w:rPr>
            </w:pPr>
          </w:p>
        </w:tc>
        <w:tc>
          <w:tcPr>
            <w:tcW w:w="851" w:type="dxa"/>
            <w:noWrap w:val="0"/>
            <w:vAlign w:val="center"/>
          </w:tcPr>
          <w:p w14:paraId="31B68805">
            <w:pPr>
              <w:pStyle w:val="13"/>
              <w:keepNext/>
              <w:spacing w:line="440" w:lineRule="exact"/>
              <w:ind w:left="63" w:right="63"/>
              <w:rPr>
                <w:color w:val="auto"/>
                <w:sz w:val="24"/>
                <w:highlight w:val="none"/>
              </w:rPr>
            </w:pPr>
          </w:p>
        </w:tc>
        <w:tc>
          <w:tcPr>
            <w:tcW w:w="1044" w:type="dxa"/>
            <w:noWrap w:val="0"/>
            <w:vAlign w:val="center"/>
          </w:tcPr>
          <w:p w14:paraId="7781779E">
            <w:pPr>
              <w:pStyle w:val="13"/>
              <w:keepNext/>
              <w:spacing w:line="440" w:lineRule="exact"/>
              <w:ind w:left="63" w:right="63"/>
              <w:rPr>
                <w:color w:val="auto"/>
                <w:sz w:val="24"/>
                <w:highlight w:val="none"/>
              </w:rPr>
            </w:pPr>
          </w:p>
        </w:tc>
        <w:tc>
          <w:tcPr>
            <w:tcW w:w="992" w:type="dxa"/>
            <w:noWrap w:val="0"/>
            <w:vAlign w:val="center"/>
          </w:tcPr>
          <w:p w14:paraId="20F31B75">
            <w:pPr>
              <w:pStyle w:val="13"/>
              <w:keepNext/>
              <w:spacing w:line="440" w:lineRule="exact"/>
              <w:ind w:left="63" w:right="63"/>
              <w:rPr>
                <w:color w:val="auto"/>
                <w:sz w:val="24"/>
                <w:highlight w:val="none"/>
              </w:rPr>
            </w:pPr>
          </w:p>
        </w:tc>
        <w:tc>
          <w:tcPr>
            <w:tcW w:w="851" w:type="dxa"/>
            <w:noWrap w:val="0"/>
            <w:vAlign w:val="center"/>
          </w:tcPr>
          <w:p w14:paraId="221FAC82">
            <w:pPr>
              <w:pStyle w:val="13"/>
              <w:keepNext/>
              <w:spacing w:line="440" w:lineRule="exact"/>
              <w:ind w:left="63" w:right="63"/>
              <w:rPr>
                <w:color w:val="auto"/>
                <w:sz w:val="24"/>
                <w:highlight w:val="none"/>
              </w:rPr>
            </w:pPr>
          </w:p>
        </w:tc>
        <w:tc>
          <w:tcPr>
            <w:tcW w:w="1090" w:type="dxa"/>
            <w:noWrap w:val="0"/>
            <w:vAlign w:val="center"/>
          </w:tcPr>
          <w:p w14:paraId="73C1C7F1">
            <w:pPr>
              <w:pStyle w:val="13"/>
              <w:keepNext/>
              <w:spacing w:line="440" w:lineRule="exact"/>
              <w:ind w:left="63" w:right="63"/>
              <w:rPr>
                <w:color w:val="auto"/>
                <w:sz w:val="24"/>
                <w:highlight w:val="none"/>
              </w:rPr>
            </w:pPr>
          </w:p>
        </w:tc>
        <w:tc>
          <w:tcPr>
            <w:tcW w:w="837" w:type="dxa"/>
            <w:noWrap w:val="0"/>
            <w:vAlign w:val="center"/>
          </w:tcPr>
          <w:p w14:paraId="0A4AF8ED">
            <w:pPr>
              <w:pStyle w:val="13"/>
              <w:keepNext/>
              <w:spacing w:line="440" w:lineRule="exact"/>
              <w:ind w:left="63" w:right="63"/>
              <w:rPr>
                <w:color w:val="auto"/>
                <w:sz w:val="24"/>
                <w:highlight w:val="none"/>
              </w:rPr>
            </w:pPr>
          </w:p>
        </w:tc>
      </w:tr>
    </w:tbl>
    <w:p w14:paraId="31998931">
      <w:pPr>
        <w:spacing w:line="360" w:lineRule="auto"/>
        <w:jc w:val="left"/>
        <w:rPr>
          <w:rFonts w:hint="eastAsia" w:ascii="宋体" w:hAnsi="宋体"/>
          <w:color w:val="auto"/>
          <w:sz w:val="24"/>
          <w:highlight w:val="none"/>
        </w:rPr>
        <w:sectPr>
          <w:pgSz w:w="11906" w:h="16838"/>
          <w:pgMar w:top="1134" w:right="1555" w:bottom="1134" w:left="1531" w:header="851" w:footer="1020" w:gutter="0"/>
          <w:pgNumType w:fmt="decimal"/>
          <w:cols w:space="720" w:num="1"/>
          <w:titlePg/>
          <w:docGrid w:linePitch="312" w:charSpace="0"/>
        </w:sectPr>
      </w:pPr>
    </w:p>
    <w:p w14:paraId="117704D5">
      <w:pPr>
        <w:spacing w:line="440" w:lineRule="exact"/>
        <w:rPr>
          <w:rFonts w:ascii="宋体" w:hAnsi="宋体"/>
          <w:color w:val="auto"/>
          <w:sz w:val="24"/>
          <w:highlight w:val="none"/>
        </w:rPr>
      </w:pPr>
      <w:r>
        <w:rPr>
          <w:rFonts w:ascii="宋体" w:hAnsi="宋体"/>
          <w:b/>
          <w:color w:val="auto"/>
          <w:sz w:val="28"/>
          <w:szCs w:val="28"/>
          <w:highlight w:val="none"/>
        </w:rPr>
        <w:t>附</w:t>
      </w:r>
      <w:bookmarkStart w:id="1111" w:name="_Toc296944565"/>
      <w:bookmarkStart w:id="1112" w:name="_Toc296503226"/>
      <w:bookmarkStart w:id="1113" w:name="_Toc267261693"/>
      <w:bookmarkStart w:id="1114" w:name="_Toc296346727"/>
      <w:bookmarkStart w:id="1115" w:name="_Toc296891054"/>
      <w:bookmarkStart w:id="1116" w:name="_Toc296347225"/>
      <w:bookmarkStart w:id="1117" w:name="_Toc296891266"/>
      <w:r>
        <w:rPr>
          <w:rFonts w:ascii="宋体" w:hAnsi="宋体"/>
          <w:b/>
          <w:color w:val="auto"/>
          <w:sz w:val="28"/>
          <w:szCs w:val="28"/>
          <w:highlight w:val="none"/>
        </w:rPr>
        <w:t>件3：</w:t>
      </w:r>
      <w:bookmarkEnd w:id="1111"/>
      <w:bookmarkEnd w:id="1112"/>
      <w:bookmarkEnd w:id="1113"/>
      <w:bookmarkEnd w:id="1114"/>
      <w:bookmarkEnd w:id="1115"/>
      <w:bookmarkEnd w:id="1116"/>
      <w:bookmarkEnd w:id="1117"/>
      <w:r>
        <w:rPr>
          <w:rFonts w:ascii="宋体" w:hAnsi="宋体"/>
          <w:b/>
          <w:color w:val="auto"/>
          <w:sz w:val="28"/>
          <w:szCs w:val="28"/>
          <w:highlight w:val="none"/>
        </w:rPr>
        <w:t xml:space="preserve">    </w:t>
      </w:r>
    </w:p>
    <w:p w14:paraId="0701CBA6">
      <w:pPr>
        <w:spacing w:before="120" w:beforeLines="50" w:after="120" w:afterLines="50" w:line="440" w:lineRule="exact"/>
        <w:jc w:val="center"/>
        <w:rPr>
          <w:rFonts w:ascii="宋体" w:hAnsi="宋体"/>
          <w:b/>
          <w:color w:val="auto"/>
          <w:sz w:val="28"/>
          <w:szCs w:val="28"/>
          <w:highlight w:val="none"/>
        </w:rPr>
      </w:pPr>
      <w:r>
        <w:rPr>
          <w:rFonts w:ascii="宋体" w:hAnsi="宋体"/>
          <w:b/>
          <w:color w:val="auto"/>
          <w:sz w:val="28"/>
          <w:szCs w:val="28"/>
          <w:highlight w:val="none"/>
        </w:rPr>
        <w:t>工程质量保修书</w:t>
      </w:r>
    </w:p>
    <w:p w14:paraId="52F5141B">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723C26A4">
      <w:pPr>
        <w:spacing w:line="440" w:lineRule="exact"/>
        <w:rPr>
          <w:rFonts w:hint="eastAsia"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217D55E4">
      <w:pPr>
        <w:spacing w:line="440" w:lineRule="exact"/>
        <w:rPr>
          <w:rFonts w:ascii="宋体" w:hAnsi="宋体"/>
          <w:color w:val="auto"/>
          <w:sz w:val="24"/>
          <w:szCs w:val="24"/>
          <w:highlight w:val="none"/>
        </w:rPr>
      </w:pPr>
    </w:p>
    <w:p w14:paraId="36F50843">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（工程全称）签订工程质量保修书。</w:t>
      </w:r>
    </w:p>
    <w:p w14:paraId="3F714F9C">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60AAFF6">
      <w:pPr>
        <w:spacing w:line="480" w:lineRule="exact"/>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268FD8F4">
      <w:pPr>
        <w:spacing w:line="480" w:lineRule="exact"/>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B2F2088">
      <w:pPr>
        <w:spacing w:line="480" w:lineRule="exact"/>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u w:val="single"/>
        </w:rPr>
        <w:t>凡承包范围内的工程项目均属保修范围</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工程图纸、清单及签证所有内容。</w:t>
      </w:r>
    </w:p>
    <w:p w14:paraId="69DBE346">
      <w:pPr>
        <w:spacing w:line="480" w:lineRule="exact"/>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4F461A">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612211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0EEB0B4E">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五   </w:t>
      </w:r>
      <w:r>
        <w:rPr>
          <w:rFonts w:ascii="宋体" w:hAnsi="宋体"/>
          <w:color w:val="auto"/>
          <w:sz w:val="24"/>
          <w:szCs w:val="24"/>
          <w:highlight w:val="none"/>
        </w:rPr>
        <w:t>年；</w:t>
      </w:r>
    </w:p>
    <w:p w14:paraId="298FF6D4">
      <w:pPr>
        <w:spacing w:line="480" w:lineRule="exact"/>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二</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BF6C2D0">
      <w:pPr>
        <w:spacing w:line="480" w:lineRule="exact"/>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二</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2AA3FB70">
      <w:pPr>
        <w:spacing w:line="360" w:lineRule="auto"/>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二</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792176C2">
      <w:pPr>
        <w:spacing w:line="360" w:lineRule="auto"/>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二</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0EB48FB6">
      <w:pPr>
        <w:spacing w:line="360" w:lineRule="auto"/>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建筑外立面漆面质保期为 5 年</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EEFF841">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4713485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0BBC6AE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24</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个月，缺陷责任期自工程竣工验收合格之日起计算。单位工程先于全部工程进行验收，单位工程缺陷责任期自单位工程验收合格之日起算。</w:t>
      </w:r>
    </w:p>
    <w:p w14:paraId="58F8A22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7BD32633">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59CFA5B0">
      <w:pPr>
        <w:spacing w:line="360" w:lineRule="auto"/>
        <w:ind w:left="120"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39401400">
      <w:pPr>
        <w:spacing w:line="360" w:lineRule="auto"/>
        <w:ind w:left="120"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9B2D7AE">
      <w:pPr>
        <w:spacing w:line="360" w:lineRule="auto"/>
        <w:ind w:left="120"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08693D">
      <w:pPr>
        <w:spacing w:line="360" w:lineRule="auto"/>
        <w:ind w:left="48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2F4D6BC1">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3B312787">
      <w:pPr>
        <w:spacing w:line="360" w:lineRule="auto"/>
        <w:rPr>
          <w:rFonts w:ascii="宋体" w:hAnsi="宋体"/>
          <w:color w:val="auto"/>
          <w:sz w:val="24"/>
          <w:szCs w:val="24"/>
          <w:highlight w:val="none"/>
        </w:rPr>
      </w:pPr>
      <w:r>
        <w:rPr>
          <w:rFonts w:ascii="宋体" w:hAnsi="宋体"/>
          <w:color w:val="auto"/>
          <w:sz w:val="24"/>
          <w:szCs w:val="24"/>
          <w:highlight w:val="none"/>
        </w:rPr>
        <w:t>　　保修费用由</w:t>
      </w:r>
      <w:r>
        <w:rPr>
          <w:rFonts w:ascii="宋体" w:hAnsi="宋体"/>
          <w:color w:val="auto"/>
          <w:sz w:val="24"/>
          <w:szCs w:val="24"/>
          <w:highlight w:val="none"/>
          <w:u w:val="single"/>
        </w:rPr>
        <w:t>造成质量缺陷</w:t>
      </w:r>
      <w:r>
        <w:rPr>
          <w:rFonts w:ascii="宋体" w:hAnsi="宋体"/>
          <w:color w:val="auto"/>
          <w:sz w:val="24"/>
          <w:szCs w:val="24"/>
          <w:highlight w:val="none"/>
        </w:rPr>
        <w:t>的责任方承担。</w:t>
      </w:r>
    </w:p>
    <w:p w14:paraId="37E8D34F">
      <w:pPr>
        <w:spacing w:line="360" w:lineRule="auto"/>
        <w:ind w:firstLine="482" w:firstLineChars="200"/>
        <w:jc w:val="left"/>
        <w:rPr>
          <w:rFonts w:ascii="宋体" w:hAnsi="宋体"/>
          <w:color w:val="auto"/>
          <w:sz w:val="24"/>
          <w:szCs w:val="24"/>
          <w:highlight w:val="none"/>
        </w:rPr>
      </w:pPr>
      <w:r>
        <w:rPr>
          <w:rFonts w:ascii="宋体" w:hAnsi="宋体"/>
          <w:b/>
          <w:color w:val="auto"/>
          <w:sz w:val="24"/>
          <w:szCs w:val="24"/>
          <w:highlight w:val="none"/>
        </w:rPr>
        <w:t>六</w:t>
      </w:r>
      <w:r>
        <w:rPr>
          <w:rFonts w:ascii="宋体" w:hAnsi="宋体"/>
          <w:color w:val="auto"/>
          <w:sz w:val="24"/>
          <w:szCs w:val="24"/>
          <w:highlight w:val="none"/>
        </w:rPr>
        <w:t>、双方约定的其他工程质量保修事项：</w:t>
      </w:r>
      <w:r>
        <w:rPr>
          <w:rFonts w:hint="eastAsia" w:ascii="宋体" w:hAnsi="宋体"/>
          <w:color w:val="auto"/>
          <w:sz w:val="24"/>
          <w:szCs w:val="24"/>
          <w:highlight w:val="none"/>
          <w:u w:val="single"/>
          <w:lang w:val="en-US" w:eastAsia="zh-CN"/>
        </w:rPr>
        <w:t>包含但不限于因该项目施工造成的质量缺陷</w:t>
      </w:r>
      <w:r>
        <w:rPr>
          <w:rFonts w:ascii="宋体" w:hAnsi="宋体"/>
          <w:color w:val="auto"/>
          <w:sz w:val="24"/>
          <w:szCs w:val="24"/>
          <w:highlight w:val="none"/>
        </w:rPr>
        <w:t>。</w:t>
      </w:r>
    </w:p>
    <w:p w14:paraId="39A771ED">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27142D6C">
      <w:pPr>
        <w:spacing w:line="360" w:lineRule="auto"/>
        <w:ind w:firstLine="420"/>
        <w:rPr>
          <w:rFonts w:ascii="宋体" w:hAnsi="宋体"/>
          <w:color w:val="auto"/>
          <w:sz w:val="24"/>
          <w:szCs w:val="24"/>
          <w:highlight w:val="none"/>
        </w:rPr>
      </w:pPr>
    </w:p>
    <w:p w14:paraId="4B3AC003">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       </w:t>
      </w:r>
      <w:r>
        <w:rPr>
          <w:rFonts w:ascii="宋体" w:hAnsi="宋体"/>
          <w:color w:val="auto"/>
          <w:sz w:val="24"/>
          <w:szCs w:val="24"/>
          <w:highlight w:val="none"/>
        </w:rPr>
        <w:t xml:space="preserve"> 承包人(公章)：</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65C8CD66">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2765BAB">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法定代表人(签字)：</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法定代表人(签字)：</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937FE14">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委托代理人(签字)：</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委托代理人(签字)：</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B3A337E">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电  话：</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电  话：</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D45A570">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传  真：</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传  真：</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7A87B2C5">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开户银行：</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开户银行：</w:t>
      </w:r>
      <w:r>
        <w:rPr>
          <w:rFonts w:ascii="宋体" w:hAnsi="宋体"/>
          <w:color w:val="auto"/>
          <w:sz w:val="24"/>
          <w:szCs w:val="24"/>
          <w:highlight w:val="none"/>
          <w:u w:val="single"/>
        </w:rPr>
        <w:t xml:space="preserve">   </w:t>
      </w:r>
    </w:p>
    <w:p w14:paraId="5DB3C11B">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账  号：</w:t>
      </w:r>
      <w:r>
        <w:rPr>
          <w:rFonts w:ascii="宋体" w:hAnsi="宋体"/>
          <w:color w:val="auto"/>
          <w:sz w:val="24"/>
          <w:szCs w:val="24"/>
          <w:highlight w:val="none"/>
          <w:u w:val="single"/>
        </w:rPr>
        <w:t xml:space="preserve"> 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74C076D1">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    </w:t>
      </w:r>
      <w:r>
        <w:rPr>
          <w:rFonts w:ascii="宋体" w:hAnsi="宋体"/>
          <w:color w:val="auto"/>
          <w:sz w:val="24"/>
          <w:szCs w:val="24"/>
          <w:highlight w:val="none"/>
        </w:rPr>
        <w:t xml:space="preserve"> 邮政编码：</w:t>
      </w:r>
      <w:r>
        <w:rPr>
          <w:rFonts w:ascii="宋体" w:hAnsi="宋体"/>
          <w:color w:val="auto"/>
          <w:sz w:val="24"/>
          <w:szCs w:val="24"/>
          <w:highlight w:val="none"/>
          <w:u w:val="single"/>
        </w:rPr>
        <w:t xml:space="preserve">   </w:t>
      </w:r>
    </w:p>
    <w:p w14:paraId="0C8330C8">
      <w:pPr>
        <w:spacing w:line="440" w:lineRule="exact"/>
        <w:rPr>
          <w:rFonts w:hint="eastAsia" w:ascii="宋体" w:hAnsi="宋体"/>
          <w:b/>
          <w:color w:val="auto"/>
          <w:sz w:val="24"/>
          <w:szCs w:val="24"/>
          <w:highlight w:val="none"/>
        </w:rPr>
      </w:pPr>
    </w:p>
    <w:p w14:paraId="2C35501A">
      <w:pPr>
        <w:spacing w:line="440" w:lineRule="exact"/>
        <w:rPr>
          <w:rFonts w:hint="eastAsia" w:ascii="宋体" w:hAnsi="宋体"/>
          <w:b/>
          <w:color w:val="auto"/>
          <w:sz w:val="24"/>
          <w:szCs w:val="24"/>
          <w:highlight w:val="none"/>
        </w:rPr>
      </w:pPr>
    </w:p>
    <w:p w14:paraId="16DCE917">
      <w:pPr>
        <w:spacing w:line="440" w:lineRule="exact"/>
        <w:rPr>
          <w:rFonts w:hint="eastAsia" w:ascii="宋体" w:hAnsi="宋体"/>
          <w:b/>
          <w:color w:val="auto"/>
          <w:sz w:val="24"/>
          <w:szCs w:val="24"/>
          <w:highlight w:val="none"/>
        </w:rPr>
      </w:pPr>
    </w:p>
    <w:p w14:paraId="6C7A1254">
      <w:pPr>
        <w:pStyle w:val="113"/>
        <w:rPr>
          <w:rFonts w:hint="eastAsia" w:ascii="宋体" w:hAnsi="宋体"/>
          <w:b/>
          <w:color w:val="auto"/>
          <w:sz w:val="24"/>
          <w:szCs w:val="24"/>
          <w:highlight w:val="none"/>
        </w:rPr>
      </w:pPr>
    </w:p>
    <w:p w14:paraId="50F7DEA4">
      <w:pPr>
        <w:pStyle w:val="113"/>
        <w:rPr>
          <w:rFonts w:hint="eastAsia" w:ascii="宋体" w:hAnsi="宋体"/>
          <w:b/>
          <w:color w:val="auto"/>
          <w:sz w:val="24"/>
          <w:szCs w:val="24"/>
          <w:highlight w:val="none"/>
        </w:rPr>
      </w:pPr>
    </w:p>
    <w:p w14:paraId="1E2824CB">
      <w:pPr>
        <w:spacing w:line="440" w:lineRule="exact"/>
        <w:rPr>
          <w:rFonts w:hint="eastAsia" w:ascii="宋体" w:hAnsi="宋体"/>
          <w:b/>
          <w:color w:val="auto"/>
          <w:sz w:val="24"/>
          <w:szCs w:val="24"/>
          <w:highlight w:val="none"/>
        </w:rPr>
      </w:pPr>
    </w:p>
    <w:p w14:paraId="2F9A17E1">
      <w:pPr>
        <w:spacing w:line="440" w:lineRule="exact"/>
        <w:rPr>
          <w:rFonts w:hint="eastAsia" w:ascii="宋体" w:hAnsi="宋体"/>
          <w:b/>
          <w:color w:val="auto"/>
          <w:sz w:val="24"/>
          <w:szCs w:val="24"/>
          <w:highlight w:val="none"/>
        </w:rPr>
      </w:pPr>
    </w:p>
    <w:p w14:paraId="508485B8">
      <w:pPr>
        <w:spacing w:line="440" w:lineRule="exact"/>
        <w:rPr>
          <w:rFonts w:ascii="宋体" w:hAnsi="宋体"/>
          <w:b/>
          <w:color w:val="auto"/>
          <w:sz w:val="28"/>
          <w:szCs w:val="28"/>
          <w:highlight w:val="none"/>
        </w:rPr>
      </w:pPr>
      <w:r>
        <w:rPr>
          <w:rFonts w:ascii="宋体" w:hAnsi="宋体"/>
          <w:b/>
          <w:color w:val="auto"/>
          <w:sz w:val="28"/>
          <w:szCs w:val="28"/>
          <w:highlight w:val="none"/>
        </w:rPr>
        <w:t>附件4：</w:t>
      </w:r>
    </w:p>
    <w:p w14:paraId="21480962">
      <w:pPr>
        <w:spacing w:before="120" w:beforeLines="50" w:after="120" w:afterLines="50" w:line="440" w:lineRule="exact"/>
        <w:jc w:val="center"/>
        <w:rPr>
          <w:rFonts w:ascii="宋体" w:hAnsi="宋体"/>
          <w:b/>
          <w:color w:val="auto"/>
          <w:sz w:val="28"/>
          <w:szCs w:val="28"/>
          <w:highlight w:val="none"/>
        </w:rPr>
      </w:pPr>
      <w:r>
        <w:rPr>
          <w:rFonts w:ascii="宋体" w:hAnsi="宋体"/>
          <w:b/>
          <w:color w:val="auto"/>
          <w:sz w:val="28"/>
          <w:szCs w:val="28"/>
          <w:highlight w:val="none"/>
        </w:rPr>
        <w:t>主要建设工程文件目录</w:t>
      </w:r>
    </w:p>
    <w:tbl>
      <w:tblPr>
        <w:tblStyle w:val="3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571A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21582EDC">
            <w:pPr>
              <w:pStyle w:val="13"/>
              <w:keepNext/>
              <w:spacing w:line="440" w:lineRule="exact"/>
              <w:ind w:left="63" w:right="63"/>
              <w:rPr>
                <w:color w:val="auto"/>
                <w:sz w:val="21"/>
                <w:szCs w:val="21"/>
                <w:highlight w:val="none"/>
              </w:rPr>
            </w:pPr>
            <w:r>
              <w:rPr>
                <w:color w:val="auto"/>
                <w:sz w:val="21"/>
                <w:szCs w:val="21"/>
                <w:highlight w:val="none"/>
              </w:rPr>
              <w:t>文件名称</w:t>
            </w:r>
          </w:p>
        </w:tc>
        <w:tc>
          <w:tcPr>
            <w:tcW w:w="1276" w:type="dxa"/>
            <w:tcBorders>
              <w:top w:val="single" w:color="auto" w:sz="12" w:space="0"/>
              <w:bottom w:val="double" w:color="auto" w:sz="6" w:space="0"/>
            </w:tcBorders>
            <w:noWrap w:val="0"/>
            <w:vAlign w:val="center"/>
          </w:tcPr>
          <w:p w14:paraId="180F48A9">
            <w:pPr>
              <w:pStyle w:val="13"/>
              <w:keepNext/>
              <w:spacing w:line="440" w:lineRule="exact"/>
              <w:ind w:left="63" w:right="63"/>
              <w:rPr>
                <w:color w:val="auto"/>
                <w:sz w:val="21"/>
                <w:szCs w:val="21"/>
                <w:highlight w:val="none"/>
              </w:rPr>
            </w:pPr>
            <w:r>
              <w:rPr>
                <w:color w:val="auto"/>
                <w:sz w:val="21"/>
                <w:szCs w:val="21"/>
                <w:highlight w:val="none"/>
              </w:rPr>
              <w:t>套数</w:t>
            </w:r>
          </w:p>
        </w:tc>
        <w:tc>
          <w:tcPr>
            <w:tcW w:w="1450" w:type="dxa"/>
            <w:tcBorders>
              <w:top w:val="single" w:color="auto" w:sz="12" w:space="0"/>
              <w:bottom w:val="double" w:color="auto" w:sz="6" w:space="0"/>
            </w:tcBorders>
            <w:noWrap w:val="0"/>
            <w:vAlign w:val="center"/>
          </w:tcPr>
          <w:p w14:paraId="4FE751E2">
            <w:pPr>
              <w:pStyle w:val="13"/>
              <w:keepNext/>
              <w:spacing w:line="440" w:lineRule="exact"/>
              <w:ind w:left="63" w:right="63"/>
              <w:rPr>
                <w:color w:val="auto"/>
                <w:sz w:val="21"/>
                <w:szCs w:val="21"/>
                <w:highlight w:val="none"/>
              </w:rPr>
            </w:pPr>
            <w:r>
              <w:rPr>
                <w:color w:val="auto"/>
                <w:sz w:val="21"/>
                <w:szCs w:val="21"/>
                <w:highlight w:val="none"/>
              </w:rPr>
              <w:t>费用</w:t>
            </w:r>
            <w:r>
              <w:rPr>
                <w:rFonts w:hint="eastAsia"/>
                <w:color w:val="auto"/>
                <w:sz w:val="21"/>
                <w:szCs w:val="21"/>
                <w:highlight w:val="none"/>
              </w:rPr>
              <w:t>（元）</w:t>
            </w:r>
          </w:p>
        </w:tc>
        <w:tc>
          <w:tcPr>
            <w:tcW w:w="1243" w:type="dxa"/>
            <w:tcBorders>
              <w:top w:val="single" w:color="auto" w:sz="12" w:space="0"/>
              <w:bottom w:val="double" w:color="auto" w:sz="6" w:space="0"/>
            </w:tcBorders>
            <w:noWrap w:val="0"/>
            <w:vAlign w:val="center"/>
          </w:tcPr>
          <w:p w14:paraId="35BB8260">
            <w:pPr>
              <w:pStyle w:val="13"/>
              <w:keepNext/>
              <w:spacing w:line="440" w:lineRule="exact"/>
              <w:ind w:left="63" w:right="63"/>
              <w:rPr>
                <w:color w:val="auto"/>
                <w:sz w:val="21"/>
                <w:szCs w:val="21"/>
                <w:highlight w:val="none"/>
              </w:rPr>
            </w:pPr>
            <w:r>
              <w:rPr>
                <w:color w:val="auto"/>
                <w:sz w:val="21"/>
                <w:szCs w:val="21"/>
                <w:highlight w:val="none"/>
              </w:rPr>
              <w:t>质量</w:t>
            </w:r>
          </w:p>
        </w:tc>
        <w:tc>
          <w:tcPr>
            <w:tcW w:w="1450" w:type="dxa"/>
            <w:tcBorders>
              <w:top w:val="single" w:color="auto" w:sz="12" w:space="0"/>
              <w:bottom w:val="double" w:color="auto" w:sz="6" w:space="0"/>
            </w:tcBorders>
            <w:noWrap w:val="0"/>
            <w:vAlign w:val="top"/>
          </w:tcPr>
          <w:p w14:paraId="4A2D223F">
            <w:pPr>
              <w:spacing w:line="440" w:lineRule="exact"/>
              <w:jc w:val="center"/>
              <w:rPr>
                <w:rFonts w:ascii="宋体" w:hAnsi="宋体"/>
                <w:color w:val="auto"/>
                <w:sz w:val="21"/>
                <w:szCs w:val="21"/>
                <w:highlight w:val="none"/>
              </w:rPr>
            </w:pPr>
            <w:r>
              <w:rPr>
                <w:rFonts w:ascii="宋体" w:hAnsi="宋体"/>
                <w:color w:val="auto"/>
                <w:sz w:val="21"/>
                <w:szCs w:val="21"/>
                <w:highlight w:val="none"/>
              </w:rPr>
              <w:t>移交时间</w:t>
            </w:r>
          </w:p>
        </w:tc>
        <w:tc>
          <w:tcPr>
            <w:tcW w:w="1667" w:type="dxa"/>
            <w:tcBorders>
              <w:top w:val="single" w:color="auto" w:sz="12" w:space="0"/>
              <w:bottom w:val="double" w:color="auto" w:sz="6" w:space="0"/>
            </w:tcBorders>
            <w:noWrap w:val="0"/>
            <w:vAlign w:val="top"/>
          </w:tcPr>
          <w:p w14:paraId="7635E505">
            <w:pPr>
              <w:spacing w:line="440" w:lineRule="exact"/>
              <w:jc w:val="center"/>
              <w:rPr>
                <w:rFonts w:ascii="宋体" w:hAnsi="宋体"/>
                <w:color w:val="auto"/>
                <w:sz w:val="21"/>
                <w:szCs w:val="21"/>
                <w:highlight w:val="none"/>
              </w:rPr>
            </w:pPr>
            <w:r>
              <w:rPr>
                <w:rFonts w:ascii="宋体" w:hAnsi="宋体"/>
                <w:color w:val="auto"/>
                <w:sz w:val="21"/>
                <w:szCs w:val="21"/>
                <w:highlight w:val="none"/>
              </w:rPr>
              <w:t>责任人</w:t>
            </w:r>
          </w:p>
        </w:tc>
      </w:tr>
      <w:tr w14:paraId="29A11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56FAADC">
            <w:pPr>
              <w:pStyle w:val="13"/>
              <w:keepNext/>
              <w:spacing w:line="440" w:lineRule="exact"/>
              <w:ind w:left="63" w:right="63"/>
              <w:rPr>
                <w:color w:val="auto"/>
                <w:sz w:val="24"/>
                <w:highlight w:val="none"/>
              </w:rPr>
            </w:pPr>
          </w:p>
        </w:tc>
        <w:tc>
          <w:tcPr>
            <w:tcW w:w="1276" w:type="dxa"/>
            <w:tcBorders>
              <w:top w:val="double" w:color="auto" w:sz="6" w:space="0"/>
              <w:bottom w:val="single" w:color="auto" w:sz="6" w:space="0"/>
            </w:tcBorders>
            <w:noWrap w:val="0"/>
            <w:vAlign w:val="center"/>
          </w:tcPr>
          <w:p w14:paraId="3BFBF09F">
            <w:pPr>
              <w:pStyle w:val="13"/>
              <w:keepNext/>
              <w:spacing w:line="440" w:lineRule="exact"/>
              <w:ind w:left="63" w:right="63"/>
              <w:rPr>
                <w:color w:val="auto"/>
                <w:sz w:val="24"/>
                <w:highlight w:val="none"/>
              </w:rPr>
            </w:pPr>
          </w:p>
        </w:tc>
        <w:tc>
          <w:tcPr>
            <w:tcW w:w="1450" w:type="dxa"/>
            <w:tcBorders>
              <w:top w:val="double" w:color="auto" w:sz="6" w:space="0"/>
              <w:bottom w:val="single" w:color="auto" w:sz="6" w:space="0"/>
            </w:tcBorders>
            <w:noWrap w:val="0"/>
            <w:vAlign w:val="center"/>
          </w:tcPr>
          <w:p w14:paraId="37BA8242">
            <w:pPr>
              <w:pStyle w:val="13"/>
              <w:keepNext/>
              <w:spacing w:line="440" w:lineRule="exact"/>
              <w:ind w:left="63" w:right="63"/>
              <w:rPr>
                <w:color w:val="auto"/>
                <w:sz w:val="24"/>
                <w:highlight w:val="none"/>
              </w:rPr>
            </w:pPr>
          </w:p>
        </w:tc>
        <w:tc>
          <w:tcPr>
            <w:tcW w:w="1243" w:type="dxa"/>
            <w:tcBorders>
              <w:top w:val="double" w:color="auto" w:sz="6" w:space="0"/>
              <w:bottom w:val="single" w:color="auto" w:sz="6" w:space="0"/>
            </w:tcBorders>
            <w:noWrap w:val="0"/>
            <w:vAlign w:val="center"/>
          </w:tcPr>
          <w:p w14:paraId="5738AA58">
            <w:pPr>
              <w:pStyle w:val="13"/>
              <w:keepNext/>
              <w:spacing w:line="440" w:lineRule="exact"/>
              <w:ind w:left="63" w:right="63"/>
              <w:rPr>
                <w:color w:val="auto"/>
                <w:sz w:val="24"/>
                <w:highlight w:val="none"/>
              </w:rPr>
            </w:pPr>
          </w:p>
        </w:tc>
        <w:tc>
          <w:tcPr>
            <w:tcW w:w="1450" w:type="dxa"/>
            <w:tcBorders>
              <w:top w:val="double" w:color="auto" w:sz="6" w:space="0"/>
              <w:bottom w:val="single" w:color="auto" w:sz="6" w:space="0"/>
            </w:tcBorders>
            <w:noWrap w:val="0"/>
            <w:vAlign w:val="center"/>
          </w:tcPr>
          <w:p w14:paraId="408FC914">
            <w:pPr>
              <w:pStyle w:val="13"/>
              <w:keepNext/>
              <w:spacing w:line="440" w:lineRule="exact"/>
              <w:ind w:left="63" w:right="63"/>
              <w:rPr>
                <w:color w:val="auto"/>
                <w:sz w:val="24"/>
                <w:highlight w:val="none"/>
              </w:rPr>
            </w:pPr>
          </w:p>
        </w:tc>
        <w:tc>
          <w:tcPr>
            <w:tcW w:w="1667" w:type="dxa"/>
            <w:tcBorders>
              <w:top w:val="double" w:color="auto" w:sz="6" w:space="0"/>
              <w:bottom w:val="single" w:color="auto" w:sz="6" w:space="0"/>
            </w:tcBorders>
            <w:noWrap w:val="0"/>
            <w:vAlign w:val="center"/>
          </w:tcPr>
          <w:p w14:paraId="6432866E">
            <w:pPr>
              <w:pStyle w:val="13"/>
              <w:keepNext/>
              <w:spacing w:line="440" w:lineRule="exact"/>
              <w:ind w:left="63" w:right="63"/>
              <w:rPr>
                <w:color w:val="auto"/>
                <w:sz w:val="24"/>
                <w:highlight w:val="none"/>
              </w:rPr>
            </w:pPr>
          </w:p>
        </w:tc>
      </w:tr>
      <w:tr w14:paraId="7E3A1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D1D41BD">
            <w:pPr>
              <w:pStyle w:val="13"/>
              <w:keepNext/>
              <w:spacing w:line="440" w:lineRule="exact"/>
              <w:ind w:left="63" w:right="63"/>
              <w:rPr>
                <w:color w:val="auto"/>
                <w:sz w:val="24"/>
                <w:highlight w:val="none"/>
              </w:rPr>
            </w:pPr>
          </w:p>
        </w:tc>
        <w:tc>
          <w:tcPr>
            <w:tcW w:w="1276" w:type="dxa"/>
            <w:tcBorders>
              <w:top w:val="nil"/>
            </w:tcBorders>
            <w:noWrap w:val="0"/>
            <w:vAlign w:val="center"/>
          </w:tcPr>
          <w:p w14:paraId="1D102D3D">
            <w:pPr>
              <w:pStyle w:val="13"/>
              <w:keepNext/>
              <w:spacing w:line="440" w:lineRule="exact"/>
              <w:ind w:left="63" w:right="63"/>
              <w:rPr>
                <w:color w:val="auto"/>
                <w:sz w:val="24"/>
                <w:highlight w:val="none"/>
              </w:rPr>
            </w:pPr>
          </w:p>
        </w:tc>
        <w:tc>
          <w:tcPr>
            <w:tcW w:w="1450" w:type="dxa"/>
            <w:tcBorders>
              <w:top w:val="nil"/>
            </w:tcBorders>
            <w:noWrap w:val="0"/>
            <w:vAlign w:val="center"/>
          </w:tcPr>
          <w:p w14:paraId="107125F5">
            <w:pPr>
              <w:pStyle w:val="13"/>
              <w:keepNext/>
              <w:spacing w:line="440" w:lineRule="exact"/>
              <w:ind w:left="63" w:right="63"/>
              <w:rPr>
                <w:color w:val="auto"/>
                <w:sz w:val="24"/>
                <w:highlight w:val="none"/>
              </w:rPr>
            </w:pPr>
          </w:p>
        </w:tc>
        <w:tc>
          <w:tcPr>
            <w:tcW w:w="1243" w:type="dxa"/>
            <w:tcBorders>
              <w:top w:val="nil"/>
            </w:tcBorders>
            <w:noWrap w:val="0"/>
            <w:vAlign w:val="center"/>
          </w:tcPr>
          <w:p w14:paraId="742A3890">
            <w:pPr>
              <w:pStyle w:val="13"/>
              <w:keepNext/>
              <w:spacing w:line="440" w:lineRule="exact"/>
              <w:ind w:left="63" w:right="63"/>
              <w:rPr>
                <w:color w:val="auto"/>
                <w:sz w:val="24"/>
                <w:highlight w:val="none"/>
              </w:rPr>
            </w:pPr>
          </w:p>
        </w:tc>
        <w:tc>
          <w:tcPr>
            <w:tcW w:w="1450" w:type="dxa"/>
            <w:tcBorders>
              <w:top w:val="nil"/>
            </w:tcBorders>
            <w:noWrap w:val="0"/>
            <w:vAlign w:val="center"/>
          </w:tcPr>
          <w:p w14:paraId="4CF19F68">
            <w:pPr>
              <w:pStyle w:val="13"/>
              <w:keepNext/>
              <w:spacing w:line="440" w:lineRule="exact"/>
              <w:ind w:left="63" w:right="63"/>
              <w:rPr>
                <w:color w:val="auto"/>
                <w:sz w:val="24"/>
                <w:highlight w:val="none"/>
              </w:rPr>
            </w:pPr>
          </w:p>
        </w:tc>
        <w:tc>
          <w:tcPr>
            <w:tcW w:w="1667" w:type="dxa"/>
            <w:tcBorders>
              <w:top w:val="nil"/>
            </w:tcBorders>
            <w:noWrap w:val="0"/>
            <w:vAlign w:val="center"/>
          </w:tcPr>
          <w:p w14:paraId="788ED450">
            <w:pPr>
              <w:pStyle w:val="13"/>
              <w:keepNext/>
              <w:spacing w:line="440" w:lineRule="exact"/>
              <w:ind w:left="63" w:right="63"/>
              <w:rPr>
                <w:color w:val="auto"/>
                <w:sz w:val="24"/>
                <w:highlight w:val="none"/>
              </w:rPr>
            </w:pPr>
          </w:p>
        </w:tc>
      </w:tr>
      <w:tr w14:paraId="53897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195459D">
            <w:pPr>
              <w:pStyle w:val="13"/>
              <w:keepNext/>
              <w:spacing w:line="440" w:lineRule="exact"/>
              <w:ind w:left="63" w:right="63"/>
              <w:rPr>
                <w:color w:val="auto"/>
                <w:sz w:val="24"/>
                <w:highlight w:val="none"/>
              </w:rPr>
            </w:pPr>
          </w:p>
        </w:tc>
        <w:tc>
          <w:tcPr>
            <w:tcW w:w="1276" w:type="dxa"/>
            <w:noWrap w:val="0"/>
            <w:vAlign w:val="center"/>
          </w:tcPr>
          <w:p w14:paraId="23C5AC6E">
            <w:pPr>
              <w:pStyle w:val="13"/>
              <w:keepNext/>
              <w:spacing w:line="440" w:lineRule="exact"/>
              <w:ind w:left="63" w:right="63"/>
              <w:rPr>
                <w:color w:val="auto"/>
                <w:sz w:val="24"/>
                <w:highlight w:val="none"/>
              </w:rPr>
            </w:pPr>
          </w:p>
        </w:tc>
        <w:tc>
          <w:tcPr>
            <w:tcW w:w="1450" w:type="dxa"/>
            <w:noWrap w:val="0"/>
            <w:vAlign w:val="center"/>
          </w:tcPr>
          <w:p w14:paraId="14509EFE">
            <w:pPr>
              <w:pStyle w:val="13"/>
              <w:keepNext/>
              <w:spacing w:line="440" w:lineRule="exact"/>
              <w:ind w:left="63" w:right="63"/>
              <w:rPr>
                <w:color w:val="auto"/>
                <w:sz w:val="24"/>
                <w:highlight w:val="none"/>
              </w:rPr>
            </w:pPr>
          </w:p>
        </w:tc>
        <w:tc>
          <w:tcPr>
            <w:tcW w:w="1243" w:type="dxa"/>
            <w:noWrap w:val="0"/>
            <w:vAlign w:val="center"/>
          </w:tcPr>
          <w:p w14:paraId="3BBDD6F4">
            <w:pPr>
              <w:pStyle w:val="13"/>
              <w:keepNext/>
              <w:spacing w:line="440" w:lineRule="exact"/>
              <w:ind w:left="63" w:right="63"/>
              <w:rPr>
                <w:color w:val="auto"/>
                <w:sz w:val="24"/>
                <w:highlight w:val="none"/>
              </w:rPr>
            </w:pPr>
          </w:p>
        </w:tc>
        <w:tc>
          <w:tcPr>
            <w:tcW w:w="1450" w:type="dxa"/>
            <w:noWrap w:val="0"/>
            <w:vAlign w:val="center"/>
          </w:tcPr>
          <w:p w14:paraId="6FEF7D56">
            <w:pPr>
              <w:pStyle w:val="13"/>
              <w:keepNext/>
              <w:spacing w:line="440" w:lineRule="exact"/>
              <w:ind w:left="63" w:right="63"/>
              <w:rPr>
                <w:color w:val="auto"/>
                <w:sz w:val="24"/>
                <w:highlight w:val="none"/>
              </w:rPr>
            </w:pPr>
          </w:p>
        </w:tc>
        <w:tc>
          <w:tcPr>
            <w:tcW w:w="1667" w:type="dxa"/>
            <w:noWrap w:val="0"/>
            <w:vAlign w:val="center"/>
          </w:tcPr>
          <w:p w14:paraId="46E9960F">
            <w:pPr>
              <w:pStyle w:val="13"/>
              <w:keepNext/>
              <w:spacing w:line="440" w:lineRule="exact"/>
              <w:ind w:left="63" w:right="63"/>
              <w:rPr>
                <w:color w:val="auto"/>
                <w:sz w:val="24"/>
                <w:highlight w:val="none"/>
              </w:rPr>
            </w:pPr>
          </w:p>
        </w:tc>
      </w:tr>
      <w:tr w14:paraId="75847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0D162C1">
            <w:pPr>
              <w:pStyle w:val="13"/>
              <w:keepNext/>
              <w:spacing w:line="440" w:lineRule="exact"/>
              <w:ind w:left="63" w:right="63"/>
              <w:rPr>
                <w:color w:val="auto"/>
                <w:sz w:val="24"/>
                <w:highlight w:val="none"/>
              </w:rPr>
            </w:pPr>
          </w:p>
        </w:tc>
        <w:tc>
          <w:tcPr>
            <w:tcW w:w="1276" w:type="dxa"/>
            <w:noWrap w:val="0"/>
            <w:vAlign w:val="center"/>
          </w:tcPr>
          <w:p w14:paraId="4E83F04A">
            <w:pPr>
              <w:pStyle w:val="13"/>
              <w:keepNext/>
              <w:spacing w:line="440" w:lineRule="exact"/>
              <w:ind w:left="63" w:right="63"/>
              <w:rPr>
                <w:color w:val="auto"/>
                <w:sz w:val="24"/>
                <w:highlight w:val="none"/>
              </w:rPr>
            </w:pPr>
          </w:p>
        </w:tc>
        <w:tc>
          <w:tcPr>
            <w:tcW w:w="1450" w:type="dxa"/>
            <w:noWrap w:val="0"/>
            <w:vAlign w:val="center"/>
          </w:tcPr>
          <w:p w14:paraId="6787AF72">
            <w:pPr>
              <w:pStyle w:val="13"/>
              <w:keepNext/>
              <w:spacing w:line="440" w:lineRule="exact"/>
              <w:ind w:left="63" w:right="63"/>
              <w:rPr>
                <w:color w:val="auto"/>
                <w:sz w:val="24"/>
                <w:highlight w:val="none"/>
              </w:rPr>
            </w:pPr>
          </w:p>
        </w:tc>
        <w:tc>
          <w:tcPr>
            <w:tcW w:w="1243" w:type="dxa"/>
            <w:noWrap w:val="0"/>
            <w:vAlign w:val="center"/>
          </w:tcPr>
          <w:p w14:paraId="12EF8865">
            <w:pPr>
              <w:pStyle w:val="13"/>
              <w:keepNext/>
              <w:spacing w:line="440" w:lineRule="exact"/>
              <w:ind w:left="63" w:right="63"/>
              <w:rPr>
                <w:color w:val="auto"/>
                <w:sz w:val="24"/>
                <w:highlight w:val="none"/>
              </w:rPr>
            </w:pPr>
          </w:p>
        </w:tc>
        <w:tc>
          <w:tcPr>
            <w:tcW w:w="1450" w:type="dxa"/>
            <w:noWrap w:val="0"/>
            <w:vAlign w:val="center"/>
          </w:tcPr>
          <w:p w14:paraId="5AD18699">
            <w:pPr>
              <w:pStyle w:val="13"/>
              <w:keepNext/>
              <w:spacing w:line="440" w:lineRule="exact"/>
              <w:ind w:left="63" w:right="63"/>
              <w:rPr>
                <w:color w:val="auto"/>
                <w:sz w:val="24"/>
                <w:highlight w:val="none"/>
              </w:rPr>
            </w:pPr>
          </w:p>
        </w:tc>
        <w:tc>
          <w:tcPr>
            <w:tcW w:w="1667" w:type="dxa"/>
            <w:noWrap w:val="0"/>
            <w:vAlign w:val="center"/>
          </w:tcPr>
          <w:p w14:paraId="753042FA">
            <w:pPr>
              <w:pStyle w:val="13"/>
              <w:keepNext/>
              <w:spacing w:line="440" w:lineRule="exact"/>
              <w:ind w:left="63" w:right="63"/>
              <w:rPr>
                <w:color w:val="auto"/>
                <w:sz w:val="24"/>
                <w:highlight w:val="none"/>
              </w:rPr>
            </w:pPr>
          </w:p>
        </w:tc>
      </w:tr>
      <w:tr w14:paraId="69874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1DDE72">
            <w:pPr>
              <w:pStyle w:val="13"/>
              <w:keepNext/>
              <w:spacing w:line="440" w:lineRule="exact"/>
              <w:ind w:left="63" w:right="63"/>
              <w:rPr>
                <w:color w:val="auto"/>
                <w:sz w:val="24"/>
                <w:highlight w:val="none"/>
              </w:rPr>
            </w:pPr>
          </w:p>
        </w:tc>
        <w:tc>
          <w:tcPr>
            <w:tcW w:w="1276" w:type="dxa"/>
            <w:noWrap w:val="0"/>
            <w:vAlign w:val="center"/>
          </w:tcPr>
          <w:p w14:paraId="745F7442">
            <w:pPr>
              <w:pStyle w:val="13"/>
              <w:keepNext/>
              <w:spacing w:line="440" w:lineRule="exact"/>
              <w:ind w:left="63" w:right="63"/>
              <w:rPr>
                <w:color w:val="auto"/>
                <w:sz w:val="24"/>
                <w:highlight w:val="none"/>
              </w:rPr>
            </w:pPr>
          </w:p>
        </w:tc>
        <w:tc>
          <w:tcPr>
            <w:tcW w:w="1450" w:type="dxa"/>
            <w:noWrap w:val="0"/>
            <w:vAlign w:val="center"/>
          </w:tcPr>
          <w:p w14:paraId="0DF840A9">
            <w:pPr>
              <w:pStyle w:val="13"/>
              <w:keepNext/>
              <w:spacing w:line="440" w:lineRule="exact"/>
              <w:ind w:left="63" w:right="63"/>
              <w:rPr>
                <w:color w:val="auto"/>
                <w:sz w:val="24"/>
                <w:highlight w:val="none"/>
              </w:rPr>
            </w:pPr>
          </w:p>
        </w:tc>
        <w:tc>
          <w:tcPr>
            <w:tcW w:w="1243" w:type="dxa"/>
            <w:noWrap w:val="0"/>
            <w:vAlign w:val="center"/>
          </w:tcPr>
          <w:p w14:paraId="374DB7FE">
            <w:pPr>
              <w:pStyle w:val="13"/>
              <w:keepNext/>
              <w:spacing w:line="440" w:lineRule="exact"/>
              <w:ind w:left="63" w:right="63"/>
              <w:rPr>
                <w:color w:val="auto"/>
                <w:sz w:val="24"/>
                <w:highlight w:val="none"/>
              </w:rPr>
            </w:pPr>
          </w:p>
        </w:tc>
        <w:tc>
          <w:tcPr>
            <w:tcW w:w="1450" w:type="dxa"/>
            <w:noWrap w:val="0"/>
            <w:vAlign w:val="center"/>
          </w:tcPr>
          <w:p w14:paraId="494638C8">
            <w:pPr>
              <w:pStyle w:val="13"/>
              <w:keepNext/>
              <w:spacing w:line="440" w:lineRule="exact"/>
              <w:ind w:left="63" w:right="63"/>
              <w:rPr>
                <w:color w:val="auto"/>
                <w:sz w:val="24"/>
                <w:highlight w:val="none"/>
              </w:rPr>
            </w:pPr>
          </w:p>
        </w:tc>
        <w:tc>
          <w:tcPr>
            <w:tcW w:w="1667" w:type="dxa"/>
            <w:noWrap w:val="0"/>
            <w:vAlign w:val="center"/>
          </w:tcPr>
          <w:p w14:paraId="36A2E8F0">
            <w:pPr>
              <w:pStyle w:val="13"/>
              <w:keepNext/>
              <w:spacing w:line="440" w:lineRule="exact"/>
              <w:ind w:left="63" w:right="63"/>
              <w:rPr>
                <w:color w:val="auto"/>
                <w:sz w:val="24"/>
                <w:highlight w:val="none"/>
              </w:rPr>
            </w:pPr>
          </w:p>
        </w:tc>
      </w:tr>
      <w:tr w14:paraId="5FA50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69E3357">
            <w:pPr>
              <w:pStyle w:val="13"/>
              <w:keepNext/>
              <w:spacing w:line="440" w:lineRule="exact"/>
              <w:ind w:left="63" w:right="63"/>
              <w:rPr>
                <w:color w:val="auto"/>
                <w:sz w:val="24"/>
                <w:highlight w:val="none"/>
              </w:rPr>
            </w:pPr>
          </w:p>
        </w:tc>
        <w:tc>
          <w:tcPr>
            <w:tcW w:w="1276" w:type="dxa"/>
            <w:noWrap w:val="0"/>
            <w:vAlign w:val="center"/>
          </w:tcPr>
          <w:p w14:paraId="2A1E1780">
            <w:pPr>
              <w:pStyle w:val="13"/>
              <w:keepNext/>
              <w:spacing w:line="440" w:lineRule="exact"/>
              <w:ind w:left="63" w:right="63"/>
              <w:rPr>
                <w:color w:val="auto"/>
                <w:sz w:val="24"/>
                <w:highlight w:val="none"/>
              </w:rPr>
            </w:pPr>
          </w:p>
        </w:tc>
        <w:tc>
          <w:tcPr>
            <w:tcW w:w="1450" w:type="dxa"/>
            <w:noWrap w:val="0"/>
            <w:vAlign w:val="center"/>
          </w:tcPr>
          <w:p w14:paraId="6BAE68C5">
            <w:pPr>
              <w:pStyle w:val="13"/>
              <w:keepNext/>
              <w:spacing w:line="440" w:lineRule="exact"/>
              <w:ind w:left="63" w:right="63"/>
              <w:rPr>
                <w:color w:val="auto"/>
                <w:sz w:val="24"/>
                <w:highlight w:val="none"/>
              </w:rPr>
            </w:pPr>
          </w:p>
        </w:tc>
        <w:tc>
          <w:tcPr>
            <w:tcW w:w="1243" w:type="dxa"/>
            <w:noWrap w:val="0"/>
            <w:vAlign w:val="center"/>
          </w:tcPr>
          <w:p w14:paraId="6BC0DD78">
            <w:pPr>
              <w:pStyle w:val="13"/>
              <w:keepNext/>
              <w:spacing w:line="440" w:lineRule="exact"/>
              <w:ind w:left="63" w:right="63"/>
              <w:rPr>
                <w:color w:val="auto"/>
                <w:sz w:val="24"/>
                <w:highlight w:val="none"/>
              </w:rPr>
            </w:pPr>
          </w:p>
        </w:tc>
        <w:tc>
          <w:tcPr>
            <w:tcW w:w="1450" w:type="dxa"/>
            <w:noWrap w:val="0"/>
            <w:vAlign w:val="center"/>
          </w:tcPr>
          <w:p w14:paraId="353CB563">
            <w:pPr>
              <w:pStyle w:val="13"/>
              <w:keepNext/>
              <w:spacing w:line="440" w:lineRule="exact"/>
              <w:ind w:left="63" w:right="63"/>
              <w:rPr>
                <w:color w:val="auto"/>
                <w:sz w:val="24"/>
                <w:highlight w:val="none"/>
              </w:rPr>
            </w:pPr>
          </w:p>
        </w:tc>
        <w:tc>
          <w:tcPr>
            <w:tcW w:w="1667" w:type="dxa"/>
            <w:noWrap w:val="0"/>
            <w:vAlign w:val="center"/>
          </w:tcPr>
          <w:p w14:paraId="1452E86A">
            <w:pPr>
              <w:pStyle w:val="13"/>
              <w:keepNext/>
              <w:spacing w:line="440" w:lineRule="exact"/>
              <w:ind w:left="63" w:right="63"/>
              <w:rPr>
                <w:color w:val="auto"/>
                <w:sz w:val="24"/>
                <w:highlight w:val="none"/>
              </w:rPr>
            </w:pPr>
          </w:p>
        </w:tc>
      </w:tr>
      <w:tr w14:paraId="62588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B088A87">
            <w:pPr>
              <w:pStyle w:val="13"/>
              <w:keepNext/>
              <w:spacing w:line="440" w:lineRule="exact"/>
              <w:ind w:left="63" w:right="63"/>
              <w:rPr>
                <w:color w:val="auto"/>
                <w:sz w:val="24"/>
                <w:highlight w:val="none"/>
              </w:rPr>
            </w:pPr>
          </w:p>
        </w:tc>
        <w:tc>
          <w:tcPr>
            <w:tcW w:w="1276" w:type="dxa"/>
            <w:noWrap w:val="0"/>
            <w:vAlign w:val="center"/>
          </w:tcPr>
          <w:p w14:paraId="494E4956">
            <w:pPr>
              <w:pStyle w:val="13"/>
              <w:keepNext/>
              <w:spacing w:line="440" w:lineRule="exact"/>
              <w:ind w:left="63" w:right="63"/>
              <w:rPr>
                <w:color w:val="auto"/>
                <w:sz w:val="24"/>
                <w:highlight w:val="none"/>
              </w:rPr>
            </w:pPr>
          </w:p>
        </w:tc>
        <w:tc>
          <w:tcPr>
            <w:tcW w:w="1450" w:type="dxa"/>
            <w:noWrap w:val="0"/>
            <w:vAlign w:val="center"/>
          </w:tcPr>
          <w:p w14:paraId="3674821D">
            <w:pPr>
              <w:pStyle w:val="13"/>
              <w:keepNext/>
              <w:spacing w:line="440" w:lineRule="exact"/>
              <w:ind w:left="63" w:right="63"/>
              <w:rPr>
                <w:color w:val="auto"/>
                <w:sz w:val="24"/>
                <w:highlight w:val="none"/>
              </w:rPr>
            </w:pPr>
          </w:p>
        </w:tc>
        <w:tc>
          <w:tcPr>
            <w:tcW w:w="1243" w:type="dxa"/>
            <w:noWrap w:val="0"/>
            <w:vAlign w:val="center"/>
          </w:tcPr>
          <w:p w14:paraId="3AC86FC2">
            <w:pPr>
              <w:pStyle w:val="13"/>
              <w:keepNext/>
              <w:spacing w:line="440" w:lineRule="exact"/>
              <w:ind w:left="63" w:right="63"/>
              <w:rPr>
                <w:color w:val="auto"/>
                <w:sz w:val="24"/>
                <w:highlight w:val="none"/>
              </w:rPr>
            </w:pPr>
          </w:p>
        </w:tc>
        <w:tc>
          <w:tcPr>
            <w:tcW w:w="1450" w:type="dxa"/>
            <w:noWrap w:val="0"/>
            <w:vAlign w:val="center"/>
          </w:tcPr>
          <w:p w14:paraId="004D2ACE">
            <w:pPr>
              <w:pStyle w:val="13"/>
              <w:keepNext/>
              <w:spacing w:line="440" w:lineRule="exact"/>
              <w:ind w:left="63" w:right="63"/>
              <w:rPr>
                <w:color w:val="auto"/>
                <w:sz w:val="24"/>
                <w:highlight w:val="none"/>
              </w:rPr>
            </w:pPr>
          </w:p>
        </w:tc>
        <w:tc>
          <w:tcPr>
            <w:tcW w:w="1667" w:type="dxa"/>
            <w:noWrap w:val="0"/>
            <w:vAlign w:val="center"/>
          </w:tcPr>
          <w:p w14:paraId="3CD4E823">
            <w:pPr>
              <w:pStyle w:val="13"/>
              <w:keepNext/>
              <w:spacing w:line="440" w:lineRule="exact"/>
              <w:ind w:left="63" w:right="63"/>
              <w:rPr>
                <w:color w:val="auto"/>
                <w:sz w:val="24"/>
                <w:highlight w:val="none"/>
              </w:rPr>
            </w:pPr>
          </w:p>
        </w:tc>
      </w:tr>
      <w:tr w14:paraId="7AD7C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AF8767F">
            <w:pPr>
              <w:pStyle w:val="13"/>
              <w:keepNext/>
              <w:spacing w:line="440" w:lineRule="exact"/>
              <w:ind w:left="63" w:right="63"/>
              <w:rPr>
                <w:color w:val="auto"/>
                <w:sz w:val="24"/>
                <w:highlight w:val="none"/>
              </w:rPr>
            </w:pPr>
          </w:p>
        </w:tc>
        <w:tc>
          <w:tcPr>
            <w:tcW w:w="1276" w:type="dxa"/>
            <w:noWrap w:val="0"/>
            <w:vAlign w:val="center"/>
          </w:tcPr>
          <w:p w14:paraId="0053EDD1">
            <w:pPr>
              <w:pStyle w:val="13"/>
              <w:keepNext/>
              <w:spacing w:line="440" w:lineRule="exact"/>
              <w:ind w:left="63" w:right="63"/>
              <w:rPr>
                <w:color w:val="auto"/>
                <w:sz w:val="24"/>
                <w:highlight w:val="none"/>
              </w:rPr>
            </w:pPr>
          </w:p>
        </w:tc>
        <w:tc>
          <w:tcPr>
            <w:tcW w:w="1450" w:type="dxa"/>
            <w:noWrap w:val="0"/>
            <w:vAlign w:val="center"/>
          </w:tcPr>
          <w:p w14:paraId="40040532">
            <w:pPr>
              <w:pStyle w:val="13"/>
              <w:keepNext/>
              <w:spacing w:line="440" w:lineRule="exact"/>
              <w:ind w:left="63" w:right="63"/>
              <w:rPr>
                <w:color w:val="auto"/>
                <w:sz w:val="24"/>
                <w:highlight w:val="none"/>
              </w:rPr>
            </w:pPr>
          </w:p>
        </w:tc>
        <w:tc>
          <w:tcPr>
            <w:tcW w:w="1243" w:type="dxa"/>
            <w:noWrap w:val="0"/>
            <w:vAlign w:val="center"/>
          </w:tcPr>
          <w:p w14:paraId="598E4507">
            <w:pPr>
              <w:pStyle w:val="13"/>
              <w:keepNext/>
              <w:spacing w:line="440" w:lineRule="exact"/>
              <w:ind w:left="63" w:right="63"/>
              <w:rPr>
                <w:color w:val="auto"/>
                <w:sz w:val="24"/>
                <w:highlight w:val="none"/>
              </w:rPr>
            </w:pPr>
          </w:p>
        </w:tc>
        <w:tc>
          <w:tcPr>
            <w:tcW w:w="1450" w:type="dxa"/>
            <w:noWrap w:val="0"/>
            <w:vAlign w:val="center"/>
          </w:tcPr>
          <w:p w14:paraId="1ECF4F3C">
            <w:pPr>
              <w:pStyle w:val="13"/>
              <w:keepNext/>
              <w:spacing w:line="440" w:lineRule="exact"/>
              <w:ind w:left="63" w:right="63"/>
              <w:rPr>
                <w:color w:val="auto"/>
                <w:sz w:val="24"/>
                <w:highlight w:val="none"/>
              </w:rPr>
            </w:pPr>
          </w:p>
        </w:tc>
        <w:tc>
          <w:tcPr>
            <w:tcW w:w="1667" w:type="dxa"/>
            <w:noWrap w:val="0"/>
            <w:vAlign w:val="center"/>
          </w:tcPr>
          <w:p w14:paraId="6D972BB1">
            <w:pPr>
              <w:pStyle w:val="13"/>
              <w:keepNext/>
              <w:spacing w:line="440" w:lineRule="exact"/>
              <w:ind w:left="63" w:right="63"/>
              <w:rPr>
                <w:color w:val="auto"/>
                <w:sz w:val="24"/>
                <w:highlight w:val="none"/>
              </w:rPr>
            </w:pPr>
          </w:p>
        </w:tc>
      </w:tr>
      <w:tr w14:paraId="0F394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4B9D7EA">
            <w:pPr>
              <w:pStyle w:val="13"/>
              <w:keepNext/>
              <w:spacing w:line="440" w:lineRule="exact"/>
              <w:ind w:left="63" w:right="63"/>
              <w:rPr>
                <w:color w:val="auto"/>
                <w:sz w:val="24"/>
                <w:highlight w:val="none"/>
              </w:rPr>
            </w:pPr>
          </w:p>
        </w:tc>
        <w:tc>
          <w:tcPr>
            <w:tcW w:w="1276" w:type="dxa"/>
            <w:noWrap w:val="0"/>
            <w:vAlign w:val="center"/>
          </w:tcPr>
          <w:p w14:paraId="1B4DB19B">
            <w:pPr>
              <w:pStyle w:val="13"/>
              <w:keepNext/>
              <w:spacing w:line="440" w:lineRule="exact"/>
              <w:ind w:left="63" w:right="63"/>
              <w:rPr>
                <w:color w:val="auto"/>
                <w:sz w:val="24"/>
                <w:highlight w:val="none"/>
              </w:rPr>
            </w:pPr>
          </w:p>
        </w:tc>
        <w:tc>
          <w:tcPr>
            <w:tcW w:w="1450" w:type="dxa"/>
            <w:noWrap w:val="0"/>
            <w:vAlign w:val="center"/>
          </w:tcPr>
          <w:p w14:paraId="256B3687">
            <w:pPr>
              <w:pStyle w:val="13"/>
              <w:keepNext/>
              <w:spacing w:line="440" w:lineRule="exact"/>
              <w:ind w:left="63" w:right="63"/>
              <w:rPr>
                <w:color w:val="auto"/>
                <w:sz w:val="24"/>
                <w:highlight w:val="none"/>
              </w:rPr>
            </w:pPr>
          </w:p>
        </w:tc>
        <w:tc>
          <w:tcPr>
            <w:tcW w:w="1243" w:type="dxa"/>
            <w:noWrap w:val="0"/>
            <w:vAlign w:val="center"/>
          </w:tcPr>
          <w:p w14:paraId="1F7048D6">
            <w:pPr>
              <w:pStyle w:val="13"/>
              <w:keepNext/>
              <w:spacing w:line="440" w:lineRule="exact"/>
              <w:ind w:left="63" w:right="63"/>
              <w:rPr>
                <w:color w:val="auto"/>
                <w:sz w:val="24"/>
                <w:highlight w:val="none"/>
              </w:rPr>
            </w:pPr>
          </w:p>
        </w:tc>
        <w:tc>
          <w:tcPr>
            <w:tcW w:w="1450" w:type="dxa"/>
            <w:noWrap w:val="0"/>
            <w:vAlign w:val="center"/>
          </w:tcPr>
          <w:p w14:paraId="3C93F8A3">
            <w:pPr>
              <w:pStyle w:val="13"/>
              <w:keepNext/>
              <w:spacing w:line="440" w:lineRule="exact"/>
              <w:ind w:left="63" w:right="63"/>
              <w:rPr>
                <w:color w:val="auto"/>
                <w:sz w:val="24"/>
                <w:highlight w:val="none"/>
              </w:rPr>
            </w:pPr>
          </w:p>
        </w:tc>
        <w:tc>
          <w:tcPr>
            <w:tcW w:w="1667" w:type="dxa"/>
            <w:noWrap w:val="0"/>
            <w:vAlign w:val="center"/>
          </w:tcPr>
          <w:p w14:paraId="0718D441">
            <w:pPr>
              <w:pStyle w:val="13"/>
              <w:keepNext/>
              <w:spacing w:line="440" w:lineRule="exact"/>
              <w:ind w:left="63" w:right="63"/>
              <w:rPr>
                <w:color w:val="auto"/>
                <w:sz w:val="24"/>
                <w:highlight w:val="none"/>
              </w:rPr>
            </w:pPr>
          </w:p>
        </w:tc>
      </w:tr>
      <w:tr w14:paraId="20E5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82EF62">
            <w:pPr>
              <w:pStyle w:val="13"/>
              <w:keepNext/>
              <w:spacing w:line="440" w:lineRule="exact"/>
              <w:ind w:left="63" w:right="63"/>
              <w:rPr>
                <w:color w:val="auto"/>
                <w:sz w:val="24"/>
                <w:highlight w:val="none"/>
              </w:rPr>
            </w:pPr>
          </w:p>
        </w:tc>
        <w:tc>
          <w:tcPr>
            <w:tcW w:w="1276" w:type="dxa"/>
            <w:noWrap w:val="0"/>
            <w:vAlign w:val="center"/>
          </w:tcPr>
          <w:p w14:paraId="1E07BC01">
            <w:pPr>
              <w:pStyle w:val="13"/>
              <w:keepNext/>
              <w:spacing w:line="440" w:lineRule="exact"/>
              <w:ind w:left="63" w:right="63"/>
              <w:rPr>
                <w:color w:val="auto"/>
                <w:sz w:val="24"/>
                <w:highlight w:val="none"/>
              </w:rPr>
            </w:pPr>
          </w:p>
        </w:tc>
        <w:tc>
          <w:tcPr>
            <w:tcW w:w="1450" w:type="dxa"/>
            <w:noWrap w:val="0"/>
            <w:vAlign w:val="center"/>
          </w:tcPr>
          <w:p w14:paraId="71C4BDFE">
            <w:pPr>
              <w:pStyle w:val="13"/>
              <w:keepNext/>
              <w:spacing w:line="440" w:lineRule="exact"/>
              <w:ind w:left="63" w:right="63"/>
              <w:rPr>
                <w:color w:val="auto"/>
                <w:sz w:val="24"/>
                <w:highlight w:val="none"/>
              </w:rPr>
            </w:pPr>
          </w:p>
        </w:tc>
        <w:tc>
          <w:tcPr>
            <w:tcW w:w="1243" w:type="dxa"/>
            <w:noWrap w:val="0"/>
            <w:vAlign w:val="center"/>
          </w:tcPr>
          <w:p w14:paraId="712D1BA5">
            <w:pPr>
              <w:pStyle w:val="13"/>
              <w:keepNext/>
              <w:spacing w:line="440" w:lineRule="exact"/>
              <w:ind w:left="63" w:right="63"/>
              <w:rPr>
                <w:color w:val="auto"/>
                <w:sz w:val="24"/>
                <w:highlight w:val="none"/>
              </w:rPr>
            </w:pPr>
          </w:p>
        </w:tc>
        <w:tc>
          <w:tcPr>
            <w:tcW w:w="1450" w:type="dxa"/>
            <w:noWrap w:val="0"/>
            <w:vAlign w:val="center"/>
          </w:tcPr>
          <w:p w14:paraId="338B984B">
            <w:pPr>
              <w:pStyle w:val="13"/>
              <w:keepNext/>
              <w:spacing w:line="440" w:lineRule="exact"/>
              <w:ind w:left="63" w:right="63"/>
              <w:rPr>
                <w:color w:val="auto"/>
                <w:sz w:val="24"/>
                <w:highlight w:val="none"/>
              </w:rPr>
            </w:pPr>
          </w:p>
        </w:tc>
        <w:tc>
          <w:tcPr>
            <w:tcW w:w="1667" w:type="dxa"/>
            <w:noWrap w:val="0"/>
            <w:vAlign w:val="center"/>
          </w:tcPr>
          <w:p w14:paraId="55EB174C">
            <w:pPr>
              <w:pStyle w:val="13"/>
              <w:keepNext/>
              <w:spacing w:line="440" w:lineRule="exact"/>
              <w:ind w:left="63" w:right="63"/>
              <w:rPr>
                <w:color w:val="auto"/>
                <w:sz w:val="24"/>
                <w:highlight w:val="none"/>
              </w:rPr>
            </w:pPr>
          </w:p>
        </w:tc>
      </w:tr>
      <w:tr w14:paraId="7A6A0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DA91818">
            <w:pPr>
              <w:pStyle w:val="13"/>
              <w:keepNext/>
              <w:spacing w:line="440" w:lineRule="exact"/>
              <w:ind w:left="63" w:right="63"/>
              <w:rPr>
                <w:color w:val="auto"/>
                <w:sz w:val="24"/>
                <w:highlight w:val="none"/>
              </w:rPr>
            </w:pPr>
          </w:p>
        </w:tc>
        <w:tc>
          <w:tcPr>
            <w:tcW w:w="1276" w:type="dxa"/>
            <w:noWrap w:val="0"/>
            <w:vAlign w:val="center"/>
          </w:tcPr>
          <w:p w14:paraId="54842438">
            <w:pPr>
              <w:pStyle w:val="13"/>
              <w:keepNext/>
              <w:spacing w:line="440" w:lineRule="exact"/>
              <w:ind w:left="63" w:right="63"/>
              <w:rPr>
                <w:color w:val="auto"/>
                <w:sz w:val="24"/>
                <w:highlight w:val="none"/>
              </w:rPr>
            </w:pPr>
          </w:p>
        </w:tc>
        <w:tc>
          <w:tcPr>
            <w:tcW w:w="1450" w:type="dxa"/>
            <w:noWrap w:val="0"/>
            <w:vAlign w:val="center"/>
          </w:tcPr>
          <w:p w14:paraId="35702FD6">
            <w:pPr>
              <w:pStyle w:val="13"/>
              <w:keepNext/>
              <w:spacing w:line="440" w:lineRule="exact"/>
              <w:ind w:left="63" w:right="63"/>
              <w:rPr>
                <w:color w:val="auto"/>
                <w:sz w:val="24"/>
                <w:highlight w:val="none"/>
              </w:rPr>
            </w:pPr>
          </w:p>
        </w:tc>
        <w:tc>
          <w:tcPr>
            <w:tcW w:w="1243" w:type="dxa"/>
            <w:noWrap w:val="0"/>
            <w:vAlign w:val="center"/>
          </w:tcPr>
          <w:p w14:paraId="689C1CF4">
            <w:pPr>
              <w:pStyle w:val="13"/>
              <w:keepNext/>
              <w:spacing w:line="440" w:lineRule="exact"/>
              <w:ind w:left="63" w:right="63"/>
              <w:rPr>
                <w:color w:val="auto"/>
                <w:sz w:val="24"/>
                <w:highlight w:val="none"/>
              </w:rPr>
            </w:pPr>
          </w:p>
        </w:tc>
        <w:tc>
          <w:tcPr>
            <w:tcW w:w="1450" w:type="dxa"/>
            <w:noWrap w:val="0"/>
            <w:vAlign w:val="center"/>
          </w:tcPr>
          <w:p w14:paraId="4C6578DF">
            <w:pPr>
              <w:pStyle w:val="13"/>
              <w:keepNext/>
              <w:spacing w:line="440" w:lineRule="exact"/>
              <w:ind w:left="63" w:right="63"/>
              <w:rPr>
                <w:color w:val="auto"/>
                <w:sz w:val="24"/>
                <w:highlight w:val="none"/>
              </w:rPr>
            </w:pPr>
          </w:p>
        </w:tc>
        <w:tc>
          <w:tcPr>
            <w:tcW w:w="1667" w:type="dxa"/>
            <w:noWrap w:val="0"/>
            <w:vAlign w:val="center"/>
          </w:tcPr>
          <w:p w14:paraId="053ACD2B">
            <w:pPr>
              <w:pStyle w:val="13"/>
              <w:keepNext/>
              <w:spacing w:line="440" w:lineRule="exact"/>
              <w:ind w:left="63" w:right="63"/>
              <w:rPr>
                <w:color w:val="auto"/>
                <w:sz w:val="24"/>
                <w:highlight w:val="none"/>
              </w:rPr>
            </w:pPr>
          </w:p>
        </w:tc>
      </w:tr>
      <w:tr w14:paraId="767DD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E57960">
            <w:pPr>
              <w:pStyle w:val="13"/>
              <w:keepNext/>
              <w:spacing w:line="440" w:lineRule="exact"/>
              <w:ind w:left="63" w:right="63"/>
              <w:rPr>
                <w:color w:val="auto"/>
                <w:sz w:val="24"/>
                <w:highlight w:val="none"/>
              </w:rPr>
            </w:pPr>
          </w:p>
        </w:tc>
        <w:tc>
          <w:tcPr>
            <w:tcW w:w="1276" w:type="dxa"/>
            <w:noWrap w:val="0"/>
            <w:vAlign w:val="center"/>
          </w:tcPr>
          <w:p w14:paraId="3BDC31DD">
            <w:pPr>
              <w:pStyle w:val="13"/>
              <w:keepNext/>
              <w:spacing w:line="440" w:lineRule="exact"/>
              <w:ind w:left="63" w:right="63"/>
              <w:rPr>
                <w:color w:val="auto"/>
                <w:sz w:val="24"/>
                <w:highlight w:val="none"/>
              </w:rPr>
            </w:pPr>
          </w:p>
        </w:tc>
        <w:tc>
          <w:tcPr>
            <w:tcW w:w="1450" w:type="dxa"/>
            <w:noWrap w:val="0"/>
            <w:vAlign w:val="center"/>
          </w:tcPr>
          <w:p w14:paraId="3E3ABDF3">
            <w:pPr>
              <w:pStyle w:val="13"/>
              <w:keepNext/>
              <w:spacing w:line="440" w:lineRule="exact"/>
              <w:ind w:left="63" w:right="63"/>
              <w:rPr>
                <w:color w:val="auto"/>
                <w:sz w:val="24"/>
                <w:highlight w:val="none"/>
              </w:rPr>
            </w:pPr>
          </w:p>
        </w:tc>
        <w:tc>
          <w:tcPr>
            <w:tcW w:w="1243" w:type="dxa"/>
            <w:noWrap w:val="0"/>
            <w:vAlign w:val="center"/>
          </w:tcPr>
          <w:p w14:paraId="4FD7DFFF">
            <w:pPr>
              <w:pStyle w:val="13"/>
              <w:keepNext/>
              <w:spacing w:line="440" w:lineRule="exact"/>
              <w:ind w:left="63" w:right="63"/>
              <w:rPr>
                <w:color w:val="auto"/>
                <w:sz w:val="24"/>
                <w:highlight w:val="none"/>
              </w:rPr>
            </w:pPr>
          </w:p>
        </w:tc>
        <w:tc>
          <w:tcPr>
            <w:tcW w:w="1450" w:type="dxa"/>
            <w:noWrap w:val="0"/>
            <w:vAlign w:val="center"/>
          </w:tcPr>
          <w:p w14:paraId="5769355B">
            <w:pPr>
              <w:pStyle w:val="13"/>
              <w:keepNext/>
              <w:spacing w:line="440" w:lineRule="exact"/>
              <w:ind w:left="63" w:right="63"/>
              <w:rPr>
                <w:color w:val="auto"/>
                <w:sz w:val="24"/>
                <w:highlight w:val="none"/>
              </w:rPr>
            </w:pPr>
          </w:p>
        </w:tc>
        <w:tc>
          <w:tcPr>
            <w:tcW w:w="1667" w:type="dxa"/>
            <w:noWrap w:val="0"/>
            <w:vAlign w:val="center"/>
          </w:tcPr>
          <w:p w14:paraId="435FA0FC">
            <w:pPr>
              <w:pStyle w:val="13"/>
              <w:keepNext/>
              <w:spacing w:line="440" w:lineRule="exact"/>
              <w:ind w:left="63" w:right="63"/>
              <w:rPr>
                <w:color w:val="auto"/>
                <w:sz w:val="24"/>
                <w:highlight w:val="none"/>
              </w:rPr>
            </w:pPr>
          </w:p>
        </w:tc>
      </w:tr>
      <w:tr w14:paraId="25E7E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B08EC7">
            <w:pPr>
              <w:pStyle w:val="13"/>
              <w:keepNext/>
              <w:spacing w:line="440" w:lineRule="exact"/>
              <w:ind w:left="63" w:right="63"/>
              <w:rPr>
                <w:color w:val="auto"/>
                <w:sz w:val="24"/>
                <w:highlight w:val="none"/>
              </w:rPr>
            </w:pPr>
          </w:p>
        </w:tc>
        <w:tc>
          <w:tcPr>
            <w:tcW w:w="1276" w:type="dxa"/>
            <w:noWrap w:val="0"/>
            <w:vAlign w:val="center"/>
          </w:tcPr>
          <w:p w14:paraId="07EB4343">
            <w:pPr>
              <w:pStyle w:val="13"/>
              <w:keepNext/>
              <w:spacing w:line="440" w:lineRule="exact"/>
              <w:ind w:left="63" w:right="63"/>
              <w:rPr>
                <w:color w:val="auto"/>
                <w:sz w:val="24"/>
                <w:highlight w:val="none"/>
              </w:rPr>
            </w:pPr>
          </w:p>
        </w:tc>
        <w:tc>
          <w:tcPr>
            <w:tcW w:w="1450" w:type="dxa"/>
            <w:noWrap w:val="0"/>
            <w:vAlign w:val="center"/>
          </w:tcPr>
          <w:p w14:paraId="70B639A8">
            <w:pPr>
              <w:pStyle w:val="13"/>
              <w:keepNext/>
              <w:spacing w:line="440" w:lineRule="exact"/>
              <w:ind w:left="63" w:right="63"/>
              <w:rPr>
                <w:color w:val="auto"/>
                <w:sz w:val="24"/>
                <w:highlight w:val="none"/>
              </w:rPr>
            </w:pPr>
          </w:p>
        </w:tc>
        <w:tc>
          <w:tcPr>
            <w:tcW w:w="1243" w:type="dxa"/>
            <w:noWrap w:val="0"/>
            <w:vAlign w:val="center"/>
          </w:tcPr>
          <w:p w14:paraId="38EF4238">
            <w:pPr>
              <w:pStyle w:val="13"/>
              <w:keepNext/>
              <w:spacing w:line="440" w:lineRule="exact"/>
              <w:ind w:left="63" w:right="63"/>
              <w:rPr>
                <w:color w:val="auto"/>
                <w:sz w:val="24"/>
                <w:highlight w:val="none"/>
              </w:rPr>
            </w:pPr>
          </w:p>
        </w:tc>
        <w:tc>
          <w:tcPr>
            <w:tcW w:w="1450" w:type="dxa"/>
            <w:noWrap w:val="0"/>
            <w:vAlign w:val="center"/>
          </w:tcPr>
          <w:p w14:paraId="3C97CB21">
            <w:pPr>
              <w:pStyle w:val="13"/>
              <w:keepNext/>
              <w:spacing w:line="440" w:lineRule="exact"/>
              <w:ind w:left="63" w:right="63"/>
              <w:rPr>
                <w:color w:val="auto"/>
                <w:sz w:val="24"/>
                <w:highlight w:val="none"/>
              </w:rPr>
            </w:pPr>
          </w:p>
        </w:tc>
        <w:tc>
          <w:tcPr>
            <w:tcW w:w="1667" w:type="dxa"/>
            <w:noWrap w:val="0"/>
            <w:vAlign w:val="center"/>
          </w:tcPr>
          <w:p w14:paraId="63636165">
            <w:pPr>
              <w:pStyle w:val="13"/>
              <w:keepNext/>
              <w:spacing w:line="440" w:lineRule="exact"/>
              <w:ind w:left="63" w:right="63"/>
              <w:rPr>
                <w:color w:val="auto"/>
                <w:sz w:val="24"/>
                <w:highlight w:val="none"/>
              </w:rPr>
            </w:pPr>
          </w:p>
        </w:tc>
      </w:tr>
      <w:tr w14:paraId="4B953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4C08F9C">
            <w:pPr>
              <w:pStyle w:val="13"/>
              <w:keepNext/>
              <w:spacing w:line="440" w:lineRule="exact"/>
              <w:ind w:left="63" w:right="63"/>
              <w:rPr>
                <w:color w:val="auto"/>
                <w:sz w:val="24"/>
                <w:highlight w:val="none"/>
              </w:rPr>
            </w:pPr>
          </w:p>
        </w:tc>
        <w:tc>
          <w:tcPr>
            <w:tcW w:w="1276" w:type="dxa"/>
            <w:noWrap w:val="0"/>
            <w:vAlign w:val="center"/>
          </w:tcPr>
          <w:p w14:paraId="63A3D691">
            <w:pPr>
              <w:pStyle w:val="13"/>
              <w:keepNext/>
              <w:spacing w:line="440" w:lineRule="exact"/>
              <w:ind w:left="63" w:right="63"/>
              <w:rPr>
                <w:color w:val="auto"/>
                <w:sz w:val="24"/>
                <w:highlight w:val="none"/>
              </w:rPr>
            </w:pPr>
          </w:p>
        </w:tc>
        <w:tc>
          <w:tcPr>
            <w:tcW w:w="1450" w:type="dxa"/>
            <w:noWrap w:val="0"/>
            <w:vAlign w:val="center"/>
          </w:tcPr>
          <w:p w14:paraId="052359B7">
            <w:pPr>
              <w:pStyle w:val="13"/>
              <w:keepNext/>
              <w:spacing w:line="440" w:lineRule="exact"/>
              <w:ind w:left="63" w:right="63"/>
              <w:rPr>
                <w:color w:val="auto"/>
                <w:sz w:val="24"/>
                <w:highlight w:val="none"/>
              </w:rPr>
            </w:pPr>
          </w:p>
        </w:tc>
        <w:tc>
          <w:tcPr>
            <w:tcW w:w="1243" w:type="dxa"/>
            <w:noWrap w:val="0"/>
            <w:vAlign w:val="center"/>
          </w:tcPr>
          <w:p w14:paraId="232FB3DB">
            <w:pPr>
              <w:pStyle w:val="13"/>
              <w:keepNext/>
              <w:spacing w:line="440" w:lineRule="exact"/>
              <w:ind w:left="63" w:right="63"/>
              <w:rPr>
                <w:color w:val="auto"/>
                <w:sz w:val="24"/>
                <w:highlight w:val="none"/>
              </w:rPr>
            </w:pPr>
          </w:p>
        </w:tc>
        <w:tc>
          <w:tcPr>
            <w:tcW w:w="1450" w:type="dxa"/>
            <w:noWrap w:val="0"/>
            <w:vAlign w:val="center"/>
          </w:tcPr>
          <w:p w14:paraId="58348ED4">
            <w:pPr>
              <w:pStyle w:val="13"/>
              <w:keepNext/>
              <w:spacing w:line="440" w:lineRule="exact"/>
              <w:ind w:left="63" w:right="63"/>
              <w:rPr>
                <w:color w:val="auto"/>
                <w:sz w:val="24"/>
                <w:highlight w:val="none"/>
              </w:rPr>
            </w:pPr>
          </w:p>
        </w:tc>
        <w:tc>
          <w:tcPr>
            <w:tcW w:w="1667" w:type="dxa"/>
            <w:noWrap w:val="0"/>
            <w:vAlign w:val="center"/>
          </w:tcPr>
          <w:p w14:paraId="094E087D">
            <w:pPr>
              <w:pStyle w:val="13"/>
              <w:keepNext/>
              <w:spacing w:line="440" w:lineRule="exact"/>
              <w:ind w:left="63" w:right="63"/>
              <w:rPr>
                <w:color w:val="auto"/>
                <w:sz w:val="24"/>
                <w:highlight w:val="none"/>
              </w:rPr>
            </w:pPr>
          </w:p>
        </w:tc>
      </w:tr>
      <w:tr w14:paraId="0B4D3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082E4C">
            <w:pPr>
              <w:pStyle w:val="13"/>
              <w:keepNext/>
              <w:spacing w:line="440" w:lineRule="exact"/>
              <w:ind w:left="63" w:right="63"/>
              <w:rPr>
                <w:color w:val="auto"/>
                <w:sz w:val="24"/>
                <w:highlight w:val="none"/>
              </w:rPr>
            </w:pPr>
          </w:p>
        </w:tc>
        <w:tc>
          <w:tcPr>
            <w:tcW w:w="1276" w:type="dxa"/>
            <w:noWrap w:val="0"/>
            <w:vAlign w:val="center"/>
          </w:tcPr>
          <w:p w14:paraId="3149525C">
            <w:pPr>
              <w:pStyle w:val="13"/>
              <w:keepNext/>
              <w:spacing w:line="440" w:lineRule="exact"/>
              <w:ind w:left="63" w:right="63"/>
              <w:rPr>
                <w:color w:val="auto"/>
                <w:sz w:val="24"/>
                <w:highlight w:val="none"/>
              </w:rPr>
            </w:pPr>
          </w:p>
        </w:tc>
        <w:tc>
          <w:tcPr>
            <w:tcW w:w="1450" w:type="dxa"/>
            <w:noWrap w:val="0"/>
            <w:vAlign w:val="center"/>
          </w:tcPr>
          <w:p w14:paraId="2C735F44">
            <w:pPr>
              <w:pStyle w:val="13"/>
              <w:keepNext/>
              <w:spacing w:line="440" w:lineRule="exact"/>
              <w:ind w:left="63" w:right="63"/>
              <w:rPr>
                <w:color w:val="auto"/>
                <w:sz w:val="24"/>
                <w:highlight w:val="none"/>
              </w:rPr>
            </w:pPr>
          </w:p>
        </w:tc>
        <w:tc>
          <w:tcPr>
            <w:tcW w:w="1243" w:type="dxa"/>
            <w:noWrap w:val="0"/>
            <w:vAlign w:val="center"/>
          </w:tcPr>
          <w:p w14:paraId="2FDB507A">
            <w:pPr>
              <w:pStyle w:val="13"/>
              <w:keepNext/>
              <w:spacing w:line="440" w:lineRule="exact"/>
              <w:ind w:left="63" w:right="63"/>
              <w:rPr>
                <w:color w:val="auto"/>
                <w:sz w:val="24"/>
                <w:highlight w:val="none"/>
              </w:rPr>
            </w:pPr>
          </w:p>
        </w:tc>
        <w:tc>
          <w:tcPr>
            <w:tcW w:w="1450" w:type="dxa"/>
            <w:noWrap w:val="0"/>
            <w:vAlign w:val="center"/>
          </w:tcPr>
          <w:p w14:paraId="4906E65D">
            <w:pPr>
              <w:pStyle w:val="13"/>
              <w:keepNext/>
              <w:spacing w:line="440" w:lineRule="exact"/>
              <w:ind w:left="63" w:right="63"/>
              <w:rPr>
                <w:color w:val="auto"/>
                <w:sz w:val="24"/>
                <w:highlight w:val="none"/>
              </w:rPr>
            </w:pPr>
          </w:p>
        </w:tc>
        <w:tc>
          <w:tcPr>
            <w:tcW w:w="1667" w:type="dxa"/>
            <w:noWrap w:val="0"/>
            <w:vAlign w:val="center"/>
          </w:tcPr>
          <w:p w14:paraId="26820842">
            <w:pPr>
              <w:pStyle w:val="13"/>
              <w:keepNext/>
              <w:spacing w:line="440" w:lineRule="exact"/>
              <w:ind w:left="63" w:right="63"/>
              <w:rPr>
                <w:color w:val="auto"/>
                <w:sz w:val="24"/>
                <w:highlight w:val="none"/>
              </w:rPr>
            </w:pPr>
          </w:p>
        </w:tc>
      </w:tr>
      <w:tr w14:paraId="78B27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F427B3">
            <w:pPr>
              <w:pStyle w:val="13"/>
              <w:keepNext/>
              <w:spacing w:line="440" w:lineRule="exact"/>
              <w:ind w:left="63" w:right="63"/>
              <w:rPr>
                <w:color w:val="auto"/>
                <w:sz w:val="24"/>
                <w:highlight w:val="none"/>
              </w:rPr>
            </w:pPr>
          </w:p>
        </w:tc>
        <w:tc>
          <w:tcPr>
            <w:tcW w:w="1276" w:type="dxa"/>
            <w:noWrap w:val="0"/>
            <w:vAlign w:val="center"/>
          </w:tcPr>
          <w:p w14:paraId="7BAAE3A8">
            <w:pPr>
              <w:pStyle w:val="13"/>
              <w:keepNext/>
              <w:spacing w:line="440" w:lineRule="exact"/>
              <w:ind w:left="63" w:right="63"/>
              <w:rPr>
                <w:color w:val="auto"/>
                <w:sz w:val="24"/>
                <w:highlight w:val="none"/>
              </w:rPr>
            </w:pPr>
          </w:p>
        </w:tc>
        <w:tc>
          <w:tcPr>
            <w:tcW w:w="1450" w:type="dxa"/>
            <w:noWrap w:val="0"/>
            <w:vAlign w:val="center"/>
          </w:tcPr>
          <w:p w14:paraId="46749D07">
            <w:pPr>
              <w:pStyle w:val="13"/>
              <w:keepNext/>
              <w:spacing w:line="440" w:lineRule="exact"/>
              <w:ind w:left="63" w:right="63"/>
              <w:rPr>
                <w:color w:val="auto"/>
                <w:sz w:val="24"/>
                <w:highlight w:val="none"/>
              </w:rPr>
            </w:pPr>
          </w:p>
        </w:tc>
        <w:tc>
          <w:tcPr>
            <w:tcW w:w="1243" w:type="dxa"/>
            <w:noWrap w:val="0"/>
            <w:vAlign w:val="center"/>
          </w:tcPr>
          <w:p w14:paraId="32B78707">
            <w:pPr>
              <w:pStyle w:val="13"/>
              <w:keepNext/>
              <w:spacing w:line="440" w:lineRule="exact"/>
              <w:ind w:left="63" w:right="63"/>
              <w:rPr>
                <w:color w:val="auto"/>
                <w:sz w:val="24"/>
                <w:highlight w:val="none"/>
              </w:rPr>
            </w:pPr>
          </w:p>
        </w:tc>
        <w:tc>
          <w:tcPr>
            <w:tcW w:w="1450" w:type="dxa"/>
            <w:noWrap w:val="0"/>
            <w:vAlign w:val="center"/>
          </w:tcPr>
          <w:p w14:paraId="0D391E9D">
            <w:pPr>
              <w:pStyle w:val="13"/>
              <w:keepNext/>
              <w:spacing w:line="440" w:lineRule="exact"/>
              <w:ind w:left="63" w:right="63"/>
              <w:rPr>
                <w:color w:val="auto"/>
                <w:sz w:val="24"/>
                <w:highlight w:val="none"/>
              </w:rPr>
            </w:pPr>
          </w:p>
        </w:tc>
        <w:tc>
          <w:tcPr>
            <w:tcW w:w="1667" w:type="dxa"/>
            <w:noWrap w:val="0"/>
            <w:vAlign w:val="center"/>
          </w:tcPr>
          <w:p w14:paraId="61B4B64A">
            <w:pPr>
              <w:pStyle w:val="13"/>
              <w:keepNext/>
              <w:spacing w:line="440" w:lineRule="exact"/>
              <w:ind w:left="63" w:right="63"/>
              <w:rPr>
                <w:color w:val="auto"/>
                <w:sz w:val="24"/>
                <w:highlight w:val="none"/>
              </w:rPr>
            </w:pPr>
          </w:p>
        </w:tc>
      </w:tr>
      <w:tr w14:paraId="2B50B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8981B1">
            <w:pPr>
              <w:pStyle w:val="13"/>
              <w:keepNext/>
              <w:spacing w:line="440" w:lineRule="exact"/>
              <w:ind w:left="63" w:right="63"/>
              <w:rPr>
                <w:color w:val="auto"/>
                <w:sz w:val="24"/>
                <w:highlight w:val="none"/>
              </w:rPr>
            </w:pPr>
          </w:p>
        </w:tc>
        <w:tc>
          <w:tcPr>
            <w:tcW w:w="1276" w:type="dxa"/>
            <w:noWrap w:val="0"/>
            <w:vAlign w:val="center"/>
          </w:tcPr>
          <w:p w14:paraId="7BFD2A0D">
            <w:pPr>
              <w:pStyle w:val="13"/>
              <w:keepNext/>
              <w:spacing w:line="440" w:lineRule="exact"/>
              <w:ind w:left="63" w:right="63"/>
              <w:rPr>
                <w:color w:val="auto"/>
                <w:sz w:val="24"/>
                <w:highlight w:val="none"/>
              </w:rPr>
            </w:pPr>
          </w:p>
        </w:tc>
        <w:tc>
          <w:tcPr>
            <w:tcW w:w="1450" w:type="dxa"/>
            <w:noWrap w:val="0"/>
            <w:vAlign w:val="center"/>
          </w:tcPr>
          <w:p w14:paraId="45839749">
            <w:pPr>
              <w:pStyle w:val="13"/>
              <w:keepNext/>
              <w:spacing w:line="440" w:lineRule="exact"/>
              <w:ind w:left="63" w:right="63"/>
              <w:rPr>
                <w:color w:val="auto"/>
                <w:sz w:val="24"/>
                <w:highlight w:val="none"/>
              </w:rPr>
            </w:pPr>
          </w:p>
        </w:tc>
        <w:tc>
          <w:tcPr>
            <w:tcW w:w="1243" w:type="dxa"/>
            <w:noWrap w:val="0"/>
            <w:vAlign w:val="center"/>
          </w:tcPr>
          <w:p w14:paraId="3D48D04B">
            <w:pPr>
              <w:pStyle w:val="13"/>
              <w:keepNext/>
              <w:spacing w:line="440" w:lineRule="exact"/>
              <w:ind w:left="63" w:right="63"/>
              <w:rPr>
                <w:color w:val="auto"/>
                <w:sz w:val="24"/>
                <w:highlight w:val="none"/>
              </w:rPr>
            </w:pPr>
          </w:p>
        </w:tc>
        <w:tc>
          <w:tcPr>
            <w:tcW w:w="1450" w:type="dxa"/>
            <w:noWrap w:val="0"/>
            <w:vAlign w:val="center"/>
          </w:tcPr>
          <w:p w14:paraId="46224609">
            <w:pPr>
              <w:pStyle w:val="13"/>
              <w:keepNext/>
              <w:spacing w:line="440" w:lineRule="exact"/>
              <w:ind w:left="63" w:right="63"/>
              <w:rPr>
                <w:color w:val="auto"/>
                <w:sz w:val="24"/>
                <w:highlight w:val="none"/>
              </w:rPr>
            </w:pPr>
          </w:p>
        </w:tc>
        <w:tc>
          <w:tcPr>
            <w:tcW w:w="1667" w:type="dxa"/>
            <w:noWrap w:val="0"/>
            <w:vAlign w:val="center"/>
          </w:tcPr>
          <w:p w14:paraId="6E5F6DC1">
            <w:pPr>
              <w:pStyle w:val="13"/>
              <w:keepNext/>
              <w:spacing w:line="440" w:lineRule="exact"/>
              <w:ind w:left="63" w:right="63"/>
              <w:rPr>
                <w:color w:val="auto"/>
                <w:sz w:val="24"/>
                <w:highlight w:val="none"/>
              </w:rPr>
            </w:pPr>
          </w:p>
        </w:tc>
      </w:tr>
      <w:tr w14:paraId="7251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FD6CA6">
            <w:pPr>
              <w:pStyle w:val="13"/>
              <w:keepNext/>
              <w:spacing w:line="440" w:lineRule="exact"/>
              <w:ind w:left="63" w:right="63"/>
              <w:rPr>
                <w:color w:val="auto"/>
                <w:sz w:val="24"/>
                <w:highlight w:val="none"/>
              </w:rPr>
            </w:pPr>
          </w:p>
        </w:tc>
        <w:tc>
          <w:tcPr>
            <w:tcW w:w="1276" w:type="dxa"/>
            <w:noWrap w:val="0"/>
            <w:vAlign w:val="center"/>
          </w:tcPr>
          <w:p w14:paraId="0C64AD60">
            <w:pPr>
              <w:pStyle w:val="13"/>
              <w:keepNext/>
              <w:spacing w:line="440" w:lineRule="exact"/>
              <w:ind w:left="63" w:right="63"/>
              <w:rPr>
                <w:color w:val="auto"/>
                <w:sz w:val="24"/>
                <w:highlight w:val="none"/>
              </w:rPr>
            </w:pPr>
          </w:p>
        </w:tc>
        <w:tc>
          <w:tcPr>
            <w:tcW w:w="1450" w:type="dxa"/>
            <w:noWrap w:val="0"/>
            <w:vAlign w:val="center"/>
          </w:tcPr>
          <w:p w14:paraId="1E12AF6F">
            <w:pPr>
              <w:pStyle w:val="13"/>
              <w:keepNext/>
              <w:spacing w:line="440" w:lineRule="exact"/>
              <w:ind w:left="63" w:right="63"/>
              <w:rPr>
                <w:color w:val="auto"/>
                <w:sz w:val="24"/>
                <w:highlight w:val="none"/>
              </w:rPr>
            </w:pPr>
          </w:p>
        </w:tc>
        <w:tc>
          <w:tcPr>
            <w:tcW w:w="1243" w:type="dxa"/>
            <w:noWrap w:val="0"/>
            <w:vAlign w:val="center"/>
          </w:tcPr>
          <w:p w14:paraId="4F520443">
            <w:pPr>
              <w:pStyle w:val="13"/>
              <w:keepNext/>
              <w:spacing w:line="440" w:lineRule="exact"/>
              <w:ind w:left="63" w:right="63"/>
              <w:rPr>
                <w:color w:val="auto"/>
                <w:sz w:val="24"/>
                <w:highlight w:val="none"/>
              </w:rPr>
            </w:pPr>
          </w:p>
        </w:tc>
        <w:tc>
          <w:tcPr>
            <w:tcW w:w="1450" w:type="dxa"/>
            <w:noWrap w:val="0"/>
            <w:vAlign w:val="center"/>
          </w:tcPr>
          <w:p w14:paraId="447905DC">
            <w:pPr>
              <w:pStyle w:val="13"/>
              <w:keepNext/>
              <w:spacing w:line="440" w:lineRule="exact"/>
              <w:ind w:left="63" w:right="63"/>
              <w:rPr>
                <w:color w:val="auto"/>
                <w:sz w:val="24"/>
                <w:highlight w:val="none"/>
              </w:rPr>
            </w:pPr>
          </w:p>
        </w:tc>
        <w:tc>
          <w:tcPr>
            <w:tcW w:w="1667" w:type="dxa"/>
            <w:noWrap w:val="0"/>
            <w:vAlign w:val="center"/>
          </w:tcPr>
          <w:p w14:paraId="0175040A">
            <w:pPr>
              <w:pStyle w:val="13"/>
              <w:keepNext/>
              <w:spacing w:line="440" w:lineRule="exact"/>
              <w:ind w:left="63" w:right="63"/>
              <w:rPr>
                <w:color w:val="auto"/>
                <w:sz w:val="24"/>
                <w:highlight w:val="none"/>
              </w:rPr>
            </w:pPr>
          </w:p>
        </w:tc>
      </w:tr>
      <w:tr w14:paraId="37F07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1D81D9">
            <w:pPr>
              <w:pStyle w:val="13"/>
              <w:keepNext/>
              <w:spacing w:line="440" w:lineRule="exact"/>
              <w:ind w:left="63" w:right="63"/>
              <w:rPr>
                <w:color w:val="auto"/>
                <w:sz w:val="24"/>
                <w:highlight w:val="none"/>
              </w:rPr>
            </w:pPr>
          </w:p>
        </w:tc>
        <w:tc>
          <w:tcPr>
            <w:tcW w:w="1276" w:type="dxa"/>
            <w:noWrap w:val="0"/>
            <w:vAlign w:val="center"/>
          </w:tcPr>
          <w:p w14:paraId="5310C5B5">
            <w:pPr>
              <w:pStyle w:val="13"/>
              <w:keepNext/>
              <w:spacing w:line="440" w:lineRule="exact"/>
              <w:ind w:left="63" w:right="63"/>
              <w:rPr>
                <w:color w:val="auto"/>
                <w:sz w:val="24"/>
                <w:highlight w:val="none"/>
              </w:rPr>
            </w:pPr>
          </w:p>
        </w:tc>
        <w:tc>
          <w:tcPr>
            <w:tcW w:w="1450" w:type="dxa"/>
            <w:noWrap w:val="0"/>
            <w:vAlign w:val="center"/>
          </w:tcPr>
          <w:p w14:paraId="10E588B1">
            <w:pPr>
              <w:pStyle w:val="13"/>
              <w:keepNext/>
              <w:spacing w:line="440" w:lineRule="exact"/>
              <w:ind w:left="63" w:right="63"/>
              <w:rPr>
                <w:color w:val="auto"/>
                <w:sz w:val="24"/>
                <w:highlight w:val="none"/>
              </w:rPr>
            </w:pPr>
          </w:p>
        </w:tc>
        <w:tc>
          <w:tcPr>
            <w:tcW w:w="1243" w:type="dxa"/>
            <w:noWrap w:val="0"/>
            <w:vAlign w:val="center"/>
          </w:tcPr>
          <w:p w14:paraId="645B1E7B">
            <w:pPr>
              <w:pStyle w:val="13"/>
              <w:keepNext/>
              <w:spacing w:line="440" w:lineRule="exact"/>
              <w:ind w:left="63" w:right="63"/>
              <w:rPr>
                <w:color w:val="auto"/>
                <w:sz w:val="24"/>
                <w:highlight w:val="none"/>
              </w:rPr>
            </w:pPr>
          </w:p>
        </w:tc>
        <w:tc>
          <w:tcPr>
            <w:tcW w:w="1450" w:type="dxa"/>
            <w:noWrap w:val="0"/>
            <w:vAlign w:val="center"/>
          </w:tcPr>
          <w:p w14:paraId="152A9BCB">
            <w:pPr>
              <w:pStyle w:val="13"/>
              <w:keepNext/>
              <w:spacing w:line="440" w:lineRule="exact"/>
              <w:ind w:left="63" w:right="63"/>
              <w:rPr>
                <w:color w:val="auto"/>
                <w:sz w:val="24"/>
                <w:highlight w:val="none"/>
              </w:rPr>
            </w:pPr>
          </w:p>
        </w:tc>
        <w:tc>
          <w:tcPr>
            <w:tcW w:w="1667" w:type="dxa"/>
            <w:noWrap w:val="0"/>
            <w:vAlign w:val="center"/>
          </w:tcPr>
          <w:p w14:paraId="25213D0C">
            <w:pPr>
              <w:pStyle w:val="13"/>
              <w:keepNext/>
              <w:spacing w:line="440" w:lineRule="exact"/>
              <w:ind w:left="63" w:right="63"/>
              <w:rPr>
                <w:color w:val="auto"/>
                <w:sz w:val="24"/>
                <w:highlight w:val="none"/>
              </w:rPr>
            </w:pPr>
          </w:p>
        </w:tc>
      </w:tr>
    </w:tbl>
    <w:p w14:paraId="57A18934">
      <w:pPr>
        <w:spacing w:line="440" w:lineRule="exact"/>
        <w:rPr>
          <w:rFonts w:hint="eastAsia" w:ascii="宋体" w:hAnsi="宋体"/>
          <w:b/>
          <w:color w:val="auto"/>
          <w:sz w:val="28"/>
          <w:szCs w:val="28"/>
          <w:highlight w:val="none"/>
        </w:rPr>
      </w:pPr>
    </w:p>
    <w:p w14:paraId="567FC57D">
      <w:pPr>
        <w:rPr>
          <w:rFonts w:ascii="宋体" w:hAnsi="宋体"/>
          <w:b/>
          <w:color w:val="auto"/>
          <w:sz w:val="28"/>
          <w:szCs w:val="28"/>
          <w:highlight w:val="none"/>
        </w:rPr>
      </w:pPr>
      <w:r>
        <w:rPr>
          <w:rFonts w:ascii="宋体" w:hAnsi="宋体"/>
          <w:b/>
          <w:color w:val="auto"/>
          <w:sz w:val="28"/>
          <w:szCs w:val="28"/>
          <w:highlight w:val="none"/>
        </w:rPr>
        <w:br w:type="page"/>
      </w:r>
    </w:p>
    <w:p w14:paraId="3F94D484">
      <w:pPr>
        <w:spacing w:line="440" w:lineRule="exact"/>
        <w:ind w:left="-485" w:leftChars="-202"/>
        <w:rPr>
          <w:rFonts w:ascii="宋体" w:hAnsi="宋体"/>
          <w:b/>
          <w:color w:val="auto"/>
          <w:sz w:val="28"/>
          <w:szCs w:val="28"/>
          <w:highlight w:val="none"/>
        </w:rPr>
      </w:pPr>
      <w:r>
        <w:rPr>
          <w:rFonts w:ascii="宋体" w:hAnsi="宋体"/>
          <w:b/>
          <w:color w:val="auto"/>
          <w:sz w:val="28"/>
          <w:szCs w:val="28"/>
          <w:highlight w:val="none"/>
        </w:rPr>
        <w:t>附件5：</w:t>
      </w:r>
    </w:p>
    <w:p w14:paraId="291AB19C">
      <w:pPr>
        <w:spacing w:before="120" w:beforeLines="50" w:after="120" w:afterLines="50" w:line="440" w:lineRule="exact"/>
        <w:jc w:val="center"/>
        <w:rPr>
          <w:rFonts w:ascii="宋体" w:hAnsi="宋体"/>
          <w:b/>
          <w:color w:val="auto"/>
          <w:sz w:val="28"/>
          <w:szCs w:val="28"/>
          <w:highlight w:val="none"/>
        </w:rPr>
      </w:pPr>
      <w:r>
        <w:rPr>
          <w:rFonts w:ascii="宋体" w:hAnsi="宋体"/>
          <w:b/>
          <w:color w:val="auto"/>
          <w:sz w:val="28"/>
          <w:szCs w:val="28"/>
          <w:highlight w:val="none"/>
        </w:rPr>
        <w:t>承包人用于本工程施工的机械设备表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BB81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289CF076">
            <w:pPr>
              <w:pStyle w:val="13"/>
              <w:keepNext/>
              <w:spacing w:line="440" w:lineRule="exact"/>
              <w:ind w:left="63" w:right="63"/>
              <w:rPr>
                <w:color w:val="auto"/>
                <w:sz w:val="21"/>
                <w:szCs w:val="21"/>
                <w:highlight w:val="none"/>
              </w:rPr>
            </w:pPr>
            <w:r>
              <w:rPr>
                <w:color w:val="auto"/>
                <w:sz w:val="21"/>
                <w:szCs w:val="21"/>
                <w:highlight w:val="none"/>
              </w:rPr>
              <w:t>序号</w:t>
            </w:r>
          </w:p>
        </w:tc>
        <w:tc>
          <w:tcPr>
            <w:tcW w:w="1418" w:type="dxa"/>
            <w:tcBorders>
              <w:top w:val="single" w:color="auto" w:sz="12" w:space="0"/>
              <w:bottom w:val="double" w:color="auto" w:sz="6" w:space="0"/>
            </w:tcBorders>
            <w:noWrap w:val="0"/>
            <w:vAlign w:val="center"/>
          </w:tcPr>
          <w:p w14:paraId="484C5A5A">
            <w:pPr>
              <w:pStyle w:val="13"/>
              <w:keepNext/>
              <w:spacing w:line="440" w:lineRule="exact"/>
              <w:ind w:left="63" w:right="63"/>
              <w:jc w:val="center"/>
              <w:rPr>
                <w:color w:val="auto"/>
                <w:sz w:val="21"/>
                <w:szCs w:val="21"/>
                <w:highlight w:val="none"/>
              </w:rPr>
            </w:pPr>
            <w:r>
              <w:rPr>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14:paraId="5C84B0CA">
            <w:pPr>
              <w:pStyle w:val="13"/>
              <w:keepNext/>
              <w:spacing w:line="440" w:lineRule="exact"/>
              <w:ind w:left="63" w:right="63"/>
              <w:rPr>
                <w:color w:val="auto"/>
                <w:sz w:val="21"/>
                <w:szCs w:val="21"/>
                <w:highlight w:val="none"/>
              </w:rPr>
            </w:pPr>
            <w:r>
              <w:rPr>
                <w:color w:val="auto"/>
                <w:sz w:val="21"/>
                <w:szCs w:val="21"/>
                <w:highlight w:val="none"/>
              </w:rPr>
              <w:t>规格</w:t>
            </w:r>
          </w:p>
          <w:p w14:paraId="7694E3F6">
            <w:pPr>
              <w:pStyle w:val="13"/>
              <w:keepNext/>
              <w:spacing w:line="440" w:lineRule="exact"/>
              <w:ind w:left="63" w:right="63"/>
              <w:rPr>
                <w:color w:val="auto"/>
                <w:sz w:val="21"/>
                <w:szCs w:val="21"/>
                <w:highlight w:val="none"/>
              </w:rPr>
            </w:pPr>
            <w:r>
              <w:rPr>
                <w:color w:val="auto"/>
                <w:sz w:val="21"/>
                <w:szCs w:val="21"/>
                <w:highlight w:val="none"/>
              </w:rPr>
              <w:t>型号</w:t>
            </w:r>
          </w:p>
        </w:tc>
        <w:tc>
          <w:tcPr>
            <w:tcW w:w="1058" w:type="dxa"/>
            <w:tcBorders>
              <w:top w:val="single" w:color="auto" w:sz="12" w:space="0"/>
              <w:bottom w:val="double" w:color="auto" w:sz="6" w:space="0"/>
            </w:tcBorders>
            <w:noWrap w:val="0"/>
            <w:vAlign w:val="center"/>
          </w:tcPr>
          <w:p w14:paraId="61C9D5EC">
            <w:pPr>
              <w:pStyle w:val="13"/>
              <w:keepNext/>
              <w:spacing w:line="440" w:lineRule="exact"/>
              <w:ind w:left="63" w:right="63"/>
              <w:rPr>
                <w:color w:val="auto"/>
                <w:sz w:val="21"/>
                <w:szCs w:val="21"/>
                <w:highlight w:val="none"/>
              </w:rPr>
            </w:pPr>
            <w:r>
              <w:rPr>
                <w:color w:val="auto"/>
                <w:sz w:val="21"/>
                <w:szCs w:val="21"/>
                <w:highlight w:val="none"/>
              </w:rPr>
              <w:t>数量</w:t>
            </w:r>
          </w:p>
        </w:tc>
        <w:tc>
          <w:tcPr>
            <w:tcW w:w="880" w:type="dxa"/>
            <w:tcBorders>
              <w:top w:val="single" w:color="auto" w:sz="12" w:space="0"/>
              <w:bottom w:val="double" w:color="auto" w:sz="6" w:space="0"/>
            </w:tcBorders>
            <w:noWrap w:val="0"/>
            <w:vAlign w:val="center"/>
          </w:tcPr>
          <w:p w14:paraId="6B74332D">
            <w:pPr>
              <w:pStyle w:val="13"/>
              <w:keepNext/>
              <w:spacing w:line="440" w:lineRule="exact"/>
              <w:ind w:left="63" w:right="63"/>
              <w:rPr>
                <w:color w:val="auto"/>
                <w:sz w:val="21"/>
                <w:szCs w:val="21"/>
                <w:highlight w:val="none"/>
              </w:rPr>
            </w:pPr>
            <w:r>
              <w:rPr>
                <w:color w:val="auto"/>
                <w:sz w:val="21"/>
                <w:szCs w:val="21"/>
                <w:highlight w:val="none"/>
              </w:rPr>
              <w:t>产地</w:t>
            </w:r>
          </w:p>
        </w:tc>
        <w:tc>
          <w:tcPr>
            <w:tcW w:w="1020" w:type="dxa"/>
            <w:tcBorders>
              <w:top w:val="single" w:color="auto" w:sz="12" w:space="0"/>
              <w:bottom w:val="double" w:color="auto" w:sz="6" w:space="0"/>
            </w:tcBorders>
            <w:noWrap w:val="0"/>
            <w:vAlign w:val="center"/>
          </w:tcPr>
          <w:p w14:paraId="4A4880F2">
            <w:pPr>
              <w:pStyle w:val="13"/>
              <w:keepNext/>
              <w:spacing w:line="440" w:lineRule="exact"/>
              <w:ind w:left="63" w:right="63"/>
              <w:rPr>
                <w:color w:val="auto"/>
                <w:sz w:val="21"/>
                <w:szCs w:val="21"/>
                <w:highlight w:val="none"/>
              </w:rPr>
            </w:pPr>
            <w:r>
              <w:rPr>
                <w:color w:val="auto"/>
                <w:sz w:val="21"/>
                <w:szCs w:val="21"/>
                <w:highlight w:val="none"/>
              </w:rPr>
              <w:t>制造</w:t>
            </w:r>
          </w:p>
          <w:p w14:paraId="050F85FA">
            <w:pPr>
              <w:pStyle w:val="13"/>
              <w:keepNext/>
              <w:spacing w:line="440" w:lineRule="exact"/>
              <w:ind w:left="63" w:right="63"/>
              <w:rPr>
                <w:color w:val="auto"/>
                <w:sz w:val="21"/>
                <w:szCs w:val="21"/>
                <w:highlight w:val="none"/>
              </w:rPr>
            </w:pPr>
            <w:r>
              <w:rPr>
                <w:color w:val="auto"/>
                <w:sz w:val="21"/>
                <w:szCs w:val="21"/>
                <w:highlight w:val="none"/>
              </w:rPr>
              <w:t>年份</w:t>
            </w:r>
          </w:p>
        </w:tc>
        <w:tc>
          <w:tcPr>
            <w:tcW w:w="1480" w:type="dxa"/>
            <w:tcBorders>
              <w:top w:val="single" w:color="auto" w:sz="12" w:space="0"/>
              <w:bottom w:val="double" w:color="auto" w:sz="6" w:space="0"/>
            </w:tcBorders>
            <w:noWrap w:val="0"/>
            <w:vAlign w:val="center"/>
          </w:tcPr>
          <w:p w14:paraId="079B4E01">
            <w:pPr>
              <w:pStyle w:val="13"/>
              <w:keepNext/>
              <w:spacing w:line="440" w:lineRule="exact"/>
              <w:ind w:left="63" w:right="63"/>
              <w:rPr>
                <w:color w:val="auto"/>
                <w:sz w:val="21"/>
                <w:szCs w:val="21"/>
                <w:highlight w:val="none"/>
              </w:rPr>
            </w:pPr>
            <w:r>
              <w:rPr>
                <w:color w:val="auto"/>
                <w:sz w:val="21"/>
                <w:szCs w:val="21"/>
                <w:highlight w:val="none"/>
              </w:rPr>
              <w:t>额定功率(kW)</w:t>
            </w:r>
          </w:p>
        </w:tc>
        <w:tc>
          <w:tcPr>
            <w:tcW w:w="1020" w:type="dxa"/>
            <w:tcBorders>
              <w:top w:val="single" w:color="auto" w:sz="12" w:space="0"/>
              <w:bottom w:val="double" w:color="auto" w:sz="6" w:space="0"/>
            </w:tcBorders>
            <w:noWrap w:val="0"/>
            <w:vAlign w:val="center"/>
          </w:tcPr>
          <w:p w14:paraId="600EED6C">
            <w:pPr>
              <w:pStyle w:val="13"/>
              <w:keepNext/>
              <w:spacing w:line="440" w:lineRule="exact"/>
              <w:ind w:left="63" w:right="63"/>
              <w:rPr>
                <w:color w:val="auto"/>
                <w:sz w:val="21"/>
                <w:szCs w:val="21"/>
                <w:highlight w:val="none"/>
              </w:rPr>
            </w:pPr>
            <w:r>
              <w:rPr>
                <w:color w:val="auto"/>
                <w:sz w:val="21"/>
                <w:szCs w:val="21"/>
                <w:highlight w:val="none"/>
              </w:rPr>
              <w:t>生产</w:t>
            </w:r>
          </w:p>
          <w:p w14:paraId="7C893B60">
            <w:pPr>
              <w:pStyle w:val="13"/>
              <w:keepNext/>
              <w:spacing w:line="440" w:lineRule="exact"/>
              <w:ind w:left="63" w:right="63"/>
              <w:rPr>
                <w:color w:val="auto"/>
                <w:sz w:val="21"/>
                <w:szCs w:val="21"/>
                <w:highlight w:val="none"/>
              </w:rPr>
            </w:pPr>
            <w:r>
              <w:rPr>
                <w:color w:val="auto"/>
                <w:sz w:val="21"/>
                <w:szCs w:val="21"/>
                <w:highlight w:val="none"/>
              </w:rPr>
              <w:t>能力</w:t>
            </w:r>
          </w:p>
        </w:tc>
        <w:tc>
          <w:tcPr>
            <w:tcW w:w="921" w:type="dxa"/>
            <w:tcBorders>
              <w:top w:val="single" w:color="auto" w:sz="12" w:space="0"/>
              <w:bottom w:val="double" w:color="auto" w:sz="6" w:space="0"/>
            </w:tcBorders>
            <w:noWrap w:val="0"/>
            <w:vAlign w:val="center"/>
          </w:tcPr>
          <w:p w14:paraId="3DE5BB45">
            <w:pPr>
              <w:pStyle w:val="13"/>
              <w:keepNext/>
              <w:spacing w:line="440" w:lineRule="exact"/>
              <w:ind w:left="63" w:right="63"/>
              <w:rPr>
                <w:color w:val="auto"/>
                <w:sz w:val="21"/>
                <w:szCs w:val="21"/>
                <w:highlight w:val="none"/>
              </w:rPr>
            </w:pPr>
            <w:r>
              <w:rPr>
                <w:color w:val="auto"/>
                <w:sz w:val="21"/>
                <w:szCs w:val="21"/>
                <w:highlight w:val="none"/>
              </w:rPr>
              <w:t>备注</w:t>
            </w:r>
          </w:p>
        </w:tc>
      </w:tr>
      <w:tr w14:paraId="19935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7DE3746D">
            <w:pPr>
              <w:pStyle w:val="13"/>
              <w:keepNext/>
              <w:spacing w:line="440" w:lineRule="exact"/>
              <w:ind w:left="63" w:right="63"/>
              <w:rPr>
                <w:color w:val="auto"/>
                <w:sz w:val="24"/>
                <w:highlight w:val="none"/>
              </w:rPr>
            </w:pPr>
          </w:p>
        </w:tc>
        <w:tc>
          <w:tcPr>
            <w:tcW w:w="1418" w:type="dxa"/>
            <w:tcBorders>
              <w:top w:val="double" w:color="auto" w:sz="6" w:space="0"/>
              <w:bottom w:val="single" w:color="auto" w:sz="6" w:space="0"/>
            </w:tcBorders>
            <w:noWrap w:val="0"/>
            <w:vAlign w:val="center"/>
          </w:tcPr>
          <w:p w14:paraId="323347E3">
            <w:pPr>
              <w:pStyle w:val="13"/>
              <w:keepNext/>
              <w:spacing w:line="440" w:lineRule="exact"/>
              <w:ind w:left="63" w:right="63"/>
              <w:rPr>
                <w:color w:val="auto"/>
                <w:sz w:val="24"/>
                <w:highlight w:val="none"/>
              </w:rPr>
            </w:pPr>
          </w:p>
        </w:tc>
        <w:tc>
          <w:tcPr>
            <w:tcW w:w="850" w:type="dxa"/>
            <w:tcBorders>
              <w:top w:val="double" w:color="auto" w:sz="6" w:space="0"/>
              <w:bottom w:val="single" w:color="auto" w:sz="6" w:space="0"/>
            </w:tcBorders>
            <w:noWrap w:val="0"/>
            <w:vAlign w:val="center"/>
          </w:tcPr>
          <w:p w14:paraId="5DE6B8D0">
            <w:pPr>
              <w:pStyle w:val="13"/>
              <w:keepNext/>
              <w:spacing w:line="440" w:lineRule="exact"/>
              <w:ind w:left="63" w:right="63"/>
              <w:rPr>
                <w:color w:val="auto"/>
                <w:sz w:val="24"/>
                <w:highlight w:val="none"/>
              </w:rPr>
            </w:pPr>
          </w:p>
        </w:tc>
        <w:tc>
          <w:tcPr>
            <w:tcW w:w="1058" w:type="dxa"/>
            <w:tcBorders>
              <w:top w:val="double" w:color="auto" w:sz="6" w:space="0"/>
              <w:bottom w:val="single" w:color="auto" w:sz="6" w:space="0"/>
            </w:tcBorders>
            <w:noWrap w:val="0"/>
            <w:vAlign w:val="center"/>
          </w:tcPr>
          <w:p w14:paraId="083EEA56">
            <w:pPr>
              <w:pStyle w:val="13"/>
              <w:keepNext/>
              <w:spacing w:line="440" w:lineRule="exact"/>
              <w:ind w:left="63" w:right="63"/>
              <w:rPr>
                <w:color w:val="auto"/>
                <w:sz w:val="24"/>
                <w:highlight w:val="none"/>
              </w:rPr>
            </w:pPr>
          </w:p>
        </w:tc>
        <w:tc>
          <w:tcPr>
            <w:tcW w:w="880" w:type="dxa"/>
            <w:tcBorders>
              <w:top w:val="double" w:color="auto" w:sz="6" w:space="0"/>
              <w:bottom w:val="single" w:color="auto" w:sz="6" w:space="0"/>
            </w:tcBorders>
            <w:noWrap w:val="0"/>
            <w:vAlign w:val="center"/>
          </w:tcPr>
          <w:p w14:paraId="06DA1CD5">
            <w:pPr>
              <w:pStyle w:val="13"/>
              <w:keepNext/>
              <w:spacing w:line="440" w:lineRule="exact"/>
              <w:ind w:left="63" w:right="63"/>
              <w:rPr>
                <w:color w:val="auto"/>
                <w:sz w:val="24"/>
                <w:highlight w:val="none"/>
              </w:rPr>
            </w:pPr>
          </w:p>
        </w:tc>
        <w:tc>
          <w:tcPr>
            <w:tcW w:w="1020" w:type="dxa"/>
            <w:tcBorders>
              <w:top w:val="double" w:color="auto" w:sz="6" w:space="0"/>
              <w:bottom w:val="single" w:color="auto" w:sz="6" w:space="0"/>
            </w:tcBorders>
            <w:noWrap w:val="0"/>
            <w:vAlign w:val="center"/>
          </w:tcPr>
          <w:p w14:paraId="1E1ADCD9">
            <w:pPr>
              <w:pStyle w:val="13"/>
              <w:keepNext/>
              <w:spacing w:line="440" w:lineRule="exact"/>
              <w:ind w:left="63" w:right="63"/>
              <w:rPr>
                <w:color w:val="auto"/>
                <w:sz w:val="24"/>
                <w:highlight w:val="none"/>
              </w:rPr>
            </w:pPr>
          </w:p>
        </w:tc>
        <w:tc>
          <w:tcPr>
            <w:tcW w:w="1480" w:type="dxa"/>
            <w:tcBorders>
              <w:top w:val="double" w:color="auto" w:sz="6" w:space="0"/>
              <w:bottom w:val="single" w:color="auto" w:sz="6" w:space="0"/>
            </w:tcBorders>
            <w:noWrap w:val="0"/>
            <w:vAlign w:val="center"/>
          </w:tcPr>
          <w:p w14:paraId="64F4AE57">
            <w:pPr>
              <w:pStyle w:val="13"/>
              <w:keepNext/>
              <w:spacing w:line="440" w:lineRule="exact"/>
              <w:ind w:left="63" w:right="63"/>
              <w:rPr>
                <w:color w:val="auto"/>
                <w:sz w:val="24"/>
                <w:highlight w:val="none"/>
              </w:rPr>
            </w:pPr>
          </w:p>
        </w:tc>
        <w:tc>
          <w:tcPr>
            <w:tcW w:w="1020" w:type="dxa"/>
            <w:tcBorders>
              <w:top w:val="double" w:color="auto" w:sz="6" w:space="0"/>
              <w:bottom w:val="single" w:color="auto" w:sz="6" w:space="0"/>
            </w:tcBorders>
            <w:noWrap w:val="0"/>
            <w:vAlign w:val="center"/>
          </w:tcPr>
          <w:p w14:paraId="37D4ED0F">
            <w:pPr>
              <w:pStyle w:val="13"/>
              <w:keepNext/>
              <w:spacing w:line="440" w:lineRule="exact"/>
              <w:ind w:left="63" w:right="63"/>
              <w:rPr>
                <w:color w:val="auto"/>
                <w:sz w:val="24"/>
                <w:highlight w:val="none"/>
              </w:rPr>
            </w:pPr>
          </w:p>
        </w:tc>
        <w:tc>
          <w:tcPr>
            <w:tcW w:w="921" w:type="dxa"/>
            <w:tcBorders>
              <w:top w:val="double" w:color="auto" w:sz="6" w:space="0"/>
              <w:bottom w:val="single" w:color="auto" w:sz="6" w:space="0"/>
            </w:tcBorders>
            <w:noWrap w:val="0"/>
            <w:vAlign w:val="center"/>
          </w:tcPr>
          <w:p w14:paraId="03AA3E34">
            <w:pPr>
              <w:pStyle w:val="13"/>
              <w:keepNext/>
              <w:spacing w:line="440" w:lineRule="exact"/>
              <w:ind w:left="63" w:right="63"/>
              <w:rPr>
                <w:color w:val="auto"/>
                <w:sz w:val="24"/>
                <w:highlight w:val="none"/>
              </w:rPr>
            </w:pPr>
          </w:p>
        </w:tc>
      </w:tr>
      <w:tr w14:paraId="1AFC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0ABFC35">
            <w:pPr>
              <w:pStyle w:val="13"/>
              <w:keepNext/>
              <w:spacing w:line="440" w:lineRule="exact"/>
              <w:ind w:left="63" w:right="63"/>
              <w:rPr>
                <w:color w:val="auto"/>
                <w:sz w:val="24"/>
                <w:highlight w:val="none"/>
              </w:rPr>
            </w:pPr>
          </w:p>
        </w:tc>
        <w:tc>
          <w:tcPr>
            <w:tcW w:w="1418" w:type="dxa"/>
            <w:tcBorders>
              <w:top w:val="nil"/>
            </w:tcBorders>
            <w:noWrap w:val="0"/>
            <w:vAlign w:val="center"/>
          </w:tcPr>
          <w:p w14:paraId="30E0F2A1">
            <w:pPr>
              <w:pStyle w:val="13"/>
              <w:keepNext/>
              <w:spacing w:line="440" w:lineRule="exact"/>
              <w:ind w:left="63" w:right="63"/>
              <w:rPr>
                <w:color w:val="auto"/>
                <w:sz w:val="24"/>
                <w:highlight w:val="none"/>
              </w:rPr>
            </w:pPr>
          </w:p>
        </w:tc>
        <w:tc>
          <w:tcPr>
            <w:tcW w:w="850" w:type="dxa"/>
            <w:tcBorders>
              <w:top w:val="nil"/>
            </w:tcBorders>
            <w:noWrap w:val="0"/>
            <w:vAlign w:val="center"/>
          </w:tcPr>
          <w:p w14:paraId="59515FE6">
            <w:pPr>
              <w:pStyle w:val="13"/>
              <w:keepNext/>
              <w:spacing w:line="440" w:lineRule="exact"/>
              <w:ind w:left="63" w:right="63"/>
              <w:rPr>
                <w:color w:val="auto"/>
                <w:sz w:val="24"/>
                <w:highlight w:val="none"/>
              </w:rPr>
            </w:pPr>
          </w:p>
        </w:tc>
        <w:tc>
          <w:tcPr>
            <w:tcW w:w="1058" w:type="dxa"/>
            <w:tcBorders>
              <w:top w:val="nil"/>
            </w:tcBorders>
            <w:noWrap w:val="0"/>
            <w:vAlign w:val="center"/>
          </w:tcPr>
          <w:p w14:paraId="11DBCD8F">
            <w:pPr>
              <w:pStyle w:val="13"/>
              <w:keepNext/>
              <w:spacing w:line="440" w:lineRule="exact"/>
              <w:ind w:left="63" w:right="63"/>
              <w:rPr>
                <w:color w:val="auto"/>
                <w:sz w:val="24"/>
                <w:highlight w:val="none"/>
              </w:rPr>
            </w:pPr>
          </w:p>
        </w:tc>
        <w:tc>
          <w:tcPr>
            <w:tcW w:w="880" w:type="dxa"/>
            <w:tcBorders>
              <w:top w:val="nil"/>
            </w:tcBorders>
            <w:noWrap w:val="0"/>
            <w:vAlign w:val="center"/>
          </w:tcPr>
          <w:p w14:paraId="4C54989C">
            <w:pPr>
              <w:pStyle w:val="13"/>
              <w:keepNext/>
              <w:spacing w:line="440" w:lineRule="exact"/>
              <w:ind w:left="63" w:right="63"/>
              <w:rPr>
                <w:color w:val="auto"/>
                <w:sz w:val="24"/>
                <w:highlight w:val="none"/>
              </w:rPr>
            </w:pPr>
          </w:p>
        </w:tc>
        <w:tc>
          <w:tcPr>
            <w:tcW w:w="1020" w:type="dxa"/>
            <w:tcBorders>
              <w:top w:val="nil"/>
            </w:tcBorders>
            <w:noWrap w:val="0"/>
            <w:vAlign w:val="center"/>
          </w:tcPr>
          <w:p w14:paraId="7CAC7924">
            <w:pPr>
              <w:pStyle w:val="13"/>
              <w:keepNext/>
              <w:spacing w:line="440" w:lineRule="exact"/>
              <w:ind w:left="63" w:right="63"/>
              <w:rPr>
                <w:color w:val="auto"/>
                <w:sz w:val="24"/>
                <w:highlight w:val="none"/>
              </w:rPr>
            </w:pPr>
          </w:p>
        </w:tc>
        <w:tc>
          <w:tcPr>
            <w:tcW w:w="1480" w:type="dxa"/>
            <w:tcBorders>
              <w:top w:val="nil"/>
            </w:tcBorders>
            <w:noWrap w:val="0"/>
            <w:vAlign w:val="center"/>
          </w:tcPr>
          <w:p w14:paraId="1BC1B0EC">
            <w:pPr>
              <w:pStyle w:val="13"/>
              <w:keepNext/>
              <w:spacing w:line="440" w:lineRule="exact"/>
              <w:ind w:left="63" w:right="63"/>
              <w:rPr>
                <w:color w:val="auto"/>
                <w:sz w:val="24"/>
                <w:highlight w:val="none"/>
              </w:rPr>
            </w:pPr>
          </w:p>
        </w:tc>
        <w:tc>
          <w:tcPr>
            <w:tcW w:w="1020" w:type="dxa"/>
            <w:tcBorders>
              <w:top w:val="nil"/>
            </w:tcBorders>
            <w:noWrap w:val="0"/>
            <w:vAlign w:val="center"/>
          </w:tcPr>
          <w:p w14:paraId="46B62CB1">
            <w:pPr>
              <w:pStyle w:val="13"/>
              <w:keepNext/>
              <w:spacing w:line="440" w:lineRule="exact"/>
              <w:ind w:left="63" w:right="63"/>
              <w:rPr>
                <w:color w:val="auto"/>
                <w:sz w:val="24"/>
                <w:highlight w:val="none"/>
              </w:rPr>
            </w:pPr>
          </w:p>
        </w:tc>
        <w:tc>
          <w:tcPr>
            <w:tcW w:w="921" w:type="dxa"/>
            <w:tcBorders>
              <w:top w:val="nil"/>
            </w:tcBorders>
            <w:noWrap w:val="0"/>
            <w:vAlign w:val="center"/>
          </w:tcPr>
          <w:p w14:paraId="2496B988">
            <w:pPr>
              <w:pStyle w:val="13"/>
              <w:keepNext/>
              <w:spacing w:line="440" w:lineRule="exact"/>
              <w:ind w:left="63" w:right="63"/>
              <w:rPr>
                <w:color w:val="auto"/>
                <w:sz w:val="24"/>
                <w:highlight w:val="none"/>
              </w:rPr>
            </w:pPr>
          </w:p>
        </w:tc>
      </w:tr>
      <w:tr w14:paraId="48995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168EA21">
            <w:pPr>
              <w:pStyle w:val="13"/>
              <w:keepNext/>
              <w:spacing w:line="440" w:lineRule="exact"/>
              <w:ind w:left="63" w:right="63"/>
              <w:rPr>
                <w:color w:val="auto"/>
                <w:sz w:val="24"/>
                <w:highlight w:val="none"/>
              </w:rPr>
            </w:pPr>
          </w:p>
        </w:tc>
        <w:tc>
          <w:tcPr>
            <w:tcW w:w="1418" w:type="dxa"/>
            <w:tcBorders>
              <w:top w:val="nil"/>
            </w:tcBorders>
            <w:noWrap w:val="0"/>
            <w:vAlign w:val="center"/>
          </w:tcPr>
          <w:p w14:paraId="79DD2220">
            <w:pPr>
              <w:pStyle w:val="13"/>
              <w:keepNext/>
              <w:spacing w:line="440" w:lineRule="exact"/>
              <w:ind w:left="63" w:right="63"/>
              <w:rPr>
                <w:color w:val="auto"/>
                <w:sz w:val="24"/>
                <w:highlight w:val="none"/>
              </w:rPr>
            </w:pPr>
          </w:p>
        </w:tc>
        <w:tc>
          <w:tcPr>
            <w:tcW w:w="850" w:type="dxa"/>
            <w:tcBorders>
              <w:top w:val="nil"/>
            </w:tcBorders>
            <w:noWrap w:val="0"/>
            <w:vAlign w:val="center"/>
          </w:tcPr>
          <w:p w14:paraId="4987EF9C">
            <w:pPr>
              <w:pStyle w:val="13"/>
              <w:keepNext/>
              <w:spacing w:line="440" w:lineRule="exact"/>
              <w:ind w:left="63" w:right="63"/>
              <w:rPr>
                <w:color w:val="auto"/>
                <w:sz w:val="24"/>
                <w:highlight w:val="none"/>
              </w:rPr>
            </w:pPr>
          </w:p>
        </w:tc>
        <w:tc>
          <w:tcPr>
            <w:tcW w:w="1058" w:type="dxa"/>
            <w:tcBorders>
              <w:top w:val="nil"/>
            </w:tcBorders>
            <w:noWrap w:val="0"/>
            <w:vAlign w:val="center"/>
          </w:tcPr>
          <w:p w14:paraId="6C0F8322">
            <w:pPr>
              <w:pStyle w:val="13"/>
              <w:keepNext/>
              <w:spacing w:line="440" w:lineRule="exact"/>
              <w:ind w:left="63" w:right="63"/>
              <w:rPr>
                <w:color w:val="auto"/>
                <w:sz w:val="24"/>
                <w:highlight w:val="none"/>
              </w:rPr>
            </w:pPr>
          </w:p>
        </w:tc>
        <w:tc>
          <w:tcPr>
            <w:tcW w:w="880" w:type="dxa"/>
            <w:tcBorders>
              <w:top w:val="nil"/>
            </w:tcBorders>
            <w:noWrap w:val="0"/>
            <w:vAlign w:val="center"/>
          </w:tcPr>
          <w:p w14:paraId="44DFCDFC">
            <w:pPr>
              <w:pStyle w:val="13"/>
              <w:keepNext/>
              <w:spacing w:line="440" w:lineRule="exact"/>
              <w:ind w:left="63" w:right="63"/>
              <w:rPr>
                <w:color w:val="auto"/>
                <w:sz w:val="24"/>
                <w:highlight w:val="none"/>
              </w:rPr>
            </w:pPr>
          </w:p>
        </w:tc>
        <w:tc>
          <w:tcPr>
            <w:tcW w:w="1020" w:type="dxa"/>
            <w:tcBorders>
              <w:top w:val="nil"/>
            </w:tcBorders>
            <w:noWrap w:val="0"/>
            <w:vAlign w:val="center"/>
          </w:tcPr>
          <w:p w14:paraId="2D4CDE8E">
            <w:pPr>
              <w:pStyle w:val="13"/>
              <w:keepNext/>
              <w:spacing w:line="440" w:lineRule="exact"/>
              <w:ind w:left="63" w:right="63"/>
              <w:rPr>
                <w:color w:val="auto"/>
                <w:sz w:val="24"/>
                <w:highlight w:val="none"/>
              </w:rPr>
            </w:pPr>
          </w:p>
        </w:tc>
        <w:tc>
          <w:tcPr>
            <w:tcW w:w="1480" w:type="dxa"/>
            <w:tcBorders>
              <w:top w:val="nil"/>
            </w:tcBorders>
            <w:noWrap w:val="0"/>
            <w:vAlign w:val="center"/>
          </w:tcPr>
          <w:p w14:paraId="37454A23">
            <w:pPr>
              <w:pStyle w:val="13"/>
              <w:keepNext/>
              <w:spacing w:line="440" w:lineRule="exact"/>
              <w:ind w:left="63" w:right="63"/>
              <w:rPr>
                <w:color w:val="auto"/>
                <w:sz w:val="24"/>
                <w:highlight w:val="none"/>
              </w:rPr>
            </w:pPr>
          </w:p>
        </w:tc>
        <w:tc>
          <w:tcPr>
            <w:tcW w:w="1020" w:type="dxa"/>
            <w:tcBorders>
              <w:top w:val="nil"/>
            </w:tcBorders>
            <w:noWrap w:val="0"/>
            <w:vAlign w:val="center"/>
          </w:tcPr>
          <w:p w14:paraId="5546BE62">
            <w:pPr>
              <w:pStyle w:val="13"/>
              <w:keepNext/>
              <w:spacing w:line="440" w:lineRule="exact"/>
              <w:ind w:left="63" w:right="63"/>
              <w:rPr>
                <w:color w:val="auto"/>
                <w:sz w:val="24"/>
                <w:highlight w:val="none"/>
              </w:rPr>
            </w:pPr>
          </w:p>
        </w:tc>
        <w:tc>
          <w:tcPr>
            <w:tcW w:w="921" w:type="dxa"/>
            <w:tcBorders>
              <w:top w:val="nil"/>
            </w:tcBorders>
            <w:noWrap w:val="0"/>
            <w:vAlign w:val="center"/>
          </w:tcPr>
          <w:p w14:paraId="1D8CF2A9">
            <w:pPr>
              <w:pStyle w:val="13"/>
              <w:keepNext/>
              <w:spacing w:line="440" w:lineRule="exact"/>
              <w:ind w:left="63" w:right="63"/>
              <w:rPr>
                <w:color w:val="auto"/>
                <w:sz w:val="24"/>
                <w:highlight w:val="none"/>
              </w:rPr>
            </w:pPr>
          </w:p>
        </w:tc>
      </w:tr>
      <w:tr w14:paraId="49553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625206F">
            <w:pPr>
              <w:pStyle w:val="13"/>
              <w:keepNext/>
              <w:spacing w:line="440" w:lineRule="exact"/>
              <w:ind w:left="63" w:right="63"/>
              <w:rPr>
                <w:color w:val="auto"/>
                <w:sz w:val="24"/>
                <w:highlight w:val="none"/>
              </w:rPr>
            </w:pPr>
          </w:p>
        </w:tc>
        <w:tc>
          <w:tcPr>
            <w:tcW w:w="1418" w:type="dxa"/>
            <w:tcBorders>
              <w:top w:val="nil"/>
            </w:tcBorders>
            <w:noWrap w:val="0"/>
            <w:vAlign w:val="center"/>
          </w:tcPr>
          <w:p w14:paraId="54AD9C6E">
            <w:pPr>
              <w:pStyle w:val="13"/>
              <w:keepNext/>
              <w:spacing w:line="440" w:lineRule="exact"/>
              <w:ind w:left="63" w:right="63"/>
              <w:rPr>
                <w:color w:val="auto"/>
                <w:sz w:val="24"/>
                <w:highlight w:val="none"/>
              </w:rPr>
            </w:pPr>
          </w:p>
        </w:tc>
        <w:tc>
          <w:tcPr>
            <w:tcW w:w="850" w:type="dxa"/>
            <w:tcBorders>
              <w:top w:val="nil"/>
            </w:tcBorders>
            <w:noWrap w:val="0"/>
            <w:vAlign w:val="center"/>
          </w:tcPr>
          <w:p w14:paraId="7153B61B">
            <w:pPr>
              <w:pStyle w:val="13"/>
              <w:keepNext/>
              <w:spacing w:line="440" w:lineRule="exact"/>
              <w:ind w:left="63" w:right="63"/>
              <w:rPr>
                <w:color w:val="auto"/>
                <w:sz w:val="24"/>
                <w:highlight w:val="none"/>
              </w:rPr>
            </w:pPr>
          </w:p>
        </w:tc>
        <w:tc>
          <w:tcPr>
            <w:tcW w:w="1058" w:type="dxa"/>
            <w:tcBorders>
              <w:top w:val="nil"/>
            </w:tcBorders>
            <w:noWrap w:val="0"/>
            <w:vAlign w:val="center"/>
          </w:tcPr>
          <w:p w14:paraId="4D4615C8">
            <w:pPr>
              <w:pStyle w:val="13"/>
              <w:keepNext/>
              <w:spacing w:line="440" w:lineRule="exact"/>
              <w:ind w:left="63" w:right="63"/>
              <w:rPr>
                <w:color w:val="auto"/>
                <w:sz w:val="24"/>
                <w:highlight w:val="none"/>
              </w:rPr>
            </w:pPr>
          </w:p>
        </w:tc>
        <w:tc>
          <w:tcPr>
            <w:tcW w:w="880" w:type="dxa"/>
            <w:tcBorders>
              <w:top w:val="nil"/>
            </w:tcBorders>
            <w:noWrap w:val="0"/>
            <w:vAlign w:val="center"/>
          </w:tcPr>
          <w:p w14:paraId="54BB6879">
            <w:pPr>
              <w:pStyle w:val="13"/>
              <w:keepNext/>
              <w:spacing w:line="440" w:lineRule="exact"/>
              <w:ind w:left="63" w:right="63"/>
              <w:rPr>
                <w:color w:val="auto"/>
                <w:sz w:val="24"/>
                <w:highlight w:val="none"/>
              </w:rPr>
            </w:pPr>
          </w:p>
        </w:tc>
        <w:tc>
          <w:tcPr>
            <w:tcW w:w="1020" w:type="dxa"/>
            <w:tcBorders>
              <w:top w:val="nil"/>
            </w:tcBorders>
            <w:noWrap w:val="0"/>
            <w:vAlign w:val="center"/>
          </w:tcPr>
          <w:p w14:paraId="3850364F">
            <w:pPr>
              <w:pStyle w:val="13"/>
              <w:keepNext/>
              <w:spacing w:line="440" w:lineRule="exact"/>
              <w:ind w:left="63" w:right="63"/>
              <w:rPr>
                <w:color w:val="auto"/>
                <w:sz w:val="24"/>
                <w:highlight w:val="none"/>
              </w:rPr>
            </w:pPr>
          </w:p>
        </w:tc>
        <w:tc>
          <w:tcPr>
            <w:tcW w:w="1480" w:type="dxa"/>
            <w:tcBorders>
              <w:top w:val="nil"/>
            </w:tcBorders>
            <w:noWrap w:val="0"/>
            <w:vAlign w:val="center"/>
          </w:tcPr>
          <w:p w14:paraId="2E809772">
            <w:pPr>
              <w:pStyle w:val="13"/>
              <w:keepNext/>
              <w:spacing w:line="440" w:lineRule="exact"/>
              <w:ind w:left="63" w:right="63"/>
              <w:rPr>
                <w:color w:val="auto"/>
                <w:sz w:val="24"/>
                <w:highlight w:val="none"/>
              </w:rPr>
            </w:pPr>
          </w:p>
        </w:tc>
        <w:tc>
          <w:tcPr>
            <w:tcW w:w="1020" w:type="dxa"/>
            <w:tcBorders>
              <w:top w:val="nil"/>
            </w:tcBorders>
            <w:noWrap w:val="0"/>
            <w:vAlign w:val="center"/>
          </w:tcPr>
          <w:p w14:paraId="2183A73A">
            <w:pPr>
              <w:pStyle w:val="13"/>
              <w:keepNext/>
              <w:spacing w:line="440" w:lineRule="exact"/>
              <w:ind w:left="63" w:right="63"/>
              <w:rPr>
                <w:color w:val="auto"/>
                <w:sz w:val="24"/>
                <w:highlight w:val="none"/>
              </w:rPr>
            </w:pPr>
          </w:p>
        </w:tc>
        <w:tc>
          <w:tcPr>
            <w:tcW w:w="921" w:type="dxa"/>
            <w:tcBorders>
              <w:top w:val="nil"/>
            </w:tcBorders>
            <w:noWrap w:val="0"/>
            <w:vAlign w:val="center"/>
          </w:tcPr>
          <w:p w14:paraId="6683A36A">
            <w:pPr>
              <w:pStyle w:val="13"/>
              <w:keepNext/>
              <w:spacing w:line="440" w:lineRule="exact"/>
              <w:ind w:left="63" w:right="63"/>
              <w:rPr>
                <w:color w:val="auto"/>
                <w:sz w:val="24"/>
                <w:highlight w:val="none"/>
              </w:rPr>
            </w:pPr>
          </w:p>
        </w:tc>
      </w:tr>
      <w:tr w14:paraId="38F1B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C3C59B2">
            <w:pPr>
              <w:pStyle w:val="13"/>
              <w:keepNext/>
              <w:spacing w:line="440" w:lineRule="exact"/>
              <w:ind w:left="63" w:right="63"/>
              <w:rPr>
                <w:color w:val="auto"/>
                <w:sz w:val="24"/>
                <w:highlight w:val="none"/>
              </w:rPr>
            </w:pPr>
          </w:p>
        </w:tc>
        <w:tc>
          <w:tcPr>
            <w:tcW w:w="1418" w:type="dxa"/>
            <w:tcBorders>
              <w:top w:val="nil"/>
            </w:tcBorders>
            <w:noWrap w:val="0"/>
            <w:vAlign w:val="center"/>
          </w:tcPr>
          <w:p w14:paraId="6B5A10B1">
            <w:pPr>
              <w:pStyle w:val="13"/>
              <w:keepNext/>
              <w:spacing w:line="440" w:lineRule="exact"/>
              <w:ind w:left="63" w:right="63"/>
              <w:rPr>
                <w:color w:val="auto"/>
                <w:sz w:val="24"/>
                <w:highlight w:val="none"/>
              </w:rPr>
            </w:pPr>
          </w:p>
        </w:tc>
        <w:tc>
          <w:tcPr>
            <w:tcW w:w="850" w:type="dxa"/>
            <w:tcBorders>
              <w:top w:val="nil"/>
            </w:tcBorders>
            <w:noWrap w:val="0"/>
            <w:vAlign w:val="center"/>
          </w:tcPr>
          <w:p w14:paraId="68E5ECAF">
            <w:pPr>
              <w:pStyle w:val="13"/>
              <w:keepNext/>
              <w:spacing w:line="440" w:lineRule="exact"/>
              <w:ind w:left="63" w:right="63"/>
              <w:rPr>
                <w:color w:val="auto"/>
                <w:sz w:val="24"/>
                <w:highlight w:val="none"/>
              </w:rPr>
            </w:pPr>
          </w:p>
        </w:tc>
        <w:tc>
          <w:tcPr>
            <w:tcW w:w="1058" w:type="dxa"/>
            <w:tcBorders>
              <w:top w:val="nil"/>
            </w:tcBorders>
            <w:noWrap w:val="0"/>
            <w:vAlign w:val="center"/>
          </w:tcPr>
          <w:p w14:paraId="032A548E">
            <w:pPr>
              <w:pStyle w:val="13"/>
              <w:keepNext/>
              <w:spacing w:line="440" w:lineRule="exact"/>
              <w:ind w:left="63" w:right="63"/>
              <w:rPr>
                <w:color w:val="auto"/>
                <w:sz w:val="24"/>
                <w:highlight w:val="none"/>
              </w:rPr>
            </w:pPr>
          </w:p>
        </w:tc>
        <w:tc>
          <w:tcPr>
            <w:tcW w:w="880" w:type="dxa"/>
            <w:tcBorders>
              <w:top w:val="nil"/>
            </w:tcBorders>
            <w:noWrap w:val="0"/>
            <w:vAlign w:val="center"/>
          </w:tcPr>
          <w:p w14:paraId="727E8879">
            <w:pPr>
              <w:pStyle w:val="13"/>
              <w:keepNext/>
              <w:spacing w:line="440" w:lineRule="exact"/>
              <w:ind w:left="63" w:right="63"/>
              <w:rPr>
                <w:color w:val="auto"/>
                <w:sz w:val="24"/>
                <w:highlight w:val="none"/>
              </w:rPr>
            </w:pPr>
          </w:p>
        </w:tc>
        <w:tc>
          <w:tcPr>
            <w:tcW w:w="1020" w:type="dxa"/>
            <w:tcBorders>
              <w:top w:val="nil"/>
            </w:tcBorders>
            <w:noWrap w:val="0"/>
            <w:vAlign w:val="center"/>
          </w:tcPr>
          <w:p w14:paraId="55A49859">
            <w:pPr>
              <w:pStyle w:val="13"/>
              <w:keepNext/>
              <w:spacing w:line="440" w:lineRule="exact"/>
              <w:ind w:left="63" w:right="63"/>
              <w:rPr>
                <w:color w:val="auto"/>
                <w:sz w:val="24"/>
                <w:highlight w:val="none"/>
              </w:rPr>
            </w:pPr>
          </w:p>
        </w:tc>
        <w:tc>
          <w:tcPr>
            <w:tcW w:w="1480" w:type="dxa"/>
            <w:tcBorders>
              <w:top w:val="nil"/>
            </w:tcBorders>
            <w:noWrap w:val="0"/>
            <w:vAlign w:val="center"/>
          </w:tcPr>
          <w:p w14:paraId="6B729AFF">
            <w:pPr>
              <w:pStyle w:val="13"/>
              <w:keepNext/>
              <w:spacing w:line="440" w:lineRule="exact"/>
              <w:ind w:left="63" w:right="63"/>
              <w:rPr>
                <w:color w:val="auto"/>
                <w:sz w:val="24"/>
                <w:highlight w:val="none"/>
              </w:rPr>
            </w:pPr>
          </w:p>
        </w:tc>
        <w:tc>
          <w:tcPr>
            <w:tcW w:w="1020" w:type="dxa"/>
            <w:tcBorders>
              <w:top w:val="nil"/>
            </w:tcBorders>
            <w:noWrap w:val="0"/>
            <w:vAlign w:val="center"/>
          </w:tcPr>
          <w:p w14:paraId="6C3486EB">
            <w:pPr>
              <w:pStyle w:val="13"/>
              <w:keepNext/>
              <w:spacing w:line="440" w:lineRule="exact"/>
              <w:ind w:left="63" w:right="63"/>
              <w:rPr>
                <w:color w:val="auto"/>
                <w:sz w:val="24"/>
                <w:highlight w:val="none"/>
              </w:rPr>
            </w:pPr>
          </w:p>
        </w:tc>
        <w:tc>
          <w:tcPr>
            <w:tcW w:w="921" w:type="dxa"/>
            <w:tcBorders>
              <w:top w:val="nil"/>
            </w:tcBorders>
            <w:noWrap w:val="0"/>
            <w:vAlign w:val="center"/>
          </w:tcPr>
          <w:p w14:paraId="599432A7">
            <w:pPr>
              <w:pStyle w:val="13"/>
              <w:keepNext/>
              <w:spacing w:line="440" w:lineRule="exact"/>
              <w:ind w:left="63" w:right="63"/>
              <w:rPr>
                <w:color w:val="auto"/>
                <w:sz w:val="24"/>
                <w:highlight w:val="none"/>
              </w:rPr>
            </w:pPr>
          </w:p>
        </w:tc>
      </w:tr>
      <w:tr w14:paraId="3AE06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D196305">
            <w:pPr>
              <w:pStyle w:val="13"/>
              <w:keepNext/>
              <w:spacing w:line="440" w:lineRule="exact"/>
              <w:ind w:left="63" w:right="63"/>
              <w:rPr>
                <w:color w:val="auto"/>
                <w:sz w:val="24"/>
                <w:highlight w:val="none"/>
              </w:rPr>
            </w:pPr>
          </w:p>
        </w:tc>
        <w:tc>
          <w:tcPr>
            <w:tcW w:w="1418" w:type="dxa"/>
            <w:tcBorders>
              <w:top w:val="nil"/>
            </w:tcBorders>
            <w:noWrap w:val="0"/>
            <w:vAlign w:val="center"/>
          </w:tcPr>
          <w:p w14:paraId="6E02E637">
            <w:pPr>
              <w:pStyle w:val="13"/>
              <w:keepNext/>
              <w:spacing w:line="440" w:lineRule="exact"/>
              <w:ind w:left="63" w:right="63"/>
              <w:rPr>
                <w:color w:val="auto"/>
                <w:sz w:val="24"/>
                <w:highlight w:val="none"/>
              </w:rPr>
            </w:pPr>
          </w:p>
        </w:tc>
        <w:tc>
          <w:tcPr>
            <w:tcW w:w="850" w:type="dxa"/>
            <w:tcBorders>
              <w:top w:val="nil"/>
            </w:tcBorders>
            <w:noWrap w:val="0"/>
            <w:vAlign w:val="center"/>
          </w:tcPr>
          <w:p w14:paraId="3DFE8214">
            <w:pPr>
              <w:pStyle w:val="13"/>
              <w:keepNext/>
              <w:spacing w:line="440" w:lineRule="exact"/>
              <w:ind w:left="63" w:right="63"/>
              <w:rPr>
                <w:color w:val="auto"/>
                <w:sz w:val="24"/>
                <w:highlight w:val="none"/>
              </w:rPr>
            </w:pPr>
          </w:p>
        </w:tc>
        <w:tc>
          <w:tcPr>
            <w:tcW w:w="1058" w:type="dxa"/>
            <w:tcBorders>
              <w:top w:val="nil"/>
            </w:tcBorders>
            <w:noWrap w:val="0"/>
            <w:vAlign w:val="center"/>
          </w:tcPr>
          <w:p w14:paraId="623E9DE5">
            <w:pPr>
              <w:pStyle w:val="13"/>
              <w:keepNext/>
              <w:spacing w:line="440" w:lineRule="exact"/>
              <w:ind w:left="63" w:right="63"/>
              <w:rPr>
                <w:color w:val="auto"/>
                <w:sz w:val="24"/>
                <w:highlight w:val="none"/>
              </w:rPr>
            </w:pPr>
          </w:p>
        </w:tc>
        <w:tc>
          <w:tcPr>
            <w:tcW w:w="880" w:type="dxa"/>
            <w:tcBorders>
              <w:top w:val="nil"/>
            </w:tcBorders>
            <w:noWrap w:val="0"/>
            <w:vAlign w:val="center"/>
          </w:tcPr>
          <w:p w14:paraId="0801C47D">
            <w:pPr>
              <w:pStyle w:val="13"/>
              <w:keepNext/>
              <w:spacing w:line="440" w:lineRule="exact"/>
              <w:ind w:left="63" w:right="63"/>
              <w:rPr>
                <w:color w:val="auto"/>
                <w:sz w:val="24"/>
                <w:highlight w:val="none"/>
              </w:rPr>
            </w:pPr>
          </w:p>
        </w:tc>
        <w:tc>
          <w:tcPr>
            <w:tcW w:w="1020" w:type="dxa"/>
            <w:tcBorders>
              <w:top w:val="nil"/>
            </w:tcBorders>
            <w:noWrap w:val="0"/>
            <w:vAlign w:val="center"/>
          </w:tcPr>
          <w:p w14:paraId="5A942739">
            <w:pPr>
              <w:pStyle w:val="13"/>
              <w:keepNext/>
              <w:spacing w:line="440" w:lineRule="exact"/>
              <w:ind w:left="63" w:right="63"/>
              <w:rPr>
                <w:color w:val="auto"/>
                <w:sz w:val="24"/>
                <w:highlight w:val="none"/>
              </w:rPr>
            </w:pPr>
          </w:p>
        </w:tc>
        <w:tc>
          <w:tcPr>
            <w:tcW w:w="1480" w:type="dxa"/>
            <w:tcBorders>
              <w:top w:val="nil"/>
            </w:tcBorders>
            <w:noWrap w:val="0"/>
            <w:vAlign w:val="center"/>
          </w:tcPr>
          <w:p w14:paraId="1E2F4319">
            <w:pPr>
              <w:pStyle w:val="13"/>
              <w:keepNext/>
              <w:spacing w:line="440" w:lineRule="exact"/>
              <w:ind w:left="63" w:right="63"/>
              <w:rPr>
                <w:color w:val="auto"/>
                <w:sz w:val="24"/>
                <w:highlight w:val="none"/>
              </w:rPr>
            </w:pPr>
          </w:p>
        </w:tc>
        <w:tc>
          <w:tcPr>
            <w:tcW w:w="1020" w:type="dxa"/>
            <w:tcBorders>
              <w:top w:val="nil"/>
            </w:tcBorders>
            <w:noWrap w:val="0"/>
            <w:vAlign w:val="center"/>
          </w:tcPr>
          <w:p w14:paraId="6119BF52">
            <w:pPr>
              <w:pStyle w:val="13"/>
              <w:keepNext/>
              <w:spacing w:line="440" w:lineRule="exact"/>
              <w:ind w:left="63" w:right="63"/>
              <w:rPr>
                <w:color w:val="auto"/>
                <w:sz w:val="24"/>
                <w:highlight w:val="none"/>
              </w:rPr>
            </w:pPr>
          </w:p>
        </w:tc>
        <w:tc>
          <w:tcPr>
            <w:tcW w:w="921" w:type="dxa"/>
            <w:tcBorders>
              <w:top w:val="nil"/>
            </w:tcBorders>
            <w:noWrap w:val="0"/>
            <w:vAlign w:val="center"/>
          </w:tcPr>
          <w:p w14:paraId="35DED85F">
            <w:pPr>
              <w:pStyle w:val="13"/>
              <w:keepNext/>
              <w:spacing w:line="440" w:lineRule="exact"/>
              <w:ind w:left="63" w:right="63"/>
              <w:rPr>
                <w:color w:val="auto"/>
                <w:sz w:val="24"/>
                <w:highlight w:val="none"/>
              </w:rPr>
            </w:pPr>
          </w:p>
        </w:tc>
      </w:tr>
      <w:tr w14:paraId="3D4E4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463A63F2">
            <w:pPr>
              <w:pStyle w:val="13"/>
              <w:keepNext/>
              <w:spacing w:line="440" w:lineRule="exact"/>
              <w:ind w:left="63" w:right="63"/>
              <w:rPr>
                <w:color w:val="auto"/>
                <w:sz w:val="24"/>
                <w:highlight w:val="none"/>
              </w:rPr>
            </w:pPr>
          </w:p>
        </w:tc>
        <w:tc>
          <w:tcPr>
            <w:tcW w:w="1418" w:type="dxa"/>
            <w:tcBorders>
              <w:top w:val="nil"/>
            </w:tcBorders>
            <w:noWrap w:val="0"/>
            <w:vAlign w:val="center"/>
          </w:tcPr>
          <w:p w14:paraId="125A4375">
            <w:pPr>
              <w:pStyle w:val="13"/>
              <w:keepNext/>
              <w:spacing w:line="440" w:lineRule="exact"/>
              <w:ind w:left="63" w:right="63"/>
              <w:rPr>
                <w:color w:val="auto"/>
                <w:sz w:val="24"/>
                <w:highlight w:val="none"/>
              </w:rPr>
            </w:pPr>
          </w:p>
        </w:tc>
        <w:tc>
          <w:tcPr>
            <w:tcW w:w="850" w:type="dxa"/>
            <w:tcBorders>
              <w:top w:val="nil"/>
            </w:tcBorders>
            <w:noWrap w:val="0"/>
            <w:vAlign w:val="center"/>
          </w:tcPr>
          <w:p w14:paraId="1F949DF2">
            <w:pPr>
              <w:pStyle w:val="13"/>
              <w:keepNext/>
              <w:spacing w:line="440" w:lineRule="exact"/>
              <w:ind w:left="63" w:right="63"/>
              <w:rPr>
                <w:color w:val="auto"/>
                <w:sz w:val="24"/>
                <w:highlight w:val="none"/>
              </w:rPr>
            </w:pPr>
          </w:p>
        </w:tc>
        <w:tc>
          <w:tcPr>
            <w:tcW w:w="1058" w:type="dxa"/>
            <w:tcBorders>
              <w:top w:val="nil"/>
            </w:tcBorders>
            <w:noWrap w:val="0"/>
            <w:vAlign w:val="center"/>
          </w:tcPr>
          <w:p w14:paraId="3B3357B3">
            <w:pPr>
              <w:pStyle w:val="13"/>
              <w:keepNext/>
              <w:spacing w:line="440" w:lineRule="exact"/>
              <w:ind w:left="63" w:right="63"/>
              <w:rPr>
                <w:color w:val="auto"/>
                <w:sz w:val="24"/>
                <w:highlight w:val="none"/>
              </w:rPr>
            </w:pPr>
          </w:p>
        </w:tc>
        <w:tc>
          <w:tcPr>
            <w:tcW w:w="880" w:type="dxa"/>
            <w:tcBorders>
              <w:top w:val="nil"/>
            </w:tcBorders>
            <w:noWrap w:val="0"/>
            <w:vAlign w:val="center"/>
          </w:tcPr>
          <w:p w14:paraId="29D1B1D6">
            <w:pPr>
              <w:pStyle w:val="13"/>
              <w:keepNext/>
              <w:spacing w:line="440" w:lineRule="exact"/>
              <w:ind w:left="63" w:right="63"/>
              <w:rPr>
                <w:color w:val="auto"/>
                <w:sz w:val="24"/>
                <w:highlight w:val="none"/>
              </w:rPr>
            </w:pPr>
          </w:p>
        </w:tc>
        <w:tc>
          <w:tcPr>
            <w:tcW w:w="1020" w:type="dxa"/>
            <w:tcBorders>
              <w:top w:val="nil"/>
            </w:tcBorders>
            <w:noWrap w:val="0"/>
            <w:vAlign w:val="center"/>
          </w:tcPr>
          <w:p w14:paraId="20BEA7E1">
            <w:pPr>
              <w:pStyle w:val="13"/>
              <w:keepNext/>
              <w:spacing w:line="440" w:lineRule="exact"/>
              <w:ind w:left="63" w:right="63"/>
              <w:rPr>
                <w:color w:val="auto"/>
                <w:sz w:val="24"/>
                <w:highlight w:val="none"/>
              </w:rPr>
            </w:pPr>
          </w:p>
        </w:tc>
        <w:tc>
          <w:tcPr>
            <w:tcW w:w="1480" w:type="dxa"/>
            <w:tcBorders>
              <w:top w:val="nil"/>
            </w:tcBorders>
            <w:noWrap w:val="0"/>
            <w:vAlign w:val="center"/>
          </w:tcPr>
          <w:p w14:paraId="47D375A7">
            <w:pPr>
              <w:pStyle w:val="13"/>
              <w:keepNext/>
              <w:spacing w:line="440" w:lineRule="exact"/>
              <w:ind w:left="63" w:right="63"/>
              <w:rPr>
                <w:color w:val="auto"/>
                <w:sz w:val="24"/>
                <w:highlight w:val="none"/>
              </w:rPr>
            </w:pPr>
          </w:p>
        </w:tc>
        <w:tc>
          <w:tcPr>
            <w:tcW w:w="1020" w:type="dxa"/>
            <w:tcBorders>
              <w:top w:val="nil"/>
            </w:tcBorders>
            <w:noWrap w:val="0"/>
            <w:vAlign w:val="center"/>
          </w:tcPr>
          <w:p w14:paraId="702144DC">
            <w:pPr>
              <w:pStyle w:val="13"/>
              <w:keepNext/>
              <w:spacing w:line="440" w:lineRule="exact"/>
              <w:ind w:left="63" w:right="63"/>
              <w:rPr>
                <w:color w:val="auto"/>
                <w:sz w:val="24"/>
                <w:highlight w:val="none"/>
              </w:rPr>
            </w:pPr>
          </w:p>
        </w:tc>
        <w:tc>
          <w:tcPr>
            <w:tcW w:w="921" w:type="dxa"/>
            <w:tcBorders>
              <w:top w:val="nil"/>
            </w:tcBorders>
            <w:noWrap w:val="0"/>
            <w:vAlign w:val="center"/>
          </w:tcPr>
          <w:p w14:paraId="1771380D">
            <w:pPr>
              <w:pStyle w:val="13"/>
              <w:keepNext/>
              <w:spacing w:line="440" w:lineRule="exact"/>
              <w:ind w:left="63" w:right="63"/>
              <w:rPr>
                <w:color w:val="auto"/>
                <w:sz w:val="24"/>
                <w:highlight w:val="none"/>
              </w:rPr>
            </w:pPr>
          </w:p>
        </w:tc>
      </w:tr>
      <w:tr w14:paraId="3FB6E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1EE49700">
            <w:pPr>
              <w:pStyle w:val="13"/>
              <w:keepNext/>
              <w:spacing w:line="440" w:lineRule="exact"/>
              <w:ind w:left="63" w:right="63"/>
              <w:rPr>
                <w:color w:val="auto"/>
                <w:sz w:val="24"/>
                <w:highlight w:val="none"/>
              </w:rPr>
            </w:pPr>
          </w:p>
        </w:tc>
        <w:tc>
          <w:tcPr>
            <w:tcW w:w="1418" w:type="dxa"/>
            <w:tcBorders>
              <w:top w:val="nil"/>
            </w:tcBorders>
            <w:noWrap w:val="0"/>
            <w:vAlign w:val="center"/>
          </w:tcPr>
          <w:p w14:paraId="3E542E62">
            <w:pPr>
              <w:pStyle w:val="13"/>
              <w:keepNext/>
              <w:spacing w:line="440" w:lineRule="exact"/>
              <w:ind w:left="63" w:right="63"/>
              <w:rPr>
                <w:color w:val="auto"/>
                <w:sz w:val="24"/>
                <w:highlight w:val="none"/>
              </w:rPr>
            </w:pPr>
          </w:p>
        </w:tc>
        <w:tc>
          <w:tcPr>
            <w:tcW w:w="850" w:type="dxa"/>
            <w:tcBorders>
              <w:top w:val="nil"/>
            </w:tcBorders>
            <w:noWrap w:val="0"/>
            <w:vAlign w:val="center"/>
          </w:tcPr>
          <w:p w14:paraId="0A2D7AA9">
            <w:pPr>
              <w:pStyle w:val="13"/>
              <w:keepNext/>
              <w:spacing w:line="440" w:lineRule="exact"/>
              <w:ind w:left="63" w:right="63"/>
              <w:rPr>
                <w:color w:val="auto"/>
                <w:sz w:val="24"/>
                <w:highlight w:val="none"/>
              </w:rPr>
            </w:pPr>
          </w:p>
        </w:tc>
        <w:tc>
          <w:tcPr>
            <w:tcW w:w="1058" w:type="dxa"/>
            <w:tcBorders>
              <w:top w:val="nil"/>
            </w:tcBorders>
            <w:noWrap w:val="0"/>
            <w:vAlign w:val="center"/>
          </w:tcPr>
          <w:p w14:paraId="4E4FA166">
            <w:pPr>
              <w:pStyle w:val="13"/>
              <w:keepNext/>
              <w:spacing w:line="440" w:lineRule="exact"/>
              <w:ind w:left="63" w:right="63"/>
              <w:rPr>
                <w:color w:val="auto"/>
                <w:sz w:val="24"/>
                <w:highlight w:val="none"/>
              </w:rPr>
            </w:pPr>
          </w:p>
        </w:tc>
        <w:tc>
          <w:tcPr>
            <w:tcW w:w="880" w:type="dxa"/>
            <w:tcBorders>
              <w:top w:val="nil"/>
            </w:tcBorders>
            <w:noWrap w:val="0"/>
            <w:vAlign w:val="center"/>
          </w:tcPr>
          <w:p w14:paraId="131B420D">
            <w:pPr>
              <w:pStyle w:val="13"/>
              <w:keepNext/>
              <w:spacing w:line="440" w:lineRule="exact"/>
              <w:ind w:left="63" w:right="63"/>
              <w:rPr>
                <w:color w:val="auto"/>
                <w:sz w:val="24"/>
                <w:highlight w:val="none"/>
              </w:rPr>
            </w:pPr>
          </w:p>
        </w:tc>
        <w:tc>
          <w:tcPr>
            <w:tcW w:w="1020" w:type="dxa"/>
            <w:tcBorders>
              <w:top w:val="nil"/>
            </w:tcBorders>
            <w:noWrap w:val="0"/>
            <w:vAlign w:val="center"/>
          </w:tcPr>
          <w:p w14:paraId="3F4BF92B">
            <w:pPr>
              <w:pStyle w:val="13"/>
              <w:keepNext/>
              <w:spacing w:line="440" w:lineRule="exact"/>
              <w:ind w:left="63" w:right="63"/>
              <w:rPr>
                <w:color w:val="auto"/>
                <w:sz w:val="24"/>
                <w:highlight w:val="none"/>
              </w:rPr>
            </w:pPr>
          </w:p>
        </w:tc>
        <w:tc>
          <w:tcPr>
            <w:tcW w:w="1480" w:type="dxa"/>
            <w:tcBorders>
              <w:top w:val="nil"/>
            </w:tcBorders>
            <w:noWrap w:val="0"/>
            <w:vAlign w:val="center"/>
          </w:tcPr>
          <w:p w14:paraId="3E33E39F">
            <w:pPr>
              <w:pStyle w:val="13"/>
              <w:keepNext/>
              <w:spacing w:line="440" w:lineRule="exact"/>
              <w:ind w:left="63" w:right="63"/>
              <w:rPr>
                <w:color w:val="auto"/>
                <w:sz w:val="24"/>
                <w:highlight w:val="none"/>
              </w:rPr>
            </w:pPr>
          </w:p>
        </w:tc>
        <w:tc>
          <w:tcPr>
            <w:tcW w:w="1020" w:type="dxa"/>
            <w:tcBorders>
              <w:top w:val="nil"/>
            </w:tcBorders>
            <w:noWrap w:val="0"/>
            <w:vAlign w:val="center"/>
          </w:tcPr>
          <w:p w14:paraId="3498970E">
            <w:pPr>
              <w:pStyle w:val="13"/>
              <w:keepNext/>
              <w:spacing w:line="440" w:lineRule="exact"/>
              <w:ind w:left="63" w:right="63"/>
              <w:rPr>
                <w:color w:val="auto"/>
                <w:sz w:val="24"/>
                <w:highlight w:val="none"/>
              </w:rPr>
            </w:pPr>
          </w:p>
        </w:tc>
        <w:tc>
          <w:tcPr>
            <w:tcW w:w="921" w:type="dxa"/>
            <w:tcBorders>
              <w:top w:val="nil"/>
            </w:tcBorders>
            <w:noWrap w:val="0"/>
            <w:vAlign w:val="center"/>
          </w:tcPr>
          <w:p w14:paraId="6807AC24">
            <w:pPr>
              <w:pStyle w:val="13"/>
              <w:keepNext/>
              <w:spacing w:line="440" w:lineRule="exact"/>
              <w:ind w:left="63" w:right="63"/>
              <w:rPr>
                <w:color w:val="auto"/>
                <w:sz w:val="24"/>
                <w:highlight w:val="none"/>
              </w:rPr>
            </w:pPr>
          </w:p>
        </w:tc>
      </w:tr>
      <w:tr w14:paraId="42AAE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39B9140">
            <w:pPr>
              <w:pStyle w:val="13"/>
              <w:keepNext/>
              <w:spacing w:line="440" w:lineRule="exact"/>
              <w:ind w:left="63" w:right="63"/>
              <w:rPr>
                <w:color w:val="auto"/>
                <w:sz w:val="24"/>
                <w:highlight w:val="none"/>
              </w:rPr>
            </w:pPr>
          </w:p>
        </w:tc>
        <w:tc>
          <w:tcPr>
            <w:tcW w:w="1418" w:type="dxa"/>
            <w:tcBorders>
              <w:top w:val="nil"/>
            </w:tcBorders>
            <w:noWrap w:val="0"/>
            <w:vAlign w:val="center"/>
          </w:tcPr>
          <w:p w14:paraId="69503526">
            <w:pPr>
              <w:pStyle w:val="13"/>
              <w:keepNext/>
              <w:spacing w:line="440" w:lineRule="exact"/>
              <w:ind w:left="63" w:right="63"/>
              <w:rPr>
                <w:color w:val="auto"/>
                <w:sz w:val="24"/>
                <w:highlight w:val="none"/>
              </w:rPr>
            </w:pPr>
          </w:p>
        </w:tc>
        <w:tc>
          <w:tcPr>
            <w:tcW w:w="850" w:type="dxa"/>
            <w:tcBorders>
              <w:top w:val="nil"/>
            </w:tcBorders>
            <w:noWrap w:val="0"/>
            <w:vAlign w:val="center"/>
          </w:tcPr>
          <w:p w14:paraId="2F5EEB3B">
            <w:pPr>
              <w:pStyle w:val="13"/>
              <w:keepNext/>
              <w:spacing w:line="440" w:lineRule="exact"/>
              <w:ind w:left="63" w:right="63"/>
              <w:rPr>
                <w:color w:val="auto"/>
                <w:sz w:val="24"/>
                <w:highlight w:val="none"/>
              </w:rPr>
            </w:pPr>
          </w:p>
        </w:tc>
        <w:tc>
          <w:tcPr>
            <w:tcW w:w="1058" w:type="dxa"/>
            <w:tcBorders>
              <w:top w:val="nil"/>
            </w:tcBorders>
            <w:noWrap w:val="0"/>
            <w:vAlign w:val="center"/>
          </w:tcPr>
          <w:p w14:paraId="0B445D9A">
            <w:pPr>
              <w:pStyle w:val="13"/>
              <w:keepNext/>
              <w:spacing w:line="440" w:lineRule="exact"/>
              <w:ind w:left="63" w:right="63"/>
              <w:rPr>
                <w:color w:val="auto"/>
                <w:sz w:val="24"/>
                <w:highlight w:val="none"/>
              </w:rPr>
            </w:pPr>
          </w:p>
        </w:tc>
        <w:tc>
          <w:tcPr>
            <w:tcW w:w="880" w:type="dxa"/>
            <w:tcBorders>
              <w:top w:val="nil"/>
            </w:tcBorders>
            <w:noWrap w:val="0"/>
            <w:vAlign w:val="center"/>
          </w:tcPr>
          <w:p w14:paraId="4608FAA1">
            <w:pPr>
              <w:pStyle w:val="13"/>
              <w:keepNext/>
              <w:spacing w:line="440" w:lineRule="exact"/>
              <w:ind w:left="63" w:right="63"/>
              <w:rPr>
                <w:color w:val="auto"/>
                <w:sz w:val="24"/>
                <w:highlight w:val="none"/>
              </w:rPr>
            </w:pPr>
          </w:p>
        </w:tc>
        <w:tc>
          <w:tcPr>
            <w:tcW w:w="1020" w:type="dxa"/>
            <w:tcBorders>
              <w:top w:val="nil"/>
            </w:tcBorders>
            <w:noWrap w:val="0"/>
            <w:vAlign w:val="center"/>
          </w:tcPr>
          <w:p w14:paraId="4FA8313A">
            <w:pPr>
              <w:pStyle w:val="13"/>
              <w:keepNext/>
              <w:spacing w:line="440" w:lineRule="exact"/>
              <w:ind w:left="63" w:right="63"/>
              <w:rPr>
                <w:color w:val="auto"/>
                <w:sz w:val="24"/>
                <w:highlight w:val="none"/>
              </w:rPr>
            </w:pPr>
          </w:p>
        </w:tc>
        <w:tc>
          <w:tcPr>
            <w:tcW w:w="1480" w:type="dxa"/>
            <w:tcBorders>
              <w:top w:val="nil"/>
            </w:tcBorders>
            <w:noWrap w:val="0"/>
            <w:vAlign w:val="center"/>
          </w:tcPr>
          <w:p w14:paraId="5E82D81F">
            <w:pPr>
              <w:pStyle w:val="13"/>
              <w:keepNext/>
              <w:spacing w:line="440" w:lineRule="exact"/>
              <w:ind w:left="63" w:right="63"/>
              <w:rPr>
                <w:color w:val="auto"/>
                <w:sz w:val="24"/>
                <w:highlight w:val="none"/>
              </w:rPr>
            </w:pPr>
          </w:p>
        </w:tc>
        <w:tc>
          <w:tcPr>
            <w:tcW w:w="1020" w:type="dxa"/>
            <w:tcBorders>
              <w:top w:val="nil"/>
            </w:tcBorders>
            <w:noWrap w:val="0"/>
            <w:vAlign w:val="center"/>
          </w:tcPr>
          <w:p w14:paraId="12827D54">
            <w:pPr>
              <w:pStyle w:val="13"/>
              <w:keepNext/>
              <w:spacing w:line="440" w:lineRule="exact"/>
              <w:ind w:left="63" w:right="63"/>
              <w:rPr>
                <w:color w:val="auto"/>
                <w:sz w:val="24"/>
                <w:highlight w:val="none"/>
              </w:rPr>
            </w:pPr>
          </w:p>
        </w:tc>
        <w:tc>
          <w:tcPr>
            <w:tcW w:w="921" w:type="dxa"/>
            <w:tcBorders>
              <w:top w:val="nil"/>
            </w:tcBorders>
            <w:noWrap w:val="0"/>
            <w:vAlign w:val="center"/>
          </w:tcPr>
          <w:p w14:paraId="1E54AA6D">
            <w:pPr>
              <w:pStyle w:val="13"/>
              <w:keepNext/>
              <w:spacing w:line="440" w:lineRule="exact"/>
              <w:ind w:left="63" w:right="63"/>
              <w:rPr>
                <w:color w:val="auto"/>
                <w:sz w:val="24"/>
                <w:highlight w:val="none"/>
              </w:rPr>
            </w:pPr>
          </w:p>
        </w:tc>
      </w:tr>
      <w:tr w14:paraId="68D58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B65222B">
            <w:pPr>
              <w:pStyle w:val="13"/>
              <w:keepNext/>
              <w:spacing w:line="440" w:lineRule="exact"/>
              <w:ind w:left="63" w:right="63"/>
              <w:rPr>
                <w:color w:val="auto"/>
                <w:sz w:val="24"/>
                <w:highlight w:val="none"/>
              </w:rPr>
            </w:pPr>
          </w:p>
        </w:tc>
        <w:tc>
          <w:tcPr>
            <w:tcW w:w="1418" w:type="dxa"/>
            <w:tcBorders>
              <w:top w:val="nil"/>
            </w:tcBorders>
            <w:noWrap w:val="0"/>
            <w:vAlign w:val="center"/>
          </w:tcPr>
          <w:p w14:paraId="7F15CA8A">
            <w:pPr>
              <w:pStyle w:val="13"/>
              <w:keepNext/>
              <w:spacing w:line="440" w:lineRule="exact"/>
              <w:ind w:left="63" w:right="63"/>
              <w:rPr>
                <w:color w:val="auto"/>
                <w:sz w:val="24"/>
                <w:highlight w:val="none"/>
              </w:rPr>
            </w:pPr>
          </w:p>
        </w:tc>
        <w:tc>
          <w:tcPr>
            <w:tcW w:w="850" w:type="dxa"/>
            <w:tcBorders>
              <w:top w:val="nil"/>
            </w:tcBorders>
            <w:noWrap w:val="0"/>
            <w:vAlign w:val="center"/>
          </w:tcPr>
          <w:p w14:paraId="3C55AB47">
            <w:pPr>
              <w:pStyle w:val="13"/>
              <w:keepNext/>
              <w:spacing w:line="440" w:lineRule="exact"/>
              <w:ind w:left="63" w:right="63"/>
              <w:rPr>
                <w:color w:val="auto"/>
                <w:sz w:val="24"/>
                <w:highlight w:val="none"/>
              </w:rPr>
            </w:pPr>
          </w:p>
        </w:tc>
        <w:tc>
          <w:tcPr>
            <w:tcW w:w="1058" w:type="dxa"/>
            <w:tcBorders>
              <w:top w:val="nil"/>
            </w:tcBorders>
            <w:noWrap w:val="0"/>
            <w:vAlign w:val="center"/>
          </w:tcPr>
          <w:p w14:paraId="6C9F567F">
            <w:pPr>
              <w:pStyle w:val="13"/>
              <w:keepNext/>
              <w:spacing w:line="440" w:lineRule="exact"/>
              <w:ind w:left="63" w:right="63"/>
              <w:rPr>
                <w:color w:val="auto"/>
                <w:sz w:val="24"/>
                <w:highlight w:val="none"/>
              </w:rPr>
            </w:pPr>
          </w:p>
        </w:tc>
        <w:tc>
          <w:tcPr>
            <w:tcW w:w="880" w:type="dxa"/>
            <w:tcBorders>
              <w:top w:val="nil"/>
            </w:tcBorders>
            <w:noWrap w:val="0"/>
            <w:vAlign w:val="center"/>
          </w:tcPr>
          <w:p w14:paraId="4733795C">
            <w:pPr>
              <w:pStyle w:val="13"/>
              <w:keepNext/>
              <w:spacing w:line="440" w:lineRule="exact"/>
              <w:ind w:left="63" w:right="63"/>
              <w:rPr>
                <w:color w:val="auto"/>
                <w:sz w:val="24"/>
                <w:highlight w:val="none"/>
              </w:rPr>
            </w:pPr>
          </w:p>
        </w:tc>
        <w:tc>
          <w:tcPr>
            <w:tcW w:w="1020" w:type="dxa"/>
            <w:tcBorders>
              <w:top w:val="nil"/>
            </w:tcBorders>
            <w:noWrap w:val="0"/>
            <w:vAlign w:val="center"/>
          </w:tcPr>
          <w:p w14:paraId="50169175">
            <w:pPr>
              <w:pStyle w:val="13"/>
              <w:keepNext/>
              <w:spacing w:line="440" w:lineRule="exact"/>
              <w:ind w:left="63" w:right="63"/>
              <w:rPr>
                <w:color w:val="auto"/>
                <w:sz w:val="24"/>
                <w:highlight w:val="none"/>
              </w:rPr>
            </w:pPr>
          </w:p>
        </w:tc>
        <w:tc>
          <w:tcPr>
            <w:tcW w:w="1480" w:type="dxa"/>
            <w:tcBorders>
              <w:top w:val="nil"/>
            </w:tcBorders>
            <w:noWrap w:val="0"/>
            <w:vAlign w:val="center"/>
          </w:tcPr>
          <w:p w14:paraId="6B834E5B">
            <w:pPr>
              <w:pStyle w:val="13"/>
              <w:keepNext/>
              <w:spacing w:line="440" w:lineRule="exact"/>
              <w:ind w:left="63" w:right="63"/>
              <w:rPr>
                <w:color w:val="auto"/>
                <w:sz w:val="24"/>
                <w:highlight w:val="none"/>
              </w:rPr>
            </w:pPr>
          </w:p>
        </w:tc>
        <w:tc>
          <w:tcPr>
            <w:tcW w:w="1020" w:type="dxa"/>
            <w:tcBorders>
              <w:top w:val="nil"/>
            </w:tcBorders>
            <w:noWrap w:val="0"/>
            <w:vAlign w:val="center"/>
          </w:tcPr>
          <w:p w14:paraId="243C937D">
            <w:pPr>
              <w:pStyle w:val="13"/>
              <w:keepNext/>
              <w:spacing w:line="440" w:lineRule="exact"/>
              <w:ind w:left="63" w:right="63"/>
              <w:rPr>
                <w:color w:val="auto"/>
                <w:sz w:val="24"/>
                <w:highlight w:val="none"/>
              </w:rPr>
            </w:pPr>
          </w:p>
        </w:tc>
        <w:tc>
          <w:tcPr>
            <w:tcW w:w="921" w:type="dxa"/>
            <w:tcBorders>
              <w:top w:val="nil"/>
            </w:tcBorders>
            <w:noWrap w:val="0"/>
            <w:vAlign w:val="center"/>
          </w:tcPr>
          <w:p w14:paraId="240D591E">
            <w:pPr>
              <w:pStyle w:val="13"/>
              <w:keepNext/>
              <w:spacing w:line="440" w:lineRule="exact"/>
              <w:ind w:left="63" w:right="63"/>
              <w:rPr>
                <w:color w:val="auto"/>
                <w:sz w:val="24"/>
                <w:highlight w:val="none"/>
              </w:rPr>
            </w:pPr>
          </w:p>
        </w:tc>
      </w:tr>
      <w:tr w14:paraId="3D221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40A8A06D">
            <w:pPr>
              <w:pStyle w:val="13"/>
              <w:keepNext/>
              <w:spacing w:line="440" w:lineRule="exact"/>
              <w:ind w:left="63" w:right="63"/>
              <w:rPr>
                <w:color w:val="auto"/>
                <w:sz w:val="24"/>
                <w:highlight w:val="none"/>
              </w:rPr>
            </w:pPr>
          </w:p>
        </w:tc>
        <w:tc>
          <w:tcPr>
            <w:tcW w:w="1418" w:type="dxa"/>
            <w:tcBorders>
              <w:top w:val="nil"/>
            </w:tcBorders>
            <w:noWrap w:val="0"/>
            <w:vAlign w:val="center"/>
          </w:tcPr>
          <w:p w14:paraId="2CB5ADD6">
            <w:pPr>
              <w:pStyle w:val="13"/>
              <w:keepNext/>
              <w:spacing w:line="440" w:lineRule="exact"/>
              <w:ind w:left="63" w:right="63"/>
              <w:rPr>
                <w:color w:val="auto"/>
                <w:sz w:val="24"/>
                <w:highlight w:val="none"/>
              </w:rPr>
            </w:pPr>
          </w:p>
        </w:tc>
        <w:tc>
          <w:tcPr>
            <w:tcW w:w="850" w:type="dxa"/>
            <w:tcBorders>
              <w:top w:val="nil"/>
            </w:tcBorders>
            <w:noWrap w:val="0"/>
            <w:vAlign w:val="center"/>
          </w:tcPr>
          <w:p w14:paraId="664BDA6A">
            <w:pPr>
              <w:pStyle w:val="13"/>
              <w:keepNext/>
              <w:spacing w:line="440" w:lineRule="exact"/>
              <w:ind w:left="63" w:right="63"/>
              <w:rPr>
                <w:color w:val="auto"/>
                <w:sz w:val="24"/>
                <w:highlight w:val="none"/>
              </w:rPr>
            </w:pPr>
          </w:p>
        </w:tc>
        <w:tc>
          <w:tcPr>
            <w:tcW w:w="1058" w:type="dxa"/>
            <w:tcBorders>
              <w:top w:val="nil"/>
            </w:tcBorders>
            <w:noWrap w:val="0"/>
            <w:vAlign w:val="center"/>
          </w:tcPr>
          <w:p w14:paraId="3E84ED10">
            <w:pPr>
              <w:pStyle w:val="13"/>
              <w:keepNext/>
              <w:spacing w:line="440" w:lineRule="exact"/>
              <w:ind w:left="63" w:right="63"/>
              <w:rPr>
                <w:color w:val="auto"/>
                <w:sz w:val="24"/>
                <w:highlight w:val="none"/>
              </w:rPr>
            </w:pPr>
          </w:p>
        </w:tc>
        <w:tc>
          <w:tcPr>
            <w:tcW w:w="880" w:type="dxa"/>
            <w:tcBorders>
              <w:top w:val="nil"/>
            </w:tcBorders>
            <w:noWrap w:val="0"/>
            <w:vAlign w:val="center"/>
          </w:tcPr>
          <w:p w14:paraId="1C9EBB46">
            <w:pPr>
              <w:pStyle w:val="13"/>
              <w:keepNext/>
              <w:spacing w:line="440" w:lineRule="exact"/>
              <w:ind w:left="63" w:right="63"/>
              <w:rPr>
                <w:color w:val="auto"/>
                <w:sz w:val="24"/>
                <w:highlight w:val="none"/>
              </w:rPr>
            </w:pPr>
          </w:p>
        </w:tc>
        <w:tc>
          <w:tcPr>
            <w:tcW w:w="1020" w:type="dxa"/>
            <w:tcBorders>
              <w:top w:val="nil"/>
            </w:tcBorders>
            <w:noWrap w:val="0"/>
            <w:vAlign w:val="center"/>
          </w:tcPr>
          <w:p w14:paraId="02736DC7">
            <w:pPr>
              <w:pStyle w:val="13"/>
              <w:keepNext/>
              <w:spacing w:line="440" w:lineRule="exact"/>
              <w:ind w:left="63" w:right="63"/>
              <w:rPr>
                <w:color w:val="auto"/>
                <w:sz w:val="24"/>
                <w:highlight w:val="none"/>
              </w:rPr>
            </w:pPr>
          </w:p>
        </w:tc>
        <w:tc>
          <w:tcPr>
            <w:tcW w:w="1480" w:type="dxa"/>
            <w:tcBorders>
              <w:top w:val="nil"/>
            </w:tcBorders>
            <w:noWrap w:val="0"/>
            <w:vAlign w:val="center"/>
          </w:tcPr>
          <w:p w14:paraId="1127FD5B">
            <w:pPr>
              <w:pStyle w:val="13"/>
              <w:keepNext/>
              <w:spacing w:line="440" w:lineRule="exact"/>
              <w:ind w:left="63" w:right="63"/>
              <w:rPr>
                <w:color w:val="auto"/>
                <w:sz w:val="24"/>
                <w:highlight w:val="none"/>
              </w:rPr>
            </w:pPr>
          </w:p>
        </w:tc>
        <w:tc>
          <w:tcPr>
            <w:tcW w:w="1020" w:type="dxa"/>
            <w:tcBorders>
              <w:top w:val="nil"/>
            </w:tcBorders>
            <w:noWrap w:val="0"/>
            <w:vAlign w:val="center"/>
          </w:tcPr>
          <w:p w14:paraId="00CEED84">
            <w:pPr>
              <w:pStyle w:val="13"/>
              <w:keepNext/>
              <w:spacing w:line="440" w:lineRule="exact"/>
              <w:ind w:left="63" w:right="63"/>
              <w:rPr>
                <w:color w:val="auto"/>
                <w:sz w:val="24"/>
                <w:highlight w:val="none"/>
              </w:rPr>
            </w:pPr>
          </w:p>
        </w:tc>
        <w:tc>
          <w:tcPr>
            <w:tcW w:w="921" w:type="dxa"/>
            <w:tcBorders>
              <w:top w:val="nil"/>
            </w:tcBorders>
            <w:noWrap w:val="0"/>
            <w:vAlign w:val="center"/>
          </w:tcPr>
          <w:p w14:paraId="179AEC74">
            <w:pPr>
              <w:pStyle w:val="13"/>
              <w:keepNext/>
              <w:spacing w:line="440" w:lineRule="exact"/>
              <w:ind w:left="63" w:right="63"/>
              <w:rPr>
                <w:color w:val="auto"/>
                <w:sz w:val="24"/>
                <w:highlight w:val="none"/>
              </w:rPr>
            </w:pPr>
          </w:p>
        </w:tc>
      </w:tr>
      <w:tr w14:paraId="2F730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8DD72C5">
            <w:pPr>
              <w:pStyle w:val="13"/>
              <w:keepNext/>
              <w:spacing w:line="440" w:lineRule="exact"/>
              <w:ind w:left="63" w:right="63"/>
              <w:rPr>
                <w:color w:val="auto"/>
                <w:sz w:val="24"/>
                <w:highlight w:val="none"/>
              </w:rPr>
            </w:pPr>
          </w:p>
        </w:tc>
        <w:tc>
          <w:tcPr>
            <w:tcW w:w="1418" w:type="dxa"/>
            <w:tcBorders>
              <w:top w:val="nil"/>
            </w:tcBorders>
            <w:noWrap w:val="0"/>
            <w:vAlign w:val="center"/>
          </w:tcPr>
          <w:p w14:paraId="2517285B">
            <w:pPr>
              <w:pStyle w:val="13"/>
              <w:keepNext/>
              <w:spacing w:line="440" w:lineRule="exact"/>
              <w:ind w:left="63" w:right="63"/>
              <w:rPr>
                <w:color w:val="auto"/>
                <w:sz w:val="24"/>
                <w:highlight w:val="none"/>
              </w:rPr>
            </w:pPr>
          </w:p>
        </w:tc>
        <w:tc>
          <w:tcPr>
            <w:tcW w:w="850" w:type="dxa"/>
            <w:tcBorders>
              <w:top w:val="nil"/>
            </w:tcBorders>
            <w:noWrap w:val="0"/>
            <w:vAlign w:val="center"/>
          </w:tcPr>
          <w:p w14:paraId="2F9580AE">
            <w:pPr>
              <w:pStyle w:val="13"/>
              <w:keepNext/>
              <w:spacing w:line="440" w:lineRule="exact"/>
              <w:ind w:left="63" w:right="63"/>
              <w:rPr>
                <w:color w:val="auto"/>
                <w:sz w:val="24"/>
                <w:highlight w:val="none"/>
              </w:rPr>
            </w:pPr>
          </w:p>
        </w:tc>
        <w:tc>
          <w:tcPr>
            <w:tcW w:w="1058" w:type="dxa"/>
            <w:tcBorders>
              <w:top w:val="nil"/>
            </w:tcBorders>
            <w:noWrap w:val="0"/>
            <w:vAlign w:val="center"/>
          </w:tcPr>
          <w:p w14:paraId="135950F9">
            <w:pPr>
              <w:pStyle w:val="13"/>
              <w:keepNext/>
              <w:spacing w:line="440" w:lineRule="exact"/>
              <w:ind w:left="63" w:right="63"/>
              <w:rPr>
                <w:color w:val="auto"/>
                <w:sz w:val="24"/>
                <w:highlight w:val="none"/>
              </w:rPr>
            </w:pPr>
          </w:p>
        </w:tc>
        <w:tc>
          <w:tcPr>
            <w:tcW w:w="880" w:type="dxa"/>
            <w:tcBorders>
              <w:top w:val="nil"/>
            </w:tcBorders>
            <w:noWrap w:val="0"/>
            <w:vAlign w:val="center"/>
          </w:tcPr>
          <w:p w14:paraId="7AC0E8D7">
            <w:pPr>
              <w:pStyle w:val="13"/>
              <w:keepNext/>
              <w:spacing w:line="440" w:lineRule="exact"/>
              <w:ind w:left="63" w:right="63"/>
              <w:rPr>
                <w:color w:val="auto"/>
                <w:sz w:val="24"/>
                <w:highlight w:val="none"/>
              </w:rPr>
            </w:pPr>
          </w:p>
        </w:tc>
        <w:tc>
          <w:tcPr>
            <w:tcW w:w="1020" w:type="dxa"/>
            <w:tcBorders>
              <w:top w:val="nil"/>
            </w:tcBorders>
            <w:noWrap w:val="0"/>
            <w:vAlign w:val="center"/>
          </w:tcPr>
          <w:p w14:paraId="4812DC22">
            <w:pPr>
              <w:pStyle w:val="13"/>
              <w:keepNext/>
              <w:spacing w:line="440" w:lineRule="exact"/>
              <w:ind w:left="63" w:right="63"/>
              <w:rPr>
                <w:color w:val="auto"/>
                <w:sz w:val="24"/>
                <w:highlight w:val="none"/>
              </w:rPr>
            </w:pPr>
          </w:p>
        </w:tc>
        <w:tc>
          <w:tcPr>
            <w:tcW w:w="1480" w:type="dxa"/>
            <w:tcBorders>
              <w:top w:val="nil"/>
            </w:tcBorders>
            <w:noWrap w:val="0"/>
            <w:vAlign w:val="center"/>
          </w:tcPr>
          <w:p w14:paraId="273CCCFD">
            <w:pPr>
              <w:pStyle w:val="13"/>
              <w:keepNext/>
              <w:spacing w:line="440" w:lineRule="exact"/>
              <w:ind w:left="63" w:right="63"/>
              <w:rPr>
                <w:color w:val="auto"/>
                <w:sz w:val="24"/>
                <w:highlight w:val="none"/>
              </w:rPr>
            </w:pPr>
          </w:p>
        </w:tc>
        <w:tc>
          <w:tcPr>
            <w:tcW w:w="1020" w:type="dxa"/>
            <w:tcBorders>
              <w:top w:val="nil"/>
            </w:tcBorders>
            <w:noWrap w:val="0"/>
            <w:vAlign w:val="center"/>
          </w:tcPr>
          <w:p w14:paraId="05B8C818">
            <w:pPr>
              <w:pStyle w:val="13"/>
              <w:keepNext/>
              <w:spacing w:line="440" w:lineRule="exact"/>
              <w:ind w:left="63" w:right="63"/>
              <w:rPr>
                <w:color w:val="auto"/>
                <w:sz w:val="24"/>
                <w:highlight w:val="none"/>
              </w:rPr>
            </w:pPr>
          </w:p>
        </w:tc>
        <w:tc>
          <w:tcPr>
            <w:tcW w:w="921" w:type="dxa"/>
            <w:tcBorders>
              <w:top w:val="nil"/>
            </w:tcBorders>
            <w:noWrap w:val="0"/>
            <w:vAlign w:val="center"/>
          </w:tcPr>
          <w:p w14:paraId="2005BE45">
            <w:pPr>
              <w:pStyle w:val="13"/>
              <w:keepNext/>
              <w:spacing w:line="440" w:lineRule="exact"/>
              <w:ind w:left="63" w:right="63"/>
              <w:rPr>
                <w:color w:val="auto"/>
                <w:sz w:val="24"/>
                <w:highlight w:val="none"/>
              </w:rPr>
            </w:pPr>
          </w:p>
        </w:tc>
      </w:tr>
      <w:tr w14:paraId="19DBA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4F167780">
            <w:pPr>
              <w:pStyle w:val="13"/>
              <w:keepNext/>
              <w:spacing w:line="440" w:lineRule="exact"/>
              <w:ind w:left="63" w:right="63"/>
              <w:rPr>
                <w:color w:val="auto"/>
                <w:sz w:val="24"/>
                <w:highlight w:val="none"/>
              </w:rPr>
            </w:pPr>
          </w:p>
        </w:tc>
        <w:tc>
          <w:tcPr>
            <w:tcW w:w="1418" w:type="dxa"/>
            <w:tcBorders>
              <w:top w:val="nil"/>
            </w:tcBorders>
            <w:noWrap w:val="0"/>
            <w:vAlign w:val="center"/>
          </w:tcPr>
          <w:p w14:paraId="6166E676">
            <w:pPr>
              <w:pStyle w:val="13"/>
              <w:keepNext/>
              <w:spacing w:line="440" w:lineRule="exact"/>
              <w:ind w:left="63" w:right="63"/>
              <w:rPr>
                <w:color w:val="auto"/>
                <w:sz w:val="24"/>
                <w:highlight w:val="none"/>
              </w:rPr>
            </w:pPr>
          </w:p>
        </w:tc>
        <w:tc>
          <w:tcPr>
            <w:tcW w:w="850" w:type="dxa"/>
            <w:tcBorders>
              <w:top w:val="nil"/>
            </w:tcBorders>
            <w:noWrap w:val="0"/>
            <w:vAlign w:val="center"/>
          </w:tcPr>
          <w:p w14:paraId="65E07CD2">
            <w:pPr>
              <w:pStyle w:val="13"/>
              <w:keepNext/>
              <w:spacing w:line="440" w:lineRule="exact"/>
              <w:ind w:left="63" w:right="63"/>
              <w:rPr>
                <w:color w:val="auto"/>
                <w:sz w:val="24"/>
                <w:highlight w:val="none"/>
              </w:rPr>
            </w:pPr>
          </w:p>
        </w:tc>
        <w:tc>
          <w:tcPr>
            <w:tcW w:w="1058" w:type="dxa"/>
            <w:tcBorders>
              <w:top w:val="nil"/>
            </w:tcBorders>
            <w:noWrap w:val="0"/>
            <w:vAlign w:val="center"/>
          </w:tcPr>
          <w:p w14:paraId="34D58D8F">
            <w:pPr>
              <w:pStyle w:val="13"/>
              <w:keepNext/>
              <w:spacing w:line="440" w:lineRule="exact"/>
              <w:ind w:left="63" w:right="63"/>
              <w:rPr>
                <w:color w:val="auto"/>
                <w:sz w:val="24"/>
                <w:highlight w:val="none"/>
              </w:rPr>
            </w:pPr>
          </w:p>
        </w:tc>
        <w:tc>
          <w:tcPr>
            <w:tcW w:w="880" w:type="dxa"/>
            <w:tcBorders>
              <w:top w:val="nil"/>
            </w:tcBorders>
            <w:noWrap w:val="0"/>
            <w:vAlign w:val="center"/>
          </w:tcPr>
          <w:p w14:paraId="2DC902A5">
            <w:pPr>
              <w:pStyle w:val="13"/>
              <w:keepNext/>
              <w:spacing w:line="440" w:lineRule="exact"/>
              <w:ind w:left="63" w:right="63"/>
              <w:rPr>
                <w:color w:val="auto"/>
                <w:sz w:val="24"/>
                <w:highlight w:val="none"/>
              </w:rPr>
            </w:pPr>
          </w:p>
        </w:tc>
        <w:tc>
          <w:tcPr>
            <w:tcW w:w="1020" w:type="dxa"/>
            <w:tcBorders>
              <w:top w:val="nil"/>
            </w:tcBorders>
            <w:noWrap w:val="0"/>
            <w:vAlign w:val="center"/>
          </w:tcPr>
          <w:p w14:paraId="6E01075A">
            <w:pPr>
              <w:pStyle w:val="13"/>
              <w:keepNext/>
              <w:spacing w:line="440" w:lineRule="exact"/>
              <w:ind w:left="63" w:right="63"/>
              <w:rPr>
                <w:color w:val="auto"/>
                <w:sz w:val="24"/>
                <w:highlight w:val="none"/>
              </w:rPr>
            </w:pPr>
          </w:p>
        </w:tc>
        <w:tc>
          <w:tcPr>
            <w:tcW w:w="1480" w:type="dxa"/>
            <w:tcBorders>
              <w:top w:val="nil"/>
            </w:tcBorders>
            <w:noWrap w:val="0"/>
            <w:vAlign w:val="center"/>
          </w:tcPr>
          <w:p w14:paraId="318F761F">
            <w:pPr>
              <w:pStyle w:val="13"/>
              <w:keepNext/>
              <w:spacing w:line="440" w:lineRule="exact"/>
              <w:ind w:left="63" w:right="63"/>
              <w:rPr>
                <w:color w:val="auto"/>
                <w:sz w:val="24"/>
                <w:highlight w:val="none"/>
              </w:rPr>
            </w:pPr>
          </w:p>
        </w:tc>
        <w:tc>
          <w:tcPr>
            <w:tcW w:w="1020" w:type="dxa"/>
            <w:tcBorders>
              <w:top w:val="nil"/>
            </w:tcBorders>
            <w:noWrap w:val="0"/>
            <w:vAlign w:val="center"/>
          </w:tcPr>
          <w:p w14:paraId="1AF74DFA">
            <w:pPr>
              <w:pStyle w:val="13"/>
              <w:keepNext/>
              <w:spacing w:line="440" w:lineRule="exact"/>
              <w:ind w:left="63" w:right="63"/>
              <w:rPr>
                <w:color w:val="auto"/>
                <w:sz w:val="24"/>
                <w:highlight w:val="none"/>
              </w:rPr>
            </w:pPr>
          </w:p>
        </w:tc>
        <w:tc>
          <w:tcPr>
            <w:tcW w:w="921" w:type="dxa"/>
            <w:tcBorders>
              <w:top w:val="nil"/>
            </w:tcBorders>
            <w:noWrap w:val="0"/>
            <w:vAlign w:val="center"/>
          </w:tcPr>
          <w:p w14:paraId="454E590E">
            <w:pPr>
              <w:pStyle w:val="13"/>
              <w:keepNext/>
              <w:spacing w:line="440" w:lineRule="exact"/>
              <w:ind w:left="63" w:right="63"/>
              <w:rPr>
                <w:color w:val="auto"/>
                <w:sz w:val="24"/>
                <w:highlight w:val="none"/>
              </w:rPr>
            </w:pPr>
          </w:p>
        </w:tc>
      </w:tr>
      <w:tr w14:paraId="64990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A1A9556">
            <w:pPr>
              <w:pStyle w:val="13"/>
              <w:keepNext/>
              <w:spacing w:line="440" w:lineRule="exact"/>
              <w:ind w:left="63" w:right="63"/>
              <w:rPr>
                <w:color w:val="auto"/>
                <w:sz w:val="24"/>
                <w:highlight w:val="none"/>
              </w:rPr>
            </w:pPr>
          </w:p>
        </w:tc>
        <w:tc>
          <w:tcPr>
            <w:tcW w:w="1418" w:type="dxa"/>
            <w:tcBorders>
              <w:top w:val="nil"/>
            </w:tcBorders>
            <w:noWrap w:val="0"/>
            <w:vAlign w:val="center"/>
          </w:tcPr>
          <w:p w14:paraId="249A49F6">
            <w:pPr>
              <w:pStyle w:val="13"/>
              <w:keepNext/>
              <w:spacing w:line="440" w:lineRule="exact"/>
              <w:ind w:left="63" w:right="63"/>
              <w:rPr>
                <w:color w:val="auto"/>
                <w:sz w:val="24"/>
                <w:highlight w:val="none"/>
              </w:rPr>
            </w:pPr>
          </w:p>
        </w:tc>
        <w:tc>
          <w:tcPr>
            <w:tcW w:w="850" w:type="dxa"/>
            <w:tcBorders>
              <w:top w:val="nil"/>
            </w:tcBorders>
            <w:noWrap w:val="0"/>
            <w:vAlign w:val="center"/>
          </w:tcPr>
          <w:p w14:paraId="1A21CAA4">
            <w:pPr>
              <w:pStyle w:val="13"/>
              <w:keepNext/>
              <w:spacing w:line="440" w:lineRule="exact"/>
              <w:ind w:left="63" w:right="63"/>
              <w:rPr>
                <w:color w:val="auto"/>
                <w:sz w:val="24"/>
                <w:highlight w:val="none"/>
              </w:rPr>
            </w:pPr>
          </w:p>
        </w:tc>
        <w:tc>
          <w:tcPr>
            <w:tcW w:w="1058" w:type="dxa"/>
            <w:tcBorders>
              <w:top w:val="nil"/>
            </w:tcBorders>
            <w:noWrap w:val="0"/>
            <w:vAlign w:val="center"/>
          </w:tcPr>
          <w:p w14:paraId="3D495A9C">
            <w:pPr>
              <w:pStyle w:val="13"/>
              <w:keepNext/>
              <w:spacing w:line="440" w:lineRule="exact"/>
              <w:ind w:left="63" w:right="63"/>
              <w:rPr>
                <w:color w:val="auto"/>
                <w:sz w:val="24"/>
                <w:highlight w:val="none"/>
              </w:rPr>
            </w:pPr>
          </w:p>
        </w:tc>
        <w:tc>
          <w:tcPr>
            <w:tcW w:w="880" w:type="dxa"/>
            <w:tcBorders>
              <w:top w:val="nil"/>
            </w:tcBorders>
            <w:noWrap w:val="0"/>
            <w:vAlign w:val="center"/>
          </w:tcPr>
          <w:p w14:paraId="42CE0D6B">
            <w:pPr>
              <w:pStyle w:val="13"/>
              <w:keepNext/>
              <w:spacing w:line="440" w:lineRule="exact"/>
              <w:ind w:left="63" w:right="63"/>
              <w:rPr>
                <w:color w:val="auto"/>
                <w:sz w:val="24"/>
                <w:highlight w:val="none"/>
              </w:rPr>
            </w:pPr>
          </w:p>
        </w:tc>
        <w:tc>
          <w:tcPr>
            <w:tcW w:w="1020" w:type="dxa"/>
            <w:tcBorders>
              <w:top w:val="nil"/>
            </w:tcBorders>
            <w:noWrap w:val="0"/>
            <w:vAlign w:val="center"/>
          </w:tcPr>
          <w:p w14:paraId="5951044A">
            <w:pPr>
              <w:pStyle w:val="13"/>
              <w:keepNext/>
              <w:spacing w:line="440" w:lineRule="exact"/>
              <w:ind w:left="63" w:right="63"/>
              <w:rPr>
                <w:color w:val="auto"/>
                <w:sz w:val="24"/>
                <w:highlight w:val="none"/>
              </w:rPr>
            </w:pPr>
          </w:p>
        </w:tc>
        <w:tc>
          <w:tcPr>
            <w:tcW w:w="1480" w:type="dxa"/>
            <w:tcBorders>
              <w:top w:val="nil"/>
            </w:tcBorders>
            <w:noWrap w:val="0"/>
            <w:vAlign w:val="center"/>
          </w:tcPr>
          <w:p w14:paraId="2FA2C210">
            <w:pPr>
              <w:pStyle w:val="13"/>
              <w:keepNext/>
              <w:spacing w:line="440" w:lineRule="exact"/>
              <w:ind w:left="63" w:right="63"/>
              <w:rPr>
                <w:color w:val="auto"/>
                <w:sz w:val="24"/>
                <w:highlight w:val="none"/>
              </w:rPr>
            </w:pPr>
          </w:p>
        </w:tc>
        <w:tc>
          <w:tcPr>
            <w:tcW w:w="1020" w:type="dxa"/>
            <w:tcBorders>
              <w:top w:val="nil"/>
            </w:tcBorders>
            <w:noWrap w:val="0"/>
            <w:vAlign w:val="center"/>
          </w:tcPr>
          <w:p w14:paraId="5A177D29">
            <w:pPr>
              <w:pStyle w:val="13"/>
              <w:keepNext/>
              <w:spacing w:line="440" w:lineRule="exact"/>
              <w:ind w:left="63" w:right="63"/>
              <w:rPr>
                <w:color w:val="auto"/>
                <w:sz w:val="24"/>
                <w:highlight w:val="none"/>
              </w:rPr>
            </w:pPr>
          </w:p>
        </w:tc>
        <w:tc>
          <w:tcPr>
            <w:tcW w:w="921" w:type="dxa"/>
            <w:tcBorders>
              <w:top w:val="nil"/>
            </w:tcBorders>
            <w:noWrap w:val="0"/>
            <w:vAlign w:val="center"/>
          </w:tcPr>
          <w:p w14:paraId="176505B2">
            <w:pPr>
              <w:pStyle w:val="13"/>
              <w:keepNext/>
              <w:spacing w:line="440" w:lineRule="exact"/>
              <w:ind w:left="63" w:right="63"/>
              <w:rPr>
                <w:color w:val="auto"/>
                <w:sz w:val="24"/>
                <w:highlight w:val="none"/>
              </w:rPr>
            </w:pPr>
          </w:p>
        </w:tc>
      </w:tr>
      <w:tr w14:paraId="05DB0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97EF55">
            <w:pPr>
              <w:pStyle w:val="13"/>
              <w:keepNext/>
              <w:spacing w:line="440" w:lineRule="exact"/>
              <w:ind w:left="63" w:right="63"/>
              <w:rPr>
                <w:color w:val="auto"/>
                <w:sz w:val="24"/>
                <w:highlight w:val="none"/>
              </w:rPr>
            </w:pPr>
          </w:p>
        </w:tc>
        <w:tc>
          <w:tcPr>
            <w:tcW w:w="1418" w:type="dxa"/>
            <w:noWrap w:val="0"/>
            <w:vAlign w:val="center"/>
          </w:tcPr>
          <w:p w14:paraId="42E66D3A">
            <w:pPr>
              <w:pStyle w:val="13"/>
              <w:keepNext/>
              <w:spacing w:line="440" w:lineRule="exact"/>
              <w:ind w:left="63" w:right="63"/>
              <w:rPr>
                <w:color w:val="auto"/>
                <w:sz w:val="24"/>
                <w:highlight w:val="none"/>
              </w:rPr>
            </w:pPr>
          </w:p>
        </w:tc>
        <w:tc>
          <w:tcPr>
            <w:tcW w:w="850" w:type="dxa"/>
            <w:noWrap w:val="0"/>
            <w:vAlign w:val="center"/>
          </w:tcPr>
          <w:p w14:paraId="753A0AB0">
            <w:pPr>
              <w:pStyle w:val="13"/>
              <w:keepNext/>
              <w:spacing w:line="440" w:lineRule="exact"/>
              <w:ind w:left="63" w:right="63"/>
              <w:rPr>
                <w:color w:val="auto"/>
                <w:sz w:val="24"/>
                <w:highlight w:val="none"/>
              </w:rPr>
            </w:pPr>
          </w:p>
        </w:tc>
        <w:tc>
          <w:tcPr>
            <w:tcW w:w="1058" w:type="dxa"/>
            <w:noWrap w:val="0"/>
            <w:vAlign w:val="center"/>
          </w:tcPr>
          <w:p w14:paraId="2F5D1A1E">
            <w:pPr>
              <w:pStyle w:val="13"/>
              <w:keepNext/>
              <w:spacing w:line="440" w:lineRule="exact"/>
              <w:ind w:left="63" w:right="63"/>
              <w:rPr>
                <w:color w:val="auto"/>
                <w:sz w:val="24"/>
                <w:highlight w:val="none"/>
              </w:rPr>
            </w:pPr>
          </w:p>
        </w:tc>
        <w:tc>
          <w:tcPr>
            <w:tcW w:w="880" w:type="dxa"/>
            <w:noWrap w:val="0"/>
            <w:vAlign w:val="center"/>
          </w:tcPr>
          <w:p w14:paraId="373F31E6">
            <w:pPr>
              <w:pStyle w:val="13"/>
              <w:keepNext/>
              <w:spacing w:line="440" w:lineRule="exact"/>
              <w:ind w:left="63" w:right="63"/>
              <w:rPr>
                <w:color w:val="auto"/>
                <w:sz w:val="24"/>
                <w:highlight w:val="none"/>
              </w:rPr>
            </w:pPr>
          </w:p>
        </w:tc>
        <w:tc>
          <w:tcPr>
            <w:tcW w:w="1020" w:type="dxa"/>
            <w:noWrap w:val="0"/>
            <w:vAlign w:val="center"/>
          </w:tcPr>
          <w:p w14:paraId="03EF4D10">
            <w:pPr>
              <w:pStyle w:val="13"/>
              <w:keepNext/>
              <w:spacing w:line="440" w:lineRule="exact"/>
              <w:ind w:left="63" w:right="63"/>
              <w:rPr>
                <w:color w:val="auto"/>
                <w:sz w:val="24"/>
                <w:highlight w:val="none"/>
              </w:rPr>
            </w:pPr>
          </w:p>
        </w:tc>
        <w:tc>
          <w:tcPr>
            <w:tcW w:w="1480" w:type="dxa"/>
            <w:noWrap w:val="0"/>
            <w:vAlign w:val="center"/>
          </w:tcPr>
          <w:p w14:paraId="0F11614D">
            <w:pPr>
              <w:pStyle w:val="13"/>
              <w:keepNext/>
              <w:spacing w:line="440" w:lineRule="exact"/>
              <w:ind w:left="63" w:right="63"/>
              <w:rPr>
                <w:color w:val="auto"/>
                <w:sz w:val="24"/>
                <w:highlight w:val="none"/>
              </w:rPr>
            </w:pPr>
          </w:p>
        </w:tc>
        <w:tc>
          <w:tcPr>
            <w:tcW w:w="1020" w:type="dxa"/>
            <w:noWrap w:val="0"/>
            <w:vAlign w:val="center"/>
          </w:tcPr>
          <w:p w14:paraId="286B7629">
            <w:pPr>
              <w:pStyle w:val="13"/>
              <w:keepNext/>
              <w:spacing w:line="440" w:lineRule="exact"/>
              <w:ind w:left="63" w:right="63"/>
              <w:rPr>
                <w:color w:val="auto"/>
                <w:sz w:val="24"/>
                <w:highlight w:val="none"/>
              </w:rPr>
            </w:pPr>
          </w:p>
        </w:tc>
        <w:tc>
          <w:tcPr>
            <w:tcW w:w="921" w:type="dxa"/>
            <w:noWrap w:val="0"/>
            <w:vAlign w:val="center"/>
          </w:tcPr>
          <w:p w14:paraId="1AD1E4A4">
            <w:pPr>
              <w:pStyle w:val="13"/>
              <w:keepNext/>
              <w:spacing w:line="440" w:lineRule="exact"/>
              <w:ind w:left="63" w:right="63"/>
              <w:rPr>
                <w:color w:val="auto"/>
                <w:sz w:val="24"/>
                <w:highlight w:val="none"/>
              </w:rPr>
            </w:pPr>
          </w:p>
        </w:tc>
      </w:tr>
      <w:tr w14:paraId="55C6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3001C97">
            <w:pPr>
              <w:pStyle w:val="13"/>
              <w:keepNext/>
              <w:spacing w:line="440" w:lineRule="exact"/>
              <w:ind w:left="63" w:right="63"/>
              <w:rPr>
                <w:color w:val="auto"/>
                <w:sz w:val="24"/>
                <w:highlight w:val="none"/>
              </w:rPr>
            </w:pPr>
          </w:p>
        </w:tc>
        <w:tc>
          <w:tcPr>
            <w:tcW w:w="1418" w:type="dxa"/>
            <w:noWrap w:val="0"/>
            <w:vAlign w:val="center"/>
          </w:tcPr>
          <w:p w14:paraId="2E1F5C05">
            <w:pPr>
              <w:pStyle w:val="13"/>
              <w:keepNext/>
              <w:spacing w:line="440" w:lineRule="exact"/>
              <w:ind w:left="63" w:right="63"/>
              <w:rPr>
                <w:color w:val="auto"/>
                <w:sz w:val="24"/>
                <w:highlight w:val="none"/>
              </w:rPr>
            </w:pPr>
          </w:p>
        </w:tc>
        <w:tc>
          <w:tcPr>
            <w:tcW w:w="850" w:type="dxa"/>
            <w:noWrap w:val="0"/>
            <w:vAlign w:val="center"/>
          </w:tcPr>
          <w:p w14:paraId="2BCBE6D9">
            <w:pPr>
              <w:pStyle w:val="13"/>
              <w:keepNext/>
              <w:spacing w:line="440" w:lineRule="exact"/>
              <w:ind w:left="63" w:right="63"/>
              <w:rPr>
                <w:color w:val="auto"/>
                <w:sz w:val="24"/>
                <w:highlight w:val="none"/>
              </w:rPr>
            </w:pPr>
          </w:p>
        </w:tc>
        <w:tc>
          <w:tcPr>
            <w:tcW w:w="1058" w:type="dxa"/>
            <w:noWrap w:val="0"/>
            <w:vAlign w:val="center"/>
          </w:tcPr>
          <w:p w14:paraId="0AC7096A">
            <w:pPr>
              <w:pStyle w:val="13"/>
              <w:keepNext/>
              <w:spacing w:line="440" w:lineRule="exact"/>
              <w:ind w:left="63" w:right="63"/>
              <w:rPr>
                <w:color w:val="auto"/>
                <w:sz w:val="24"/>
                <w:highlight w:val="none"/>
              </w:rPr>
            </w:pPr>
          </w:p>
        </w:tc>
        <w:tc>
          <w:tcPr>
            <w:tcW w:w="880" w:type="dxa"/>
            <w:noWrap w:val="0"/>
            <w:vAlign w:val="center"/>
          </w:tcPr>
          <w:p w14:paraId="28061FC3">
            <w:pPr>
              <w:pStyle w:val="13"/>
              <w:keepNext/>
              <w:spacing w:line="440" w:lineRule="exact"/>
              <w:ind w:left="63" w:right="63"/>
              <w:rPr>
                <w:color w:val="auto"/>
                <w:sz w:val="24"/>
                <w:highlight w:val="none"/>
              </w:rPr>
            </w:pPr>
          </w:p>
        </w:tc>
        <w:tc>
          <w:tcPr>
            <w:tcW w:w="1020" w:type="dxa"/>
            <w:noWrap w:val="0"/>
            <w:vAlign w:val="center"/>
          </w:tcPr>
          <w:p w14:paraId="3CDE3C49">
            <w:pPr>
              <w:pStyle w:val="13"/>
              <w:keepNext/>
              <w:spacing w:line="440" w:lineRule="exact"/>
              <w:ind w:left="63" w:right="63"/>
              <w:rPr>
                <w:color w:val="auto"/>
                <w:sz w:val="24"/>
                <w:highlight w:val="none"/>
              </w:rPr>
            </w:pPr>
          </w:p>
        </w:tc>
        <w:tc>
          <w:tcPr>
            <w:tcW w:w="1480" w:type="dxa"/>
            <w:noWrap w:val="0"/>
            <w:vAlign w:val="center"/>
          </w:tcPr>
          <w:p w14:paraId="7299D549">
            <w:pPr>
              <w:pStyle w:val="13"/>
              <w:keepNext/>
              <w:spacing w:line="440" w:lineRule="exact"/>
              <w:ind w:left="63" w:right="63"/>
              <w:rPr>
                <w:color w:val="auto"/>
                <w:sz w:val="24"/>
                <w:highlight w:val="none"/>
              </w:rPr>
            </w:pPr>
          </w:p>
        </w:tc>
        <w:tc>
          <w:tcPr>
            <w:tcW w:w="1020" w:type="dxa"/>
            <w:noWrap w:val="0"/>
            <w:vAlign w:val="center"/>
          </w:tcPr>
          <w:p w14:paraId="5D81B4F9">
            <w:pPr>
              <w:pStyle w:val="13"/>
              <w:keepNext/>
              <w:spacing w:line="440" w:lineRule="exact"/>
              <w:ind w:left="63" w:right="63"/>
              <w:rPr>
                <w:color w:val="auto"/>
                <w:sz w:val="24"/>
                <w:highlight w:val="none"/>
              </w:rPr>
            </w:pPr>
          </w:p>
        </w:tc>
        <w:tc>
          <w:tcPr>
            <w:tcW w:w="921" w:type="dxa"/>
            <w:noWrap w:val="0"/>
            <w:vAlign w:val="center"/>
          </w:tcPr>
          <w:p w14:paraId="14D344D0">
            <w:pPr>
              <w:pStyle w:val="13"/>
              <w:keepNext/>
              <w:spacing w:line="440" w:lineRule="exact"/>
              <w:ind w:left="63" w:right="63"/>
              <w:rPr>
                <w:color w:val="auto"/>
                <w:sz w:val="24"/>
                <w:highlight w:val="none"/>
              </w:rPr>
            </w:pPr>
          </w:p>
        </w:tc>
      </w:tr>
      <w:tr w14:paraId="2D319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2DC1288">
            <w:pPr>
              <w:pStyle w:val="13"/>
              <w:keepNext/>
              <w:spacing w:line="440" w:lineRule="exact"/>
              <w:ind w:left="63" w:right="63"/>
              <w:rPr>
                <w:color w:val="auto"/>
                <w:sz w:val="24"/>
                <w:highlight w:val="none"/>
              </w:rPr>
            </w:pPr>
          </w:p>
        </w:tc>
        <w:tc>
          <w:tcPr>
            <w:tcW w:w="1418" w:type="dxa"/>
            <w:noWrap w:val="0"/>
            <w:vAlign w:val="center"/>
          </w:tcPr>
          <w:p w14:paraId="04F6F29B">
            <w:pPr>
              <w:pStyle w:val="13"/>
              <w:keepNext/>
              <w:spacing w:line="440" w:lineRule="exact"/>
              <w:ind w:left="63" w:right="63"/>
              <w:rPr>
                <w:color w:val="auto"/>
                <w:sz w:val="24"/>
                <w:highlight w:val="none"/>
              </w:rPr>
            </w:pPr>
          </w:p>
        </w:tc>
        <w:tc>
          <w:tcPr>
            <w:tcW w:w="850" w:type="dxa"/>
            <w:noWrap w:val="0"/>
            <w:vAlign w:val="center"/>
          </w:tcPr>
          <w:p w14:paraId="5DA3E2EB">
            <w:pPr>
              <w:pStyle w:val="13"/>
              <w:keepNext/>
              <w:spacing w:line="440" w:lineRule="exact"/>
              <w:ind w:left="63" w:right="63"/>
              <w:rPr>
                <w:color w:val="auto"/>
                <w:sz w:val="24"/>
                <w:highlight w:val="none"/>
              </w:rPr>
            </w:pPr>
          </w:p>
        </w:tc>
        <w:tc>
          <w:tcPr>
            <w:tcW w:w="1058" w:type="dxa"/>
            <w:noWrap w:val="0"/>
            <w:vAlign w:val="center"/>
          </w:tcPr>
          <w:p w14:paraId="43BD3E90">
            <w:pPr>
              <w:pStyle w:val="13"/>
              <w:keepNext/>
              <w:spacing w:line="440" w:lineRule="exact"/>
              <w:ind w:left="63" w:right="63"/>
              <w:rPr>
                <w:color w:val="auto"/>
                <w:sz w:val="24"/>
                <w:highlight w:val="none"/>
              </w:rPr>
            </w:pPr>
          </w:p>
        </w:tc>
        <w:tc>
          <w:tcPr>
            <w:tcW w:w="880" w:type="dxa"/>
            <w:noWrap w:val="0"/>
            <w:vAlign w:val="center"/>
          </w:tcPr>
          <w:p w14:paraId="0431F786">
            <w:pPr>
              <w:pStyle w:val="13"/>
              <w:keepNext/>
              <w:spacing w:line="440" w:lineRule="exact"/>
              <w:ind w:left="63" w:right="63"/>
              <w:rPr>
                <w:color w:val="auto"/>
                <w:sz w:val="24"/>
                <w:highlight w:val="none"/>
              </w:rPr>
            </w:pPr>
          </w:p>
        </w:tc>
        <w:tc>
          <w:tcPr>
            <w:tcW w:w="1020" w:type="dxa"/>
            <w:noWrap w:val="0"/>
            <w:vAlign w:val="center"/>
          </w:tcPr>
          <w:p w14:paraId="403E203B">
            <w:pPr>
              <w:pStyle w:val="13"/>
              <w:keepNext/>
              <w:spacing w:line="440" w:lineRule="exact"/>
              <w:ind w:left="63" w:right="63"/>
              <w:rPr>
                <w:color w:val="auto"/>
                <w:sz w:val="24"/>
                <w:highlight w:val="none"/>
              </w:rPr>
            </w:pPr>
          </w:p>
        </w:tc>
        <w:tc>
          <w:tcPr>
            <w:tcW w:w="1480" w:type="dxa"/>
            <w:noWrap w:val="0"/>
            <w:vAlign w:val="center"/>
          </w:tcPr>
          <w:p w14:paraId="68210EF6">
            <w:pPr>
              <w:pStyle w:val="13"/>
              <w:keepNext/>
              <w:spacing w:line="440" w:lineRule="exact"/>
              <w:ind w:left="63" w:right="63"/>
              <w:rPr>
                <w:color w:val="auto"/>
                <w:sz w:val="24"/>
                <w:highlight w:val="none"/>
              </w:rPr>
            </w:pPr>
          </w:p>
        </w:tc>
        <w:tc>
          <w:tcPr>
            <w:tcW w:w="1020" w:type="dxa"/>
            <w:noWrap w:val="0"/>
            <w:vAlign w:val="center"/>
          </w:tcPr>
          <w:p w14:paraId="08834327">
            <w:pPr>
              <w:pStyle w:val="13"/>
              <w:keepNext/>
              <w:spacing w:line="440" w:lineRule="exact"/>
              <w:ind w:left="63" w:right="63"/>
              <w:rPr>
                <w:color w:val="auto"/>
                <w:sz w:val="24"/>
                <w:highlight w:val="none"/>
              </w:rPr>
            </w:pPr>
          </w:p>
        </w:tc>
        <w:tc>
          <w:tcPr>
            <w:tcW w:w="921" w:type="dxa"/>
            <w:noWrap w:val="0"/>
            <w:vAlign w:val="center"/>
          </w:tcPr>
          <w:p w14:paraId="055E6FBC">
            <w:pPr>
              <w:pStyle w:val="13"/>
              <w:keepNext/>
              <w:spacing w:line="440" w:lineRule="exact"/>
              <w:ind w:left="63" w:right="63"/>
              <w:rPr>
                <w:color w:val="auto"/>
                <w:sz w:val="24"/>
                <w:highlight w:val="none"/>
              </w:rPr>
            </w:pPr>
          </w:p>
        </w:tc>
      </w:tr>
      <w:tr w14:paraId="78FBC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AC6939D">
            <w:pPr>
              <w:pStyle w:val="13"/>
              <w:keepNext/>
              <w:spacing w:line="440" w:lineRule="exact"/>
              <w:ind w:left="63" w:right="63"/>
              <w:rPr>
                <w:color w:val="auto"/>
                <w:sz w:val="24"/>
                <w:highlight w:val="none"/>
              </w:rPr>
            </w:pPr>
          </w:p>
        </w:tc>
        <w:tc>
          <w:tcPr>
            <w:tcW w:w="1418" w:type="dxa"/>
            <w:noWrap w:val="0"/>
            <w:vAlign w:val="center"/>
          </w:tcPr>
          <w:p w14:paraId="06F0ABE6">
            <w:pPr>
              <w:pStyle w:val="13"/>
              <w:keepNext/>
              <w:spacing w:line="440" w:lineRule="exact"/>
              <w:ind w:left="63" w:right="63"/>
              <w:rPr>
                <w:color w:val="auto"/>
                <w:sz w:val="24"/>
                <w:highlight w:val="none"/>
              </w:rPr>
            </w:pPr>
          </w:p>
        </w:tc>
        <w:tc>
          <w:tcPr>
            <w:tcW w:w="850" w:type="dxa"/>
            <w:noWrap w:val="0"/>
            <w:vAlign w:val="center"/>
          </w:tcPr>
          <w:p w14:paraId="46B77D7F">
            <w:pPr>
              <w:pStyle w:val="13"/>
              <w:keepNext/>
              <w:spacing w:line="440" w:lineRule="exact"/>
              <w:ind w:left="63" w:right="63"/>
              <w:rPr>
                <w:color w:val="auto"/>
                <w:sz w:val="24"/>
                <w:highlight w:val="none"/>
              </w:rPr>
            </w:pPr>
          </w:p>
        </w:tc>
        <w:tc>
          <w:tcPr>
            <w:tcW w:w="1058" w:type="dxa"/>
            <w:noWrap w:val="0"/>
            <w:vAlign w:val="center"/>
          </w:tcPr>
          <w:p w14:paraId="689DC045">
            <w:pPr>
              <w:pStyle w:val="13"/>
              <w:keepNext/>
              <w:spacing w:line="440" w:lineRule="exact"/>
              <w:ind w:left="63" w:right="63"/>
              <w:rPr>
                <w:color w:val="auto"/>
                <w:sz w:val="24"/>
                <w:highlight w:val="none"/>
              </w:rPr>
            </w:pPr>
          </w:p>
        </w:tc>
        <w:tc>
          <w:tcPr>
            <w:tcW w:w="880" w:type="dxa"/>
            <w:noWrap w:val="0"/>
            <w:vAlign w:val="center"/>
          </w:tcPr>
          <w:p w14:paraId="42D39E93">
            <w:pPr>
              <w:pStyle w:val="13"/>
              <w:keepNext/>
              <w:spacing w:line="440" w:lineRule="exact"/>
              <w:ind w:left="63" w:right="63"/>
              <w:rPr>
                <w:color w:val="auto"/>
                <w:sz w:val="24"/>
                <w:highlight w:val="none"/>
              </w:rPr>
            </w:pPr>
          </w:p>
        </w:tc>
        <w:tc>
          <w:tcPr>
            <w:tcW w:w="1020" w:type="dxa"/>
            <w:noWrap w:val="0"/>
            <w:vAlign w:val="center"/>
          </w:tcPr>
          <w:p w14:paraId="18820358">
            <w:pPr>
              <w:pStyle w:val="13"/>
              <w:keepNext/>
              <w:spacing w:line="440" w:lineRule="exact"/>
              <w:ind w:left="63" w:right="63"/>
              <w:rPr>
                <w:color w:val="auto"/>
                <w:sz w:val="24"/>
                <w:highlight w:val="none"/>
              </w:rPr>
            </w:pPr>
          </w:p>
        </w:tc>
        <w:tc>
          <w:tcPr>
            <w:tcW w:w="1480" w:type="dxa"/>
            <w:noWrap w:val="0"/>
            <w:vAlign w:val="center"/>
          </w:tcPr>
          <w:p w14:paraId="14FCD55C">
            <w:pPr>
              <w:pStyle w:val="13"/>
              <w:keepNext/>
              <w:spacing w:line="440" w:lineRule="exact"/>
              <w:ind w:left="63" w:right="63"/>
              <w:rPr>
                <w:color w:val="auto"/>
                <w:sz w:val="24"/>
                <w:highlight w:val="none"/>
              </w:rPr>
            </w:pPr>
          </w:p>
        </w:tc>
        <w:tc>
          <w:tcPr>
            <w:tcW w:w="1020" w:type="dxa"/>
            <w:noWrap w:val="0"/>
            <w:vAlign w:val="center"/>
          </w:tcPr>
          <w:p w14:paraId="7906F7A5">
            <w:pPr>
              <w:pStyle w:val="13"/>
              <w:keepNext/>
              <w:spacing w:line="440" w:lineRule="exact"/>
              <w:ind w:left="63" w:right="63"/>
              <w:rPr>
                <w:color w:val="auto"/>
                <w:sz w:val="24"/>
                <w:highlight w:val="none"/>
              </w:rPr>
            </w:pPr>
          </w:p>
        </w:tc>
        <w:tc>
          <w:tcPr>
            <w:tcW w:w="921" w:type="dxa"/>
            <w:noWrap w:val="0"/>
            <w:vAlign w:val="center"/>
          </w:tcPr>
          <w:p w14:paraId="7867A065">
            <w:pPr>
              <w:pStyle w:val="13"/>
              <w:keepNext/>
              <w:spacing w:line="440" w:lineRule="exact"/>
              <w:ind w:left="63" w:right="63"/>
              <w:rPr>
                <w:color w:val="auto"/>
                <w:sz w:val="24"/>
                <w:highlight w:val="none"/>
              </w:rPr>
            </w:pPr>
          </w:p>
        </w:tc>
      </w:tr>
    </w:tbl>
    <w:p w14:paraId="608E0AFB">
      <w:pPr>
        <w:spacing w:line="440" w:lineRule="exact"/>
        <w:rPr>
          <w:rFonts w:hint="eastAsia" w:ascii="宋体" w:hAnsi="宋体"/>
          <w:b/>
          <w:color w:val="auto"/>
          <w:sz w:val="24"/>
          <w:highlight w:val="none"/>
        </w:rPr>
        <w:sectPr>
          <w:pgSz w:w="11906" w:h="16838"/>
          <w:pgMar w:top="1418" w:right="1531" w:bottom="1418" w:left="1554" w:header="851" w:footer="992" w:gutter="0"/>
          <w:pgNumType w:fmt="decimal"/>
          <w:cols w:space="720" w:num="1"/>
          <w:titlePg/>
          <w:docGrid w:linePitch="312" w:charSpace="0"/>
        </w:sectPr>
      </w:pPr>
    </w:p>
    <w:p w14:paraId="5432F1BC">
      <w:pPr>
        <w:spacing w:line="440" w:lineRule="exact"/>
        <w:rPr>
          <w:rFonts w:ascii="宋体" w:hAnsi="宋体"/>
          <w:color w:val="auto"/>
          <w:sz w:val="24"/>
          <w:highlight w:val="none"/>
        </w:rPr>
      </w:pPr>
      <w:r>
        <w:rPr>
          <w:rFonts w:ascii="宋体" w:hAnsi="宋体"/>
          <w:b/>
          <w:color w:val="auto"/>
          <w:sz w:val="28"/>
          <w:szCs w:val="28"/>
          <w:highlight w:val="none"/>
        </w:rPr>
        <w:t>附件6：</w:t>
      </w:r>
    </w:p>
    <w:p w14:paraId="63FFFDC7">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承包人主要施工管理人员表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BAE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823A49D">
            <w:pPr>
              <w:pStyle w:val="13"/>
              <w:keepNext/>
              <w:spacing w:line="440" w:lineRule="exact"/>
              <w:ind w:left="63" w:right="63"/>
              <w:rPr>
                <w:color w:val="auto"/>
                <w:sz w:val="21"/>
                <w:szCs w:val="21"/>
                <w:highlight w:val="none"/>
              </w:rPr>
            </w:pPr>
            <w:r>
              <w:rPr>
                <w:color w:val="auto"/>
                <w:sz w:val="21"/>
                <w:szCs w:val="21"/>
                <w:highlight w:val="none"/>
              </w:rPr>
              <w:t>名    称</w:t>
            </w:r>
          </w:p>
        </w:tc>
        <w:tc>
          <w:tcPr>
            <w:tcW w:w="1418" w:type="dxa"/>
            <w:tcBorders>
              <w:top w:val="single" w:color="auto" w:sz="12" w:space="0"/>
              <w:bottom w:val="double" w:color="auto" w:sz="6" w:space="0"/>
            </w:tcBorders>
            <w:noWrap w:val="0"/>
            <w:vAlign w:val="center"/>
          </w:tcPr>
          <w:p w14:paraId="47D4AEB4">
            <w:pPr>
              <w:pStyle w:val="13"/>
              <w:keepNext/>
              <w:spacing w:line="440" w:lineRule="exact"/>
              <w:ind w:left="63" w:right="63"/>
              <w:rPr>
                <w:color w:val="auto"/>
                <w:sz w:val="21"/>
                <w:szCs w:val="21"/>
                <w:highlight w:val="none"/>
              </w:rPr>
            </w:pPr>
            <w:r>
              <w:rPr>
                <w:color w:val="auto"/>
                <w:sz w:val="21"/>
                <w:szCs w:val="21"/>
                <w:highlight w:val="none"/>
              </w:rPr>
              <w:t>姓名</w:t>
            </w:r>
          </w:p>
        </w:tc>
        <w:tc>
          <w:tcPr>
            <w:tcW w:w="1134" w:type="dxa"/>
            <w:tcBorders>
              <w:top w:val="single" w:color="auto" w:sz="12" w:space="0"/>
              <w:bottom w:val="double" w:color="auto" w:sz="6" w:space="0"/>
            </w:tcBorders>
            <w:noWrap w:val="0"/>
            <w:vAlign w:val="center"/>
          </w:tcPr>
          <w:p w14:paraId="66EA1A04">
            <w:pPr>
              <w:pStyle w:val="13"/>
              <w:keepNext/>
              <w:spacing w:line="440" w:lineRule="exact"/>
              <w:ind w:left="63" w:right="63"/>
              <w:rPr>
                <w:color w:val="auto"/>
                <w:sz w:val="21"/>
                <w:szCs w:val="21"/>
                <w:highlight w:val="none"/>
              </w:rPr>
            </w:pPr>
            <w:r>
              <w:rPr>
                <w:color w:val="auto"/>
                <w:sz w:val="21"/>
                <w:szCs w:val="21"/>
                <w:highlight w:val="none"/>
              </w:rPr>
              <w:t>职务</w:t>
            </w:r>
          </w:p>
        </w:tc>
        <w:tc>
          <w:tcPr>
            <w:tcW w:w="1134" w:type="dxa"/>
            <w:tcBorders>
              <w:top w:val="single" w:color="auto" w:sz="12" w:space="0"/>
              <w:bottom w:val="double" w:color="auto" w:sz="6" w:space="0"/>
            </w:tcBorders>
            <w:noWrap w:val="0"/>
            <w:vAlign w:val="center"/>
          </w:tcPr>
          <w:p w14:paraId="3DBC4A6D">
            <w:pPr>
              <w:pStyle w:val="13"/>
              <w:keepNext/>
              <w:spacing w:line="440" w:lineRule="exact"/>
              <w:ind w:left="63" w:right="63"/>
              <w:rPr>
                <w:color w:val="auto"/>
                <w:sz w:val="21"/>
                <w:szCs w:val="21"/>
                <w:highlight w:val="none"/>
              </w:rPr>
            </w:pPr>
            <w:r>
              <w:rPr>
                <w:color w:val="auto"/>
                <w:sz w:val="21"/>
                <w:szCs w:val="21"/>
                <w:highlight w:val="none"/>
              </w:rPr>
              <w:t>职称</w:t>
            </w:r>
          </w:p>
        </w:tc>
        <w:tc>
          <w:tcPr>
            <w:tcW w:w="4252" w:type="dxa"/>
            <w:tcBorders>
              <w:top w:val="single" w:color="auto" w:sz="12" w:space="0"/>
              <w:bottom w:val="double" w:color="auto" w:sz="6" w:space="0"/>
            </w:tcBorders>
            <w:noWrap w:val="0"/>
            <w:vAlign w:val="center"/>
          </w:tcPr>
          <w:p w14:paraId="4A6FE5F2">
            <w:pPr>
              <w:pStyle w:val="13"/>
              <w:keepNext/>
              <w:spacing w:line="440" w:lineRule="exact"/>
              <w:ind w:left="63" w:right="63"/>
              <w:rPr>
                <w:color w:val="auto"/>
                <w:sz w:val="21"/>
                <w:szCs w:val="21"/>
                <w:highlight w:val="none"/>
              </w:rPr>
            </w:pPr>
            <w:r>
              <w:rPr>
                <w:color w:val="auto"/>
                <w:sz w:val="21"/>
                <w:szCs w:val="21"/>
                <w:highlight w:val="none"/>
              </w:rPr>
              <w:t>主要资历、经验及承担过的项目</w:t>
            </w:r>
          </w:p>
        </w:tc>
      </w:tr>
      <w:tr w14:paraId="44294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8E0A904">
            <w:pPr>
              <w:pStyle w:val="13"/>
              <w:keepNext/>
              <w:spacing w:line="440" w:lineRule="exact"/>
              <w:ind w:left="63" w:right="63"/>
              <w:rPr>
                <w:color w:val="auto"/>
                <w:sz w:val="21"/>
                <w:szCs w:val="21"/>
                <w:highlight w:val="none"/>
              </w:rPr>
            </w:pPr>
            <w:r>
              <w:rPr>
                <w:color w:val="auto"/>
                <w:sz w:val="21"/>
                <w:szCs w:val="21"/>
                <w:highlight w:val="none"/>
              </w:rPr>
              <w:t>一、总部人员</w:t>
            </w:r>
          </w:p>
        </w:tc>
      </w:tr>
      <w:tr w14:paraId="48614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5056F60">
            <w:pPr>
              <w:pStyle w:val="13"/>
              <w:keepNext/>
              <w:spacing w:line="440" w:lineRule="exact"/>
              <w:ind w:left="63" w:right="63"/>
              <w:rPr>
                <w:color w:val="auto"/>
                <w:sz w:val="21"/>
                <w:szCs w:val="21"/>
                <w:highlight w:val="none"/>
              </w:rPr>
            </w:pPr>
            <w:r>
              <w:rPr>
                <w:color w:val="auto"/>
                <w:sz w:val="21"/>
                <w:szCs w:val="21"/>
                <w:highlight w:val="none"/>
              </w:rPr>
              <w:t>项目主管</w:t>
            </w:r>
          </w:p>
        </w:tc>
        <w:tc>
          <w:tcPr>
            <w:tcW w:w="1418" w:type="dxa"/>
            <w:tcBorders>
              <w:top w:val="nil"/>
            </w:tcBorders>
            <w:noWrap w:val="0"/>
            <w:vAlign w:val="center"/>
          </w:tcPr>
          <w:p w14:paraId="37FDE041">
            <w:pPr>
              <w:pStyle w:val="13"/>
              <w:keepNext/>
              <w:spacing w:line="440" w:lineRule="exact"/>
              <w:ind w:left="63" w:right="63"/>
              <w:rPr>
                <w:color w:val="auto"/>
                <w:sz w:val="21"/>
                <w:szCs w:val="21"/>
                <w:highlight w:val="none"/>
              </w:rPr>
            </w:pPr>
          </w:p>
        </w:tc>
        <w:tc>
          <w:tcPr>
            <w:tcW w:w="1134" w:type="dxa"/>
            <w:tcBorders>
              <w:top w:val="nil"/>
            </w:tcBorders>
            <w:noWrap w:val="0"/>
            <w:vAlign w:val="center"/>
          </w:tcPr>
          <w:p w14:paraId="3296A3C8">
            <w:pPr>
              <w:pStyle w:val="13"/>
              <w:keepNext/>
              <w:spacing w:line="440" w:lineRule="exact"/>
              <w:ind w:left="63" w:right="63"/>
              <w:rPr>
                <w:color w:val="auto"/>
                <w:sz w:val="21"/>
                <w:szCs w:val="21"/>
                <w:highlight w:val="none"/>
              </w:rPr>
            </w:pPr>
          </w:p>
        </w:tc>
        <w:tc>
          <w:tcPr>
            <w:tcW w:w="1134" w:type="dxa"/>
            <w:tcBorders>
              <w:top w:val="nil"/>
            </w:tcBorders>
            <w:noWrap w:val="0"/>
            <w:vAlign w:val="center"/>
          </w:tcPr>
          <w:p w14:paraId="6354E720">
            <w:pPr>
              <w:pStyle w:val="13"/>
              <w:keepNext/>
              <w:spacing w:line="440" w:lineRule="exact"/>
              <w:ind w:left="63" w:right="63"/>
              <w:rPr>
                <w:color w:val="auto"/>
                <w:sz w:val="21"/>
                <w:szCs w:val="21"/>
                <w:highlight w:val="none"/>
              </w:rPr>
            </w:pPr>
          </w:p>
        </w:tc>
        <w:tc>
          <w:tcPr>
            <w:tcW w:w="4252" w:type="dxa"/>
            <w:tcBorders>
              <w:top w:val="nil"/>
            </w:tcBorders>
            <w:noWrap w:val="0"/>
            <w:vAlign w:val="center"/>
          </w:tcPr>
          <w:p w14:paraId="0A182AC7">
            <w:pPr>
              <w:pStyle w:val="13"/>
              <w:keepNext/>
              <w:spacing w:line="440" w:lineRule="exact"/>
              <w:ind w:left="63" w:right="63"/>
              <w:rPr>
                <w:color w:val="auto"/>
                <w:sz w:val="21"/>
                <w:szCs w:val="21"/>
                <w:highlight w:val="none"/>
              </w:rPr>
            </w:pPr>
          </w:p>
        </w:tc>
      </w:tr>
      <w:tr w14:paraId="468E2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0961200">
            <w:pPr>
              <w:pStyle w:val="13"/>
              <w:keepNext/>
              <w:spacing w:line="440" w:lineRule="exact"/>
              <w:ind w:left="63" w:right="63"/>
              <w:rPr>
                <w:color w:val="auto"/>
                <w:sz w:val="21"/>
                <w:szCs w:val="21"/>
                <w:highlight w:val="none"/>
              </w:rPr>
            </w:pPr>
          </w:p>
        </w:tc>
        <w:tc>
          <w:tcPr>
            <w:tcW w:w="1418" w:type="dxa"/>
            <w:noWrap w:val="0"/>
            <w:vAlign w:val="center"/>
          </w:tcPr>
          <w:p w14:paraId="2FC3427E">
            <w:pPr>
              <w:pStyle w:val="13"/>
              <w:keepNext/>
              <w:spacing w:line="440" w:lineRule="exact"/>
              <w:ind w:left="63" w:right="63"/>
              <w:rPr>
                <w:color w:val="auto"/>
                <w:sz w:val="21"/>
                <w:szCs w:val="21"/>
                <w:highlight w:val="none"/>
              </w:rPr>
            </w:pPr>
          </w:p>
        </w:tc>
        <w:tc>
          <w:tcPr>
            <w:tcW w:w="1134" w:type="dxa"/>
            <w:noWrap w:val="0"/>
            <w:vAlign w:val="center"/>
          </w:tcPr>
          <w:p w14:paraId="3E96FA7A">
            <w:pPr>
              <w:pStyle w:val="13"/>
              <w:keepNext/>
              <w:spacing w:line="440" w:lineRule="exact"/>
              <w:ind w:left="63" w:right="63"/>
              <w:rPr>
                <w:color w:val="auto"/>
                <w:sz w:val="21"/>
                <w:szCs w:val="21"/>
                <w:highlight w:val="none"/>
              </w:rPr>
            </w:pPr>
          </w:p>
        </w:tc>
        <w:tc>
          <w:tcPr>
            <w:tcW w:w="1134" w:type="dxa"/>
            <w:noWrap w:val="0"/>
            <w:vAlign w:val="center"/>
          </w:tcPr>
          <w:p w14:paraId="7CE7DCB2">
            <w:pPr>
              <w:pStyle w:val="13"/>
              <w:keepNext/>
              <w:spacing w:line="440" w:lineRule="exact"/>
              <w:ind w:left="63" w:right="63"/>
              <w:rPr>
                <w:color w:val="auto"/>
                <w:sz w:val="21"/>
                <w:szCs w:val="21"/>
                <w:highlight w:val="none"/>
              </w:rPr>
            </w:pPr>
          </w:p>
        </w:tc>
        <w:tc>
          <w:tcPr>
            <w:tcW w:w="4252" w:type="dxa"/>
            <w:noWrap w:val="0"/>
            <w:vAlign w:val="center"/>
          </w:tcPr>
          <w:p w14:paraId="45DCDC9B">
            <w:pPr>
              <w:pStyle w:val="13"/>
              <w:keepNext/>
              <w:spacing w:line="440" w:lineRule="exact"/>
              <w:ind w:left="63" w:right="63"/>
              <w:rPr>
                <w:color w:val="auto"/>
                <w:sz w:val="21"/>
                <w:szCs w:val="21"/>
                <w:highlight w:val="none"/>
              </w:rPr>
            </w:pPr>
          </w:p>
        </w:tc>
      </w:tr>
      <w:tr w14:paraId="60804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EC7504F">
            <w:pPr>
              <w:pStyle w:val="13"/>
              <w:keepNext/>
              <w:spacing w:line="440" w:lineRule="exact"/>
              <w:ind w:left="63" w:right="63"/>
              <w:rPr>
                <w:color w:val="auto"/>
                <w:sz w:val="21"/>
                <w:szCs w:val="21"/>
                <w:highlight w:val="none"/>
              </w:rPr>
            </w:pPr>
            <w:r>
              <w:rPr>
                <w:color w:val="auto"/>
                <w:sz w:val="21"/>
                <w:szCs w:val="21"/>
                <w:highlight w:val="none"/>
              </w:rPr>
              <w:t>其他人员</w:t>
            </w:r>
          </w:p>
        </w:tc>
        <w:tc>
          <w:tcPr>
            <w:tcW w:w="1418" w:type="dxa"/>
            <w:noWrap w:val="0"/>
            <w:vAlign w:val="center"/>
          </w:tcPr>
          <w:p w14:paraId="147976F4">
            <w:pPr>
              <w:pStyle w:val="13"/>
              <w:keepNext/>
              <w:spacing w:line="440" w:lineRule="exact"/>
              <w:ind w:left="63" w:right="63"/>
              <w:rPr>
                <w:color w:val="auto"/>
                <w:sz w:val="21"/>
                <w:szCs w:val="21"/>
                <w:highlight w:val="none"/>
              </w:rPr>
            </w:pPr>
          </w:p>
        </w:tc>
        <w:tc>
          <w:tcPr>
            <w:tcW w:w="1134" w:type="dxa"/>
            <w:noWrap w:val="0"/>
            <w:vAlign w:val="center"/>
          </w:tcPr>
          <w:p w14:paraId="6DC4E431">
            <w:pPr>
              <w:pStyle w:val="13"/>
              <w:keepNext/>
              <w:spacing w:line="440" w:lineRule="exact"/>
              <w:ind w:left="63" w:right="63"/>
              <w:rPr>
                <w:color w:val="auto"/>
                <w:sz w:val="21"/>
                <w:szCs w:val="21"/>
                <w:highlight w:val="none"/>
              </w:rPr>
            </w:pPr>
          </w:p>
        </w:tc>
        <w:tc>
          <w:tcPr>
            <w:tcW w:w="1134" w:type="dxa"/>
            <w:noWrap w:val="0"/>
            <w:vAlign w:val="center"/>
          </w:tcPr>
          <w:p w14:paraId="2A8CB8AC">
            <w:pPr>
              <w:pStyle w:val="13"/>
              <w:keepNext/>
              <w:spacing w:line="440" w:lineRule="exact"/>
              <w:ind w:left="63" w:right="63"/>
              <w:rPr>
                <w:color w:val="auto"/>
                <w:sz w:val="21"/>
                <w:szCs w:val="21"/>
                <w:highlight w:val="none"/>
              </w:rPr>
            </w:pPr>
          </w:p>
        </w:tc>
        <w:tc>
          <w:tcPr>
            <w:tcW w:w="4252" w:type="dxa"/>
            <w:noWrap w:val="0"/>
            <w:vAlign w:val="center"/>
          </w:tcPr>
          <w:p w14:paraId="7AE8D8C8">
            <w:pPr>
              <w:pStyle w:val="13"/>
              <w:keepNext/>
              <w:spacing w:line="440" w:lineRule="exact"/>
              <w:ind w:left="63" w:right="63"/>
              <w:rPr>
                <w:color w:val="auto"/>
                <w:sz w:val="21"/>
                <w:szCs w:val="21"/>
                <w:highlight w:val="none"/>
              </w:rPr>
            </w:pPr>
          </w:p>
        </w:tc>
      </w:tr>
      <w:tr w14:paraId="132B1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932E9B7">
            <w:pPr>
              <w:pStyle w:val="13"/>
              <w:keepNext/>
              <w:spacing w:line="440" w:lineRule="exact"/>
              <w:ind w:left="63" w:right="63"/>
              <w:rPr>
                <w:color w:val="auto"/>
                <w:sz w:val="21"/>
                <w:szCs w:val="21"/>
                <w:highlight w:val="none"/>
              </w:rPr>
            </w:pPr>
          </w:p>
        </w:tc>
        <w:tc>
          <w:tcPr>
            <w:tcW w:w="1418" w:type="dxa"/>
            <w:noWrap w:val="0"/>
            <w:vAlign w:val="center"/>
          </w:tcPr>
          <w:p w14:paraId="43EDA20D">
            <w:pPr>
              <w:pStyle w:val="13"/>
              <w:keepNext/>
              <w:spacing w:line="440" w:lineRule="exact"/>
              <w:ind w:left="63" w:right="63"/>
              <w:rPr>
                <w:color w:val="auto"/>
                <w:sz w:val="21"/>
                <w:szCs w:val="21"/>
                <w:highlight w:val="none"/>
              </w:rPr>
            </w:pPr>
          </w:p>
        </w:tc>
        <w:tc>
          <w:tcPr>
            <w:tcW w:w="1134" w:type="dxa"/>
            <w:noWrap w:val="0"/>
            <w:vAlign w:val="center"/>
          </w:tcPr>
          <w:p w14:paraId="3F56C69D">
            <w:pPr>
              <w:pStyle w:val="13"/>
              <w:keepNext/>
              <w:spacing w:line="440" w:lineRule="exact"/>
              <w:ind w:left="63" w:right="63"/>
              <w:rPr>
                <w:color w:val="auto"/>
                <w:sz w:val="21"/>
                <w:szCs w:val="21"/>
                <w:highlight w:val="none"/>
              </w:rPr>
            </w:pPr>
          </w:p>
        </w:tc>
        <w:tc>
          <w:tcPr>
            <w:tcW w:w="1134" w:type="dxa"/>
            <w:noWrap w:val="0"/>
            <w:vAlign w:val="center"/>
          </w:tcPr>
          <w:p w14:paraId="5C60DA7B">
            <w:pPr>
              <w:pStyle w:val="13"/>
              <w:keepNext/>
              <w:spacing w:line="440" w:lineRule="exact"/>
              <w:ind w:left="63" w:right="63"/>
              <w:rPr>
                <w:color w:val="auto"/>
                <w:sz w:val="21"/>
                <w:szCs w:val="21"/>
                <w:highlight w:val="none"/>
              </w:rPr>
            </w:pPr>
          </w:p>
        </w:tc>
        <w:tc>
          <w:tcPr>
            <w:tcW w:w="4252" w:type="dxa"/>
            <w:noWrap w:val="0"/>
            <w:vAlign w:val="center"/>
          </w:tcPr>
          <w:p w14:paraId="6F53E436">
            <w:pPr>
              <w:pStyle w:val="13"/>
              <w:keepNext/>
              <w:spacing w:line="440" w:lineRule="exact"/>
              <w:ind w:left="63" w:right="63"/>
              <w:rPr>
                <w:color w:val="auto"/>
                <w:sz w:val="21"/>
                <w:szCs w:val="21"/>
                <w:highlight w:val="none"/>
              </w:rPr>
            </w:pPr>
          </w:p>
        </w:tc>
      </w:tr>
      <w:tr w14:paraId="0976E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21A2E75">
            <w:pPr>
              <w:pStyle w:val="13"/>
              <w:keepNext/>
              <w:spacing w:line="440" w:lineRule="exact"/>
              <w:ind w:left="63" w:right="63"/>
              <w:rPr>
                <w:color w:val="auto"/>
                <w:sz w:val="21"/>
                <w:szCs w:val="21"/>
                <w:highlight w:val="none"/>
              </w:rPr>
            </w:pPr>
            <w:r>
              <w:rPr>
                <w:color w:val="auto"/>
                <w:sz w:val="21"/>
                <w:szCs w:val="21"/>
                <w:highlight w:val="none"/>
              </w:rPr>
              <w:t>二、现场人员</w:t>
            </w:r>
          </w:p>
        </w:tc>
      </w:tr>
      <w:tr w14:paraId="3FB95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2EE088">
            <w:pPr>
              <w:pStyle w:val="13"/>
              <w:keepNext/>
              <w:spacing w:line="440" w:lineRule="exact"/>
              <w:ind w:left="63" w:right="63"/>
              <w:rPr>
                <w:color w:val="auto"/>
                <w:sz w:val="21"/>
                <w:szCs w:val="21"/>
                <w:highlight w:val="none"/>
              </w:rPr>
            </w:pPr>
            <w:r>
              <w:rPr>
                <w:color w:val="auto"/>
                <w:sz w:val="21"/>
                <w:szCs w:val="21"/>
                <w:highlight w:val="none"/>
              </w:rPr>
              <w:t>项目经理</w:t>
            </w:r>
          </w:p>
        </w:tc>
        <w:tc>
          <w:tcPr>
            <w:tcW w:w="1418" w:type="dxa"/>
            <w:noWrap w:val="0"/>
            <w:vAlign w:val="center"/>
          </w:tcPr>
          <w:p w14:paraId="7313BDC8">
            <w:pPr>
              <w:pStyle w:val="13"/>
              <w:keepNext/>
              <w:spacing w:line="440" w:lineRule="exact"/>
              <w:ind w:left="63" w:right="63"/>
              <w:rPr>
                <w:color w:val="auto"/>
                <w:sz w:val="21"/>
                <w:szCs w:val="21"/>
                <w:highlight w:val="none"/>
              </w:rPr>
            </w:pPr>
          </w:p>
        </w:tc>
        <w:tc>
          <w:tcPr>
            <w:tcW w:w="1134" w:type="dxa"/>
            <w:noWrap w:val="0"/>
            <w:vAlign w:val="center"/>
          </w:tcPr>
          <w:p w14:paraId="5164BBBE">
            <w:pPr>
              <w:pStyle w:val="13"/>
              <w:keepNext/>
              <w:spacing w:line="440" w:lineRule="exact"/>
              <w:ind w:left="63" w:right="63"/>
              <w:rPr>
                <w:color w:val="auto"/>
                <w:sz w:val="21"/>
                <w:szCs w:val="21"/>
                <w:highlight w:val="none"/>
              </w:rPr>
            </w:pPr>
          </w:p>
        </w:tc>
        <w:tc>
          <w:tcPr>
            <w:tcW w:w="1134" w:type="dxa"/>
            <w:noWrap w:val="0"/>
            <w:vAlign w:val="center"/>
          </w:tcPr>
          <w:p w14:paraId="374E8C4C">
            <w:pPr>
              <w:pStyle w:val="13"/>
              <w:keepNext/>
              <w:spacing w:line="440" w:lineRule="exact"/>
              <w:ind w:left="63" w:right="63"/>
              <w:rPr>
                <w:color w:val="auto"/>
                <w:sz w:val="21"/>
                <w:szCs w:val="21"/>
                <w:highlight w:val="none"/>
              </w:rPr>
            </w:pPr>
          </w:p>
        </w:tc>
        <w:tc>
          <w:tcPr>
            <w:tcW w:w="4252" w:type="dxa"/>
            <w:noWrap w:val="0"/>
            <w:vAlign w:val="center"/>
          </w:tcPr>
          <w:p w14:paraId="63EBE831">
            <w:pPr>
              <w:pStyle w:val="13"/>
              <w:keepNext/>
              <w:spacing w:line="440" w:lineRule="exact"/>
              <w:ind w:left="63" w:right="63"/>
              <w:rPr>
                <w:color w:val="auto"/>
                <w:sz w:val="21"/>
                <w:szCs w:val="21"/>
                <w:highlight w:val="none"/>
              </w:rPr>
            </w:pPr>
          </w:p>
        </w:tc>
      </w:tr>
      <w:tr w14:paraId="5B684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4EADD7">
            <w:pPr>
              <w:pStyle w:val="13"/>
              <w:keepNext/>
              <w:spacing w:line="440" w:lineRule="exact"/>
              <w:ind w:left="63" w:right="63"/>
              <w:rPr>
                <w:color w:val="auto"/>
                <w:sz w:val="21"/>
                <w:szCs w:val="21"/>
                <w:highlight w:val="none"/>
              </w:rPr>
            </w:pPr>
            <w:r>
              <w:rPr>
                <w:color w:val="auto"/>
                <w:sz w:val="21"/>
                <w:szCs w:val="21"/>
                <w:highlight w:val="none"/>
              </w:rPr>
              <w:t>项目副经理</w:t>
            </w:r>
          </w:p>
        </w:tc>
        <w:tc>
          <w:tcPr>
            <w:tcW w:w="1418" w:type="dxa"/>
            <w:noWrap w:val="0"/>
            <w:vAlign w:val="center"/>
          </w:tcPr>
          <w:p w14:paraId="36BEDB35">
            <w:pPr>
              <w:pStyle w:val="13"/>
              <w:keepNext/>
              <w:spacing w:line="440" w:lineRule="exact"/>
              <w:ind w:left="63" w:right="63"/>
              <w:rPr>
                <w:color w:val="auto"/>
                <w:sz w:val="21"/>
                <w:szCs w:val="21"/>
                <w:highlight w:val="none"/>
              </w:rPr>
            </w:pPr>
          </w:p>
        </w:tc>
        <w:tc>
          <w:tcPr>
            <w:tcW w:w="1134" w:type="dxa"/>
            <w:noWrap w:val="0"/>
            <w:vAlign w:val="center"/>
          </w:tcPr>
          <w:p w14:paraId="6B60735D">
            <w:pPr>
              <w:pStyle w:val="13"/>
              <w:keepNext/>
              <w:spacing w:line="440" w:lineRule="exact"/>
              <w:ind w:left="63" w:right="63"/>
              <w:rPr>
                <w:color w:val="auto"/>
                <w:sz w:val="21"/>
                <w:szCs w:val="21"/>
                <w:highlight w:val="none"/>
              </w:rPr>
            </w:pPr>
          </w:p>
        </w:tc>
        <w:tc>
          <w:tcPr>
            <w:tcW w:w="1134" w:type="dxa"/>
            <w:noWrap w:val="0"/>
            <w:vAlign w:val="center"/>
          </w:tcPr>
          <w:p w14:paraId="60A31FAF">
            <w:pPr>
              <w:pStyle w:val="13"/>
              <w:keepNext/>
              <w:spacing w:line="440" w:lineRule="exact"/>
              <w:ind w:left="63" w:right="63"/>
              <w:rPr>
                <w:color w:val="auto"/>
                <w:sz w:val="21"/>
                <w:szCs w:val="21"/>
                <w:highlight w:val="none"/>
              </w:rPr>
            </w:pPr>
          </w:p>
        </w:tc>
        <w:tc>
          <w:tcPr>
            <w:tcW w:w="4252" w:type="dxa"/>
            <w:noWrap w:val="0"/>
            <w:vAlign w:val="center"/>
          </w:tcPr>
          <w:p w14:paraId="0DA65D3B">
            <w:pPr>
              <w:pStyle w:val="13"/>
              <w:keepNext/>
              <w:spacing w:line="440" w:lineRule="exact"/>
              <w:ind w:left="63" w:right="63"/>
              <w:rPr>
                <w:color w:val="auto"/>
                <w:sz w:val="21"/>
                <w:szCs w:val="21"/>
                <w:highlight w:val="none"/>
              </w:rPr>
            </w:pPr>
          </w:p>
        </w:tc>
      </w:tr>
      <w:tr w14:paraId="50D09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FF6BD8">
            <w:pPr>
              <w:pStyle w:val="13"/>
              <w:keepNext/>
              <w:spacing w:line="440" w:lineRule="exact"/>
              <w:ind w:left="63" w:right="63"/>
              <w:rPr>
                <w:color w:val="auto"/>
                <w:sz w:val="21"/>
                <w:szCs w:val="21"/>
                <w:highlight w:val="none"/>
              </w:rPr>
            </w:pPr>
            <w:r>
              <w:rPr>
                <w:color w:val="auto"/>
                <w:sz w:val="21"/>
                <w:szCs w:val="21"/>
                <w:highlight w:val="none"/>
              </w:rPr>
              <w:t>技术负责人</w:t>
            </w:r>
          </w:p>
        </w:tc>
        <w:tc>
          <w:tcPr>
            <w:tcW w:w="1418" w:type="dxa"/>
            <w:noWrap w:val="0"/>
            <w:vAlign w:val="center"/>
          </w:tcPr>
          <w:p w14:paraId="5916716D">
            <w:pPr>
              <w:pStyle w:val="13"/>
              <w:keepNext/>
              <w:spacing w:line="440" w:lineRule="exact"/>
              <w:ind w:left="63" w:right="63"/>
              <w:rPr>
                <w:color w:val="auto"/>
                <w:sz w:val="21"/>
                <w:szCs w:val="21"/>
                <w:highlight w:val="none"/>
              </w:rPr>
            </w:pPr>
          </w:p>
        </w:tc>
        <w:tc>
          <w:tcPr>
            <w:tcW w:w="1134" w:type="dxa"/>
            <w:noWrap w:val="0"/>
            <w:vAlign w:val="center"/>
          </w:tcPr>
          <w:p w14:paraId="2BCADE37">
            <w:pPr>
              <w:pStyle w:val="13"/>
              <w:keepNext/>
              <w:spacing w:line="440" w:lineRule="exact"/>
              <w:ind w:left="63" w:right="63"/>
              <w:rPr>
                <w:color w:val="auto"/>
                <w:sz w:val="21"/>
                <w:szCs w:val="21"/>
                <w:highlight w:val="none"/>
              </w:rPr>
            </w:pPr>
          </w:p>
        </w:tc>
        <w:tc>
          <w:tcPr>
            <w:tcW w:w="1134" w:type="dxa"/>
            <w:noWrap w:val="0"/>
            <w:vAlign w:val="center"/>
          </w:tcPr>
          <w:p w14:paraId="56736ECC">
            <w:pPr>
              <w:pStyle w:val="13"/>
              <w:keepNext/>
              <w:spacing w:line="440" w:lineRule="exact"/>
              <w:ind w:left="63" w:right="63"/>
              <w:rPr>
                <w:color w:val="auto"/>
                <w:sz w:val="21"/>
                <w:szCs w:val="21"/>
                <w:highlight w:val="none"/>
              </w:rPr>
            </w:pPr>
          </w:p>
        </w:tc>
        <w:tc>
          <w:tcPr>
            <w:tcW w:w="4252" w:type="dxa"/>
            <w:noWrap w:val="0"/>
            <w:vAlign w:val="center"/>
          </w:tcPr>
          <w:p w14:paraId="62262D5B">
            <w:pPr>
              <w:pStyle w:val="13"/>
              <w:keepNext/>
              <w:spacing w:line="440" w:lineRule="exact"/>
              <w:ind w:left="63" w:right="63"/>
              <w:rPr>
                <w:color w:val="auto"/>
                <w:sz w:val="21"/>
                <w:szCs w:val="21"/>
                <w:highlight w:val="none"/>
              </w:rPr>
            </w:pPr>
          </w:p>
        </w:tc>
      </w:tr>
      <w:tr w14:paraId="1AE55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0D8A5C">
            <w:pPr>
              <w:pStyle w:val="13"/>
              <w:keepNext/>
              <w:spacing w:line="440" w:lineRule="exact"/>
              <w:ind w:left="63" w:right="63"/>
              <w:rPr>
                <w:color w:val="auto"/>
                <w:sz w:val="21"/>
                <w:szCs w:val="21"/>
                <w:highlight w:val="none"/>
              </w:rPr>
            </w:pPr>
            <w:r>
              <w:rPr>
                <w:color w:val="auto"/>
                <w:sz w:val="21"/>
                <w:szCs w:val="21"/>
                <w:highlight w:val="none"/>
              </w:rPr>
              <w:t>造价管理</w:t>
            </w:r>
          </w:p>
        </w:tc>
        <w:tc>
          <w:tcPr>
            <w:tcW w:w="1418" w:type="dxa"/>
            <w:noWrap w:val="0"/>
            <w:vAlign w:val="center"/>
          </w:tcPr>
          <w:p w14:paraId="3782FF66">
            <w:pPr>
              <w:pStyle w:val="13"/>
              <w:keepNext/>
              <w:spacing w:line="440" w:lineRule="exact"/>
              <w:ind w:left="63" w:right="63"/>
              <w:rPr>
                <w:color w:val="auto"/>
                <w:sz w:val="21"/>
                <w:szCs w:val="21"/>
                <w:highlight w:val="none"/>
              </w:rPr>
            </w:pPr>
          </w:p>
        </w:tc>
        <w:tc>
          <w:tcPr>
            <w:tcW w:w="1134" w:type="dxa"/>
            <w:noWrap w:val="0"/>
            <w:vAlign w:val="center"/>
          </w:tcPr>
          <w:p w14:paraId="4D18831C">
            <w:pPr>
              <w:pStyle w:val="13"/>
              <w:keepNext/>
              <w:spacing w:line="440" w:lineRule="exact"/>
              <w:ind w:left="63" w:right="63"/>
              <w:rPr>
                <w:color w:val="auto"/>
                <w:sz w:val="21"/>
                <w:szCs w:val="21"/>
                <w:highlight w:val="none"/>
              </w:rPr>
            </w:pPr>
          </w:p>
        </w:tc>
        <w:tc>
          <w:tcPr>
            <w:tcW w:w="1134" w:type="dxa"/>
            <w:noWrap w:val="0"/>
            <w:vAlign w:val="center"/>
          </w:tcPr>
          <w:p w14:paraId="6C2A37A1">
            <w:pPr>
              <w:pStyle w:val="13"/>
              <w:keepNext/>
              <w:spacing w:line="440" w:lineRule="exact"/>
              <w:ind w:left="63" w:right="63"/>
              <w:rPr>
                <w:color w:val="auto"/>
                <w:sz w:val="21"/>
                <w:szCs w:val="21"/>
                <w:highlight w:val="none"/>
              </w:rPr>
            </w:pPr>
          </w:p>
        </w:tc>
        <w:tc>
          <w:tcPr>
            <w:tcW w:w="4252" w:type="dxa"/>
            <w:noWrap w:val="0"/>
            <w:vAlign w:val="center"/>
          </w:tcPr>
          <w:p w14:paraId="5BDB9317">
            <w:pPr>
              <w:pStyle w:val="13"/>
              <w:keepNext/>
              <w:spacing w:line="440" w:lineRule="exact"/>
              <w:ind w:left="63" w:right="63"/>
              <w:rPr>
                <w:color w:val="auto"/>
                <w:sz w:val="21"/>
                <w:szCs w:val="21"/>
                <w:highlight w:val="none"/>
              </w:rPr>
            </w:pPr>
          </w:p>
        </w:tc>
      </w:tr>
      <w:tr w14:paraId="7D14E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227320">
            <w:pPr>
              <w:pStyle w:val="13"/>
              <w:keepNext/>
              <w:spacing w:line="440" w:lineRule="exact"/>
              <w:ind w:left="63" w:right="63"/>
              <w:rPr>
                <w:color w:val="auto"/>
                <w:sz w:val="21"/>
                <w:szCs w:val="21"/>
                <w:highlight w:val="none"/>
              </w:rPr>
            </w:pPr>
            <w:r>
              <w:rPr>
                <w:color w:val="auto"/>
                <w:sz w:val="21"/>
                <w:szCs w:val="21"/>
                <w:highlight w:val="none"/>
              </w:rPr>
              <w:t>质量管理</w:t>
            </w:r>
          </w:p>
        </w:tc>
        <w:tc>
          <w:tcPr>
            <w:tcW w:w="1418" w:type="dxa"/>
            <w:noWrap w:val="0"/>
            <w:vAlign w:val="center"/>
          </w:tcPr>
          <w:p w14:paraId="065C6BD1">
            <w:pPr>
              <w:pStyle w:val="13"/>
              <w:keepNext/>
              <w:spacing w:line="440" w:lineRule="exact"/>
              <w:ind w:left="63" w:right="63"/>
              <w:rPr>
                <w:color w:val="auto"/>
                <w:sz w:val="21"/>
                <w:szCs w:val="21"/>
                <w:highlight w:val="none"/>
              </w:rPr>
            </w:pPr>
          </w:p>
        </w:tc>
        <w:tc>
          <w:tcPr>
            <w:tcW w:w="1134" w:type="dxa"/>
            <w:noWrap w:val="0"/>
            <w:vAlign w:val="center"/>
          </w:tcPr>
          <w:p w14:paraId="0838216B">
            <w:pPr>
              <w:pStyle w:val="13"/>
              <w:keepNext/>
              <w:spacing w:line="440" w:lineRule="exact"/>
              <w:ind w:left="63" w:right="63"/>
              <w:rPr>
                <w:color w:val="auto"/>
                <w:sz w:val="21"/>
                <w:szCs w:val="21"/>
                <w:highlight w:val="none"/>
              </w:rPr>
            </w:pPr>
          </w:p>
        </w:tc>
        <w:tc>
          <w:tcPr>
            <w:tcW w:w="1134" w:type="dxa"/>
            <w:noWrap w:val="0"/>
            <w:vAlign w:val="center"/>
          </w:tcPr>
          <w:p w14:paraId="26E67406">
            <w:pPr>
              <w:pStyle w:val="13"/>
              <w:keepNext/>
              <w:spacing w:line="440" w:lineRule="exact"/>
              <w:ind w:left="63" w:right="63"/>
              <w:rPr>
                <w:color w:val="auto"/>
                <w:sz w:val="21"/>
                <w:szCs w:val="21"/>
                <w:highlight w:val="none"/>
              </w:rPr>
            </w:pPr>
          </w:p>
        </w:tc>
        <w:tc>
          <w:tcPr>
            <w:tcW w:w="4252" w:type="dxa"/>
            <w:noWrap w:val="0"/>
            <w:vAlign w:val="center"/>
          </w:tcPr>
          <w:p w14:paraId="2D20DC60">
            <w:pPr>
              <w:pStyle w:val="13"/>
              <w:keepNext/>
              <w:spacing w:line="440" w:lineRule="exact"/>
              <w:ind w:left="63" w:right="63"/>
              <w:rPr>
                <w:color w:val="auto"/>
                <w:sz w:val="21"/>
                <w:szCs w:val="21"/>
                <w:highlight w:val="none"/>
              </w:rPr>
            </w:pPr>
          </w:p>
        </w:tc>
      </w:tr>
      <w:tr w14:paraId="186F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3B8CAC7">
            <w:pPr>
              <w:pStyle w:val="13"/>
              <w:keepNext/>
              <w:spacing w:line="440" w:lineRule="exact"/>
              <w:ind w:left="63" w:right="63"/>
              <w:rPr>
                <w:color w:val="auto"/>
                <w:sz w:val="21"/>
                <w:szCs w:val="21"/>
                <w:highlight w:val="none"/>
              </w:rPr>
            </w:pPr>
            <w:r>
              <w:rPr>
                <w:color w:val="auto"/>
                <w:sz w:val="21"/>
                <w:szCs w:val="21"/>
                <w:highlight w:val="none"/>
              </w:rPr>
              <w:t>材料管理</w:t>
            </w:r>
          </w:p>
        </w:tc>
        <w:tc>
          <w:tcPr>
            <w:tcW w:w="1418" w:type="dxa"/>
            <w:noWrap w:val="0"/>
            <w:vAlign w:val="center"/>
          </w:tcPr>
          <w:p w14:paraId="61D98986">
            <w:pPr>
              <w:pStyle w:val="13"/>
              <w:keepNext/>
              <w:spacing w:line="440" w:lineRule="exact"/>
              <w:ind w:left="63" w:right="63"/>
              <w:rPr>
                <w:color w:val="auto"/>
                <w:sz w:val="21"/>
                <w:szCs w:val="21"/>
                <w:highlight w:val="none"/>
              </w:rPr>
            </w:pPr>
          </w:p>
        </w:tc>
        <w:tc>
          <w:tcPr>
            <w:tcW w:w="1134" w:type="dxa"/>
            <w:noWrap w:val="0"/>
            <w:vAlign w:val="center"/>
          </w:tcPr>
          <w:p w14:paraId="2C70C8F1">
            <w:pPr>
              <w:pStyle w:val="13"/>
              <w:keepNext/>
              <w:spacing w:line="440" w:lineRule="exact"/>
              <w:ind w:left="63" w:right="63"/>
              <w:rPr>
                <w:color w:val="auto"/>
                <w:sz w:val="21"/>
                <w:szCs w:val="21"/>
                <w:highlight w:val="none"/>
              </w:rPr>
            </w:pPr>
          </w:p>
        </w:tc>
        <w:tc>
          <w:tcPr>
            <w:tcW w:w="1134" w:type="dxa"/>
            <w:noWrap w:val="0"/>
            <w:vAlign w:val="center"/>
          </w:tcPr>
          <w:p w14:paraId="45D49FE6">
            <w:pPr>
              <w:pStyle w:val="13"/>
              <w:keepNext/>
              <w:spacing w:line="440" w:lineRule="exact"/>
              <w:ind w:left="63" w:right="63"/>
              <w:rPr>
                <w:color w:val="auto"/>
                <w:sz w:val="21"/>
                <w:szCs w:val="21"/>
                <w:highlight w:val="none"/>
              </w:rPr>
            </w:pPr>
          </w:p>
        </w:tc>
        <w:tc>
          <w:tcPr>
            <w:tcW w:w="4252" w:type="dxa"/>
            <w:noWrap w:val="0"/>
            <w:vAlign w:val="center"/>
          </w:tcPr>
          <w:p w14:paraId="63C5A3D9">
            <w:pPr>
              <w:pStyle w:val="13"/>
              <w:keepNext/>
              <w:spacing w:line="440" w:lineRule="exact"/>
              <w:ind w:left="63" w:right="63"/>
              <w:rPr>
                <w:color w:val="auto"/>
                <w:sz w:val="21"/>
                <w:szCs w:val="21"/>
                <w:highlight w:val="none"/>
              </w:rPr>
            </w:pPr>
          </w:p>
        </w:tc>
      </w:tr>
      <w:tr w14:paraId="098FA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F90D849">
            <w:pPr>
              <w:pStyle w:val="13"/>
              <w:keepNext/>
              <w:spacing w:line="440" w:lineRule="exact"/>
              <w:ind w:left="63" w:right="63"/>
              <w:rPr>
                <w:color w:val="auto"/>
                <w:sz w:val="21"/>
                <w:szCs w:val="21"/>
                <w:highlight w:val="none"/>
              </w:rPr>
            </w:pPr>
            <w:r>
              <w:rPr>
                <w:color w:val="auto"/>
                <w:sz w:val="21"/>
                <w:szCs w:val="21"/>
                <w:highlight w:val="none"/>
              </w:rPr>
              <w:t>计划管理</w:t>
            </w:r>
          </w:p>
        </w:tc>
        <w:tc>
          <w:tcPr>
            <w:tcW w:w="1418" w:type="dxa"/>
            <w:noWrap w:val="0"/>
            <w:vAlign w:val="center"/>
          </w:tcPr>
          <w:p w14:paraId="29336B98">
            <w:pPr>
              <w:pStyle w:val="13"/>
              <w:keepNext/>
              <w:spacing w:line="440" w:lineRule="exact"/>
              <w:ind w:left="63" w:right="63"/>
              <w:rPr>
                <w:color w:val="auto"/>
                <w:sz w:val="21"/>
                <w:szCs w:val="21"/>
                <w:highlight w:val="none"/>
              </w:rPr>
            </w:pPr>
          </w:p>
        </w:tc>
        <w:tc>
          <w:tcPr>
            <w:tcW w:w="1134" w:type="dxa"/>
            <w:noWrap w:val="0"/>
            <w:vAlign w:val="center"/>
          </w:tcPr>
          <w:p w14:paraId="0C9700AB">
            <w:pPr>
              <w:pStyle w:val="13"/>
              <w:keepNext/>
              <w:spacing w:line="440" w:lineRule="exact"/>
              <w:ind w:left="63" w:right="63"/>
              <w:rPr>
                <w:color w:val="auto"/>
                <w:sz w:val="21"/>
                <w:szCs w:val="21"/>
                <w:highlight w:val="none"/>
              </w:rPr>
            </w:pPr>
          </w:p>
        </w:tc>
        <w:tc>
          <w:tcPr>
            <w:tcW w:w="1134" w:type="dxa"/>
            <w:noWrap w:val="0"/>
            <w:vAlign w:val="center"/>
          </w:tcPr>
          <w:p w14:paraId="40BAFB8B">
            <w:pPr>
              <w:pStyle w:val="13"/>
              <w:keepNext/>
              <w:spacing w:line="440" w:lineRule="exact"/>
              <w:ind w:left="63" w:right="63"/>
              <w:rPr>
                <w:color w:val="auto"/>
                <w:sz w:val="21"/>
                <w:szCs w:val="21"/>
                <w:highlight w:val="none"/>
              </w:rPr>
            </w:pPr>
          </w:p>
        </w:tc>
        <w:tc>
          <w:tcPr>
            <w:tcW w:w="4252" w:type="dxa"/>
            <w:noWrap w:val="0"/>
            <w:vAlign w:val="center"/>
          </w:tcPr>
          <w:p w14:paraId="4C70254A">
            <w:pPr>
              <w:pStyle w:val="13"/>
              <w:keepNext/>
              <w:spacing w:line="440" w:lineRule="exact"/>
              <w:ind w:left="63" w:right="63"/>
              <w:rPr>
                <w:color w:val="auto"/>
                <w:sz w:val="21"/>
                <w:szCs w:val="21"/>
                <w:highlight w:val="none"/>
              </w:rPr>
            </w:pPr>
          </w:p>
        </w:tc>
      </w:tr>
      <w:tr w14:paraId="104C7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FF7B82">
            <w:pPr>
              <w:pStyle w:val="13"/>
              <w:keepNext/>
              <w:spacing w:line="440" w:lineRule="exact"/>
              <w:ind w:left="63" w:right="63"/>
              <w:rPr>
                <w:color w:val="auto"/>
                <w:sz w:val="21"/>
                <w:szCs w:val="21"/>
                <w:highlight w:val="none"/>
              </w:rPr>
            </w:pPr>
            <w:r>
              <w:rPr>
                <w:color w:val="auto"/>
                <w:sz w:val="21"/>
                <w:szCs w:val="21"/>
                <w:highlight w:val="none"/>
              </w:rPr>
              <w:t>安全管理</w:t>
            </w:r>
          </w:p>
        </w:tc>
        <w:tc>
          <w:tcPr>
            <w:tcW w:w="1418" w:type="dxa"/>
            <w:noWrap w:val="0"/>
            <w:vAlign w:val="center"/>
          </w:tcPr>
          <w:p w14:paraId="002E0B15">
            <w:pPr>
              <w:pStyle w:val="13"/>
              <w:keepNext/>
              <w:spacing w:line="440" w:lineRule="exact"/>
              <w:ind w:left="63" w:right="63"/>
              <w:rPr>
                <w:color w:val="auto"/>
                <w:sz w:val="21"/>
                <w:szCs w:val="21"/>
                <w:highlight w:val="none"/>
              </w:rPr>
            </w:pPr>
          </w:p>
        </w:tc>
        <w:tc>
          <w:tcPr>
            <w:tcW w:w="1134" w:type="dxa"/>
            <w:noWrap w:val="0"/>
            <w:vAlign w:val="center"/>
          </w:tcPr>
          <w:p w14:paraId="2020AB22">
            <w:pPr>
              <w:pStyle w:val="13"/>
              <w:keepNext/>
              <w:spacing w:line="440" w:lineRule="exact"/>
              <w:ind w:left="63" w:right="63"/>
              <w:rPr>
                <w:color w:val="auto"/>
                <w:sz w:val="21"/>
                <w:szCs w:val="21"/>
                <w:highlight w:val="none"/>
              </w:rPr>
            </w:pPr>
          </w:p>
        </w:tc>
        <w:tc>
          <w:tcPr>
            <w:tcW w:w="1134" w:type="dxa"/>
            <w:noWrap w:val="0"/>
            <w:vAlign w:val="center"/>
          </w:tcPr>
          <w:p w14:paraId="4C7EB416">
            <w:pPr>
              <w:pStyle w:val="13"/>
              <w:keepNext/>
              <w:spacing w:line="440" w:lineRule="exact"/>
              <w:ind w:left="63" w:right="63"/>
              <w:rPr>
                <w:color w:val="auto"/>
                <w:sz w:val="21"/>
                <w:szCs w:val="21"/>
                <w:highlight w:val="none"/>
              </w:rPr>
            </w:pPr>
          </w:p>
        </w:tc>
        <w:tc>
          <w:tcPr>
            <w:tcW w:w="4252" w:type="dxa"/>
            <w:noWrap w:val="0"/>
            <w:vAlign w:val="center"/>
          </w:tcPr>
          <w:p w14:paraId="7F8FF7E8">
            <w:pPr>
              <w:pStyle w:val="13"/>
              <w:keepNext/>
              <w:spacing w:line="440" w:lineRule="exact"/>
              <w:ind w:left="63" w:right="63"/>
              <w:rPr>
                <w:color w:val="auto"/>
                <w:sz w:val="21"/>
                <w:szCs w:val="21"/>
                <w:highlight w:val="none"/>
              </w:rPr>
            </w:pPr>
          </w:p>
        </w:tc>
      </w:tr>
      <w:tr w14:paraId="72D0E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D25A66B">
            <w:pPr>
              <w:pStyle w:val="13"/>
              <w:keepNext/>
              <w:spacing w:line="440" w:lineRule="exact"/>
              <w:ind w:left="63" w:right="63"/>
              <w:rPr>
                <w:color w:val="auto"/>
                <w:sz w:val="21"/>
                <w:szCs w:val="21"/>
                <w:highlight w:val="none"/>
              </w:rPr>
            </w:pPr>
            <w:r>
              <w:rPr>
                <w:color w:val="auto"/>
                <w:sz w:val="21"/>
                <w:szCs w:val="21"/>
                <w:highlight w:val="none"/>
              </w:rPr>
              <w:t>其他人员</w:t>
            </w:r>
          </w:p>
        </w:tc>
        <w:tc>
          <w:tcPr>
            <w:tcW w:w="1418" w:type="dxa"/>
            <w:noWrap w:val="0"/>
            <w:vAlign w:val="center"/>
          </w:tcPr>
          <w:p w14:paraId="53D0D1B2">
            <w:pPr>
              <w:pStyle w:val="13"/>
              <w:keepNext/>
              <w:spacing w:line="440" w:lineRule="exact"/>
              <w:ind w:left="63" w:right="63"/>
              <w:rPr>
                <w:color w:val="auto"/>
                <w:sz w:val="21"/>
                <w:szCs w:val="21"/>
                <w:highlight w:val="none"/>
              </w:rPr>
            </w:pPr>
          </w:p>
        </w:tc>
        <w:tc>
          <w:tcPr>
            <w:tcW w:w="1134" w:type="dxa"/>
            <w:noWrap w:val="0"/>
            <w:vAlign w:val="center"/>
          </w:tcPr>
          <w:p w14:paraId="610D6F94">
            <w:pPr>
              <w:pStyle w:val="13"/>
              <w:keepNext/>
              <w:spacing w:line="440" w:lineRule="exact"/>
              <w:ind w:left="63" w:right="63"/>
              <w:rPr>
                <w:color w:val="auto"/>
                <w:sz w:val="21"/>
                <w:szCs w:val="21"/>
                <w:highlight w:val="none"/>
              </w:rPr>
            </w:pPr>
          </w:p>
        </w:tc>
        <w:tc>
          <w:tcPr>
            <w:tcW w:w="1134" w:type="dxa"/>
            <w:noWrap w:val="0"/>
            <w:vAlign w:val="center"/>
          </w:tcPr>
          <w:p w14:paraId="7B99D5D1">
            <w:pPr>
              <w:pStyle w:val="13"/>
              <w:keepNext/>
              <w:spacing w:line="440" w:lineRule="exact"/>
              <w:ind w:left="63" w:right="63"/>
              <w:rPr>
                <w:color w:val="auto"/>
                <w:sz w:val="21"/>
                <w:szCs w:val="21"/>
                <w:highlight w:val="none"/>
              </w:rPr>
            </w:pPr>
          </w:p>
        </w:tc>
        <w:tc>
          <w:tcPr>
            <w:tcW w:w="4252" w:type="dxa"/>
            <w:noWrap w:val="0"/>
            <w:vAlign w:val="center"/>
          </w:tcPr>
          <w:p w14:paraId="1681F8A7">
            <w:pPr>
              <w:pStyle w:val="13"/>
              <w:keepNext/>
              <w:spacing w:line="440" w:lineRule="exact"/>
              <w:ind w:left="63" w:right="63"/>
              <w:rPr>
                <w:color w:val="auto"/>
                <w:sz w:val="21"/>
                <w:szCs w:val="21"/>
                <w:highlight w:val="none"/>
              </w:rPr>
            </w:pPr>
          </w:p>
        </w:tc>
      </w:tr>
      <w:tr w14:paraId="33D79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308770E">
            <w:pPr>
              <w:pStyle w:val="13"/>
              <w:keepNext/>
              <w:spacing w:line="440" w:lineRule="exact"/>
              <w:ind w:left="63" w:right="63"/>
              <w:rPr>
                <w:color w:val="auto"/>
                <w:sz w:val="24"/>
                <w:highlight w:val="none"/>
              </w:rPr>
            </w:pPr>
          </w:p>
        </w:tc>
        <w:tc>
          <w:tcPr>
            <w:tcW w:w="1418" w:type="dxa"/>
            <w:tcBorders>
              <w:bottom w:val="nil"/>
            </w:tcBorders>
            <w:noWrap w:val="0"/>
            <w:vAlign w:val="center"/>
          </w:tcPr>
          <w:p w14:paraId="07710ECB">
            <w:pPr>
              <w:pStyle w:val="13"/>
              <w:keepNext/>
              <w:spacing w:line="440" w:lineRule="exact"/>
              <w:ind w:left="63" w:right="63"/>
              <w:rPr>
                <w:color w:val="auto"/>
                <w:sz w:val="24"/>
                <w:highlight w:val="none"/>
              </w:rPr>
            </w:pPr>
          </w:p>
        </w:tc>
        <w:tc>
          <w:tcPr>
            <w:tcW w:w="1134" w:type="dxa"/>
            <w:tcBorders>
              <w:bottom w:val="nil"/>
            </w:tcBorders>
            <w:noWrap w:val="0"/>
            <w:vAlign w:val="center"/>
          </w:tcPr>
          <w:p w14:paraId="6A3DAF31">
            <w:pPr>
              <w:pStyle w:val="13"/>
              <w:keepNext/>
              <w:spacing w:line="440" w:lineRule="exact"/>
              <w:ind w:left="63" w:right="63"/>
              <w:rPr>
                <w:color w:val="auto"/>
                <w:sz w:val="24"/>
                <w:highlight w:val="none"/>
              </w:rPr>
            </w:pPr>
          </w:p>
        </w:tc>
        <w:tc>
          <w:tcPr>
            <w:tcW w:w="1134" w:type="dxa"/>
            <w:tcBorders>
              <w:bottom w:val="nil"/>
            </w:tcBorders>
            <w:noWrap w:val="0"/>
            <w:vAlign w:val="center"/>
          </w:tcPr>
          <w:p w14:paraId="09A1D64D">
            <w:pPr>
              <w:pStyle w:val="13"/>
              <w:keepNext/>
              <w:spacing w:line="440" w:lineRule="exact"/>
              <w:ind w:left="63" w:right="63"/>
              <w:rPr>
                <w:color w:val="auto"/>
                <w:sz w:val="24"/>
                <w:highlight w:val="none"/>
              </w:rPr>
            </w:pPr>
          </w:p>
        </w:tc>
        <w:tc>
          <w:tcPr>
            <w:tcW w:w="4252" w:type="dxa"/>
            <w:tcBorders>
              <w:bottom w:val="nil"/>
            </w:tcBorders>
            <w:noWrap w:val="0"/>
            <w:vAlign w:val="center"/>
          </w:tcPr>
          <w:p w14:paraId="050A920D">
            <w:pPr>
              <w:pStyle w:val="13"/>
              <w:keepNext/>
              <w:spacing w:line="440" w:lineRule="exact"/>
              <w:ind w:left="63" w:right="63"/>
              <w:rPr>
                <w:color w:val="auto"/>
                <w:sz w:val="24"/>
                <w:highlight w:val="none"/>
              </w:rPr>
            </w:pPr>
          </w:p>
        </w:tc>
      </w:tr>
      <w:tr w14:paraId="2B7F8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88D5C7E">
            <w:pPr>
              <w:pStyle w:val="13"/>
              <w:keepNext/>
              <w:spacing w:line="440" w:lineRule="exact"/>
              <w:ind w:left="63" w:right="63"/>
              <w:rPr>
                <w:color w:val="auto"/>
                <w:sz w:val="24"/>
                <w:highlight w:val="none"/>
              </w:rPr>
            </w:pPr>
          </w:p>
        </w:tc>
        <w:tc>
          <w:tcPr>
            <w:tcW w:w="1418" w:type="dxa"/>
            <w:noWrap w:val="0"/>
            <w:vAlign w:val="center"/>
          </w:tcPr>
          <w:p w14:paraId="2889C531">
            <w:pPr>
              <w:pStyle w:val="13"/>
              <w:keepNext/>
              <w:spacing w:line="440" w:lineRule="exact"/>
              <w:ind w:left="63" w:right="63"/>
              <w:rPr>
                <w:color w:val="auto"/>
                <w:sz w:val="24"/>
                <w:highlight w:val="none"/>
              </w:rPr>
            </w:pPr>
          </w:p>
        </w:tc>
        <w:tc>
          <w:tcPr>
            <w:tcW w:w="1134" w:type="dxa"/>
            <w:noWrap w:val="0"/>
            <w:vAlign w:val="center"/>
          </w:tcPr>
          <w:p w14:paraId="78C77543">
            <w:pPr>
              <w:pStyle w:val="13"/>
              <w:keepNext/>
              <w:spacing w:line="440" w:lineRule="exact"/>
              <w:ind w:left="63" w:right="63"/>
              <w:rPr>
                <w:color w:val="auto"/>
                <w:sz w:val="24"/>
                <w:highlight w:val="none"/>
              </w:rPr>
            </w:pPr>
          </w:p>
        </w:tc>
        <w:tc>
          <w:tcPr>
            <w:tcW w:w="1134" w:type="dxa"/>
            <w:noWrap w:val="0"/>
            <w:vAlign w:val="center"/>
          </w:tcPr>
          <w:p w14:paraId="5900DFE9">
            <w:pPr>
              <w:pStyle w:val="13"/>
              <w:keepNext/>
              <w:spacing w:line="440" w:lineRule="exact"/>
              <w:ind w:left="63" w:right="63"/>
              <w:rPr>
                <w:color w:val="auto"/>
                <w:sz w:val="24"/>
                <w:highlight w:val="none"/>
              </w:rPr>
            </w:pPr>
          </w:p>
        </w:tc>
        <w:tc>
          <w:tcPr>
            <w:tcW w:w="4252" w:type="dxa"/>
            <w:noWrap w:val="0"/>
            <w:vAlign w:val="center"/>
          </w:tcPr>
          <w:p w14:paraId="3D774CC2">
            <w:pPr>
              <w:pStyle w:val="13"/>
              <w:keepNext/>
              <w:spacing w:line="440" w:lineRule="exact"/>
              <w:ind w:left="63" w:right="63"/>
              <w:rPr>
                <w:color w:val="auto"/>
                <w:sz w:val="24"/>
                <w:highlight w:val="none"/>
              </w:rPr>
            </w:pPr>
          </w:p>
        </w:tc>
      </w:tr>
      <w:tr w14:paraId="59DDD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187F7FA">
            <w:pPr>
              <w:pStyle w:val="13"/>
              <w:keepNext/>
              <w:spacing w:line="440" w:lineRule="exact"/>
              <w:ind w:left="63" w:right="63"/>
              <w:rPr>
                <w:color w:val="auto"/>
                <w:sz w:val="24"/>
                <w:highlight w:val="none"/>
              </w:rPr>
            </w:pPr>
          </w:p>
        </w:tc>
        <w:tc>
          <w:tcPr>
            <w:tcW w:w="1418" w:type="dxa"/>
            <w:noWrap w:val="0"/>
            <w:vAlign w:val="center"/>
          </w:tcPr>
          <w:p w14:paraId="5BF9A367">
            <w:pPr>
              <w:pStyle w:val="13"/>
              <w:keepNext/>
              <w:spacing w:line="440" w:lineRule="exact"/>
              <w:ind w:left="63" w:right="63"/>
              <w:rPr>
                <w:color w:val="auto"/>
                <w:sz w:val="24"/>
                <w:highlight w:val="none"/>
              </w:rPr>
            </w:pPr>
          </w:p>
        </w:tc>
        <w:tc>
          <w:tcPr>
            <w:tcW w:w="1134" w:type="dxa"/>
            <w:noWrap w:val="0"/>
            <w:vAlign w:val="center"/>
          </w:tcPr>
          <w:p w14:paraId="498A4603">
            <w:pPr>
              <w:pStyle w:val="13"/>
              <w:keepNext/>
              <w:spacing w:line="440" w:lineRule="exact"/>
              <w:ind w:left="63" w:right="63"/>
              <w:rPr>
                <w:color w:val="auto"/>
                <w:sz w:val="24"/>
                <w:highlight w:val="none"/>
              </w:rPr>
            </w:pPr>
          </w:p>
        </w:tc>
        <w:tc>
          <w:tcPr>
            <w:tcW w:w="1134" w:type="dxa"/>
            <w:noWrap w:val="0"/>
            <w:vAlign w:val="center"/>
          </w:tcPr>
          <w:p w14:paraId="0B7E3AD4">
            <w:pPr>
              <w:pStyle w:val="13"/>
              <w:keepNext/>
              <w:spacing w:line="440" w:lineRule="exact"/>
              <w:ind w:left="63" w:right="63"/>
              <w:rPr>
                <w:color w:val="auto"/>
                <w:sz w:val="24"/>
                <w:highlight w:val="none"/>
              </w:rPr>
            </w:pPr>
          </w:p>
        </w:tc>
        <w:tc>
          <w:tcPr>
            <w:tcW w:w="4252" w:type="dxa"/>
            <w:noWrap w:val="0"/>
            <w:vAlign w:val="center"/>
          </w:tcPr>
          <w:p w14:paraId="37771820">
            <w:pPr>
              <w:pStyle w:val="13"/>
              <w:keepNext/>
              <w:spacing w:line="440" w:lineRule="exact"/>
              <w:ind w:left="63" w:right="63"/>
              <w:rPr>
                <w:color w:val="auto"/>
                <w:sz w:val="24"/>
                <w:highlight w:val="none"/>
              </w:rPr>
            </w:pPr>
          </w:p>
        </w:tc>
      </w:tr>
      <w:tr w14:paraId="199B4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A1C2DE">
            <w:pPr>
              <w:pStyle w:val="13"/>
              <w:keepNext/>
              <w:spacing w:line="440" w:lineRule="exact"/>
              <w:ind w:left="63" w:right="63"/>
              <w:rPr>
                <w:color w:val="auto"/>
                <w:sz w:val="24"/>
                <w:highlight w:val="none"/>
              </w:rPr>
            </w:pPr>
          </w:p>
        </w:tc>
        <w:tc>
          <w:tcPr>
            <w:tcW w:w="1418" w:type="dxa"/>
            <w:noWrap w:val="0"/>
            <w:vAlign w:val="center"/>
          </w:tcPr>
          <w:p w14:paraId="0EA69977">
            <w:pPr>
              <w:pStyle w:val="13"/>
              <w:keepNext/>
              <w:spacing w:line="440" w:lineRule="exact"/>
              <w:ind w:left="63" w:right="63"/>
              <w:rPr>
                <w:color w:val="auto"/>
                <w:sz w:val="24"/>
                <w:highlight w:val="none"/>
              </w:rPr>
            </w:pPr>
          </w:p>
        </w:tc>
        <w:tc>
          <w:tcPr>
            <w:tcW w:w="1134" w:type="dxa"/>
            <w:noWrap w:val="0"/>
            <w:vAlign w:val="center"/>
          </w:tcPr>
          <w:p w14:paraId="32232B0D">
            <w:pPr>
              <w:pStyle w:val="13"/>
              <w:keepNext/>
              <w:spacing w:line="440" w:lineRule="exact"/>
              <w:ind w:left="63" w:right="63"/>
              <w:rPr>
                <w:color w:val="auto"/>
                <w:sz w:val="24"/>
                <w:highlight w:val="none"/>
              </w:rPr>
            </w:pPr>
          </w:p>
        </w:tc>
        <w:tc>
          <w:tcPr>
            <w:tcW w:w="1134" w:type="dxa"/>
            <w:noWrap w:val="0"/>
            <w:vAlign w:val="center"/>
          </w:tcPr>
          <w:p w14:paraId="3B130617">
            <w:pPr>
              <w:pStyle w:val="13"/>
              <w:keepNext/>
              <w:spacing w:line="440" w:lineRule="exact"/>
              <w:ind w:left="63" w:right="63"/>
              <w:rPr>
                <w:color w:val="auto"/>
                <w:sz w:val="24"/>
                <w:highlight w:val="none"/>
              </w:rPr>
            </w:pPr>
          </w:p>
        </w:tc>
        <w:tc>
          <w:tcPr>
            <w:tcW w:w="4252" w:type="dxa"/>
            <w:noWrap w:val="0"/>
            <w:vAlign w:val="center"/>
          </w:tcPr>
          <w:p w14:paraId="76746B2F">
            <w:pPr>
              <w:pStyle w:val="13"/>
              <w:keepNext/>
              <w:spacing w:line="440" w:lineRule="exact"/>
              <w:ind w:left="63" w:right="63"/>
              <w:rPr>
                <w:color w:val="auto"/>
                <w:sz w:val="24"/>
                <w:highlight w:val="none"/>
              </w:rPr>
            </w:pPr>
          </w:p>
        </w:tc>
      </w:tr>
      <w:tr w14:paraId="66D3D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1625715">
            <w:pPr>
              <w:pStyle w:val="13"/>
              <w:keepNext/>
              <w:spacing w:line="440" w:lineRule="exact"/>
              <w:ind w:left="63" w:right="63"/>
              <w:rPr>
                <w:color w:val="auto"/>
                <w:sz w:val="24"/>
                <w:highlight w:val="none"/>
              </w:rPr>
            </w:pPr>
          </w:p>
        </w:tc>
        <w:tc>
          <w:tcPr>
            <w:tcW w:w="1418" w:type="dxa"/>
            <w:tcBorders>
              <w:bottom w:val="single" w:color="auto" w:sz="12" w:space="0"/>
            </w:tcBorders>
            <w:noWrap w:val="0"/>
            <w:vAlign w:val="center"/>
          </w:tcPr>
          <w:p w14:paraId="4E036298">
            <w:pPr>
              <w:pStyle w:val="13"/>
              <w:keepNext/>
              <w:spacing w:line="440" w:lineRule="exact"/>
              <w:ind w:left="63" w:right="63"/>
              <w:rPr>
                <w:color w:val="auto"/>
                <w:sz w:val="24"/>
                <w:highlight w:val="none"/>
              </w:rPr>
            </w:pPr>
          </w:p>
        </w:tc>
        <w:tc>
          <w:tcPr>
            <w:tcW w:w="1134" w:type="dxa"/>
            <w:tcBorders>
              <w:bottom w:val="single" w:color="auto" w:sz="12" w:space="0"/>
            </w:tcBorders>
            <w:noWrap w:val="0"/>
            <w:vAlign w:val="center"/>
          </w:tcPr>
          <w:p w14:paraId="1247960C">
            <w:pPr>
              <w:pStyle w:val="13"/>
              <w:keepNext/>
              <w:spacing w:line="440" w:lineRule="exact"/>
              <w:ind w:left="63" w:right="63"/>
              <w:rPr>
                <w:color w:val="auto"/>
                <w:sz w:val="24"/>
                <w:highlight w:val="none"/>
              </w:rPr>
            </w:pPr>
          </w:p>
        </w:tc>
        <w:tc>
          <w:tcPr>
            <w:tcW w:w="1134" w:type="dxa"/>
            <w:tcBorders>
              <w:bottom w:val="single" w:color="auto" w:sz="12" w:space="0"/>
            </w:tcBorders>
            <w:noWrap w:val="0"/>
            <w:vAlign w:val="center"/>
          </w:tcPr>
          <w:p w14:paraId="4C145214">
            <w:pPr>
              <w:pStyle w:val="13"/>
              <w:keepNext/>
              <w:spacing w:line="440" w:lineRule="exact"/>
              <w:ind w:left="63" w:right="63"/>
              <w:rPr>
                <w:color w:val="auto"/>
                <w:sz w:val="24"/>
                <w:highlight w:val="none"/>
              </w:rPr>
            </w:pPr>
          </w:p>
        </w:tc>
        <w:tc>
          <w:tcPr>
            <w:tcW w:w="4252" w:type="dxa"/>
            <w:tcBorders>
              <w:bottom w:val="single" w:color="auto" w:sz="12" w:space="0"/>
            </w:tcBorders>
            <w:noWrap w:val="0"/>
            <w:vAlign w:val="center"/>
          </w:tcPr>
          <w:p w14:paraId="4637207C">
            <w:pPr>
              <w:pStyle w:val="13"/>
              <w:keepNext/>
              <w:spacing w:line="440" w:lineRule="exact"/>
              <w:ind w:left="63" w:right="63"/>
              <w:rPr>
                <w:color w:val="auto"/>
                <w:sz w:val="24"/>
                <w:highlight w:val="none"/>
              </w:rPr>
            </w:pPr>
          </w:p>
        </w:tc>
      </w:tr>
    </w:tbl>
    <w:p w14:paraId="21412248">
      <w:pPr>
        <w:spacing w:line="440" w:lineRule="exact"/>
        <w:rPr>
          <w:rFonts w:ascii="宋体" w:hAnsi="宋体"/>
          <w:b/>
          <w:color w:val="auto"/>
          <w:sz w:val="28"/>
          <w:szCs w:val="28"/>
          <w:highlight w:val="none"/>
        </w:rPr>
        <w:sectPr>
          <w:footerReference r:id="rId11" w:type="first"/>
          <w:footerReference r:id="rId10" w:type="default"/>
          <w:pgSz w:w="11906" w:h="16838"/>
          <w:pgMar w:top="1440" w:right="1230" w:bottom="1440" w:left="1230" w:header="851" w:footer="992" w:gutter="0"/>
          <w:pgNumType w:fmt="decimal"/>
          <w:cols w:space="720" w:num="1"/>
          <w:titlePg/>
          <w:docGrid w:type="lines" w:linePitch="312" w:charSpace="0"/>
        </w:sectPr>
      </w:pPr>
    </w:p>
    <w:p w14:paraId="4A5370B7">
      <w:pPr>
        <w:spacing w:line="440" w:lineRule="exact"/>
        <w:rPr>
          <w:rFonts w:ascii="宋体" w:hAnsi="宋体"/>
          <w:b/>
          <w:color w:val="auto"/>
          <w:sz w:val="28"/>
          <w:szCs w:val="28"/>
          <w:highlight w:val="none"/>
        </w:rPr>
      </w:pPr>
      <w:r>
        <w:rPr>
          <w:rFonts w:ascii="宋体" w:hAnsi="宋体"/>
          <w:b/>
          <w:color w:val="auto"/>
          <w:sz w:val="28"/>
          <w:szCs w:val="28"/>
          <w:highlight w:val="none"/>
        </w:rPr>
        <w:t>附件7：</w:t>
      </w:r>
    </w:p>
    <w:p w14:paraId="1D5C8AB0">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分包人主要施工管理人员表</w:t>
      </w:r>
    </w:p>
    <w:tbl>
      <w:tblPr>
        <w:tblStyle w:val="3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15E3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C4FB490">
            <w:pPr>
              <w:pStyle w:val="13"/>
              <w:keepNext/>
              <w:spacing w:line="440" w:lineRule="exact"/>
              <w:ind w:left="63" w:right="63"/>
              <w:rPr>
                <w:color w:val="auto"/>
                <w:sz w:val="21"/>
                <w:szCs w:val="21"/>
                <w:highlight w:val="none"/>
              </w:rPr>
            </w:pPr>
            <w:r>
              <w:rPr>
                <w:color w:val="auto"/>
                <w:sz w:val="21"/>
                <w:szCs w:val="21"/>
                <w:highlight w:val="none"/>
              </w:rPr>
              <w:t>名    称</w:t>
            </w:r>
          </w:p>
        </w:tc>
        <w:tc>
          <w:tcPr>
            <w:tcW w:w="1418" w:type="dxa"/>
            <w:tcBorders>
              <w:top w:val="single" w:color="auto" w:sz="12" w:space="0"/>
              <w:bottom w:val="double" w:color="auto" w:sz="6" w:space="0"/>
            </w:tcBorders>
            <w:noWrap w:val="0"/>
            <w:vAlign w:val="center"/>
          </w:tcPr>
          <w:p w14:paraId="20DA7D78">
            <w:pPr>
              <w:pStyle w:val="13"/>
              <w:keepNext/>
              <w:spacing w:line="440" w:lineRule="exact"/>
              <w:ind w:left="63" w:right="63"/>
              <w:rPr>
                <w:color w:val="auto"/>
                <w:sz w:val="21"/>
                <w:szCs w:val="21"/>
                <w:highlight w:val="none"/>
              </w:rPr>
            </w:pPr>
            <w:r>
              <w:rPr>
                <w:color w:val="auto"/>
                <w:sz w:val="21"/>
                <w:szCs w:val="21"/>
                <w:highlight w:val="none"/>
              </w:rPr>
              <w:t>姓名</w:t>
            </w:r>
          </w:p>
        </w:tc>
        <w:tc>
          <w:tcPr>
            <w:tcW w:w="1134" w:type="dxa"/>
            <w:tcBorders>
              <w:top w:val="single" w:color="auto" w:sz="12" w:space="0"/>
              <w:bottom w:val="double" w:color="auto" w:sz="6" w:space="0"/>
            </w:tcBorders>
            <w:noWrap w:val="0"/>
            <w:vAlign w:val="center"/>
          </w:tcPr>
          <w:p w14:paraId="1AFB5B9E">
            <w:pPr>
              <w:pStyle w:val="13"/>
              <w:keepNext/>
              <w:spacing w:line="440" w:lineRule="exact"/>
              <w:ind w:left="63" w:right="63"/>
              <w:rPr>
                <w:color w:val="auto"/>
                <w:sz w:val="21"/>
                <w:szCs w:val="21"/>
                <w:highlight w:val="none"/>
              </w:rPr>
            </w:pPr>
            <w:r>
              <w:rPr>
                <w:color w:val="auto"/>
                <w:sz w:val="21"/>
                <w:szCs w:val="21"/>
                <w:highlight w:val="none"/>
              </w:rPr>
              <w:t>职务</w:t>
            </w:r>
          </w:p>
        </w:tc>
        <w:tc>
          <w:tcPr>
            <w:tcW w:w="1134" w:type="dxa"/>
            <w:tcBorders>
              <w:top w:val="single" w:color="auto" w:sz="12" w:space="0"/>
              <w:bottom w:val="double" w:color="auto" w:sz="6" w:space="0"/>
            </w:tcBorders>
            <w:noWrap w:val="0"/>
            <w:vAlign w:val="center"/>
          </w:tcPr>
          <w:p w14:paraId="04630D41">
            <w:pPr>
              <w:pStyle w:val="13"/>
              <w:keepNext/>
              <w:spacing w:line="440" w:lineRule="exact"/>
              <w:ind w:left="63" w:right="63"/>
              <w:rPr>
                <w:color w:val="auto"/>
                <w:sz w:val="24"/>
                <w:highlight w:val="none"/>
              </w:rPr>
            </w:pPr>
            <w:r>
              <w:rPr>
                <w:color w:val="auto"/>
                <w:sz w:val="24"/>
                <w:highlight w:val="none"/>
              </w:rPr>
              <w:t>职称</w:t>
            </w:r>
          </w:p>
        </w:tc>
        <w:tc>
          <w:tcPr>
            <w:tcW w:w="4252" w:type="dxa"/>
            <w:tcBorders>
              <w:top w:val="single" w:color="auto" w:sz="12" w:space="0"/>
              <w:bottom w:val="double" w:color="auto" w:sz="6" w:space="0"/>
            </w:tcBorders>
            <w:noWrap w:val="0"/>
            <w:vAlign w:val="center"/>
          </w:tcPr>
          <w:p w14:paraId="0C64D8F0">
            <w:pPr>
              <w:pStyle w:val="13"/>
              <w:keepNext/>
              <w:spacing w:line="440" w:lineRule="exact"/>
              <w:ind w:left="63" w:right="63"/>
              <w:rPr>
                <w:color w:val="auto"/>
                <w:sz w:val="24"/>
                <w:highlight w:val="none"/>
              </w:rPr>
            </w:pPr>
            <w:r>
              <w:rPr>
                <w:color w:val="auto"/>
                <w:sz w:val="24"/>
                <w:highlight w:val="none"/>
              </w:rPr>
              <w:t>主要资历、经验及承担过的项目</w:t>
            </w:r>
          </w:p>
        </w:tc>
      </w:tr>
      <w:tr w14:paraId="7B49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E60B74D">
            <w:pPr>
              <w:pStyle w:val="13"/>
              <w:keepNext/>
              <w:spacing w:line="440" w:lineRule="exact"/>
              <w:ind w:left="63" w:right="63"/>
              <w:rPr>
                <w:color w:val="auto"/>
                <w:sz w:val="21"/>
                <w:szCs w:val="21"/>
                <w:highlight w:val="none"/>
              </w:rPr>
            </w:pPr>
            <w:r>
              <w:rPr>
                <w:color w:val="auto"/>
                <w:sz w:val="21"/>
                <w:szCs w:val="21"/>
                <w:highlight w:val="none"/>
              </w:rPr>
              <w:t>一、总部人员</w:t>
            </w:r>
          </w:p>
        </w:tc>
      </w:tr>
      <w:tr w14:paraId="4AA23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314DC43">
            <w:pPr>
              <w:pStyle w:val="13"/>
              <w:keepNext/>
              <w:spacing w:line="440" w:lineRule="exact"/>
              <w:ind w:left="63" w:right="63"/>
              <w:rPr>
                <w:color w:val="auto"/>
                <w:sz w:val="21"/>
                <w:szCs w:val="21"/>
                <w:highlight w:val="none"/>
              </w:rPr>
            </w:pPr>
            <w:r>
              <w:rPr>
                <w:color w:val="auto"/>
                <w:sz w:val="21"/>
                <w:szCs w:val="21"/>
                <w:highlight w:val="none"/>
              </w:rPr>
              <w:t>项目主管</w:t>
            </w:r>
          </w:p>
        </w:tc>
        <w:tc>
          <w:tcPr>
            <w:tcW w:w="1418" w:type="dxa"/>
            <w:tcBorders>
              <w:top w:val="nil"/>
            </w:tcBorders>
            <w:noWrap w:val="0"/>
            <w:vAlign w:val="center"/>
          </w:tcPr>
          <w:p w14:paraId="6BF14C41">
            <w:pPr>
              <w:pStyle w:val="13"/>
              <w:keepNext/>
              <w:spacing w:line="440" w:lineRule="exact"/>
              <w:ind w:left="63" w:right="63"/>
              <w:rPr>
                <w:color w:val="auto"/>
                <w:sz w:val="21"/>
                <w:szCs w:val="21"/>
                <w:highlight w:val="none"/>
              </w:rPr>
            </w:pPr>
          </w:p>
        </w:tc>
        <w:tc>
          <w:tcPr>
            <w:tcW w:w="1134" w:type="dxa"/>
            <w:tcBorders>
              <w:top w:val="nil"/>
            </w:tcBorders>
            <w:noWrap w:val="0"/>
            <w:vAlign w:val="center"/>
          </w:tcPr>
          <w:p w14:paraId="3FCF9AAE">
            <w:pPr>
              <w:pStyle w:val="13"/>
              <w:keepNext/>
              <w:spacing w:line="440" w:lineRule="exact"/>
              <w:ind w:left="63" w:right="63"/>
              <w:rPr>
                <w:color w:val="auto"/>
                <w:sz w:val="21"/>
                <w:szCs w:val="21"/>
                <w:highlight w:val="none"/>
              </w:rPr>
            </w:pPr>
          </w:p>
        </w:tc>
        <w:tc>
          <w:tcPr>
            <w:tcW w:w="1134" w:type="dxa"/>
            <w:tcBorders>
              <w:top w:val="nil"/>
            </w:tcBorders>
            <w:noWrap w:val="0"/>
            <w:vAlign w:val="center"/>
          </w:tcPr>
          <w:p w14:paraId="0AEB3DB1">
            <w:pPr>
              <w:pStyle w:val="13"/>
              <w:keepNext/>
              <w:spacing w:line="440" w:lineRule="exact"/>
              <w:ind w:left="63" w:right="63"/>
              <w:rPr>
                <w:color w:val="auto"/>
                <w:sz w:val="24"/>
                <w:highlight w:val="none"/>
              </w:rPr>
            </w:pPr>
          </w:p>
        </w:tc>
        <w:tc>
          <w:tcPr>
            <w:tcW w:w="4252" w:type="dxa"/>
            <w:tcBorders>
              <w:top w:val="nil"/>
            </w:tcBorders>
            <w:noWrap w:val="0"/>
            <w:vAlign w:val="center"/>
          </w:tcPr>
          <w:p w14:paraId="5AC00E50">
            <w:pPr>
              <w:pStyle w:val="13"/>
              <w:keepNext/>
              <w:spacing w:line="440" w:lineRule="exact"/>
              <w:ind w:left="63" w:right="63"/>
              <w:rPr>
                <w:color w:val="auto"/>
                <w:sz w:val="24"/>
                <w:highlight w:val="none"/>
              </w:rPr>
            </w:pPr>
          </w:p>
        </w:tc>
      </w:tr>
      <w:tr w14:paraId="270A4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02B7228">
            <w:pPr>
              <w:pStyle w:val="13"/>
              <w:keepNext/>
              <w:spacing w:line="440" w:lineRule="exact"/>
              <w:ind w:left="63" w:right="63"/>
              <w:rPr>
                <w:color w:val="auto"/>
                <w:sz w:val="21"/>
                <w:szCs w:val="21"/>
                <w:highlight w:val="none"/>
              </w:rPr>
            </w:pPr>
          </w:p>
        </w:tc>
        <w:tc>
          <w:tcPr>
            <w:tcW w:w="1418" w:type="dxa"/>
            <w:noWrap w:val="0"/>
            <w:vAlign w:val="center"/>
          </w:tcPr>
          <w:p w14:paraId="4206E45C">
            <w:pPr>
              <w:pStyle w:val="13"/>
              <w:keepNext/>
              <w:spacing w:line="440" w:lineRule="exact"/>
              <w:ind w:left="63" w:right="63"/>
              <w:rPr>
                <w:color w:val="auto"/>
                <w:sz w:val="21"/>
                <w:szCs w:val="21"/>
                <w:highlight w:val="none"/>
              </w:rPr>
            </w:pPr>
          </w:p>
        </w:tc>
        <w:tc>
          <w:tcPr>
            <w:tcW w:w="1134" w:type="dxa"/>
            <w:noWrap w:val="0"/>
            <w:vAlign w:val="center"/>
          </w:tcPr>
          <w:p w14:paraId="7F3C509F">
            <w:pPr>
              <w:pStyle w:val="13"/>
              <w:keepNext/>
              <w:spacing w:line="440" w:lineRule="exact"/>
              <w:ind w:left="63" w:right="63"/>
              <w:rPr>
                <w:color w:val="auto"/>
                <w:sz w:val="21"/>
                <w:szCs w:val="21"/>
                <w:highlight w:val="none"/>
              </w:rPr>
            </w:pPr>
          </w:p>
        </w:tc>
        <w:tc>
          <w:tcPr>
            <w:tcW w:w="1134" w:type="dxa"/>
            <w:noWrap w:val="0"/>
            <w:vAlign w:val="center"/>
          </w:tcPr>
          <w:p w14:paraId="3652800D">
            <w:pPr>
              <w:pStyle w:val="13"/>
              <w:keepNext/>
              <w:spacing w:line="440" w:lineRule="exact"/>
              <w:ind w:left="63" w:right="63"/>
              <w:rPr>
                <w:color w:val="auto"/>
                <w:sz w:val="24"/>
                <w:highlight w:val="none"/>
              </w:rPr>
            </w:pPr>
          </w:p>
        </w:tc>
        <w:tc>
          <w:tcPr>
            <w:tcW w:w="4252" w:type="dxa"/>
            <w:noWrap w:val="0"/>
            <w:vAlign w:val="center"/>
          </w:tcPr>
          <w:p w14:paraId="53070B98">
            <w:pPr>
              <w:pStyle w:val="13"/>
              <w:keepNext/>
              <w:spacing w:line="440" w:lineRule="exact"/>
              <w:ind w:left="63" w:right="63"/>
              <w:rPr>
                <w:color w:val="auto"/>
                <w:sz w:val="24"/>
                <w:highlight w:val="none"/>
              </w:rPr>
            </w:pPr>
          </w:p>
        </w:tc>
      </w:tr>
      <w:tr w14:paraId="1E63F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187BF94">
            <w:pPr>
              <w:pStyle w:val="13"/>
              <w:keepNext/>
              <w:spacing w:line="440" w:lineRule="exact"/>
              <w:ind w:left="63" w:right="63"/>
              <w:rPr>
                <w:color w:val="auto"/>
                <w:sz w:val="21"/>
                <w:szCs w:val="21"/>
                <w:highlight w:val="none"/>
              </w:rPr>
            </w:pPr>
            <w:r>
              <w:rPr>
                <w:color w:val="auto"/>
                <w:sz w:val="21"/>
                <w:szCs w:val="21"/>
                <w:highlight w:val="none"/>
              </w:rPr>
              <w:t>其他人员</w:t>
            </w:r>
          </w:p>
        </w:tc>
        <w:tc>
          <w:tcPr>
            <w:tcW w:w="1418" w:type="dxa"/>
            <w:noWrap w:val="0"/>
            <w:vAlign w:val="center"/>
          </w:tcPr>
          <w:p w14:paraId="737F2CFD">
            <w:pPr>
              <w:pStyle w:val="13"/>
              <w:keepNext/>
              <w:spacing w:line="440" w:lineRule="exact"/>
              <w:ind w:left="63" w:right="63"/>
              <w:rPr>
                <w:color w:val="auto"/>
                <w:sz w:val="21"/>
                <w:szCs w:val="21"/>
                <w:highlight w:val="none"/>
              </w:rPr>
            </w:pPr>
          </w:p>
        </w:tc>
        <w:tc>
          <w:tcPr>
            <w:tcW w:w="1134" w:type="dxa"/>
            <w:noWrap w:val="0"/>
            <w:vAlign w:val="center"/>
          </w:tcPr>
          <w:p w14:paraId="4EF5D923">
            <w:pPr>
              <w:pStyle w:val="13"/>
              <w:keepNext/>
              <w:spacing w:line="440" w:lineRule="exact"/>
              <w:ind w:left="63" w:right="63"/>
              <w:rPr>
                <w:color w:val="auto"/>
                <w:sz w:val="21"/>
                <w:szCs w:val="21"/>
                <w:highlight w:val="none"/>
              </w:rPr>
            </w:pPr>
          </w:p>
        </w:tc>
        <w:tc>
          <w:tcPr>
            <w:tcW w:w="1134" w:type="dxa"/>
            <w:noWrap w:val="0"/>
            <w:vAlign w:val="center"/>
          </w:tcPr>
          <w:p w14:paraId="6A03B5AD">
            <w:pPr>
              <w:pStyle w:val="13"/>
              <w:keepNext/>
              <w:spacing w:line="440" w:lineRule="exact"/>
              <w:ind w:left="63" w:right="63"/>
              <w:rPr>
                <w:color w:val="auto"/>
                <w:sz w:val="24"/>
                <w:highlight w:val="none"/>
              </w:rPr>
            </w:pPr>
          </w:p>
        </w:tc>
        <w:tc>
          <w:tcPr>
            <w:tcW w:w="4252" w:type="dxa"/>
            <w:noWrap w:val="0"/>
            <w:vAlign w:val="center"/>
          </w:tcPr>
          <w:p w14:paraId="4131B8DF">
            <w:pPr>
              <w:pStyle w:val="13"/>
              <w:keepNext/>
              <w:spacing w:line="440" w:lineRule="exact"/>
              <w:ind w:left="63" w:right="63"/>
              <w:rPr>
                <w:color w:val="auto"/>
                <w:sz w:val="24"/>
                <w:highlight w:val="none"/>
              </w:rPr>
            </w:pPr>
          </w:p>
        </w:tc>
      </w:tr>
      <w:tr w14:paraId="36001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56426E0">
            <w:pPr>
              <w:pStyle w:val="13"/>
              <w:keepNext/>
              <w:spacing w:line="440" w:lineRule="exact"/>
              <w:ind w:left="63" w:right="63"/>
              <w:rPr>
                <w:color w:val="auto"/>
                <w:sz w:val="21"/>
                <w:szCs w:val="21"/>
                <w:highlight w:val="none"/>
              </w:rPr>
            </w:pPr>
          </w:p>
        </w:tc>
        <w:tc>
          <w:tcPr>
            <w:tcW w:w="1418" w:type="dxa"/>
            <w:noWrap w:val="0"/>
            <w:vAlign w:val="center"/>
          </w:tcPr>
          <w:p w14:paraId="6F719D89">
            <w:pPr>
              <w:pStyle w:val="13"/>
              <w:keepNext/>
              <w:spacing w:line="440" w:lineRule="exact"/>
              <w:ind w:left="63" w:right="63"/>
              <w:rPr>
                <w:color w:val="auto"/>
                <w:sz w:val="21"/>
                <w:szCs w:val="21"/>
                <w:highlight w:val="none"/>
              </w:rPr>
            </w:pPr>
          </w:p>
        </w:tc>
        <w:tc>
          <w:tcPr>
            <w:tcW w:w="1134" w:type="dxa"/>
            <w:noWrap w:val="0"/>
            <w:vAlign w:val="center"/>
          </w:tcPr>
          <w:p w14:paraId="2E265ACA">
            <w:pPr>
              <w:pStyle w:val="13"/>
              <w:keepNext/>
              <w:spacing w:line="440" w:lineRule="exact"/>
              <w:ind w:left="63" w:right="63"/>
              <w:rPr>
                <w:color w:val="auto"/>
                <w:sz w:val="21"/>
                <w:szCs w:val="21"/>
                <w:highlight w:val="none"/>
              </w:rPr>
            </w:pPr>
          </w:p>
        </w:tc>
        <w:tc>
          <w:tcPr>
            <w:tcW w:w="1134" w:type="dxa"/>
            <w:noWrap w:val="0"/>
            <w:vAlign w:val="center"/>
          </w:tcPr>
          <w:p w14:paraId="5EDCCCE1">
            <w:pPr>
              <w:pStyle w:val="13"/>
              <w:keepNext/>
              <w:spacing w:line="440" w:lineRule="exact"/>
              <w:ind w:left="63" w:right="63"/>
              <w:rPr>
                <w:color w:val="auto"/>
                <w:sz w:val="24"/>
                <w:highlight w:val="none"/>
              </w:rPr>
            </w:pPr>
          </w:p>
        </w:tc>
        <w:tc>
          <w:tcPr>
            <w:tcW w:w="4252" w:type="dxa"/>
            <w:noWrap w:val="0"/>
            <w:vAlign w:val="center"/>
          </w:tcPr>
          <w:p w14:paraId="1324EE3E">
            <w:pPr>
              <w:pStyle w:val="13"/>
              <w:keepNext/>
              <w:spacing w:line="440" w:lineRule="exact"/>
              <w:ind w:left="63" w:right="63"/>
              <w:rPr>
                <w:color w:val="auto"/>
                <w:sz w:val="24"/>
                <w:highlight w:val="none"/>
              </w:rPr>
            </w:pPr>
          </w:p>
        </w:tc>
      </w:tr>
      <w:tr w14:paraId="3403D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6AD6FA5">
            <w:pPr>
              <w:pStyle w:val="13"/>
              <w:keepNext/>
              <w:spacing w:line="440" w:lineRule="exact"/>
              <w:ind w:left="63" w:right="63"/>
              <w:rPr>
                <w:color w:val="auto"/>
                <w:sz w:val="21"/>
                <w:szCs w:val="21"/>
                <w:highlight w:val="none"/>
              </w:rPr>
            </w:pPr>
            <w:r>
              <w:rPr>
                <w:color w:val="auto"/>
                <w:sz w:val="21"/>
                <w:szCs w:val="21"/>
                <w:highlight w:val="none"/>
              </w:rPr>
              <w:t>二、现场人员</w:t>
            </w:r>
          </w:p>
        </w:tc>
      </w:tr>
      <w:tr w14:paraId="53DD0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3E54FD">
            <w:pPr>
              <w:pStyle w:val="13"/>
              <w:keepNext/>
              <w:spacing w:line="440" w:lineRule="exact"/>
              <w:ind w:left="63" w:right="63"/>
              <w:rPr>
                <w:color w:val="auto"/>
                <w:sz w:val="21"/>
                <w:szCs w:val="21"/>
                <w:highlight w:val="none"/>
              </w:rPr>
            </w:pPr>
            <w:r>
              <w:rPr>
                <w:color w:val="auto"/>
                <w:sz w:val="21"/>
                <w:szCs w:val="21"/>
                <w:highlight w:val="none"/>
              </w:rPr>
              <w:t>项目经理</w:t>
            </w:r>
          </w:p>
        </w:tc>
        <w:tc>
          <w:tcPr>
            <w:tcW w:w="1418" w:type="dxa"/>
            <w:noWrap w:val="0"/>
            <w:vAlign w:val="center"/>
          </w:tcPr>
          <w:p w14:paraId="3D0D73F3">
            <w:pPr>
              <w:pStyle w:val="13"/>
              <w:keepNext/>
              <w:spacing w:line="440" w:lineRule="exact"/>
              <w:ind w:left="63" w:right="63"/>
              <w:rPr>
                <w:color w:val="auto"/>
                <w:sz w:val="21"/>
                <w:szCs w:val="21"/>
                <w:highlight w:val="none"/>
              </w:rPr>
            </w:pPr>
          </w:p>
        </w:tc>
        <w:tc>
          <w:tcPr>
            <w:tcW w:w="1134" w:type="dxa"/>
            <w:noWrap w:val="0"/>
            <w:vAlign w:val="center"/>
          </w:tcPr>
          <w:p w14:paraId="24244DEA">
            <w:pPr>
              <w:pStyle w:val="13"/>
              <w:keepNext/>
              <w:spacing w:line="440" w:lineRule="exact"/>
              <w:ind w:left="63" w:right="63"/>
              <w:rPr>
                <w:color w:val="auto"/>
                <w:sz w:val="21"/>
                <w:szCs w:val="21"/>
                <w:highlight w:val="none"/>
              </w:rPr>
            </w:pPr>
          </w:p>
        </w:tc>
        <w:tc>
          <w:tcPr>
            <w:tcW w:w="1134" w:type="dxa"/>
            <w:noWrap w:val="0"/>
            <w:vAlign w:val="center"/>
          </w:tcPr>
          <w:p w14:paraId="1E4754AF">
            <w:pPr>
              <w:pStyle w:val="13"/>
              <w:keepNext/>
              <w:spacing w:line="440" w:lineRule="exact"/>
              <w:ind w:left="63" w:right="63"/>
              <w:rPr>
                <w:color w:val="auto"/>
                <w:sz w:val="24"/>
                <w:highlight w:val="none"/>
              </w:rPr>
            </w:pPr>
          </w:p>
        </w:tc>
        <w:tc>
          <w:tcPr>
            <w:tcW w:w="4252" w:type="dxa"/>
            <w:noWrap w:val="0"/>
            <w:vAlign w:val="center"/>
          </w:tcPr>
          <w:p w14:paraId="122439AE">
            <w:pPr>
              <w:pStyle w:val="13"/>
              <w:keepNext/>
              <w:spacing w:line="440" w:lineRule="exact"/>
              <w:ind w:left="63" w:right="63"/>
              <w:rPr>
                <w:color w:val="auto"/>
                <w:sz w:val="24"/>
                <w:highlight w:val="none"/>
              </w:rPr>
            </w:pPr>
          </w:p>
        </w:tc>
      </w:tr>
      <w:tr w14:paraId="0D75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5916AE">
            <w:pPr>
              <w:pStyle w:val="13"/>
              <w:keepNext/>
              <w:spacing w:line="440" w:lineRule="exact"/>
              <w:ind w:left="63" w:right="63"/>
              <w:rPr>
                <w:color w:val="auto"/>
                <w:sz w:val="21"/>
                <w:szCs w:val="21"/>
                <w:highlight w:val="none"/>
              </w:rPr>
            </w:pPr>
            <w:r>
              <w:rPr>
                <w:color w:val="auto"/>
                <w:sz w:val="21"/>
                <w:szCs w:val="21"/>
                <w:highlight w:val="none"/>
              </w:rPr>
              <w:t>项目副经理</w:t>
            </w:r>
          </w:p>
        </w:tc>
        <w:tc>
          <w:tcPr>
            <w:tcW w:w="1418" w:type="dxa"/>
            <w:noWrap w:val="0"/>
            <w:vAlign w:val="center"/>
          </w:tcPr>
          <w:p w14:paraId="54FC38A7">
            <w:pPr>
              <w:pStyle w:val="13"/>
              <w:keepNext/>
              <w:spacing w:line="440" w:lineRule="exact"/>
              <w:ind w:left="63" w:right="63"/>
              <w:rPr>
                <w:color w:val="auto"/>
                <w:sz w:val="21"/>
                <w:szCs w:val="21"/>
                <w:highlight w:val="none"/>
              </w:rPr>
            </w:pPr>
          </w:p>
        </w:tc>
        <w:tc>
          <w:tcPr>
            <w:tcW w:w="1134" w:type="dxa"/>
            <w:noWrap w:val="0"/>
            <w:vAlign w:val="center"/>
          </w:tcPr>
          <w:p w14:paraId="1F6BD33F">
            <w:pPr>
              <w:pStyle w:val="13"/>
              <w:keepNext/>
              <w:spacing w:line="440" w:lineRule="exact"/>
              <w:ind w:left="63" w:right="63"/>
              <w:rPr>
                <w:color w:val="auto"/>
                <w:sz w:val="21"/>
                <w:szCs w:val="21"/>
                <w:highlight w:val="none"/>
              </w:rPr>
            </w:pPr>
          </w:p>
        </w:tc>
        <w:tc>
          <w:tcPr>
            <w:tcW w:w="1134" w:type="dxa"/>
            <w:noWrap w:val="0"/>
            <w:vAlign w:val="center"/>
          </w:tcPr>
          <w:p w14:paraId="3B58036F">
            <w:pPr>
              <w:pStyle w:val="13"/>
              <w:keepNext/>
              <w:spacing w:line="440" w:lineRule="exact"/>
              <w:ind w:left="63" w:right="63"/>
              <w:rPr>
                <w:color w:val="auto"/>
                <w:sz w:val="24"/>
                <w:highlight w:val="none"/>
              </w:rPr>
            </w:pPr>
          </w:p>
        </w:tc>
        <w:tc>
          <w:tcPr>
            <w:tcW w:w="4252" w:type="dxa"/>
            <w:noWrap w:val="0"/>
            <w:vAlign w:val="center"/>
          </w:tcPr>
          <w:p w14:paraId="0FBB487F">
            <w:pPr>
              <w:pStyle w:val="13"/>
              <w:keepNext/>
              <w:spacing w:line="440" w:lineRule="exact"/>
              <w:ind w:left="63" w:right="63"/>
              <w:rPr>
                <w:color w:val="auto"/>
                <w:sz w:val="24"/>
                <w:highlight w:val="none"/>
              </w:rPr>
            </w:pPr>
          </w:p>
        </w:tc>
      </w:tr>
      <w:tr w14:paraId="00A0D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3E1936">
            <w:pPr>
              <w:pStyle w:val="13"/>
              <w:keepNext/>
              <w:spacing w:line="440" w:lineRule="exact"/>
              <w:ind w:left="63" w:right="63"/>
              <w:rPr>
                <w:color w:val="auto"/>
                <w:sz w:val="21"/>
                <w:szCs w:val="21"/>
                <w:highlight w:val="none"/>
              </w:rPr>
            </w:pPr>
            <w:r>
              <w:rPr>
                <w:color w:val="auto"/>
                <w:sz w:val="21"/>
                <w:szCs w:val="21"/>
                <w:highlight w:val="none"/>
              </w:rPr>
              <w:t>技术负责人</w:t>
            </w:r>
          </w:p>
        </w:tc>
        <w:tc>
          <w:tcPr>
            <w:tcW w:w="1418" w:type="dxa"/>
            <w:noWrap w:val="0"/>
            <w:vAlign w:val="center"/>
          </w:tcPr>
          <w:p w14:paraId="754F1F12">
            <w:pPr>
              <w:pStyle w:val="13"/>
              <w:keepNext/>
              <w:spacing w:line="440" w:lineRule="exact"/>
              <w:ind w:left="63" w:right="63"/>
              <w:rPr>
                <w:color w:val="auto"/>
                <w:sz w:val="21"/>
                <w:szCs w:val="21"/>
                <w:highlight w:val="none"/>
              </w:rPr>
            </w:pPr>
          </w:p>
        </w:tc>
        <w:tc>
          <w:tcPr>
            <w:tcW w:w="1134" w:type="dxa"/>
            <w:noWrap w:val="0"/>
            <w:vAlign w:val="center"/>
          </w:tcPr>
          <w:p w14:paraId="7010C87A">
            <w:pPr>
              <w:pStyle w:val="13"/>
              <w:keepNext/>
              <w:spacing w:line="440" w:lineRule="exact"/>
              <w:ind w:left="63" w:right="63"/>
              <w:rPr>
                <w:color w:val="auto"/>
                <w:sz w:val="21"/>
                <w:szCs w:val="21"/>
                <w:highlight w:val="none"/>
              </w:rPr>
            </w:pPr>
          </w:p>
        </w:tc>
        <w:tc>
          <w:tcPr>
            <w:tcW w:w="1134" w:type="dxa"/>
            <w:noWrap w:val="0"/>
            <w:vAlign w:val="center"/>
          </w:tcPr>
          <w:p w14:paraId="341BB8F8">
            <w:pPr>
              <w:pStyle w:val="13"/>
              <w:keepNext/>
              <w:spacing w:line="440" w:lineRule="exact"/>
              <w:ind w:left="63" w:right="63"/>
              <w:rPr>
                <w:color w:val="auto"/>
                <w:sz w:val="24"/>
                <w:highlight w:val="none"/>
              </w:rPr>
            </w:pPr>
          </w:p>
        </w:tc>
        <w:tc>
          <w:tcPr>
            <w:tcW w:w="4252" w:type="dxa"/>
            <w:noWrap w:val="0"/>
            <w:vAlign w:val="center"/>
          </w:tcPr>
          <w:p w14:paraId="44C49E9D">
            <w:pPr>
              <w:pStyle w:val="13"/>
              <w:keepNext/>
              <w:spacing w:line="440" w:lineRule="exact"/>
              <w:ind w:left="63" w:right="63"/>
              <w:rPr>
                <w:color w:val="auto"/>
                <w:sz w:val="24"/>
                <w:highlight w:val="none"/>
              </w:rPr>
            </w:pPr>
          </w:p>
        </w:tc>
      </w:tr>
      <w:tr w14:paraId="61C74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86C70F">
            <w:pPr>
              <w:pStyle w:val="13"/>
              <w:keepNext/>
              <w:spacing w:line="440" w:lineRule="exact"/>
              <w:ind w:left="63" w:right="63"/>
              <w:rPr>
                <w:color w:val="auto"/>
                <w:sz w:val="21"/>
                <w:szCs w:val="21"/>
                <w:highlight w:val="none"/>
              </w:rPr>
            </w:pPr>
            <w:r>
              <w:rPr>
                <w:color w:val="auto"/>
                <w:sz w:val="21"/>
                <w:szCs w:val="21"/>
                <w:highlight w:val="none"/>
              </w:rPr>
              <w:t>造价管理</w:t>
            </w:r>
          </w:p>
        </w:tc>
        <w:tc>
          <w:tcPr>
            <w:tcW w:w="1418" w:type="dxa"/>
            <w:noWrap w:val="0"/>
            <w:vAlign w:val="center"/>
          </w:tcPr>
          <w:p w14:paraId="707625B7">
            <w:pPr>
              <w:pStyle w:val="13"/>
              <w:keepNext/>
              <w:spacing w:line="440" w:lineRule="exact"/>
              <w:ind w:left="63" w:right="63"/>
              <w:rPr>
                <w:color w:val="auto"/>
                <w:sz w:val="21"/>
                <w:szCs w:val="21"/>
                <w:highlight w:val="none"/>
              </w:rPr>
            </w:pPr>
          </w:p>
        </w:tc>
        <w:tc>
          <w:tcPr>
            <w:tcW w:w="1134" w:type="dxa"/>
            <w:noWrap w:val="0"/>
            <w:vAlign w:val="center"/>
          </w:tcPr>
          <w:p w14:paraId="31C7EB72">
            <w:pPr>
              <w:pStyle w:val="13"/>
              <w:keepNext/>
              <w:spacing w:line="440" w:lineRule="exact"/>
              <w:ind w:left="63" w:right="63"/>
              <w:rPr>
                <w:color w:val="auto"/>
                <w:sz w:val="21"/>
                <w:szCs w:val="21"/>
                <w:highlight w:val="none"/>
              </w:rPr>
            </w:pPr>
          </w:p>
        </w:tc>
        <w:tc>
          <w:tcPr>
            <w:tcW w:w="1134" w:type="dxa"/>
            <w:noWrap w:val="0"/>
            <w:vAlign w:val="center"/>
          </w:tcPr>
          <w:p w14:paraId="413E6842">
            <w:pPr>
              <w:pStyle w:val="13"/>
              <w:keepNext/>
              <w:spacing w:line="440" w:lineRule="exact"/>
              <w:ind w:left="63" w:right="63"/>
              <w:rPr>
                <w:color w:val="auto"/>
                <w:sz w:val="24"/>
                <w:highlight w:val="none"/>
              </w:rPr>
            </w:pPr>
          </w:p>
        </w:tc>
        <w:tc>
          <w:tcPr>
            <w:tcW w:w="4252" w:type="dxa"/>
            <w:noWrap w:val="0"/>
            <w:vAlign w:val="center"/>
          </w:tcPr>
          <w:p w14:paraId="3A64A7ED">
            <w:pPr>
              <w:pStyle w:val="13"/>
              <w:keepNext/>
              <w:spacing w:line="440" w:lineRule="exact"/>
              <w:ind w:left="63" w:right="63"/>
              <w:rPr>
                <w:color w:val="auto"/>
                <w:sz w:val="24"/>
                <w:highlight w:val="none"/>
              </w:rPr>
            </w:pPr>
          </w:p>
        </w:tc>
      </w:tr>
      <w:tr w14:paraId="59FDF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B4160DA">
            <w:pPr>
              <w:pStyle w:val="13"/>
              <w:keepNext/>
              <w:spacing w:line="440" w:lineRule="exact"/>
              <w:ind w:left="63" w:right="63"/>
              <w:rPr>
                <w:color w:val="auto"/>
                <w:sz w:val="21"/>
                <w:szCs w:val="21"/>
                <w:highlight w:val="none"/>
              </w:rPr>
            </w:pPr>
            <w:r>
              <w:rPr>
                <w:color w:val="auto"/>
                <w:sz w:val="21"/>
                <w:szCs w:val="21"/>
                <w:highlight w:val="none"/>
              </w:rPr>
              <w:t>质量管理</w:t>
            </w:r>
          </w:p>
        </w:tc>
        <w:tc>
          <w:tcPr>
            <w:tcW w:w="1418" w:type="dxa"/>
            <w:noWrap w:val="0"/>
            <w:vAlign w:val="center"/>
          </w:tcPr>
          <w:p w14:paraId="03A6AFB5">
            <w:pPr>
              <w:pStyle w:val="13"/>
              <w:keepNext/>
              <w:spacing w:line="440" w:lineRule="exact"/>
              <w:ind w:left="63" w:right="63"/>
              <w:rPr>
                <w:color w:val="auto"/>
                <w:sz w:val="21"/>
                <w:szCs w:val="21"/>
                <w:highlight w:val="none"/>
              </w:rPr>
            </w:pPr>
          </w:p>
        </w:tc>
        <w:tc>
          <w:tcPr>
            <w:tcW w:w="1134" w:type="dxa"/>
            <w:noWrap w:val="0"/>
            <w:vAlign w:val="center"/>
          </w:tcPr>
          <w:p w14:paraId="1C879AFB">
            <w:pPr>
              <w:pStyle w:val="13"/>
              <w:keepNext/>
              <w:spacing w:line="440" w:lineRule="exact"/>
              <w:ind w:left="63" w:right="63"/>
              <w:rPr>
                <w:color w:val="auto"/>
                <w:sz w:val="21"/>
                <w:szCs w:val="21"/>
                <w:highlight w:val="none"/>
              </w:rPr>
            </w:pPr>
          </w:p>
        </w:tc>
        <w:tc>
          <w:tcPr>
            <w:tcW w:w="1134" w:type="dxa"/>
            <w:noWrap w:val="0"/>
            <w:vAlign w:val="center"/>
          </w:tcPr>
          <w:p w14:paraId="10F09F51">
            <w:pPr>
              <w:pStyle w:val="13"/>
              <w:keepNext/>
              <w:spacing w:line="440" w:lineRule="exact"/>
              <w:ind w:left="63" w:right="63"/>
              <w:rPr>
                <w:color w:val="auto"/>
                <w:sz w:val="24"/>
                <w:highlight w:val="none"/>
              </w:rPr>
            </w:pPr>
          </w:p>
        </w:tc>
        <w:tc>
          <w:tcPr>
            <w:tcW w:w="4252" w:type="dxa"/>
            <w:noWrap w:val="0"/>
            <w:vAlign w:val="center"/>
          </w:tcPr>
          <w:p w14:paraId="0100AEE4">
            <w:pPr>
              <w:pStyle w:val="13"/>
              <w:keepNext/>
              <w:spacing w:line="440" w:lineRule="exact"/>
              <w:ind w:left="63" w:right="63"/>
              <w:rPr>
                <w:color w:val="auto"/>
                <w:sz w:val="24"/>
                <w:highlight w:val="none"/>
              </w:rPr>
            </w:pPr>
          </w:p>
        </w:tc>
      </w:tr>
      <w:tr w14:paraId="1BF27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1F5379">
            <w:pPr>
              <w:pStyle w:val="13"/>
              <w:keepNext/>
              <w:spacing w:line="440" w:lineRule="exact"/>
              <w:ind w:left="63" w:right="63"/>
              <w:rPr>
                <w:color w:val="auto"/>
                <w:sz w:val="21"/>
                <w:szCs w:val="21"/>
                <w:highlight w:val="none"/>
              </w:rPr>
            </w:pPr>
            <w:r>
              <w:rPr>
                <w:color w:val="auto"/>
                <w:sz w:val="21"/>
                <w:szCs w:val="21"/>
                <w:highlight w:val="none"/>
              </w:rPr>
              <w:t>材料管理</w:t>
            </w:r>
          </w:p>
        </w:tc>
        <w:tc>
          <w:tcPr>
            <w:tcW w:w="1418" w:type="dxa"/>
            <w:noWrap w:val="0"/>
            <w:vAlign w:val="center"/>
          </w:tcPr>
          <w:p w14:paraId="2CA7645B">
            <w:pPr>
              <w:pStyle w:val="13"/>
              <w:keepNext/>
              <w:spacing w:line="440" w:lineRule="exact"/>
              <w:ind w:left="63" w:right="63"/>
              <w:rPr>
                <w:color w:val="auto"/>
                <w:sz w:val="21"/>
                <w:szCs w:val="21"/>
                <w:highlight w:val="none"/>
              </w:rPr>
            </w:pPr>
          </w:p>
        </w:tc>
        <w:tc>
          <w:tcPr>
            <w:tcW w:w="1134" w:type="dxa"/>
            <w:noWrap w:val="0"/>
            <w:vAlign w:val="center"/>
          </w:tcPr>
          <w:p w14:paraId="50334B7B">
            <w:pPr>
              <w:pStyle w:val="13"/>
              <w:keepNext/>
              <w:spacing w:line="440" w:lineRule="exact"/>
              <w:ind w:left="63" w:right="63"/>
              <w:rPr>
                <w:color w:val="auto"/>
                <w:sz w:val="21"/>
                <w:szCs w:val="21"/>
                <w:highlight w:val="none"/>
              </w:rPr>
            </w:pPr>
          </w:p>
        </w:tc>
        <w:tc>
          <w:tcPr>
            <w:tcW w:w="1134" w:type="dxa"/>
            <w:noWrap w:val="0"/>
            <w:vAlign w:val="center"/>
          </w:tcPr>
          <w:p w14:paraId="60E445E6">
            <w:pPr>
              <w:pStyle w:val="13"/>
              <w:keepNext/>
              <w:spacing w:line="440" w:lineRule="exact"/>
              <w:ind w:left="63" w:right="63"/>
              <w:rPr>
                <w:color w:val="auto"/>
                <w:sz w:val="24"/>
                <w:highlight w:val="none"/>
              </w:rPr>
            </w:pPr>
          </w:p>
        </w:tc>
        <w:tc>
          <w:tcPr>
            <w:tcW w:w="4252" w:type="dxa"/>
            <w:noWrap w:val="0"/>
            <w:vAlign w:val="center"/>
          </w:tcPr>
          <w:p w14:paraId="048F537A">
            <w:pPr>
              <w:pStyle w:val="13"/>
              <w:keepNext/>
              <w:spacing w:line="440" w:lineRule="exact"/>
              <w:ind w:left="63" w:right="63"/>
              <w:rPr>
                <w:color w:val="auto"/>
                <w:sz w:val="24"/>
                <w:highlight w:val="none"/>
              </w:rPr>
            </w:pPr>
          </w:p>
        </w:tc>
      </w:tr>
      <w:tr w14:paraId="22827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FFE9B0">
            <w:pPr>
              <w:pStyle w:val="13"/>
              <w:keepNext/>
              <w:spacing w:line="440" w:lineRule="exact"/>
              <w:ind w:left="63" w:right="63"/>
              <w:rPr>
                <w:color w:val="auto"/>
                <w:sz w:val="21"/>
                <w:szCs w:val="21"/>
                <w:highlight w:val="none"/>
              </w:rPr>
            </w:pPr>
            <w:r>
              <w:rPr>
                <w:color w:val="auto"/>
                <w:sz w:val="21"/>
                <w:szCs w:val="21"/>
                <w:highlight w:val="none"/>
              </w:rPr>
              <w:t>计划管理</w:t>
            </w:r>
          </w:p>
        </w:tc>
        <w:tc>
          <w:tcPr>
            <w:tcW w:w="1418" w:type="dxa"/>
            <w:noWrap w:val="0"/>
            <w:vAlign w:val="center"/>
          </w:tcPr>
          <w:p w14:paraId="3F6F33E7">
            <w:pPr>
              <w:pStyle w:val="13"/>
              <w:keepNext/>
              <w:spacing w:line="440" w:lineRule="exact"/>
              <w:ind w:left="63" w:right="63"/>
              <w:rPr>
                <w:color w:val="auto"/>
                <w:sz w:val="21"/>
                <w:szCs w:val="21"/>
                <w:highlight w:val="none"/>
              </w:rPr>
            </w:pPr>
          </w:p>
        </w:tc>
        <w:tc>
          <w:tcPr>
            <w:tcW w:w="1134" w:type="dxa"/>
            <w:noWrap w:val="0"/>
            <w:vAlign w:val="center"/>
          </w:tcPr>
          <w:p w14:paraId="7C277D34">
            <w:pPr>
              <w:pStyle w:val="13"/>
              <w:keepNext/>
              <w:spacing w:line="440" w:lineRule="exact"/>
              <w:ind w:left="63" w:right="63"/>
              <w:rPr>
                <w:color w:val="auto"/>
                <w:sz w:val="21"/>
                <w:szCs w:val="21"/>
                <w:highlight w:val="none"/>
              </w:rPr>
            </w:pPr>
          </w:p>
        </w:tc>
        <w:tc>
          <w:tcPr>
            <w:tcW w:w="1134" w:type="dxa"/>
            <w:noWrap w:val="0"/>
            <w:vAlign w:val="center"/>
          </w:tcPr>
          <w:p w14:paraId="183543E9">
            <w:pPr>
              <w:pStyle w:val="13"/>
              <w:keepNext/>
              <w:spacing w:line="440" w:lineRule="exact"/>
              <w:ind w:left="63" w:right="63"/>
              <w:rPr>
                <w:color w:val="auto"/>
                <w:sz w:val="24"/>
                <w:highlight w:val="none"/>
              </w:rPr>
            </w:pPr>
          </w:p>
        </w:tc>
        <w:tc>
          <w:tcPr>
            <w:tcW w:w="4252" w:type="dxa"/>
            <w:noWrap w:val="0"/>
            <w:vAlign w:val="center"/>
          </w:tcPr>
          <w:p w14:paraId="31E45B09">
            <w:pPr>
              <w:pStyle w:val="13"/>
              <w:keepNext/>
              <w:spacing w:line="440" w:lineRule="exact"/>
              <w:ind w:left="63" w:right="63"/>
              <w:rPr>
                <w:color w:val="auto"/>
                <w:sz w:val="24"/>
                <w:highlight w:val="none"/>
              </w:rPr>
            </w:pPr>
          </w:p>
        </w:tc>
      </w:tr>
      <w:tr w14:paraId="711D3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B63ABC2">
            <w:pPr>
              <w:pStyle w:val="13"/>
              <w:keepNext/>
              <w:spacing w:line="440" w:lineRule="exact"/>
              <w:ind w:left="63" w:right="63"/>
              <w:rPr>
                <w:color w:val="auto"/>
                <w:sz w:val="21"/>
                <w:szCs w:val="21"/>
                <w:highlight w:val="none"/>
              </w:rPr>
            </w:pPr>
            <w:r>
              <w:rPr>
                <w:color w:val="auto"/>
                <w:sz w:val="21"/>
                <w:szCs w:val="21"/>
                <w:highlight w:val="none"/>
              </w:rPr>
              <w:t>安全管理</w:t>
            </w:r>
          </w:p>
        </w:tc>
        <w:tc>
          <w:tcPr>
            <w:tcW w:w="1418" w:type="dxa"/>
            <w:noWrap w:val="0"/>
            <w:vAlign w:val="center"/>
          </w:tcPr>
          <w:p w14:paraId="0B3F1C81">
            <w:pPr>
              <w:pStyle w:val="13"/>
              <w:keepNext/>
              <w:spacing w:line="440" w:lineRule="exact"/>
              <w:ind w:left="63" w:right="63"/>
              <w:rPr>
                <w:color w:val="auto"/>
                <w:sz w:val="21"/>
                <w:szCs w:val="21"/>
                <w:highlight w:val="none"/>
              </w:rPr>
            </w:pPr>
          </w:p>
        </w:tc>
        <w:tc>
          <w:tcPr>
            <w:tcW w:w="1134" w:type="dxa"/>
            <w:noWrap w:val="0"/>
            <w:vAlign w:val="center"/>
          </w:tcPr>
          <w:p w14:paraId="7F4EA79E">
            <w:pPr>
              <w:pStyle w:val="13"/>
              <w:keepNext/>
              <w:spacing w:line="440" w:lineRule="exact"/>
              <w:ind w:left="63" w:right="63"/>
              <w:rPr>
                <w:color w:val="auto"/>
                <w:sz w:val="21"/>
                <w:szCs w:val="21"/>
                <w:highlight w:val="none"/>
              </w:rPr>
            </w:pPr>
          </w:p>
        </w:tc>
        <w:tc>
          <w:tcPr>
            <w:tcW w:w="1134" w:type="dxa"/>
            <w:noWrap w:val="0"/>
            <w:vAlign w:val="center"/>
          </w:tcPr>
          <w:p w14:paraId="34AB840B">
            <w:pPr>
              <w:pStyle w:val="13"/>
              <w:keepNext/>
              <w:spacing w:line="440" w:lineRule="exact"/>
              <w:ind w:left="63" w:right="63"/>
              <w:rPr>
                <w:color w:val="auto"/>
                <w:sz w:val="24"/>
                <w:highlight w:val="none"/>
              </w:rPr>
            </w:pPr>
          </w:p>
        </w:tc>
        <w:tc>
          <w:tcPr>
            <w:tcW w:w="4252" w:type="dxa"/>
            <w:noWrap w:val="0"/>
            <w:vAlign w:val="center"/>
          </w:tcPr>
          <w:p w14:paraId="664A72A3">
            <w:pPr>
              <w:pStyle w:val="13"/>
              <w:keepNext/>
              <w:spacing w:line="440" w:lineRule="exact"/>
              <w:ind w:left="63" w:right="63"/>
              <w:rPr>
                <w:color w:val="auto"/>
                <w:sz w:val="24"/>
                <w:highlight w:val="none"/>
              </w:rPr>
            </w:pPr>
          </w:p>
        </w:tc>
      </w:tr>
      <w:tr w14:paraId="52E8A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822D8EA">
            <w:pPr>
              <w:pStyle w:val="13"/>
              <w:keepNext/>
              <w:spacing w:line="440" w:lineRule="exact"/>
              <w:ind w:left="63" w:right="63"/>
              <w:rPr>
                <w:color w:val="auto"/>
                <w:sz w:val="21"/>
                <w:szCs w:val="21"/>
                <w:highlight w:val="none"/>
              </w:rPr>
            </w:pPr>
            <w:r>
              <w:rPr>
                <w:color w:val="auto"/>
                <w:sz w:val="21"/>
                <w:szCs w:val="21"/>
                <w:highlight w:val="none"/>
              </w:rPr>
              <w:t>其他人员</w:t>
            </w:r>
          </w:p>
        </w:tc>
        <w:tc>
          <w:tcPr>
            <w:tcW w:w="1418" w:type="dxa"/>
            <w:noWrap w:val="0"/>
            <w:vAlign w:val="center"/>
          </w:tcPr>
          <w:p w14:paraId="55F690AD">
            <w:pPr>
              <w:pStyle w:val="13"/>
              <w:keepNext/>
              <w:spacing w:line="440" w:lineRule="exact"/>
              <w:ind w:left="63" w:right="63"/>
              <w:rPr>
                <w:color w:val="auto"/>
                <w:sz w:val="21"/>
                <w:szCs w:val="21"/>
                <w:highlight w:val="none"/>
              </w:rPr>
            </w:pPr>
          </w:p>
        </w:tc>
        <w:tc>
          <w:tcPr>
            <w:tcW w:w="1134" w:type="dxa"/>
            <w:noWrap w:val="0"/>
            <w:vAlign w:val="center"/>
          </w:tcPr>
          <w:p w14:paraId="0D9CDA4F">
            <w:pPr>
              <w:pStyle w:val="13"/>
              <w:keepNext/>
              <w:spacing w:line="440" w:lineRule="exact"/>
              <w:ind w:left="63" w:right="63"/>
              <w:rPr>
                <w:color w:val="auto"/>
                <w:sz w:val="21"/>
                <w:szCs w:val="21"/>
                <w:highlight w:val="none"/>
              </w:rPr>
            </w:pPr>
          </w:p>
        </w:tc>
        <w:tc>
          <w:tcPr>
            <w:tcW w:w="1134" w:type="dxa"/>
            <w:noWrap w:val="0"/>
            <w:vAlign w:val="center"/>
          </w:tcPr>
          <w:p w14:paraId="258C5C19">
            <w:pPr>
              <w:pStyle w:val="13"/>
              <w:keepNext/>
              <w:spacing w:line="440" w:lineRule="exact"/>
              <w:ind w:left="63" w:right="63"/>
              <w:rPr>
                <w:color w:val="auto"/>
                <w:sz w:val="24"/>
                <w:highlight w:val="none"/>
              </w:rPr>
            </w:pPr>
          </w:p>
        </w:tc>
        <w:tc>
          <w:tcPr>
            <w:tcW w:w="4252" w:type="dxa"/>
            <w:noWrap w:val="0"/>
            <w:vAlign w:val="center"/>
          </w:tcPr>
          <w:p w14:paraId="59E1F326">
            <w:pPr>
              <w:pStyle w:val="13"/>
              <w:keepNext/>
              <w:spacing w:line="440" w:lineRule="exact"/>
              <w:ind w:left="63" w:right="63"/>
              <w:rPr>
                <w:color w:val="auto"/>
                <w:sz w:val="24"/>
                <w:highlight w:val="none"/>
              </w:rPr>
            </w:pPr>
          </w:p>
        </w:tc>
      </w:tr>
      <w:tr w14:paraId="5D7BB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80B65B">
            <w:pPr>
              <w:pStyle w:val="13"/>
              <w:keepNext/>
              <w:spacing w:line="440" w:lineRule="exact"/>
              <w:ind w:left="63" w:right="63"/>
              <w:rPr>
                <w:color w:val="auto"/>
                <w:sz w:val="21"/>
                <w:szCs w:val="21"/>
                <w:highlight w:val="none"/>
              </w:rPr>
            </w:pPr>
          </w:p>
        </w:tc>
        <w:tc>
          <w:tcPr>
            <w:tcW w:w="1418" w:type="dxa"/>
            <w:tcBorders>
              <w:bottom w:val="nil"/>
            </w:tcBorders>
            <w:noWrap w:val="0"/>
            <w:vAlign w:val="center"/>
          </w:tcPr>
          <w:p w14:paraId="0D8E57CB">
            <w:pPr>
              <w:pStyle w:val="13"/>
              <w:keepNext/>
              <w:spacing w:line="440" w:lineRule="exact"/>
              <w:ind w:left="63" w:right="63"/>
              <w:rPr>
                <w:color w:val="auto"/>
                <w:sz w:val="21"/>
                <w:szCs w:val="21"/>
                <w:highlight w:val="none"/>
              </w:rPr>
            </w:pPr>
          </w:p>
        </w:tc>
        <w:tc>
          <w:tcPr>
            <w:tcW w:w="1134" w:type="dxa"/>
            <w:tcBorders>
              <w:bottom w:val="nil"/>
            </w:tcBorders>
            <w:noWrap w:val="0"/>
            <w:vAlign w:val="center"/>
          </w:tcPr>
          <w:p w14:paraId="0E8555A1">
            <w:pPr>
              <w:pStyle w:val="13"/>
              <w:keepNext/>
              <w:spacing w:line="440" w:lineRule="exact"/>
              <w:ind w:left="63" w:right="63"/>
              <w:rPr>
                <w:color w:val="auto"/>
                <w:sz w:val="21"/>
                <w:szCs w:val="21"/>
                <w:highlight w:val="none"/>
              </w:rPr>
            </w:pPr>
          </w:p>
        </w:tc>
        <w:tc>
          <w:tcPr>
            <w:tcW w:w="1134" w:type="dxa"/>
            <w:tcBorders>
              <w:bottom w:val="nil"/>
            </w:tcBorders>
            <w:noWrap w:val="0"/>
            <w:vAlign w:val="center"/>
          </w:tcPr>
          <w:p w14:paraId="687DCF37">
            <w:pPr>
              <w:pStyle w:val="13"/>
              <w:keepNext/>
              <w:spacing w:line="440" w:lineRule="exact"/>
              <w:ind w:left="63" w:right="63"/>
              <w:rPr>
                <w:color w:val="auto"/>
                <w:sz w:val="24"/>
                <w:highlight w:val="none"/>
              </w:rPr>
            </w:pPr>
          </w:p>
        </w:tc>
        <w:tc>
          <w:tcPr>
            <w:tcW w:w="4252" w:type="dxa"/>
            <w:tcBorders>
              <w:bottom w:val="nil"/>
            </w:tcBorders>
            <w:noWrap w:val="0"/>
            <w:vAlign w:val="center"/>
          </w:tcPr>
          <w:p w14:paraId="33F3579F">
            <w:pPr>
              <w:pStyle w:val="13"/>
              <w:keepNext/>
              <w:spacing w:line="440" w:lineRule="exact"/>
              <w:ind w:left="63" w:right="63"/>
              <w:rPr>
                <w:color w:val="auto"/>
                <w:sz w:val="24"/>
                <w:highlight w:val="none"/>
              </w:rPr>
            </w:pPr>
          </w:p>
        </w:tc>
      </w:tr>
      <w:tr w14:paraId="6B40D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71BB61">
            <w:pPr>
              <w:pStyle w:val="13"/>
              <w:keepNext/>
              <w:spacing w:line="440" w:lineRule="exact"/>
              <w:ind w:left="63" w:right="63"/>
              <w:rPr>
                <w:color w:val="auto"/>
                <w:sz w:val="21"/>
                <w:szCs w:val="21"/>
                <w:highlight w:val="none"/>
              </w:rPr>
            </w:pPr>
          </w:p>
        </w:tc>
        <w:tc>
          <w:tcPr>
            <w:tcW w:w="1418" w:type="dxa"/>
            <w:noWrap w:val="0"/>
            <w:vAlign w:val="center"/>
          </w:tcPr>
          <w:p w14:paraId="008D8527">
            <w:pPr>
              <w:pStyle w:val="13"/>
              <w:keepNext/>
              <w:spacing w:line="440" w:lineRule="exact"/>
              <w:ind w:left="63" w:right="63"/>
              <w:rPr>
                <w:color w:val="auto"/>
                <w:sz w:val="21"/>
                <w:szCs w:val="21"/>
                <w:highlight w:val="none"/>
              </w:rPr>
            </w:pPr>
          </w:p>
        </w:tc>
        <w:tc>
          <w:tcPr>
            <w:tcW w:w="1134" w:type="dxa"/>
            <w:noWrap w:val="0"/>
            <w:vAlign w:val="center"/>
          </w:tcPr>
          <w:p w14:paraId="5D7937DF">
            <w:pPr>
              <w:pStyle w:val="13"/>
              <w:keepNext/>
              <w:spacing w:line="440" w:lineRule="exact"/>
              <w:ind w:left="63" w:right="63"/>
              <w:rPr>
                <w:color w:val="auto"/>
                <w:sz w:val="21"/>
                <w:szCs w:val="21"/>
                <w:highlight w:val="none"/>
              </w:rPr>
            </w:pPr>
          </w:p>
        </w:tc>
        <w:tc>
          <w:tcPr>
            <w:tcW w:w="1134" w:type="dxa"/>
            <w:noWrap w:val="0"/>
            <w:vAlign w:val="center"/>
          </w:tcPr>
          <w:p w14:paraId="09A40457">
            <w:pPr>
              <w:pStyle w:val="13"/>
              <w:keepNext/>
              <w:spacing w:line="440" w:lineRule="exact"/>
              <w:ind w:left="63" w:right="63"/>
              <w:rPr>
                <w:color w:val="auto"/>
                <w:sz w:val="24"/>
                <w:highlight w:val="none"/>
              </w:rPr>
            </w:pPr>
          </w:p>
        </w:tc>
        <w:tc>
          <w:tcPr>
            <w:tcW w:w="4252" w:type="dxa"/>
            <w:noWrap w:val="0"/>
            <w:vAlign w:val="center"/>
          </w:tcPr>
          <w:p w14:paraId="05D101A2">
            <w:pPr>
              <w:pStyle w:val="13"/>
              <w:keepNext/>
              <w:spacing w:line="440" w:lineRule="exact"/>
              <w:ind w:left="63" w:right="63"/>
              <w:rPr>
                <w:color w:val="auto"/>
                <w:sz w:val="24"/>
                <w:highlight w:val="none"/>
              </w:rPr>
            </w:pPr>
          </w:p>
        </w:tc>
      </w:tr>
      <w:tr w14:paraId="12211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CF6476E">
            <w:pPr>
              <w:pStyle w:val="13"/>
              <w:keepNext/>
              <w:spacing w:line="440" w:lineRule="exact"/>
              <w:ind w:left="63" w:right="63"/>
              <w:rPr>
                <w:color w:val="auto"/>
                <w:sz w:val="24"/>
                <w:highlight w:val="none"/>
              </w:rPr>
            </w:pPr>
          </w:p>
        </w:tc>
        <w:tc>
          <w:tcPr>
            <w:tcW w:w="1418" w:type="dxa"/>
            <w:noWrap w:val="0"/>
            <w:vAlign w:val="center"/>
          </w:tcPr>
          <w:p w14:paraId="3C627294">
            <w:pPr>
              <w:pStyle w:val="13"/>
              <w:keepNext/>
              <w:spacing w:line="440" w:lineRule="exact"/>
              <w:ind w:left="63" w:right="63"/>
              <w:rPr>
                <w:color w:val="auto"/>
                <w:sz w:val="24"/>
                <w:highlight w:val="none"/>
              </w:rPr>
            </w:pPr>
          </w:p>
        </w:tc>
        <w:tc>
          <w:tcPr>
            <w:tcW w:w="1134" w:type="dxa"/>
            <w:noWrap w:val="0"/>
            <w:vAlign w:val="center"/>
          </w:tcPr>
          <w:p w14:paraId="4C845500">
            <w:pPr>
              <w:pStyle w:val="13"/>
              <w:keepNext/>
              <w:spacing w:line="440" w:lineRule="exact"/>
              <w:ind w:left="63" w:right="63"/>
              <w:rPr>
                <w:color w:val="auto"/>
                <w:sz w:val="24"/>
                <w:highlight w:val="none"/>
              </w:rPr>
            </w:pPr>
          </w:p>
        </w:tc>
        <w:tc>
          <w:tcPr>
            <w:tcW w:w="1134" w:type="dxa"/>
            <w:noWrap w:val="0"/>
            <w:vAlign w:val="center"/>
          </w:tcPr>
          <w:p w14:paraId="66AB85C2">
            <w:pPr>
              <w:pStyle w:val="13"/>
              <w:keepNext/>
              <w:spacing w:line="440" w:lineRule="exact"/>
              <w:ind w:left="63" w:right="63"/>
              <w:rPr>
                <w:color w:val="auto"/>
                <w:sz w:val="24"/>
                <w:highlight w:val="none"/>
              </w:rPr>
            </w:pPr>
          </w:p>
        </w:tc>
        <w:tc>
          <w:tcPr>
            <w:tcW w:w="4252" w:type="dxa"/>
            <w:noWrap w:val="0"/>
            <w:vAlign w:val="center"/>
          </w:tcPr>
          <w:p w14:paraId="32C78FD8">
            <w:pPr>
              <w:pStyle w:val="13"/>
              <w:keepNext/>
              <w:spacing w:line="440" w:lineRule="exact"/>
              <w:ind w:left="63" w:right="63"/>
              <w:rPr>
                <w:color w:val="auto"/>
                <w:sz w:val="24"/>
                <w:highlight w:val="none"/>
              </w:rPr>
            </w:pPr>
          </w:p>
        </w:tc>
      </w:tr>
      <w:tr w14:paraId="0E83E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B9B0D81">
            <w:pPr>
              <w:pStyle w:val="13"/>
              <w:keepNext/>
              <w:spacing w:line="440" w:lineRule="exact"/>
              <w:ind w:left="63" w:right="63"/>
              <w:rPr>
                <w:color w:val="auto"/>
                <w:sz w:val="24"/>
                <w:highlight w:val="none"/>
              </w:rPr>
            </w:pPr>
          </w:p>
        </w:tc>
        <w:tc>
          <w:tcPr>
            <w:tcW w:w="1418" w:type="dxa"/>
            <w:noWrap w:val="0"/>
            <w:vAlign w:val="center"/>
          </w:tcPr>
          <w:p w14:paraId="6225DCD6">
            <w:pPr>
              <w:pStyle w:val="13"/>
              <w:keepNext/>
              <w:spacing w:line="440" w:lineRule="exact"/>
              <w:ind w:left="63" w:right="63"/>
              <w:rPr>
                <w:color w:val="auto"/>
                <w:sz w:val="24"/>
                <w:highlight w:val="none"/>
              </w:rPr>
            </w:pPr>
          </w:p>
        </w:tc>
        <w:tc>
          <w:tcPr>
            <w:tcW w:w="1134" w:type="dxa"/>
            <w:noWrap w:val="0"/>
            <w:vAlign w:val="center"/>
          </w:tcPr>
          <w:p w14:paraId="02D61295">
            <w:pPr>
              <w:pStyle w:val="13"/>
              <w:keepNext/>
              <w:spacing w:line="440" w:lineRule="exact"/>
              <w:ind w:left="63" w:right="63"/>
              <w:rPr>
                <w:color w:val="auto"/>
                <w:sz w:val="24"/>
                <w:highlight w:val="none"/>
              </w:rPr>
            </w:pPr>
          </w:p>
        </w:tc>
        <w:tc>
          <w:tcPr>
            <w:tcW w:w="1134" w:type="dxa"/>
            <w:noWrap w:val="0"/>
            <w:vAlign w:val="center"/>
          </w:tcPr>
          <w:p w14:paraId="3BEDA73A">
            <w:pPr>
              <w:pStyle w:val="13"/>
              <w:keepNext/>
              <w:spacing w:line="440" w:lineRule="exact"/>
              <w:ind w:left="63" w:right="63"/>
              <w:rPr>
                <w:color w:val="auto"/>
                <w:sz w:val="24"/>
                <w:highlight w:val="none"/>
              </w:rPr>
            </w:pPr>
          </w:p>
        </w:tc>
        <w:tc>
          <w:tcPr>
            <w:tcW w:w="4252" w:type="dxa"/>
            <w:noWrap w:val="0"/>
            <w:vAlign w:val="center"/>
          </w:tcPr>
          <w:p w14:paraId="7904BE88">
            <w:pPr>
              <w:pStyle w:val="13"/>
              <w:keepNext/>
              <w:spacing w:line="440" w:lineRule="exact"/>
              <w:ind w:left="63" w:right="63"/>
              <w:rPr>
                <w:color w:val="auto"/>
                <w:sz w:val="24"/>
                <w:highlight w:val="none"/>
              </w:rPr>
            </w:pPr>
          </w:p>
        </w:tc>
      </w:tr>
      <w:tr w14:paraId="40BB2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DDE4E01">
            <w:pPr>
              <w:pStyle w:val="13"/>
              <w:keepNext/>
              <w:spacing w:line="440" w:lineRule="exact"/>
              <w:ind w:left="63" w:right="63"/>
              <w:rPr>
                <w:color w:val="auto"/>
                <w:sz w:val="24"/>
                <w:highlight w:val="none"/>
              </w:rPr>
            </w:pPr>
          </w:p>
        </w:tc>
        <w:tc>
          <w:tcPr>
            <w:tcW w:w="1418" w:type="dxa"/>
            <w:tcBorders>
              <w:bottom w:val="single" w:color="auto" w:sz="12" w:space="0"/>
            </w:tcBorders>
            <w:noWrap w:val="0"/>
            <w:vAlign w:val="center"/>
          </w:tcPr>
          <w:p w14:paraId="7B1BDFFF">
            <w:pPr>
              <w:pStyle w:val="13"/>
              <w:keepNext/>
              <w:spacing w:line="440" w:lineRule="exact"/>
              <w:ind w:left="63" w:right="63"/>
              <w:rPr>
                <w:color w:val="auto"/>
                <w:sz w:val="24"/>
                <w:highlight w:val="none"/>
              </w:rPr>
            </w:pPr>
          </w:p>
        </w:tc>
        <w:tc>
          <w:tcPr>
            <w:tcW w:w="1134" w:type="dxa"/>
            <w:tcBorders>
              <w:bottom w:val="single" w:color="auto" w:sz="12" w:space="0"/>
            </w:tcBorders>
            <w:noWrap w:val="0"/>
            <w:vAlign w:val="center"/>
          </w:tcPr>
          <w:p w14:paraId="531B04A7">
            <w:pPr>
              <w:pStyle w:val="13"/>
              <w:keepNext/>
              <w:spacing w:line="440" w:lineRule="exact"/>
              <w:ind w:left="63" w:right="63"/>
              <w:rPr>
                <w:color w:val="auto"/>
                <w:sz w:val="24"/>
                <w:highlight w:val="none"/>
              </w:rPr>
            </w:pPr>
          </w:p>
        </w:tc>
        <w:tc>
          <w:tcPr>
            <w:tcW w:w="1134" w:type="dxa"/>
            <w:tcBorders>
              <w:bottom w:val="single" w:color="auto" w:sz="12" w:space="0"/>
            </w:tcBorders>
            <w:noWrap w:val="0"/>
            <w:vAlign w:val="center"/>
          </w:tcPr>
          <w:p w14:paraId="21D2732F">
            <w:pPr>
              <w:pStyle w:val="13"/>
              <w:keepNext/>
              <w:spacing w:line="440" w:lineRule="exact"/>
              <w:ind w:left="63" w:right="63"/>
              <w:rPr>
                <w:color w:val="auto"/>
                <w:sz w:val="24"/>
                <w:highlight w:val="none"/>
              </w:rPr>
            </w:pPr>
          </w:p>
        </w:tc>
        <w:tc>
          <w:tcPr>
            <w:tcW w:w="4252" w:type="dxa"/>
            <w:tcBorders>
              <w:bottom w:val="single" w:color="auto" w:sz="12" w:space="0"/>
            </w:tcBorders>
            <w:noWrap w:val="0"/>
            <w:vAlign w:val="center"/>
          </w:tcPr>
          <w:p w14:paraId="05E94DBB">
            <w:pPr>
              <w:pStyle w:val="13"/>
              <w:keepNext/>
              <w:spacing w:line="440" w:lineRule="exact"/>
              <w:ind w:left="63" w:right="63"/>
              <w:rPr>
                <w:color w:val="auto"/>
                <w:sz w:val="24"/>
                <w:highlight w:val="none"/>
              </w:rPr>
            </w:pPr>
          </w:p>
        </w:tc>
      </w:tr>
    </w:tbl>
    <w:p w14:paraId="0C451BB1">
      <w:pPr>
        <w:spacing w:line="440" w:lineRule="exact"/>
        <w:rPr>
          <w:rFonts w:ascii="宋体" w:hAnsi="宋体"/>
          <w:b/>
          <w:color w:val="auto"/>
          <w:sz w:val="28"/>
          <w:szCs w:val="28"/>
          <w:highlight w:val="none"/>
        </w:rPr>
      </w:pPr>
      <w:r>
        <w:rPr>
          <w:rFonts w:ascii="宋体" w:hAnsi="宋体"/>
          <w:color w:val="auto"/>
          <w:sz w:val="24"/>
          <w:highlight w:val="none"/>
        </w:rPr>
        <w:br w:type="page"/>
      </w:r>
      <w:r>
        <w:rPr>
          <w:rFonts w:ascii="宋体" w:hAnsi="宋体"/>
          <w:b/>
          <w:color w:val="auto"/>
          <w:sz w:val="28"/>
          <w:szCs w:val="28"/>
          <w:highlight w:val="none"/>
        </w:rPr>
        <w:t>附件8：</w:t>
      </w:r>
    </w:p>
    <w:p w14:paraId="1D2D3AF3">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履约担保</w:t>
      </w:r>
    </w:p>
    <w:p w14:paraId="25465740">
      <w:pPr>
        <w:spacing w:line="440" w:lineRule="exact"/>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rPr>
        <w:t>（发包人名称）：</w:t>
      </w:r>
    </w:p>
    <w:p w14:paraId="00F33341">
      <w:pPr>
        <w:spacing w:line="440" w:lineRule="exact"/>
        <w:rPr>
          <w:rFonts w:ascii="宋体" w:hAnsi="宋体"/>
          <w:color w:val="auto"/>
          <w:sz w:val="24"/>
          <w:szCs w:val="24"/>
          <w:highlight w:val="none"/>
        </w:rPr>
      </w:pPr>
    </w:p>
    <w:p w14:paraId="17C4A7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（发包人名称，以下简称“发包人”）与</w:t>
      </w:r>
    </w:p>
    <w:p w14:paraId="5B71FA18">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（承包人名称）（以下称“承包人”）于</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日就</w:t>
      </w:r>
      <w:r>
        <w:rPr>
          <w:rFonts w:ascii="宋体" w:hAnsi="宋体"/>
          <w:color w:val="auto"/>
          <w:sz w:val="24"/>
          <w:szCs w:val="24"/>
          <w:highlight w:val="none"/>
          <w:u w:val="single"/>
        </w:rPr>
        <w:t xml:space="preserve">                         </w:t>
      </w:r>
      <w:r>
        <w:rPr>
          <w:rFonts w:ascii="宋体" w:hAnsi="宋体"/>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EB68D4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 担保金额人民币（大写）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124B9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 担保有效期自你方与承包人签订的合同生效之日起至你方签发或应签发工程接收证书之日止。</w:t>
      </w:r>
    </w:p>
    <w:p w14:paraId="53F1A66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394823C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 你方和承包人按合同约定变更合同时，我方承担本担保规定的义务不变。</w:t>
      </w:r>
    </w:p>
    <w:p w14:paraId="6D7C254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 因本保函发生的纠纷，可由双方协商解决，协商不成的，任何一方均可提请</w:t>
      </w:r>
      <w:r>
        <w:rPr>
          <w:rFonts w:ascii="宋体" w:hAnsi="宋体"/>
          <w:color w:val="auto"/>
          <w:sz w:val="24"/>
          <w:szCs w:val="24"/>
          <w:highlight w:val="none"/>
          <w:u w:val="single"/>
        </w:rPr>
        <w:t xml:space="preserve">        </w:t>
      </w:r>
      <w:r>
        <w:rPr>
          <w:rFonts w:ascii="宋体" w:hAnsi="宋体"/>
          <w:color w:val="auto"/>
          <w:sz w:val="24"/>
          <w:szCs w:val="24"/>
          <w:highlight w:val="none"/>
        </w:rPr>
        <w:t>仲裁委员会仲裁。</w:t>
      </w:r>
    </w:p>
    <w:p w14:paraId="603CA99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6. 本保函自我方法定代表人（或其授权代理人）签字并加盖公章之日起生效。</w:t>
      </w:r>
    </w:p>
    <w:p w14:paraId="45C1B281">
      <w:pPr>
        <w:spacing w:line="360" w:lineRule="auto"/>
        <w:rPr>
          <w:rFonts w:hint="eastAsia" w:ascii="宋体" w:hAnsi="宋体"/>
          <w:color w:val="auto"/>
          <w:sz w:val="24"/>
          <w:szCs w:val="24"/>
          <w:highlight w:val="none"/>
        </w:rPr>
      </w:pPr>
    </w:p>
    <w:p w14:paraId="2CD26931">
      <w:pPr>
        <w:spacing w:line="360" w:lineRule="auto"/>
        <w:rPr>
          <w:rFonts w:ascii="宋体" w:hAnsi="宋体"/>
          <w:color w:val="auto"/>
          <w:sz w:val="24"/>
          <w:szCs w:val="24"/>
          <w:highlight w:val="none"/>
        </w:rPr>
      </w:pPr>
      <w:r>
        <w:rPr>
          <w:rFonts w:ascii="宋体" w:hAnsi="宋体"/>
          <w:color w:val="auto"/>
          <w:sz w:val="24"/>
          <w:szCs w:val="24"/>
          <w:highlight w:val="none"/>
        </w:rPr>
        <w:t>担 保 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72D62059">
      <w:pPr>
        <w:spacing w:line="360" w:lineRule="auto"/>
        <w:rPr>
          <w:rFonts w:ascii="宋体" w:hAnsi="宋体"/>
          <w:color w:val="auto"/>
          <w:sz w:val="24"/>
          <w:szCs w:val="24"/>
          <w:highlight w:val="none"/>
        </w:rPr>
      </w:pPr>
      <w:r>
        <w:rPr>
          <w:rFonts w:ascii="宋体" w:hAnsi="宋体"/>
          <w:color w:val="auto"/>
          <w:sz w:val="24"/>
          <w:szCs w:val="24"/>
          <w:highlight w:val="none"/>
        </w:rPr>
        <w:t>法定代表人或其委托代理人：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（签字）</w:t>
      </w:r>
    </w:p>
    <w:p w14:paraId="32D6CBE2">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64D7E183">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0DCD0BF">
      <w:pPr>
        <w:spacing w:line="360" w:lineRule="auto"/>
        <w:rPr>
          <w:rFonts w:ascii="宋体" w:hAnsi="宋体"/>
          <w:color w:val="auto"/>
          <w:sz w:val="24"/>
          <w:szCs w:val="24"/>
          <w:highlight w:val="none"/>
          <w:u w:val="single"/>
        </w:rPr>
      </w:pPr>
      <w:r>
        <w:rPr>
          <w:rFonts w:ascii="宋体" w:hAnsi="宋体"/>
          <w:color w:val="auto"/>
          <w:sz w:val="24"/>
          <w:szCs w:val="24"/>
          <w:highlight w:val="none"/>
        </w:rPr>
        <w:t>电    话：</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ACA4922">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720A4B6">
      <w:pPr>
        <w:spacing w:line="360" w:lineRule="auto"/>
        <w:jc w:val="left"/>
        <w:rPr>
          <w:rFonts w:ascii="宋体" w:hAnsi="宋体"/>
          <w:color w:val="auto"/>
          <w:sz w:val="24"/>
          <w:szCs w:val="24"/>
          <w:highlight w:val="none"/>
          <w:u w:val="single"/>
        </w:rPr>
      </w:pPr>
    </w:p>
    <w:p w14:paraId="275F33A1">
      <w:pPr>
        <w:spacing w:line="360" w:lineRule="auto"/>
        <w:ind w:left="1519" w:hanging="1519" w:hangingChars="633"/>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p>
    <w:p w14:paraId="5C91766A">
      <w:pPr>
        <w:spacing w:line="360" w:lineRule="auto"/>
        <w:rPr>
          <w:rFonts w:ascii="宋体" w:hAnsi="宋体"/>
          <w:b/>
          <w:color w:val="auto"/>
          <w:sz w:val="28"/>
          <w:szCs w:val="28"/>
          <w:highlight w:val="none"/>
        </w:rPr>
      </w:pPr>
      <w:r>
        <w:rPr>
          <w:rFonts w:ascii="宋体" w:hAnsi="宋体"/>
          <w:b/>
          <w:color w:val="auto"/>
          <w:sz w:val="28"/>
          <w:szCs w:val="28"/>
          <w:highlight w:val="none"/>
        </w:rPr>
        <w:t>附件9 ：</w:t>
      </w:r>
    </w:p>
    <w:p w14:paraId="105C03DE">
      <w:pPr>
        <w:spacing w:line="360" w:lineRule="auto"/>
        <w:jc w:val="center"/>
        <w:rPr>
          <w:rFonts w:ascii="宋体" w:hAnsi="宋体"/>
          <w:b/>
          <w:color w:val="auto"/>
          <w:sz w:val="28"/>
          <w:szCs w:val="28"/>
          <w:highlight w:val="none"/>
        </w:rPr>
      </w:pPr>
      <w:r>
        <w:rPr>
          <w:rFonts w:ascii="宋体" w:hAnsi="宋体"/>
          <w:b/>
          <w:color w:val="auto"/>
          <w:sz w:val="28"/>
          <w:szCs w:val="28"/>
          <w:highlight w:val="none"/>
        </w:rPr>
        <w:t>预付款担保</w:t>
      </w:r>
    </w:p>
    <w:p w14:paraId="012B51CD">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 xml:space="preserve"> </w:t>
      </w:r>
      <w:r>
        <w:rPr>
          <w:rFonts w:ascii="宋体" w:hAnsi="宋体"/>
          <w:color w:val="auto"/>
          <w:sz w:val="24"/>
          <w:szCs w:val="24"/>
          <w:highlight w:val="none"/>
        </w:rPr>
        <w:t xml:space="preserve"> （发包人名称）：</w:t>
      </w:r>
    </w:p>
    <w:p w14:paraId="773219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w:t>
      </w:r>
      <w:r>
        <w:rPr>
          <w:rFonts w:ascii="宋体" w:hAnsi="宋体"/>
          <w:color w:val="auto"/>
          <w:sz w:val="24"/>
          <w:szCs w:val="24"/>
          <w:highlight w:val="none"/>
          <w:u w:val="single"/>
        </w:rPr>
        <w:t xml:space="preserve">                 </w:t>
      </w:r>
      <w:r>
        <w:rPr>
          <w:rFonts w:ascii="宋体" w:hAnsi="宋体"/>
          <w:color w:val="auto"/>
          <w:sz w:val="24"/>
          <w:szCs w:val="24"/>
          <w:highlight w:val="none"/>
        </w:rPr>
        <w:t>（承包人名称）（以下称</w:t>
      </w:r>
      <w:r>
        <w:rPr>
          <w:rFonts w:hint="eastAsia" w:ascii="宋体" w:hAnsi="宋体"/>
          <w:color w:val="auto"/>
          <w:sz w:val="24"/>
          <w:szCs w:val="24"/>
          <w:highlight w:val="none"/>
        </w:rPr>
        <w:t>“</w:t>
      </w:r>
      <w:r>
        <w:rPr>
          <w:rFonts w:ascii="宋体" w:hAnsi="宋体"/>
          <w:color w:val="auto"/>
          <w:sz w:val="24"/>
          <w:szCs w:val="24"/>
          <w:highlight w:val="none"/>
        </w:rPr>
        <w:t>承包人</w:t>
      </w:r>
      <w:r>
        <w:rPr>
          <w:rFonts w:hint="eastAsia" w:ascii="宋体" w:hAnsi="宋体"/>
          <w:color w:val="auto"/>
          <w:sz w:val="24"/>
          <w:szCs w:val="24"/>
          <w:highlight w:val="none"/>
        </w:rPr>
        <w:t>”</w:t>
      </w:r>
      <w:r>
        <w:rPr>
          <w:rFonts w:ascii="宋体" w:hAnsi="宋体"/>
          <w:color w:val="auto"/>
          <w:sz w:val="24"/>
          <w:szCs w:val="24"/>
          <w:highlight w:val="none"/>
        </w:rPr>
        <w:t>）与</w:t>
      </w:r>
    </w:p>
    <w:p w14:paraId="3DF26931">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（发包人名称）（以下简称</w:t>
      </w:r>
      <w:r>
        <w:rPr>
          <w:rFonts w:hint="eastAsia" w:ascii="宋体" w:hAnsi="宋体"/>
          <w:color w:val="auto"/>
          <w:sz w:val="24"/>
          <w:szCs w:val="24"/>
          <w:highlight w:val="none"/>
        </w:rPr>
        <w:t>“</w:t>
      </w:r>
      <w:r>
        <w:rPr>
          <w:rFonts w:ascii="宋体" w:hAnsi="宋体"/>
          <w:color w:val="auto"/>
          <w:sz w:val="24"/>
          <w:szCs w:val="24"/>
          <w:highlight w:val="none"/>
        </w:rPr>
        <w:t>发包人</w:t>
      </w:r>
      <w:r>
        <w:rPr>
          <w:rFonts w:hint="eastAsia" w:ascii="宋体" w:hAnsi="宋体"/>
          <w:color w:val="auto"/>
          <w:sz w:val="24"/>
          <w:szCs w:val="24"/>
          <w:highlight w:val="none"/>
        </w:rPr>
        <w:t>”</w:t>
      </w:r>
      <w:r>
        <w:rPr>
          <w:rFonts w:ascii="宋体" w:hAnsi="宋体"/>
          <w:color w:val="auto"/>
          <w:sz w:val="24"/>
          <w:szCs w:val="24"/>
          <w:highlight w:val="none"/>
        </w:rPr>
        <w:t>）</w:t>
      </w:r>
    </w:p>
    <w:p w14:paraId="2FE6DAEF">
      <w:pPr>
        <w:spacing w:line="360" w:lineRule="auto"/>
        <w:rPr>
          <w:rFonts w:ascii="宋体" w:hAnsi="宋体"/>
          <w:color w:val="auto"/>
          <w:sz w:val="24"/>
          <w:szCs w:val="24"/>
          <w:highlight w:val="none"/>
        </w:rPr>
      </w:pPr>
      <w:r>
        <w:rPr>
          <w:rFonts w:ascii="宋体" w:hAnsi="宋体"/>
          <w:color w:val="auto"/>
          <w:sz w:val="24"/>
          <w:szCs w:val="24"/>
          <w:highlight w:val="none"/>
        </w:rPr>
        <w:t>于</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日签订的</w:t>
      </w:r>
      <w:r>
        <w:rPr>
          <w:rFonts w:ascii="宋体" w:hAnsi="宋体"/>
          <w:color w:val="auto"/>
          <w:sz w:val="24"/>
          <w:szCs w:val="24"/>
          <w:highlight w:val="none"/>
          <w:u w:val="single"/>
        </w:rPr>
        <w:t xml:space="preserve">                   </w:t>
      </w:r>
      <w:r>
        <w:rPr>
          <w:rFonts w:ascii="宋体" w:hAnsi="宋体"/>
          <w:color w:val="auto"/>
          <w:sz w:val="24"/>
          <w:szCs w:val="24"/>
          <w:highlight w:val="none"/>
        </w:rPr>
        <w:t>（工程名称）《建设工程施工合同》，承包人按约定的金额向</w:t>
      </w:r>
      <w:r>
        <w:rPr>
          <w:rFonts w:hint="eastAsia" w:ascii="宋体" w:hAnsi="宋体"/>
          <w:color w:val="auto"/>
          <w:sz w:val="24"/>
          <w:szCs w:val="24"/>
          <w:highlight w:val="none"/>
        </w:rPr>
        <w:t>你方</w:t>
      </w:r>
      <w:r>
        <w:rPr>
          <w:rFonts w:ascii="宋体" w:hAnsi="宋体"/>
          <w:color w:val="auto"/>
          <w:sz w:val="24"/>
          <w:szCs w:val="24"/>
          <w:highlight w:val="none"/>
        </w:rPr>
        <w:t>提交一份预付款担保，即有权得到</w:t>
      </w:r>
      <w:r>
        <w:rPr>
          <w:rFonts w:hint="eastAsia" w:ascii="宋体" w:hAnsi="宋体"/>
          <w:color w:val="auto"/>
          <w:sz w:val="24"/>
          <w:szCs w:val="24"/>
          <w:highlight w:val="none"/>
        </w:rPr>
        <w:t>你方</w:t>
      </w:r>
      <w:r>
        <w:rPr>
          <w:rFonts w:ascii="宋体" w:hAnsi="宋体"/>
          <w:color w:val="auto"/>
          <w:sz w:val="24"/>
          <w:szCs w:val="24"/>
          <w:highlight w:val="none"/>
        </w:rPr>
        <w:t>支付相等金额的预付款。我方愿意就你方提供给承包人的预付款</w:t>
      </w:r>
      <w:r>
        <w:rPr>
          <w:rFonts w:hint="eastAsia" w:ascii="宋体" w:hAnsi="宋体"/>
          <w:color w:val="auto"/>
          <w:sz w:val="24"/>
          <w:szCs w:val="24"/>
          <w:highlight w:val="none"/>
        </w:rPr>
        <w:t>为承包人</w:t>
      </w:r>
      <w:r>
        <w:rPr>
          <w:rFonts w:ascii="宋体" w:hAnsi="宋体"/>
          <w:color w:val="auto"/>
          <w:sz w:val="24"/>
          <w:szCs w:val="24"/>
          <w:highlight w:val="none"/>
        </w:rPr>
        <w:t>提供连带责任担保。</w:t>
      </w:r>
    </w:p>
    <w:p w14:paraId="3D9FF4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担保金额人民币（大写）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8BF475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担保有效期自预付款支付给承包人起生效，至</w:t>
      </w:r>
      <w:r>
        <w:rPr>
          <w:rFonts w:hint="eastAsia" w:ascii="宋体" w:hAnsi="宋体"/>
          <w:color w:val="auto"/>
          <w:sz w:val="24"/>
          <w:szCs w:val="24"/>
          <w:highlight w:val="none"/>
        </w:rPr>
        <w:t>你方</w:t>
      </w:r>
      <w:r>
        <w:rPr>
          <w:rFonts w:ascii="宋体" w:hAnsi="宋体"/>
          <w:color w:val="auto"/>
          <w:sz w:val="24"/>
          <w:szCs w:val="24"/>
          <w:highlight w:val="none"/>
        </w:rPr>
        <w:t>签发的</w:t>
      </w:r>
      <w:r>
        <w:rPr>
          <w:rFonts w:hint="eastAsia" w:ascii="宋体" w:hAnsi="宋体"/>
          <w:color w:val="auto"/>
          <w:sz w:val="24"/>
          <w:szCs w:val="24"/>
          <w:highlight w:val="none"/>
        </w:rPr>
        <w:t>进</w:t>
      </w:r>
      <w:r>
        <w:rPr>
          <w:rFonts w:ascii="宋体" w:hAnsi="宋体"/>
          <w:color w:val="auto"/>
          <w:sz w:val="24"/>
          <w:szCs w:val="24"/>
          <w:highlight w:val="none"/>
        </w:rPr>
        <w:t>度款支付证书说明已完全扣清止。</w:t>
      </w:r>
    </w:p>
    <w:p w14:paraId="485BB2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在本保函有效期内，因承包人违反合同约定的义务而要求</w:t>
      </w:r>
      <w:r>
        <w:rPr>
          <w:rFonts w:hint="eastAsia" w:ascii="宋体" w:hAnsi="宋体"/>
          <w:color w:val="auto"/>
          <w:sz w:val="24"/>
          <w:szCs w:val="24"/>
          <w:highlight w:val="none"/>
        </w:rPr>
        <w:t>收</w:t>
      </w:r>
      <w:r>
        <w:rPr>
          <w:rFonts w:ascii="宋体" w:hAnsi="宋体"/>
          <w:color w:val="auto"/>
          <w:sz w:val="24"/>
          <w:szCs w:val="24"/>
          <w:highlight w:val="none"/>
        </w:rPr>
        <w:t>回预付款时，我方在收到你方的书面通知后，在７天内无条件支付。但本保函的担保金额，在任何时候不应超过预付款金额减去</w:t>
      </w:r>
      <w:r>
        <w:rPr>
          <w:rFonts w:hint="eastAsia" w:ascii="宋体" w:hAnsi="宋体"/>
          <w:color w:val="auto"/>
          <w:sz w:val="24"/>
          <w:szCs w:val="24"/>
          <w:highlight w:val="none"/>
        </w:rPr>
        <w:t>你方</w:t>
      </w:r>
      <w:r>
        <w:rPr>
          <w:rFonts w:ascii="宋体" w:hAnsi="宋体"/>
          <w:color w:val="auto"/>
          <w:sz w:val="24"/>
          <w:szCs w:val="24"/>
          <w:highlight w:val="none"/>
        </w:rPr>
        <w:t>按合同约定在向承包人签发的进度款支付证书中扣除的金额。</w:t>
      </w:r>
    </w:p>
    <w:p w14:paraId="3E0104B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 你方</w:t>
      </w:r>
      <w:r>
        <w:rPr>
          <w:rFonts w:ascii="宋体" w:hAnsi="宋体"/>
          <w:color w:val="auto"/>
          <w:sz w:val="24"/>
          <w:szCs w:val="24"/>
          <w:highlight w:val="none"/>
        </w:rPr>
        <w:t>和承包人按合同约定变更合同时，我方承担本保函规定的义务不变。</w:t>
      </w:r>
    </w:p>
    <w:p w14:paraId="6F9EAC8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5. </w:t>
      </w:r>
      <w:r>
        <w:rPr>
          <w:rFonts w:ascii="宋体" w:hAnsi="宋体"/>
          <w:color w:val="auto"/>
          <w:sz w:val="24"/>
          <w:szCs w:val="24"/>
          <w:highlight w:val="none"/>
        </w:rPr>
        <w:t>因本保函发生的纠纷，可由双方协商解决，协商不成的，任何一方均可提请</w:t>
      </w:r>
      <w:r>
        <w:rPr>
          <w:rFonts w:ascii="宋体" w:hAnsi="宋体"/>
          <w:color w:val="auto"/>
          <w:sz w:val="24"/>
          <w:szCs w:val="24"/>
          <w:highlight w:val="none"/>
          <w:u w:val="single"/>
        </w:rPr>
        <w:t xml:space="preserve">        </w:t>
      </w:r>
      <w:r>
        <w:rPr>
          <w:rFonts w:ascii="宋体" w:hAnsi="宋体"/>
          <w:color w:val="auto"/>
          <w:sz w:val="24"/>
          <w:szCs w:val="24"/>
          <w:highlight w:val="none"/>
        </w:rPr>
        <w:t>仲裁委员会仲裁。</w:t>
      </w:r>
    </w:p>
    <w:p w14:paraId="3A23AB27">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6. </w:t>
      </w:r>
      <w:r>
        <w:rPr>
          <w:rFonts w:ascii="宋体" w:hAnsi="宋体"/>
          <w:color w:val="auto"/>
          <w:sz w:val="24"/>
          <w:szCs w:val="24"/>
          <w:highlight w:val="none"/>
        </w:rPr>
        <w:t>本保函自我方法定代表人（或其授权代理人）签字并加盖公章之日起生效。</w:t>
      </w:r>
    </w:p>
    <w:p w14:paraId="41C114F0">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担保人：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29AA89C8">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法定代表人或其委托代理人：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（签字）</w:t>
      </w:r>
    </w:p>
    <w:p w14:paraId="3C03F687">
      <w:pPr>
        <w:spacing w:line="36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p>
    <w:p w14:paraId="20C068AB">
      <w:pPr>
        <w:spacing w:line="360" w:lineRule="auto"/>
        <w:ind w:left="0" w:leftChars="0" w:firstLine="420" w:firstLineChars="175"/>
        <w:rPr>
          <w:rFonts w:ascii="宋体" w:hAnsi="宋体"/>
          <w:color w:val="auto"/>
          <w:sz w:val="24"/>
          <w:szCs w:val="24"/>
          <w:highlight w:val="none"/>
          <w:u w:val="single"/>
        </w:rPr>
      </w:pPr>
      <w:r>
        <w:rPr>
          <w:rFonts w:ascii="宋体" w:hAnsi="宋体"/>
          <w:color w:val="auto"/>
          <w:sz w:val="24"/>
          <w:szCs w:val="24"/>
          <w:highlight w:val="none"/>
        </w:rPr>
        <w:t>邮政编码：</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p>
    <w:p w14:paraId="0692E904">
      <w:pPr>
        <w:spacing w:line="360" w:lineRule="auto"/>
        <w:ind w:left="0" w:leftChars="0" w:firstLine="420" w:firstLineChars="175"/>
        <w:rPr>
          <w:rFonts w:ascii="宋体" w:hAnsi="宋体"/>
          <w:color w:val="auto"/>
          <w:sz w:val="24"/>
          <w:szCs w:val="24"/>
          <w:highlight w:val="none"/>
          <w:u w:val="single"/>
        </w:rPr>
      </w:pPr>
      <w:r>
        <w:rPr>
          <w:rFonts w:ascii="宋体" w:hAnsi="宋体"/>
          <w:color w:val="auto"/>
          <w:sz w:val="24"/>
          <w:szCs w:val="24"/>
          <w:highlight w:val="none"/>
        </w:rPr>
        <w:t>电    话：</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p>
    <w:p w14:paraId="6DB239E8">
      <w:pPr>
        <w:spacing w:line="360" w:lineRule="auto"/>
        <w:ind w:left="0" w:leftChars="0" w:firstLine="420" w:firstLineChars="175"/>
        <w:rPr>
          <w:rFonts w:ascii="宋体" w:hAnsi="宋体"/>
          <w:color w:val="auto"/>
          <w:sz w:val="24"/>
          <w:szCs w:val="24"/>
          <w:highlight w:val="none"/>
          <w:u w:val="single"/>
        </w:rPr>
      </w:pPr>
      <w:r>
        <w:rPr>
          <w:rFonts w:ascii="宋体" w:hAnsi="宋体"/>
          <w:color w:val="auto"/>
          <w:sz w:val="24"/>
          <w:szCs w:val="24"/>
          <w:highlight w:val="none"/>
        </w:rPr>
        <w:t>传    真：</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p>
    <w:p w14:paraId="5F2475D4">
      <w:pPr>
        <w:spacing w:line="360" w:lineRule="auto"/>
        <w:rPr>
          <w:rFonts w:hint="eastAsia" w:ascii="宋体" w:hAnsi="宋体"/>
          <w:color w:val="auto"/>
          <w:sz w:val="24"/>
          <w:szCs w:val="24"/>
          <w:highlight w:val="none"/>
        </w:rPr>
      </w:pPr>
      <w:r>
        <w:rPr>
          <w:rFonts w:ascii="宋体" w:hAnsi="宋体"/>
          <w:color w:val="auto"/>
          <w:sz w:val="24"/>
          <w:szCs w:val="24"/>
          <w:highlight w:val="none"/>
        </w:rPr>
        <w:t xml:space="preserve">  </w:t>
      </w:r>
    </w:p>
    <w:p w14:paraId="0441499B">
      <w:pPr>
        <w:spacing w:line="360" w:lineRule="auto"/>
        <w:rPr>
          <w:rFonts w:ascii="宋体" w:hAnsi="宋体"/>
          <w:b/>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 xml:space="preserve"> </w:t>
      </w:r>
      <w:r>
        <w:rPr>
          <w:rFonts w:ascii="宋体" w:hAnsi="宋体"/>
          <w:color w:val="auto"/>
          <w:sz w:val="24"/>
          <w:szCs w:val="24"/>
          <w:highlight w:val="none"/>
          <w:u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ascii="宋体" w:hAnsi="宋体"/>
          <w:b/>
          <w:color w:val="auto"/>
          <w:sz w:val="24"/>
          <w:szCs w:val="24"/>
          <w:highlight w:val="none"/>
        </w:rPr>
        <w:br w:type="page"/>
      </w:r>
      <w:r>
        <w:rPr>
          <w:rFonts w:ascii="宋体" w:hAnsi="宋体"/>
          <w:b/>
          <w:color w:val="auto"/>
          <w:sz w:val="24"/>
          <w:szCs w:val="24"/>
          <w:highlight w:val="none"/>
        </w:rPr>
        <w:t xml:space="preserve">附件10:  </w:t>
      </w:r>
    </w:p>
    <w:p w14:paraId="2B1722A6">
      <w:pPr>
        <w:spacing w:before="156" w:beforeLines="50" w:after="156" w:afterLines="50" w:line="440" w:lineRule="exact"/>
        <w:jc w:val="center"/>
        <w:rPr>
          <w:rFonts w:ascii="宋体" w:hAnsi="宋体"/>
          <w:b/>
          <w:color w:val="auto"/>
          <w:sz w:val="24"/>
          <w:szCs w:val="24"/>
          <w:highlight w:val="none"/>
        </w:rPr>
      </w:pPr>
      <w:r>
        <w:rPr>
          <w:rFonts w:ascii="宋体" w:hAnsi="宋体"/>
          <w:b/>
          <w:color w:val="auto"/>
          <w:sz w:val="24"/>
          <w:szCs w:val="24"/>
          <w:highlight w:val="none"/>
        </w:rPr>
        <w:t>支付担保</w:t>
      </w:r>
    </w:p>
    <w:p w14:paraId="32FDFBBE">
      <w:pPr>
        <w:spacing w:line="440" w:lineRule="exact"/>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（承包人）：</w:t>
      </w:r>
    </w:p>
    <w:p w14:paraId="069A1CDD">
      <w:pPr>
        <w:spacing w:line="440" w:lineRule="exact"/>
        <w:jc w:val="left"/>
        <w:rPr>
          <w:rFonts w:ascii="宋体" w:hAnsi="宋体"/>
          <w:color w:val="auto"/>
          <w:sz w:val="24"/>
          <w:szCs w:val="24"/>
          <w:highlight w:val="none"/>
        </w:rPr>
      </w:pPr>
    </w:p>
    <w:p w14:paraId="522411EF">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鉴于你方作为承包人已经与</w:t>
      </w:r>
      <w:r>
        <w:rPr>
          <w:rFonts w:ascii="宋体" w:hAnsi="宋体"/>
          <w:color w:val="auto"/>
          <w:sz w:val="24"/>
          <w:szCs w:val="24"/>
          <w:highlight w:val="none"/>
          <w:u w:val="single"/>
        </w:rPr>
        <w:t xml:space="preserve">             </w:t>
      </w:r>
      <w:r>
        <w:rPr>
          <w:rFonts w:ascii="宋体" w:hAnsi="宋体"/>
          <w:color w:val="auto"/>
          <w:sz w:val="24"/>
          <w:szCs w:val="24"/>
          <w:highlight w:val="none"/>
        </w:rPr>
        <w:t>（发包人名称）（以下称</w:t>
      </w:r>
      <w:r>
        <w:rPr>
          <w:rFonts w:hint="eastAsia" w:ascii="宋体" w:hAnsi="宋体"/>
          <w:color w:val="auto"/>
          <w:sz w:val="24"/>
          <w:szCs w:val="24"/>
          <w:highlight w:val="none"/>
        </w:rPr>
        <w:t>“</w:t>
      </w:r>
      <w:r>
        <w:rPr>
          <w:rFonts w:ascii="宋体" w:hAnsi="宋体"/>
          <w:color w:val="auto"/>
          <w:sz w:val="24"/>
          <w:szCs w:val="24"/>
          <w:highlight w:val="none"/>
        </w:rPr>
        <w:t>发包人</w:t>
      </w:r>
      <w:r>
        <w:rPr>
          <w:rFonts w:hint="eastAsia" w:ascii="宋体" w:hAnsi="宋体"/>
          <w:color w:val="auto"/>
          <w:sz w:val="24"/>
          <w:szCs w:val="24"/>
          <w:highlight w:val="none"/>
        </w:rPr>
        <w:t>”</w:t>
      </w:r>
      <w:r>
        <w:rPr>
          <w:rFonts w:ascii="宋体" w:hAnsi="宋体"/>
          <w:color w:val="auto"/>
          <w:sz w:val="24"/>
          <w:szCs w:val="24"/>
          <w:highlight w:val="none"/>
        </w:rPr>
        <w:t>）于</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日签订了</w:t>
      </w:r>
      <w:r>
        <w:rPr>
          <w:rFonts w:ascii="宋体" w:hAnsi="宋体"/>
          <w:color w:val="auto"/>
          <w:sz w:val="24"/>
          <w:szCs w:val="24"/>
          <w:highlight w:val="none"/>
          <w:u w:val="single"/>
        </w:rPr>
        <w:t xml:space="preserve">             </w:t>
      </w:r>
      <w:r>
        <w:rPr>
          <w:rFonts w:ascii="宋体" w:hAnsi="宋体"/>
          <w:color w:val="auto"/>
          <w:sz w:val="24"/>
          <w:szCs w:val="24"/>
          <w:highlight w:val="none"/>
        </w:rPr>
        <w:t>（工程名称）《建设工程施工合同》（以下称</w:t>
      </w:r>
      <w:r>
        <w:rPr>
          <w:rFonts w:hint="eastAsia" w:ascii="宋体" w:hAnsi="宋体"/>
          <w:color w:val="auto"/>
          <w:sz w:val="24"/>
          <w:szCs w:val="24"/>
          <w:highlight w:val="none"/>
        </w:rPr>
        <w:t>“</w:t>
      </w:r>
      <w:r>
        <w:rPr>
          <w:rFonts w:ascii="宋体" w:hAnsi="宋体"/>
          <w:color w:val="auto"/>
          <w:sz w:val="24"/>
          <w:szCs w:val="24"/>
          <w:highlight w:val="none"/>
        </w:rPr>
        <w:t>主合同</w:t>
      </w:r>
      <w:r>
        <w:rPr>
          <w:rFonts w:hint="eastAsia" w:ascii="宋体" w:hAnsi="宋体"/>
          <w:color w:val="auto"/>
          <w:sz w:val="24"/>
          <w:szCs w:val="24"/>
          <w:highlight w:val="none"/>
        </w:rPr>
        <w:t>”</w:t>
      </w:r>
      <w:r>
        <w:rPr>
          <w:rFonts w:ascii="宋体" w:hAnsi="宋体"/>
          <w:color w:val="auto"/>
          <w:sz w:val="24"/>
          <w:szCs w:val="24"/>
          <w:highlight w:val="none"/>
        </w:rPr>
        <w:t>），应发包人的申请，我方愿就发包人履行主合同约定的工程款支付义务以保证的方式向你方提供如下担保：</w:t>
      </w:r>
    </w:p>
    <w:p w14:paraId="1C1D41C0">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一、保证的范围及保证金额</w:t>
      </w:r>
    </w:p>
    <w:p w14:paraId="4F01B78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我方的保证范围是主合同约定的工程款。</w:t>
      </w:r>
    </w:p>
    <w:p w14:paraId="7151388A">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本保函所称主合同约定的工程款是指主合同约定的除工程质量保证金以外的合同价款。</w:t>
      </w:r>
    </w:p>
    <w:p w14:paraId="0BC8F99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我方保证的金额是主合同约定的工程款的</w:t>
      </w:r>
      <w:r>
        <w:rPr>
          <w:rFonts w:ascii="宋体" w:hAnsi="宋体"/>
          <w:color w:val="auto"/>
          <w:sz w:val="24"/>
          <w:szCs w:val="24"/>
          <w:highlight w:val="none"/>
          <w:u w:val="single"/>
        </w:rPr>
        <w:t xml:space="preserve">      </w:t>
      </w:r>
      <w:r>
        <w:rPr>
          <w:rFonts w:ascii="宋体" w:hAnsi="宋体"/>
          <w:color w:val="auto"/>
          <w:sz w:val="24"/>
          <w:szCs w:val="24"/>
          <w:highlight w:val="none"/>
        </w:rPr>
        <w:t>%，数额最高不超过人民币元（大写：</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3C240B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二、保证的方式及保证期间</w:t>
      </w:r>
    </w:p>
    <w:p w14:paraId="514F648C">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我方保证的方式为：连带责任保证。</w:t>
      </w:r>
    </w:p>
    <w:p w14:paraId="3EC4E227">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我方保证的期间为：自本合同生效之日起至主合同约定的工程款支付完毕之日后</w:t>
      </w:r>
      <w:r>
        <w:rPr>
          <w:rFonts w:ascii="宋体" w:hAnsi="宋体"/>
          <w:color w:val="auto"/>
          <w:sz w:val="24"/>
          <w:szCs w:val="24"/>
          <w:highlight w:val="none"/>
          <w:u w:val="single"/>
        </w:rPr>
        <w:t xml:space="preserve">    </w:t>
      </w:r>
      <w:r>
        <w:rPr>
          <w:rFonts w:ascii="宋体" w:hAnsi="宋体"/>
          <w:color w:val="auto"/>
          <w:sz w:val="24"/>
          <w:szCs w:val="24"/>
          <w:highlight w:val="none"/>
        </w:rPr>
        <w:t>日内。</w:t>
      </w:r>
    </w:p>
    <w:p w14:paraId="219D679F">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你方与发包人协议变更工程款支付日期的，经我方书面同意后，保证期间按照变更后的支付日期做相应调整。</w:t>
      </w:r>
    </w:p>
    <w:p w14:paraId="704154C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三、承担保证责任的形式</w:t>
      </w:r>
    </w:p>
    <w:p w14:paraId="01AAC727">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我方承担保证责任的形式是代为支付。发包人未按主合同约定向你方支付工程款的，由我方在保证金额内代为支付。</w:t>
      </w:r>
    </w:p>
    <w:p w14:paraId="11602CE4">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四、代偿的安排</w:t>
      </w:r>
    </w:p>
    <w:p w14:paraId="537BD5B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7F03A05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0773854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我方收到你方的书面索赔通知及相应的证明材料后７天内无条件支付。</w:t>
      </w:r>
    </w:p>
    <w:p w14:paraId="0DD1A285">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五、保证责任的解除</w:t>
      </w:r>
    </w:p>
    <w:p w14:paraId="4918D9F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在本保函承诺的保证期间内，你方未书面向我方主张保证责任的，自保证期间届满次日起，我方保证责任解除。</w:t>
      </w:r>
    </w:p>
    <w:p w14:paraId="6304241C">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发包人按主合同约定履行了工程款的全部支付义务的，自本保函承诺的保证期间届满次日起，我方保证责任解除。</w:t>
      </w:r>
    </w:p>
    <w:p w14:paraId="133273BB">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我方按照本保函向你方履行保证责任所支付金额达到本保函保证金额时，自我方向你方支付（支付款项从我方账户划出）之日起，保证责任即解除。</w:t>
      </w:r>
    </w:p>
    <w:p w14:paraId="039DA99E">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4. </w:t>
      </w:r>
      <w:r>
        <w:rPr>
          <w:rFonts w:ascii="宋体" w:hAnsi="宋体"/>
          <w:color w:val="auto"/>
          <w:sz w:val="24"/>
          <w:szCs w:val="24"/>
          <w:highlight w:val="none"/>
        </w:rPr>
        <w:t>按照法律法规的规定或出现应解除我方保证责任的其他情形的，我方在本保函项下的保证责任亦解除。</w:t>
      </w:r>
    </w:p>
    <w:p w14:paraId="5C0283D4">
      <w:pPr>
        <w:spacing w:line="360" w:lineRule="auto"/>
        <w:jc w:val="left"/>
        <w:rPr>
          <w:rFonts w:hint="eastAsia" w:ascii="宋体" w:hAnsi="宋体"/>
          <w:color w:val="auto"/>
          <w:sz w:val="24"/>
          <w:szCs w:val="24"/>
          <w:highlight w:val="none"/>
        </w:rPr>
      </w:pPr>
    </w:p>
    <w:p w14:paraId="168F453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5. </w:t>
      </w:r>
      <w:r>
        <w:rPr>
          <w:rFonts w:ascii="宋体" w:hAnsi="宋体"/>
          <w:color w:val="auto"/>
          <w:sz w:val="24"/>
          <w:szCs w:val="24"/>
          <w:highlight w:val="none"/>
        </w:rPr>
        <w:t>我方解除保证责任后，你方应自我方保证责任解除之日起</w:t>
      </w:r>
      <w:r>
        <w:rPr>
          <w:rFonts w:hint="eastAsia" w:ascii="宋体" w:hAnsi="宋体"/>
          <w:color w:val="auto"/>
          <w:sz w:val="24"/>
          <w:szCs w:val="24"/>
          <w:highlight w:val="none"/>
          <w:u w:val="single"/>
        </w:rPr>
        <w:t xml:space="preserve">  </w:t>
      </w:r>
      <w:r>
        <w:rPr>
          <w:rFonts w:ascii="宋体" w:hAnsi="宋体"/>
          <w:color w:val="auto"/>
          <w:sz w:val="24"/>
          <w:szCs w:val="24"/>
          <w:highlight w:val="none"/>
        </w:rPr>
        <w:t>个工作日内，将本保函原件返还我方。</w:t>
      </w:r>
    </w:p>
    <w:p w14:paraId="7499628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六、免责条款</w:t>
      </w:r>
    </w:p>
    <w:p w14:paraId="48810AE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1. </w:t>
      </w:r>
      <w:r>
        <w:rPr>
          <w:rFonts w:ascii="宋体" w:hAnsi="宋体"/>
          <w:color w:val="auto"/>
          <w:sz w:val="24"/>
          <w:szCs w:val="24"/>
          <w:highlight w:val="none"/>
        </w:rPr>
        <w:t>因你方违约致使发包人不能履行义务的，我方不承担保证责任。</w:t>
      </w:r>
    </w:p>
    <w:p w14:paraId="7EB0C2F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2. </w:t>
      </w:r>
      <w:r>
        <w:rPr>
          <w:rFonts w:ascii="宋体" w:hAnsi="宋体"/>
          <w:color w:val="auto"/>
          <w:sz w:val="24"/>
          <w:szCs w:val="24"/>
          <w:highlight w:val="none"/>
        </w:rPr>
        <w:t>依照法律法规的规定或你方与发包人的另行约定，免除发包人部分或全部义务的，我方亦免除其相应的保证责任。</w:t>
      </w:r>
    </w:p>
    <w:p w14:paraId="4D823038">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3. </w:t>
      </w:r>
      <w:r>
        <w:rPr>
          <w:rFonts w:ascii="宋体" w:hAnsi="宋体"/>
          <w:color w:val="auto"/>
          <w:sz w:val="24"/>
          <w:szCs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宋体" w:hAnsi="宋体"/>
          <w:color w:val="auto"/>
          <w:sz w:val="24"/>
          <w:szCs w:val="24"/>
          <w:highlight w:val="none"/>
        </w:rPr>
        <w:t>〔</w:t>
      </w:r>
      <w:r>
        <w:rPr>
          <w:rFonts w:ascii="宋体" w:hAnsi="宋体"/>
          <w:color w:val="auto"/>
          <w:sz w:val="24"/>
          <w:szCs w:val="24"/>
          <w:highlight w:val="none"/>
        </w:rPr>
        <w:t>变更</w:t>
      </w:r>
      <w:r>
        <w:rPr>
          <w:rFonts w:hint="eastAsia" w:ascii="宋体" w:hAnsi="宋体"/>
          <w:color w:val="auto"/>
          <w:sz w:val="24"/>
          <w:szCs w:val="24"/>
          <w:highlight w:val="none"/>
        </w:rPr>
        <w:t>〕</w:t>
      </w:r>
      <w:r>
        <w:rPr>
          <w:rFonts w:ascii="宋体" w:hAnsi="宋体"/>
          <w:color w:val="auto"/>
          <w:sz w:val="24"/>
          <w:szCs w:val="24"/>
          <w:highlight w:val="none"/>
        </w:rPr>
        <w:t>约定的变更不受本款限制。</w:t>
      </w:r>
    </w:p>
    <w:p w14:paraId="6413BFB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4. </w:t>
      </w:r>
      <w:r>
        <w:rPr>
          <w:rFonts w:ascii="宋体" w:hAnsi="宋体"/>
          <w:color w:val="auto"/>
          <w:sz w:val="24"/>
          <w:szCs w:val="24"/>
          <w:highlight w:val="none"/>
        </w:rPr>
        <w:t>因不可抗力造成发包人不能履行义务的，我方不承担保证责任。</w:t>
      </w:r>
    </w:p>
    <w:p w14:paraId="5AA179D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七、争议解决</w:t>
      </w:r>
    </w:p>
    <w:p w14:paraId="7D2E1942">
      <w:pPr>
        <w:spacing w:after="12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因本保函</w:t>
      </w:r>
      <w:r>
        <w:rPr>
          <w:rFonts w:hint="eastAsia" w:ascii="宋体" w:hAnsi="宋体"/>
          <w:color w:val="auto"/>
          <w:sz w:val="24"/>
          <w:szCs w:val="24"/>
          <w:highlight w:val="none"/>
        </w:rPr>
        <w:t>或本保函相关事项</w:t>
      </w:r>
      <w:r>
        <w:rPr>
          <w:rFonts w:ascii="宋体" w:hAnsi="宋体"/>
          <w:color w:val="auto"/>
          <w:sz w:val="24"/>
          <w:szCs w:val="24"/>
          <w:highlight w:val="none"/>
        </w:rPr>
        <w:t>发生的纠纷，可由双方协商解决，协商不成的，按下列第</w:t>
      </w:r>
      <w:r>
        <w:rPr>
          <w:rFonts w:ascii="宋体" w:hAnsi="宋体"/>
          <w:color w:val="auto"/>
          <w:sz w:val="24"/>
          <w:szCs w:val="24"/>
          <w:highlight w:val="none"/>
          <w:u w:val="single"/>
        </w:rPr>
        <w:t xml:space="preserve">     </w:t>
      </w:r>
      <w:r>
        <w:rPr>
          <w:rFonts w:ascii="宋体" w:hAnsi="宋体"/>
          <w:color w:val="auto"/>
          <w:sz w:val="24"/>
          <w:szCs w:val="24"/>
          <w:highlight w:val="none"/>
        </w:rPr>
        <w:t>种方式</w:t>
      </w:r>
      <w:r>
        <w:rPr>
          <w:rFonts w:hint="eastAsia" w:ascii="宋体" w:hAnsi="宋体"/>
          <w:color w:val="auto"/>
          <w:sz w:val="24"/>
          <w:szCs w:val="24"/>
          <w:highlight w:val="none"/>
        </w:rPr>
        <w:t>解</w:t>
      </w:r>
      <w:r>
        <w:rPr>
          <w:rFonts w:ascii="宋体" w:hAnsi="宋体"/>
          <w:color w:val="auto"/>
          <w:sz w:val="24"/>
          <w:szCs w:val="24"/>
          <w:highlight w:val="none"/>
        </w:rPr>
        <w:t>决：</w:t>
      </w:r>
    </w:p>
    <w:p w14:paraId="384CB833">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（1）向</w:t>
      </w:r>
      <w:r>
        <w:rPr>
          <w:rFonts w:ascii="宋体" w:hAnsi="宋体"/>
          <w:color w:val="auto"/>
          <w:sz w:val="24"/>
          <w:szCs w:val="24"/>
          <w:highlight w:val="none"/>
          <w:u w:val="single"/>
        </w:rPr>
        <w:t xml:space="preserve">                     </w:t>
      </w:r>
      <w:r>
        <w:rPr>
          <w:rFonts w:ascii="宋体" w:hAnsi="宋体"/>
          <w:color w:val="auto"/>
          <w:sz w:val="24"/>
          <w:szCs w:val="24"/>
          <w:highlight w:val="none"/>
        </w:rPr>
        <w:t>仲裁委员会申请仲裁；</w:t>
      </w:r>
    </w:p>
    <w:p w14:paraId="28DFF206">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（2）向</w:t>
      </w:r>
      <w:r>
        <w:rPr>
          <w:rFonts w:ascii="宋体" w:hAnsi="宋体"/>
          <w:color w:val="auto"/>
          <w:sz w:val="24"/>
          <w:szCs w:val="24"/>
          <w:highlight w:val="none"/>
          <w:u w:val="single"/>
        </w:rPr>
        <w:t xml:space="preserve">                     </w:t>
      </w:r>
      <w:r>
        <w:rPr>
          <w:rFonts w:ascii="宋体" w:hAnsi="宋体"/>
          <w:color w:val="auto"/>
          <w:sz w:val="24"/>
          <w:szCs w:val="24"/>
          <w:highlight w:val="none"/>
        </w:rPr>
        <w:t>人民法院起诉。</w:t>
      </w:r>
    </w:p>
    <w:p w14:paraId="09B990AD">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八、保函的生效</w:t>
      </w:r>
    </w:p>
    <w:p w14:paraId="5EAE1AE9">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本保函自我方法定代表人（或其授权代理人）签字并加盖公章之日起生效。</w:t>
      </w:r>
    </w:p>
    <w:p w14:paraId="70406DA1">
      <w:pPr>
        <w:spacing w:line="360" w:lineRule="auto"/>
        <w:ind w:firstLine="480" w:firstLineChars="200"/>
        <w:jc w:val="left"/>
        <w:rPr>
          <w:rFonts w:hint="eastAsia" w:ascii="宋体" w:hAnsi="宋体"/>
          <w:color w:val="auto"/>
          <w:sz w:val="24"/>
          <w:szCs w:val="24"/>
          <w:highlight w:val="none"/>
        </w:rPr>
      </w:pPr>
    </w:p>
    <w:p w14:paraId="74437F1D">
      <w:pPr>
        <w:spacing w:line="360" w:lineRule="auto"/>
        <w:ind w:right="600"/>
        <w:jc w:val="left"/>
        <w:rPr>
          <w:rFonts w:hint="eastAsia" w:ascii="宋体" w:hAnsi="宋体"/>
          <w:color w:val="auto"/>
          <w:sz w:val="24"/>
          <w:szCs w:val="24"/>
          <w:highlight w:val="none"/>
        </w:rPr>
      </w:pPr>
    </w:p>
    <w:p w14:paraId="62A2CD54">
      <w:pPr>
        <w:spacing w:line="360" w:lineRule="auto"/>
        <w:ind w:right="600"/>
        <w:jc w:val="left"/>
        <w:rPr>
          <w:rFonts w:ascii="宋体" w:hAnsi="宋体"/>
          <w:color w:val="auto"/>
          <w:sz w:val="24"/>
          <w:szCs w:val="24"/>
          <w:highlight w:val="none"/>
        </w:rPr>
      </w:pPr>
      <w:r>
        <w:rPr>
          <w:rFonts w:ascii="宋体" w:hAnsi="宋体"/>
          <w:color w:val="auto"/>
          <w:sz w:val="24"/>
          <w:szCs w:val="24"/>
          <w:highlight w:val="none"/>
        </w:rPr>
        <w:t>担保人：</w:t>
      </w:r>
      <w:r>
        <w:rPr>
          <w:rFonts w:ascii="宋体" w:hAnsi="宋体"/>
          <w:color w:val="auto"/>
          <w:sz w:val="24"/>
          <w:szCs w:val="24"/>
          <w:highlight w:val="none"/>
          <w:u w:val="single"/>
        </w:rPr>
        <w:t xml:space="preserve">                                   </w:t>
      </w:r>
      <w:r>
        <w:rPr>
          <w:rFonts w:ascii="宋体" w:hAnsi="宋体"/>
          <w:color w:val="auto"/>
          <w:sz w:val="24"/>
          <w:szCs w:val="24"/>
          <w:highlight w:val="none"/>
        </w:rPr>
        <w:t>（盖章）</w:t>
      </w:r>
    </w:p>
    <w:p w14:paraId="11657591">
      <w:pPr>
        <w:spacing w:line="360" w:lineRule="auto"/>
        <w:ind w:right="1200"/>
        <w:rPr>
          <w:rFonts w:ascii="宋体" w:hAnsi="宋体"/>
          <w:color w:val="auto"/>
          <w:sz w:val="24"/>
          <w:szCs w:val="24"/>
          <w:highlight w:val="none"/>
        </w:rPr>
      </w:pPr>
      <w:r>
        <w:rPr>
          <w:rFonts w:ascii="宋体" w:hAnsi="宋体"/>
          <w:color w:val="auto"/>
          <w:sz w:val="24"/>
          <w:szCs w:val="24"/>
          <w:highlight w:val="none"/>
        </w:rPr>
        <w:t>法定代表人或委托代理人：</w:t>
      </w:r>
      <w:r>
        <w:rPr>
          <w:rFonts w:ascii="宋体" w:hAnsi="宋体"/>
          <w:color w:val="auto"/>
          <w:sz w:val="24"/>
          <w:szCs w:val="24"/>
          <w:highlight w:val="none"/>
          <w:u w:val="single"/>
        </w:rPr>
        <w:t xml:space="preserve">                   </w:t>
      </w:r>
      <w:r>
        <w:rPr>
          <w:rFonts w:ascii="宋体" w:hAnsi="宋体"/>
          <w:color w:val="auto"/>
          <w:sz w:val="24"/>
          <w:szCs w:val="24"/>
          <w:highlight w:val="none"/>
        </w:rPr>
        <w:t>（签字）</w:t>
      </w:r>
    </w:p>
    <w:p w14:paraId="0904F962">
      <w:pPr>
        <w:spacing w:line="360" w:lineRule="auto"/>
        <w:jc w:val="left"/>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02AAB158">
      <w:pPr>
        <w:spacing w:line="360" w:lineRule="auto"/>
        <w:jc w:val="left"/>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14B49758">
      <w:pPr>
        <w:spacing w:line="360" w:lineRule="auto"/>
        <w:jc w:val="left"/>
        <w:rPr>
          <w:rFonts w:ascii="宋体" w:hAnsi="宋体"/>
          <w:color w:val="auto"/>
          <w:sz w:val="24"/>
          <w:szCs w:val="24"/>
          <w:highlight w:val="none"/>
        </w:rPr>
      </w:pPr>
      <w:r>
        <w:rPr>
          <w:rFonts w:ascii="宋体" w:hAnsi="宋体"/>
          <w:color w:val="auto"/>
          <w:sz w:val="24"/>
          <w:szCs w:val="24"/>
          <w:highlight w:val="none"/>
        </w:rPr>
        <w:t>传    真：</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27C7DB1">
      <w:pPr>
        <w:spacing w:line="360" w:lineRule="auto"/>
        <w:ind w:right="150" w:firstLine="480" w:firstLineChars="200"/>
        <w:jc w:val="left"/>
        <w:rPr>
          <w:rFonts w:ascii="宋体" w:hAnsi="宋体"/>
          <w:color w:val="auto"/>
          <w:sz w:val="24"/>
          <w:szCs w:val="24"/>
          <w:highlight w:val="none"/>
          <w:u w:val="single"/>
        </w:rPr>
      </w:pPr>
    </w:p>
    <w:p w14:paraId="59957197">
      <w:pPr>
        <w:spacing w:line="360" w:lineRule="auto"/>
        <w:ind w:right="150"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p>
    <w:p w14:paraId="61AAD07C">
      <w:pPr>
        <w:spacing w:line="440" w:lineRule="exact"/>
        <w:rPr>
          <w:rFonts w:ascii="宋体" w:hAnsi="宋体"/>
          <w:b/>
          <w:color w:val="auto"/>
          <w:sz w:val="28"/>
          <w:szCs w:val="28"/>
          <w:highlight w:val="none"/>
        </w:rPr>
      </w:pPr>
      <w:r>
        <w:rPr>
          <w:rFonts w:ascii="宋体" w:hAnsi="宋体"/>
          <w:color w:val="auto"/>
          <w:sz w:val="24"/>
          <w:szCs w:val="24"/>
          <w:highlight w:val="none"/>
        </w:rPr>
        <w:br w:type="page"/>
      </w:r>
      <w:r>
        <w:rPr>
          <w:rFonts w:ascii="宋体" w:hAnsi="宋体"/>
          <w:b/>
          <w:color w:val="auto"/>
          <w:sz w:val="28"/>
          <w:szCs w:val="28"/>
          <w:highlight w:val="none"/>
        </w:rPr>
        <w:t>附件11：</w:t>
      </w:r>
    </w:p>
    <w:p w14:paraId="6F072708">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11-1：材料暂估价表</w:t>
      </w:r>
    </w:p>
    <w:tbl>
      <w:tblPr>
        <w:tblStyle w:val="3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B8D3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F3C4E90">
            <w:pPr>
              <w:pStyle w:val="13"/>
              <w:keepNext/>
              <w:spacing w:line="440" w:lineRule="exact"/>
              <w:ind w:left="63" w:right="63"/>
              <w:jc w:val="center"/>
              <w:rPr>
                <w:color w:val="auto"/>
                <w:sz w:val="21"/>
                <w:szCs w:val="21"/>
                <w:highlight w:val="none"/>
              </w:rPr>
            </w:pPr>
            <w:r>
              <w:rPr>
                <w:color w:val="auto"/>
                <w:sz w:val="21"/>
                <w:szCs w:val="21"/>
                <w:highlight w:val="none"/>
              </w:rPr>
              <w:t>序号</w:t>
            </w:r>
          </w:p>
        </w:tc>
        <w:tc>
          <w:tcPr>
            <w:tcW w:w="1984" w:type="dxa"/>
            <w:tcBorders>
              <w:top w:val="single" w:color="auto" w:sz="12" w:space="0"/>
              <w:bottom w:val="double" w:color="auto" w:sz="6" w:space="0"/>
            </w:tcBorders>
            <w:noWrap w:val="0"/>
            <w:vAlign w:val="top"/>
          </w:tcPr>
          <w:p w14:paraId="4C561F01">
            <w:pPr>
              <w:pStyle w:val="13"/>
              <w:keepNext/>
              <w:spacing w:line="440" w:lineRule="exact"/>
              <w:ind w:left="63" w:right="63"/>
              <w:jc w:val="center"/>
              <w:rPr>
                <w:color w:val="auto"/>
                <w:sz w:val="21"/>
                <w:szCs w:val="21"/>
                <w:highlight w:val="none"/>
              </w:rPr>
            </w:pPr>
            <w:r>
              <w:rPr>
                <w:color w:val="auto"/>
                <w:sz w:val="21"/>
                <w:szCs w:val="21"/>
                <w:highlight w:val="none"/>
              </w:rPr>
              <w:t>名称</w:t>
            </w:r>
          </w:p>
        </w:tc>
        <w:tc>
          <w:tcPr>
            <w:tcW w:w="851" w:type="dxa"/>
            <w:tcBorders>
              <w:top w:val="single" w:color="auto" w:sz="12" w:space="0"/>
              <w:bottom w:val="double" w:color="auto" w:sz="6" w:space="0"/>
            </w:tcBorders>
            <w:noWrap w:val="0"/>
            <w:vAlign w:val="top"/>
          </w:tcPr>
          <w:p w14:paraId="787C4D32">
            <w:pPr>
              <w:pStyle w:val="13"/>
              <w:keepNext/>
              <w:spacing w:line="440" w:lineRule="exact"/>
              <w:ind w:left="63" w:right="63"/>
              <w:jc w:val="center"/>
              <w:rPr>
                <w:color w:val="auto"/>
                <w:sz w:val="21"/>
                <w:szCs w:val="21"/>
                <w:highlight w:val="none"/>
              </w:rPr>
            </w:pPr>
            <w:r>
              <w:rPr>
                <w:color w:val="auto"/>
                <w:sz w:val="21"/>
                <w:szCs w:val="21"/>
                <w:highlight w:val="none"/>
              </w:rPr>
              <w:t>单位</w:t>
            </w:r>
          </w:p>
        </w:tc>
        <w:tc>
          <w:tcPr>
            <w:tcW w:w="774" w:type="dxa"/>
            <w:tcBorders>
              <w:top w:val="single" w:color="auto" w:sz="12" w:space="0"/>
              <w:bottom w:val="double" w:color="auto" w:sz="6" w:space="0"/>
            </w:tcBorders>
            <w:noWrap w:val="0"/>
            <w:vAlign w:val="top"/>
          </w:tcPr>
          <w:p w14:paraId="52C6387E">
            <w:pPr>
              <w:pStyle w:val="13"/>
              <w:keepNext/>
              <w:spacing w:line="440" w:lineRule="exact"/>
              <w:ind w:left="63" w:right="63"/>
              <w:jc w:val="center"/>
              <w:rPr>
                <w:color w:val="auto"/>
                <w:sz w:val="21"/>
                <w:szCs w:val="21"/>
                <w:highlight w:val="none"/>
              </w:rPr>
            </w:pPr>
            <w:r>
              <w:rPr>
                <w:color w:val="auto"/>
                <w:sz w:val="21"/>
                <w:szCs w:val="21"/>
                <w:highlight w:val="none"/>
              </w:rPr>
              <w:t>数量</w:t>
            </w:r>
          </w:p>
        </w:tc>
        <w:tc>
          <w:tcPr>
            <w:tcW w:w="1352" w:type="dxa"/>
            <w:tcBorders>
              <w:top w:val="single" w:color="auto" w:sz="12" w:space="0"/>
              <w:bottom w:val="double" w:color="auto" w:sz="6" w:space="0"/>
            </w:tcBorders>
            <w:noWrap w:val="0"/>
            <w:vAlign w:val="top"/>
          </w:tcPr>
          <w:p w14:paraId="6D0669DB">
            <w:pPr>
              <w:pStyle w:val="13"/>
              <w:keepNext/>
              <w:spacing w:line="440" w:lineRule="exact"/>
              <w:ind w:left="63" w:right="63"/>
              <w:jc w:val="center"/>
              <w:rPr>
                <w:color w:val="auto"/>
                <w:sz w:val="21"/>
                <w:szCs w:val="21"/>
                <w:highlight w:val="none"/>
              </w:rPr>
            </w:pPr>
            <w:r>
              <w:rPr>
                <w:color w:val="auto"/>
                <w:sz w:val="21"/>
                <w:szCs w:val="21"/>
                <w:highlight w:val="none"/>
              </w:rPr>
              <w:t>单价</w:t>
            </w:r>
            <w:r>
              <w:rPr>
                <w:rFonts w:hint="eastAsia"/>
                <w:color w:val="auto"/>
                <w:sz w:val="21"/>
                <w:szCs w:val="21"/>
                <w:highlight w:val="none"/>
              </w:rPr>
              <w:t>（元）</w:t>
            </w:r>
          </w:p>
        </w:tc>
        <w:tc>
          <w:tcPr>
            <w:tcW w:w="1418" w:type="dxa"/>
            <w:tcBorders>
              <w:top w:val="single" w:color="auto" w:sz="12" w:space="0"/>
              <w:bottom w:val="double" w:color="auto" w:sz="6" w:space="0"/>
            </w:tcBorders>
            <w:noWrap w:val="0"/>
            <w:vAlign w:val="top"/>
          </w:tcPr>
          <w:p w14:paraId="179D2B6F">
            <w:pPr>
              <w:pStyle w:val="13"/>
              <w:keepNext/>
              <w:spacing w:line="440" w:lineRule="exact"/>
              <w:ind w:left="63" w:right="63"/>
              <w:jc w:val="center"/>
              <w:rPr>
                <w:color w:val="auto"/>
                <w:sz w:val="21"/>
                <w:szCs w:val="21"/>
                <w:highlight w:val="none"/>
              </w:rPr>
            </w:pPr>
            <w:r>
              <w:rPr>
                <w:color w:val="auto"/>
                <w:sz w:val="21"/>
                <w:szCs w:val="21"/>
                <w:highlight w:val="none"/>
              </w:rPr>
              <w:t>合价</w:t>
            </w:r>
            <w:r>
              <w:rPr>
                <w:rFonts w:hint="eastAsia"/>
                <w:color w:val="auto"/>
                <w:sz w:val="21"/>
                <w:szCs w:val="21"/>
                <w:highlight w:val="none"/>
              </w:rPr>
              <w:t>（元）</w:t>
            </w:r>
          </w:p>
        </w:tc>
        <w:tc>
          <w:tcPr>
            <w:tcW w:w="1701" w:type="dxa"/>
            <w:tcBorders>
              <w:top w:val="single" w:color="auto" w:sz="12" w:space="0"/>
              <w:bottom w:val="double" w:color="auto" w:sz="6" w:space="0"/>
            </w:tcBorders>
            <w:noWrap w:val="0"/>
            <w:vAlign w:val="top"/>
          </w:tcPr>
          <w:p w14:paraId="307F5421">
            <w:pPr>
              <w:pStyle w:val="13"/>
              <w:keepNext/>
              <w:spacing w:line="440" w:lineRule="exact"/>
              <w:ind w:left="63" w:right="63"/>
              <w:jc w:val="center"/>
              <w:rPr>
                <w:color w:val="auto"/>
                <w:sz w:val="21"/>
                <w:szCs w:val="21"/>
                <w:highlight w:val="none"/>
              </w:rPr>
            </w:pPr>
            <w:r>
              <w:rPr>
                <w:color w:val="auto"/>
                <w:sz w:val="21"/>
                <w:szCs w:val="21"/>
                <w:highlight w:val="none"/>
              </w:rPr>
              <w:t>备注</w:t>
            </w:r>
          </w:p>
        </w:tc>
      </w:tr>
      <w:tr w14:paraId="2BED5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DFF5827">
            <w:pPr>
              <w:pStyle w:val="13"/>
              <w:keepNext/>
              <w:spacing w:line="440" w:lineRule="exact"/>
              <w:ind w:left="63" w:right="63"/>
              <w:rPr>
                <w:color w:val="auto"/>
                <w:sz w:val="24"/>
                <w:highlight w:val="none"/>
              </w:rPr>
            </w:pPr>
          </w:p>
        </w:tc>
        <w:tc>
          <w:tcPr>
            <w:tcW w:w="1984" w:type="dxa"/>
            <w:tcBorders>
              <w:top w:val="double" w:color="auto" w:sz="6" w:space="0"/>
              <w:bottom w:val="single" w:color="auto" w:sz="6" w:space="0"/>
            </w:tcBorders>
            <w:noWrap w:val="0"/>
            <w:vAlign w:val="top"/>
          </w:tcPr>
          <w:p w14:paraId="4D6FE522">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top"/>
          </w:tcPr>
          <w:p w14:paraId="7509430A">
            <w:pPr>
              <w:pStyle w:val="13"/>
              <w:keepNext/>
              <w:spacing w:line="440" w:lineRule="exact"/>
              <w:ind w:left="63" w:right="63"/>
              <w:rPr>
                <w:color w:val="auto"/>
                <w:sz w:val="24"/>
                <w:highlight w:val="none"/>
              </w:rPr>
            </w:pPr>
          </w:p>
        </w:tc>
        <w:tc>
          <w:tcPr>
            <w:tcW w:w="774" w:type="dxa"/>
            <w:tcBorders>
              <w:top w:val="double" w:color="auto" w:sz="6" w:space="0"/>
              <w:bottom w:val="single" w:color="auto" w:sz="6" w:space="0"/>
            </w:tcBorders>
            <w:noWrap w:val="0"/>
            <w:vAlign w:val="top"/>
          </w:tcPr>
          <w:p w14:paraId="6D2CB605">
            <w:pPr>
              <w:pStyle w:val="13"/>
              <w:keepNext/>
              <w:spacing w:line="440" w:lineRule="exact"/>
              <w:ind w:left="63" w:right="63"/>
              <w:rPr>
                <w:color w:val="auto"/>
                <w:sz w:val="24"/>
                <w:highlight w:val="none"/>
              </w:rPr>
            </w:pPr>
          </w:p>
        </w:tc>
        <w:tc>
          <w:tcPr>
            <w:tcW w:w="1352" w:type="dxa"/>
            <w:tcBorders>
              <w:top w:val="double" w:color="auto" w:sz="6" w:space="0"/>
              <w:bottom w:val="single" w:color="auto" w:sz="6" w:space="0"/>
            </w:tcBorders>
            <w:noWrap w:val="0"/>
            <w:vAlign w:val="top"/>
          </w:tcPr>
          <w:p w14:paraId="45DFD1D9">
            <w:pPr>
              <w:pStyle w:val="13"/>
              <w:keepNext/>
              <w:spacing w:line="440" w:lineRule="exact"/>
              <w:ind w:left="63" w:right="63"/>
              <w:rPr>
                <w:color w:val="auto"/>
                <w:sz w:val="24"/>
                <w:highlight w:val="none"/>
              </w:rPr>
            </w:pPr>
          </w:p>
        </w:tc>
        <w:tc>
          <w:tcPr>
            <w:tcW w:w="1418" w:type="dxa"/>
            <w:tcBorders>
              <w:top w:val="double" w:color="auto" w:sz="6" w:space="0"/>
              <w:bottom w:val="single" w:color="auto" w:sz="6" w:space="0"/>
            </w:tcBorders>
            <w:noWrap w:val="0"/>
            <w:vAlign w:val="top"/>
          </w:tcPr>
          <w:p w14:paraId="2D449F94">
            <w:pPr>
              <w:pStyle w:val="13"/>
              <w:keepNext/>
              <w:spacing w:line="440" w:lineRule="exact"/>
              <w:ind w:left="63" w:right="63"/>
              <w:rPr>
                <w:color w:val="auto"/>
                <w:sz w:val="24"/>
                <w:highlight w:val="none"/>
              </w:rPr>
            </w:pPr>
          </w:p>
        </w:tc>
        <w:tc>
          <w:tcPr>
            <w:tcW w:w="1701" w:type="dxa"/>
            <w:tcBorders>
              <w:top w:val="double" w:color="auto" w:sz="6" w:space="0"/>
              <w:bottom w:val="single" w:color="auto" w:sz="6" w:space="0"/>
            </w:tcBorders>
            <w:noWrap w:val="0"/>
            <w:vAlign w:val="top"/>
          </w:tcPr>
          <w:p w14:paraId="53DCA8A5">
            <w:pPr>
              <w:pStyle w:val="13"/>
              <w:keepNext/>
              <w:spacing w:line="440" w:lineRule="exact"/>
              <w:ind w:left="63" w:right="63"/>
              <w:rPr>
                <w:color w:val="auto"/>
                <w:sz w:val="24"/>
                <w:highlight w:val="none"/>
              </w:rPr>
            </w:pPr>
          </w:p>
        </w:tc>
      </w:tr>
      <w:tr w14:paraId="292FE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CA596AF">
            <w:pPr>
              <w:pStyle w:val="13"/>
              <w:keepNext/>
              <w:spacing w:line="440" w:lineRule="exact"/>
              <w:ind w:left="63" w:right="63"/>
              <w:rPr>
                <w:color w:val="auto"/>
                <w:sz w:val="24"/>
                <w:highlight w:val="none"/>
              </w:rPr>
            </w:pPr>
          </w:p>
        </w:tc>
        <w:tc>
          <w:tcPr>
            <w:tcW w:w="1984" w:type="dxa"/>
            <w:tcBorders>
              <w:top w:val="nil"/>
            </w:tcBorders>
            <w:noWrap w:val="0"/>
            <w:vAlign w:val="top"/>
          </w:tcPr>
          <w:p w14:paraId="4D0B823A">
            <w:pPr>
              <w:pStyle w:val="13"/>
              <w:keepNext/>
              <w:spacing w:line="440" w:lineRule="exact"/>
              <w:ind w:left="63" w:right="63"/>
              <w:rPr>
                <w:color w:val="auto"/>
                <w:sz w:val="24"/>
                <w:highlight w:val="none"/>
              </w:rPr>
            </w:pPr>
          </w:p>
        </w:tc>
        <w:tc>
          <w:tcPr>
            <w:tcW w:w="851" w:type="dxa"/>
            <w:tcBorders>
              <w:top w:val="nil"/>
            </w:tcBorders>
            <w:noWrap w:val="0"/>
            <w:vAlign w:val="top"/>
          </w:tcPr>
          <w:p w14:paraId="4650006B">
            <w:pPr>
              <w:pStyle w:val="13"/>
              <w:keepNext/>
              <w:spacing w:line="440" w:lineRule="exact"/>
              <w:ind w:left="63" w:right="63"/>
              <w:rPr>
                <w:color w:val="auto"/>
                <w:sz w:val="24"/>
                <w:highlight w:val="none"/>
              </w:rPr>
            </w:pPr>
          </w:p>
        </w:tc>
        <w:tc>
          <w:tcPr>
            <w:tcW w:w="774" w:type="dxa"/>
            <w:tcBorders>
              <w:top w:val="nil"/>
            </w:tcBorders>
            <w:noWrap w:val="0"/>
            <w:vAlign w:val="top"/>
          </w:tcPr>
          <w:p w14:paraId="6E5B9D06">
            <w:pPr>
              <w:pStyle w:val="13"/>
              <w:keepNext/>
              <w:spacing w:line="440" w:lineRule="exact"/>
              <w:ind w:left="63" w:right="63"/>
              <w:rPr>
                <w:color w:val="auto"/>
                <w:sz w:val="24"/>
                <w:highlight w:val="none"/>
              </w:rPr>
            </w:pPr>
          </w:p>
        </w:tc>
        <w:tc>
          <w:tcPr>
            <w:tcW w:w="1352" w:type="dxa"/>
            <w:tcBorders>
              <w:top w:val="nil"/>
            </w:tcBorders>
            <w:noWrap w:val="0"/>
            <w:vAlign w:val="top"/>
          </w:tcPr>
          <w:p w14:paraId="5E83D948">
            <w:pPr>
              <w:pStyle w:val="13"/>
              <w:keepNext/>
              <w:spacing w:line="440" w:lineRule="exact"/>
              <w:ind w:left="63" w:right="63"/>
              <w:rPr>
                <w:color w:val="auto"/>
                <w:sz w:val="24"/>
                <w:highlight w:val="none"/>
              </w:rPr>
            </w:pPr>
          </w:p>
        </w:tc>
        <w:tc>
          <w:tcPr>
            <w:tcW w:w="1418" w:type="dxa"/>
            <w:tcBorders>
              <w:top w:val="nil"/>
            </w:tcBorders>
            <w:noWrap w:val="0"/>
            <w:vAlign w:val="top"/>
          </w:tcPr>
          <w:p w14:paraId="65323F42">
            <w:pPr>
              <w:pStyle w:val="13"/>
              <w:keepNext/>
              <w:spacing w:line="440" w:lineRule="exact"/>
              <w:ind w:left="63" w:right="63"/>
              <w:rPr>
                <w:color w:val="auto"/>
                <w:sz w:val="24"/>
                <w:highlight w:val="none"/>
              </w:rPr>
            </w:pPr>
          </w:p>
        </w:tc>
        <w:tc>
          <w:tcPr>
            <w:tcW w:w="1701" w:type="dxa"/>
            <w:tcBorders>
              <w:top w:val="nil"/>
            </w:tcBorders>
            <w:noWrap w:val="0"/>
            <w:vAlign w:val="top"/>
          </w:tcPr>
          <w:p w14:paraId="25BAA136">
            <w:pPr>
              <w:pStyle w:val="13"/>
              <w:keepNext/>
              <w:spacing w:line="440" w:lineRule="exact"/>
              <w:ind w:left="63" w:right="63"/>
              <w:rPr>
                <w:color w:val="auto"/>
                <w:sz w:val="24"/>
                <w:highlight w:val="none"/>
              </w:rPr>
            </w:pPr>
          </w:p>
        </w:tc>
      </w:tr>
      <w:tr w14:paraId="6A6DF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803993">
            <w:pPr>
              <w:pStyle w:val="13"/>
              <w:keepNext/>
              <w:spacing w:line="440" w:lineRule="exact"/>
              <w:ind w:left="63" w:right="63"/>
              <w:rPr>
                <w:color w:val="auto"/>
                <w:sz w:val="24"/>
                <w:highlight w:val="none"/>
              </w:rPr>
            </w:pPr>
          </w:p>
        </w:tc>
        <w:tc>
          <w:tcPr>
            <w:tcW w:w="1984" w:type="dxa"/>
            <w:noWrap w:val="0"/>
            <w:vAlign w:val="top"/>
          </w:tcPr>
          <w:p w14:paraId="0A5BE81E">
            <w:pPr>
              <w:pStyle w:val="13"/>
              <w:keepNext/>
              <w:spacing w:line="440" w:lineRule="exact"/>
              <w:ind w:left="63" w:right="63"/>
              <w:rPr>
                <w:color w:val="auto"/>
                <w:sz w:val="24"/>
                <w:highlight w:val="none"/>
              </w:rPr>
            </w:pPr>
          </w:p>
        </w:tc>
        <w:tc>
          <w:tcPr>
            <w:tcW w:w="851" w:type="dxa"/>
            <w:noWrap w:val="0"/>
            <w:vAlign w:val="top"/>
          </w:tcPr>
          <w:p w14:paraId="528A32BA">
            <w:pPr>
              <w:pStyle w:val="13"/>
              <w:keepNext/>
              <w:spacing w:line="440" w:lineRule="exact"/>
              <w:ind w:left="63" w:right="63"/>
              <w:rPr>
                <w:color w:val="auto"/>
                <w:sz w:val="24"/>
                <w:highlight w:val="none"/>
              </w:rPr>
            </w:pPr>
          </w:p>
        </w:tc>
        <w:tc>
          <w:tcPr>
            <w:tcW w:w="774" w:type="dxa"/>
            <w:noWrap w:val="0"/>
            <w:vAlign w:val="top"/>
          </w:tcPr>
          <w:p w14:paraId="65F5B670">
            <w:pPr>
              <w:pStyle w:val="13"/>
              <w:keepNext/>
              <w:spacing w:line="440" w:lineRule="exact"/>
              <w:ind w:left="63" w:right="63"/>
              <w:rPr>
                <w:color w:val="auto"/>
                <w:sz w:val="24"/>
                <w:highlight w:val="none"/>
              </w:rPr>
            </w:pPr>
          </w:p>
        </w:tc>
        <w:tc>
          <w:tcPr>
            <w:tcW w:w="1352" w:type="dxa"/>
            <w:noWrap w:val="0"/>
            <w:vAlign w:val="top"/>
          </w:tcPr>
          <w:p w14:paraId="4D4DC236">
            <w:pPr>
              <w:pStyle w:val="13"/>
              <w:keepNext/>
              <w:spacing w:line="440" w:lineRule="exact"/>
              <w:ind w:left="63" w:right="63"/>
              <w:rPr>
                <w:color w:val="auto"/>
                <w:sz w:val="24"/>
                <w:highlight w:val="none"/>
              </w:rPr>
            </w:pPr>
          </w:p>
        </w:tc>
        <w:tc>
          <w:tcPr>
            <w:tcW w:w="1418" w:type="dxa"/>
            <w:noWrap w:val="0"/>
            <w:vAlign w:val="top"/>
          </w:tcPr>
          <w:p w14:paraId="5386C474">
            <w:pPr>
              <w:pStyle w:val="13"/>
              <w:keepNext/>
              <w:spacing w:line="440" w:lineRule="exact"/>
              <w:ind w:left="63" w:right="63"/>
              <w:rPr>
                <w:color w:val="auto"/>
                <w:sz w:val="24"/>
                <w:highlight w:val="none"/>
              </w:rPr>
            </w:pPr>
          </w:p>
        </w:tc>
        <w:tc>
          <w:tcPr>
            <w:tcW w:w="1701" w:type="dxa"/>
            <w:noWrap w:val="0"/>
            <w:vAlign w:val="top"/>
          </w:tcPr>
          <w:p w14:paraId="7C641088">
            <w:pPr>
              <w:pStyle w:val="13"/>
              <w:keepNext/>
              <w:spacing w:line="440" w:lineRule="exact"/>
              <w:ind w:left="63" w:right="63"/>
              <w:rPr>
                <w:color w:val="auto"/>
                <w:sz w:val="24"/>
                <w:highlight w:val="none"/>
              </w:rPr>
            </w:pPr>
          </w:p>
        </w:tc>
      </w:tr>
      <w:tr w14:paraId="3F2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C08A2A">
            <w:pPr>
              <w:pStyle w:val="13"/>
              <w:keepNext/>
              <w:spacing w:line="440" w:lineRule="exact"/>
              <w:ind w:left="63" w:right="63"/>
              <w:rPr>
                <w:color w:val="auto"/>
                <w:sz w:val="24"/>
                <w:highlight w:val="none"/>
              </w:rPr>
            </w:pPr>
          </w:p>
        </w:tc>
        <w:tc>
          <w:tcPr>
            <w:tcW w:w="1984" w:type="dxa"/>
            <w:noWrap w:val="0"/>
            <w:vAlign w:val="top"/>
          </w:tcPr>
          <w:p w14:paraId="3A716577">
            <w:pPr>
              <w:pStyle w:val="13"/>
              <w:keepNext/>
              <w:spacing w:line="440" w:lineRule="exact"/>
              <w:ind w:left="63" w:right="63"/>
              <w:rPr>
                <w:color w:val="auto"/>
                <w:sz w:val="24"/>
                <w:highlight w:val="none"/>
              </w:rPr>
            </w:pPr>
          </w:p>
        </w:tc>
        <w:tc>
          <w:tcPr>
            <w:tcW w:w="851" w:type="dxa"/>
            <w:noWrap w:val="0"/>
            <w:vAlign w:val="top"/>
          </w:tcPr>
          <w:p w14:paraId="371FF394">
            <w:pPr>
              <w:pStyle w:val="13"/>
              <w:keepNext/>
              <w:spacing w:line="440" w:lineRule="exact"/>
              <w:ind w:left="63" w:right="63"/>
              <w:rPr>
                <w:color w:val="auto"/>
                <w:sz w:val="24"/>
                <w:highlight w:val="none"/>
              </w:rPr>
            </w:pPr>
          </w:p>
        </w:tc>
        <w:tc>
          <w:tcPr>
            <w:tcW w:w="774" w:type="dxa"/>
            <w:noWrap w:val="0"/>
            <w:vAlign w:val="top"/>
          </w:tcPr>
          <w:p w14:paraId="468AC836">
            <w:pPr>
              <w:pStyle w:val="13"/>
              <w:keepNext/>
              <w:spacing w:line="440" w:lineRule="exact"/>
              <w:ind w:left="63" w:right="63"/>
              <w:rPr>
                <w:color w:val="auto"/>
                <w:sz w:val="24"/>
                <w:highlight w:val="none"/>
              </w:rPr>
            </w:pPr>
          </w:p>
        </w:tc>
        <w:tc>
          <w:tcPr>
            <w:tcW w:w="1352" w:type="dxa"/>
            <w:noWrap w:val="0"/>
            <w:vAlign w:val="top"/>
          </w:tcPr>
          <w:p w14:paraId="1E21C5C6">
            <w:pPr>
              <w:pStyle w:val="13"/>
              <w:keepNext/>
              <w:spacing w:line="440" w:lineRule="exact"/>
              <w:ind w:left="63" w:right="63"/>
              <w:rPr>
                <w:color w:val="auto"/>
                <w:sz w:val="24"/>
                <w:highlight w:val="none"/>
              </w:rPr>
            </w:pPr>
          </w:p>
        </w:tc>
        <w:tc>
          <w:tcPr>
            <w:tcW w:w="1418" w:type="dxa"/>
            <w:noWrap w:val="0"/>
            <w:vAlign w:val="top"/>
          </w:tcPr>
          <w:p w14:paraId="4459895B">
            <w:pPr>
              <w:pStyle w:val="13"/>
              <w:keepNext/>
              <w:spacing w:line="440" w:lineRule="exact"/>
              <w:ind w:left="63" w:right="63"/>
              <w:rPr>
                <w:color w:val="auto"/>
                <w:sz w:val="24"/>
                <w:highlight w:val="none"/>
              </w:rPr>
            </w:pPr>
          </w:p>
        </w:tc>
        <w:tc>
          <w:tcPr>
            <w:tcW w:w="1701" w:type="dxa"/>
            <w:noWrap w:val="0"/>
            <w:vAlign w:val="top"/>
          </w:tcPr>
          <w:p w14:paraId="2193DB49">
            <w:pPr>
              <w:pStyle w:val="13"/>
              <w:keepNext/>
              <w:spacing w:line="440" w:lineRule="exact"/>
              <w:ind w:left="63" w:right="63"/>
              <w:rPr>
                <w:color w:val="auto"/>
                <w:sz w:val="24"/>
                <w:highlight w:val="none"/>
              </w:rPr>
            </w:pPr>
          </w:p>
        </w:tc>
      </w:tr>
      <w:tr w14:paraId="2A39D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CC1895">
            <w:pPr>
              <w:pStyle w:val="13"/>
              <w:keepNext/>
              <w:spacing w:line="440" w:lineRule="exact"/>
              <w:ind w:left="63" w:right="63"/>
              <w:rPr>
                <w:color w:val="auto"/>
                <w:sz w:val="24"/>
                <w:highlight w:val="none"/>
              </w:rPr>
            </w:pPr>
          </w:p>
        </w:tc>
        <w:tc>
          <w:tcPr>
            <w:tcW w:w="1984" w:type="dxa"/>
            <w:noWrap w:val="0"/>
            <w:vAlign w:val="top"/>
          </w:tcPr>
          <w:p w14:paraId="33D1193C">
            <w:pPr>
              <w:pStyle w:val="13"/>
              <w:keepNext/>
              <w:spacing w:line="440" w:lineRule="exact"/>
              <w:ind w:left="63" w:right="63"/>
              <w:rPr>
                <w:color w:val="auto"/>
                <w:sz w:val="24"/>
                <w:highlight w:val="none"/>
              </w:rPr>
            </w:pPr>
          </w:p>
        </w:tc>
        <w:tc>
          <w:tcPr>
            <w:tcW w:w="851" w:type="dxa"/>
            <w:noWrap w:val="0"/>
            <w:vAlign w:val="top"/>
          </w:tcPr>
          <w:p w14:paraId="1975A4B6">
            <w:pPr>
              <w:pStyle w:val="13"/>
              <w:keepNext/>
              <w:spacing w:line="440" w:lineRule="exact"/>
              <w:ind w:left="63" w:right="63"/>
              <w:rPr>
                <w:color w:val="auto"/>
                <w:sz w:val="24"/>
                <w:highlight w:val="none"/>
              </w:rPr>
            </w:pPr>
          </w:p>
        </w:tc>
        <w:tc>
          <w:tcPr>
            <w:tcW w:w="774" w:type="dxa"/>
            <w:noWrap w:val="0"/>
            <w:vAlign w:val="top"/>
          </w:tcPr>
          <w:p w14:paraId="16D70692">
            <w:pPr>
              <w:pStyle w:val="13"/>
              <w:keepNext/>
              <w:spacing w:line="440" w:lineRule="exact"/>
              <w:ind w:left="63" w:right="63"/>
              <w:rPr>
                <w:color w:val="auto"/>
                <w:sz w:val="24"/>
                <w:highlight w:val="none"/>
              </w:rPr>
            </w:pPr>
          </w:p>
        </w:tc>
        <w:tc>
          <w:tcPr>
            <w:tcW w:w="1352" w:type="dxa"/>
            <w:noWrap w:val="0"/>
            <w:vAlign w:val="top"/>
          </w:tcPr>
          <w:p w14:paraId="5AAFAD70">
            <w:pPr>
              <w:pStyle w:val="13"/>
              <w:keepNext/>
              <w:spacing w:line="440" w:lineRule="exact"/>
              <w:ind w:left="63" w:right="63"/>
              <w:rPr>
                <w:color w:val="auto"/>
                <w:sz w:val="24"/>
                <w:highlight w:val="none"/>
              </w:rPr>
            </w:pPr>
          </w:p>
        </w:tc>
        <w:tc>
          <w:tcPr>
            <w:tcW w:w="1418" w:type="dxa"/>
            <w:noWrap w:val="0"/>
            <w:vAlign w:val="top"/>
          </w:tcPr>
          <w:p w14:paraId="6ABB5C91">
            <w:pPr>
              <w:pStyle w:val="13"/>
              <w:keepNext/>
              <w:spacing w:line="440" w:lineRule="exact"/>
              <w:ind w:left="63" w:right="63"/>
              <w:rPr>
                <w:color w:val="auto"/>
                <w:sz w:val="24"/>
                <w:highlight w:val="none"/>
              </w:rPr>
            </w:pPr>
          </w:p>
        </w:tc>
        <w:tc>
          <w:tcPr>
            <w:tcW w:w="1701" w:type="dxa"/>
            <w:noWrap w:val="0"/>
            <w:vAlign w:val="top"/>
          </w:tcPr>
          <w:p w14:paraId="672D43C3">
            <w:pPr>
              <w:pStyle w:val="13"/>
              <w:keepNext/>
              <w:spacing w:line="440" w:lineRule="exact"/>
              <w:ind w:left="63" w:right="63"/>
              <w:rPr>
                <w:color w:val="auto"/>
                <w:sz w:val="24"/>
                <w:highlight w:val="none"/>
              </w:rPr>
            </w:pPr>
          </w:p>
        </w:tc>
      </w:tr>
      <w:tr w14:paraId="5159B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C8FA03">
            <w:pPr>
              <w:pStyle w:val="13"/>
              <w:keepNext/>
              <w:spacing w:line="440" w:lineRule="exact"/>
              <w:ind w:left="63" w:right="63"/>
              <w:rPr>
                <w:color w:val="auto"/>
                <w:sz w:val="24"/>
                <w:highlight w:val="none"/>
              </w:rPr>
            </w:pPr>
          </w:p>
        </w:tc>
        <w:tc>
          <w:tcPr>
            <w:tcW w:w="1984" w:type="dxa"/>
            <w:noWrap w:val="0"/>
            <w:vAlign w:val="top"/>
          </w:tcPr>
          <w:p w14:paraId="3998630C">
            <w:pPr>
              <w:pStyle w:val="13"/>
              <w:keepNext/>
              <w:spacing w:line="440" w:lineRule="exact"/>
              <w:ind w:left="63" w:right="63"/>
              <w:rPr>
                <w:color w:val="auto"/>
                <w:sz w:val="24"/>
                <w:highlight w:val="none"/>
              </w:rPr>
            </w:pPr>
          </w:p>
        </w:tc>
        <w:tc>
          <w:tcPr>
            <w:tcW w:w="851" w:type="dxa"/>
            <w:noWrap w:val="0"/>
            <w:vAlign w:val="top"/>
          </w:tcPr>
          <w:p w14:paraId="4E475314">
            <w:pPr>
              <w:pStyle w:val="13"/>
              <w:keepNext/>
              <w:spacing w:line="440" w:lineRule="exact"/>
              <w:ind w:left="63" w:right="63"/>
              <w:rPr>
                <w:color w:val="auto"/>
                <w:sz w:val="24"/>
                <w:highlight w:val="none"/>
              </w:rPr>
            </w:pPr>
          </w:p>
        </w:tc>
        <w:tc>
          <w:tcPr>
            <w:tcW w:w="774" w:type="dxa"/>
            <w:noWrap w:val="0"/>
            <w:vAlign w:val="top"/>
          </w:tcPr>
          <w:p w14:paraId="503CB33C">
            <w:pPr>
              <w:pStyle w:val="13"/>
              <w:keepNext/>
              <w:spacing w:line="440" w:lineRule="exact"/>
              <w:ind w:left="63" w:right="63"/>
              <w:rPr>
                <w:color w:val="auto"/>
                <w:sz w:val="24"/>
                <w:highlight w:val="none"/>
              </w:rPr>
            </w:pPr>
          </w:p>
        </w:tc>
        <w:tc>
          <w:tcPr>
            <w:tcW w:w="1352" w:type="dxa"/>
            <w:noWrap w:val="0"/>
            <w:vAlign w:val="top"/>
          </w:tcPr>
          <w:p w14:paraId="14B82D4A">
            <w:pPr>
              <w:pStyle w:val="13"/>
              <w:keepNext/>
              <w:spacing w:line="440" w:lineRule="exact"/>
              <w:ind w:left="63" w:right="63"/>
              <w:rPr>
                <w:color w:val="auto"/>
                <w:sz w:val="24"/>
                <w:highlight w:val="none"/>
              </w:rPr>
            </w:pPr>
          </w:p>
        </w:tc>
        <w:tc>
          <w:tcPr>
            <w:tcW w:w="1418" w:type="dxa"/>
            <w:noWrap w:val="0"/>
            <w:vAlign w:val="top"/>
          </w:tcPr>
          <w:p w14:paraId="569C8F0A">
            <w:pPr>
              <w:pStyle w:val="13"/>
              <w:keepNext/>
              <w:spacing w:line="440" w:lineRule="exact"/>
              <w:ind w:left="63" w:right="63"/>
              <w:rPr>
                <w:color w:val="auto"/>
                <w:sz w:val="24"/>
                <w:highlight w:val="none"/>
              </w:rPr>
            </w:pPr>
          </w:p>
        </w:tc>
        <w:tc>
          <w:tcPr>
            <w:tcW w:w="1701" w:type="dxa"/>
            <w:noWrap w:val="0"/>
            <w:vAlign w:val="top"/>
          </w:tcPr>
          <w:p w14:paraId="6B4FDDA7">
            <w:pPr>
              <w:pStyle w:val="13"/>
              <w:keepNext/>
              <w:spacing w:line="440" w:lineRule="exact"/>
              <w:ind w:left="63" w:right="63"/>
              <w:rPr>
                <w:color w:val="auto"/>
                <w:sz w:val="24"/>
                <w:highlight w:val="none"/>
              </w:rPr>
            </w:pPr>
          </w:p>
        </w:tc>
      </w:tr>
      <w:tr w14:paraId="1684B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BFB59">
            <w:pPr>
              <w:pStyle w:val="13"/>
              <w:keepNext/>
              <w:spacing w:line="440" w:lineRule="exact"/>
              <w:ind w:left="63" w:right="63"/>
              <w:rPr>
                <w:color w:val="auto"/>
                <w:sz w:val="24"/>
                <w:highlight w:val="none"/>
              </w:rPr>
            </w:pPr>
          </w:p>
        </w:tc>
        <w:tc>
          <w:tcPr>
            <w:tcW w:w="1984" w:type="dxa"/>
            <w:noWrap w:val="0"/>
            <w:vAlign w:val="top"/>
          </w:tcPr>
          <w:p w14:paraId="591C6839">
            <w:pPr>
              <w:pStyle w:val="13"/>
              <w:keepNext/>
              <w:spacing w:line="440" w:lineRule="exact"/>
              <w:ind w:left="63" w:right="63"/>
              <w:rPr>
                <w:color w:val="auto"/>
                <w:sz w:val="24"/>
                <w:highlight w:val="none"/>
              </w:rPr>
            </w:pPr>
          </w:p>
        </w:tc>
        <w:tc>
          <w:tcPr>
            <w:tcW w:w="851" w:type="dxa"/>
            <w:noWrap w:val="0"/>
            <w:vAlign w:val="top"/>
          </w:tcPr>
          <w:p w14:paraId="5E079FFB">
            <w:pPr>
              <w:pStyle w:val="13"/>
              <w:keepNext/>
              <w:spacing w:line="440" w:lineRule="exact"/>
              <w:ind w:left="63" w:right="63"/>
              <w:rPr>
                <w:color w:val="auto"/>
                <w:sz w:val="24"/>
                <w:highlight w:val="none"/>
              </w:rPr>
            </w:pPr>
          </w:p>
        </w:tc>
        <w:tc>
          <w:tcPr>
            <w:tcW w:w="774" w:type="dxa"/>
            <w:noWrap w:val="0"/>
            <w:vAlign w:val="top"/>
          </w:tcPr>
          <w:p w14:paraId="3BF35351">
            <w:pPr>
              <w:pStyle w:val="13"/>
              <w:keepNext/>
              <w:spacing w:line="440" w:lineRule="exact"/>
              <w:ind w:left="63" w:right="63"/>
              <w:rPr>
                <w:color w:val="auto"/>
                <w:sz w:val="24"/>
                <w:highlight w:val="none"/>
              </w:rPr>
            </w:pPr>
          </w:p>
        </w:tc>
        <w:tc>
          <w:tcPr>
            <w:tcW w:w="1352" w:type="dxa"/>
            <w:noWrap w:val="0"/>
            <w:vAlign w:val="top"/>
          </w:tcPr>
          <w:p w14:paraId="7522C6C3">
            <w:pPr>
              <w:pStyle w:val="13"/>
              <w:keepNext/>
              <w:spacing w:line="440" w:lineRule="exact"/>
              <w:ind w:left="63" w:right="63"/>
              <w:rPr>
                <w:color w:val="auto"/>
                <w:sz w:val="24"/>
                <w:highlight w:val="none"/>
              </w:rPr>
            </w:pPr>
          </w:p>
        </w:tc>
        <w:tc>
          <w:tcPr>
            <w:tcW w:w="1418" w:type="dxa"/>
            <w:noWrap w:val="0"/>
            <w:vAlign w:val="top"/>
          </w:tcPr>
          <w:p w14:paraId="71B79FAF">
            <w:pPr>
              <w:pStyle w:val="13"/>
              <w:keepNext/>
              <w:spacing w:line="440" w:lineRule="exact"/>
              <w:ind w:left="63" w:right="63"/>
              <w:rPr>
                <w:color w:val="auto"/>
                <w:sz w:val="24"/>
                <w:highlight w:val="none"/>
              </w:rPr>
            </w:pPr>
          </w:p>
        </w:tc>
        <w:tc>
          <w:tcPr>
            <w:tcW w:w="1701" w:type="dxa"/>
            <w:noWrap w:val="0"/>
            <w:vAlign w:val="top"/>
          </w:tcPr>
          <w:p w14:paraId="63AF1785">
            <w:pPr>
              <w:pStyle w:val="13"/>
              <w:keepNext/>
              <w:spacing w:line="440" w:lineRule="exact"/>
              <w:ind w:left="63" w:right="63"/>
              <w:rPr>
                <w:color w:val="auto"/>
                <w:sz w:val="24"/>
                <w:highlight w:val="none"/>
              </w:rPr>
            </w:pPr>
          </w:p>
        </w:tc>
      </w:tr>
      <w:tr w14:paraId="74B1B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0CF1FC">
            <w:pPr>
              <w:pStyle w:val="13"/>
              <w:keepNext/>
              <w:spacing w:line="440" w:lineRule="exact"/>
              <w:ind w:left="63" w:right="63"/>
              <w:rPr>
                <w:color w:val="auto"/>
                <w:sz w:val="24"/>
                <w:highlight w:val="none"/>
              </w:rPr>
            </w:pPr>
          </w:p>
        </w:tc>
        <w:tc>
          <w:tcPr>
            <w:tcW w:w="1984" w:type="dxa"/>
            <w:noWrap w:val="0"/>
            <w:vAlign w:val="top"/>
          </w:tcPr>
          <w:p w14:paraId="5D61A986">
            <w:pPr>
              <w:pStyle w:val="13"/>
              <w:keepNext/>
              <w:spacing w:line="440" w:lineRule="exact"/>
              <w:ind w:left="63" w:right="63"/>
              <w:rPr>
                <w:color w:val="auto"/>
                <w:sz w:val="24"/>
                <w:highlight w:val="none"/>
              </w:rPr>
            </w:pPr>
          </w:p>
        </w:tc>
        <w:tc>
          <w:tcPr>
            <w:tcW w:w="851" w:type="dxa"/>
            <w:noWrap w:val="0"/>
            <w:vAlign w:val="top"/>
          </w:tcPr>
          <w:p w14:paraId="36459288">
            <w:pPr>
              <w:pStyle w:val="13"/>
              <w:keepNext/>
              <w:spacing w:line="440" w:lineRule="exact"/>
              <w:ind w:left="63" w:right="63"/>
              <w:rPr>
                <w:color w:val="auto"/>
                <w:sz w:val="24"/>
                <w:highlight w:val="none"/>
              </w:rPr>
            </w:pPr>
          </w:p>
        </w:tc>
        <w:tc>
          <w:tcPr>
            <w:tcW w:w="774" w:type="dxa"/>
            <w:noWrap w:val="0"/>
            <w:vAlign w:val="top"/>
          </w:tcPr>
          <w:p w14:paraId="6F31336C">
            <w:pPr>
              <w:pStyle w:val="13"/>
              <w:keepNext/>
              <w:spacing w:line="440" w:lineRule="exact"/>
              <w:ind w:left="63" w:right="63"/>
              <w:rPr>
                <w:color w:val="auto"/>
                <w:sz w:val="24"/>
                <w:highlight w:val="none"/>
              </w:rPr>
            </w:pPr>
          </w:p>
        </w:tc>
        <w:tc>
          <w:tcPr>
            <w:tcW w:w="1352" w:type="dxa"/>
            <w:noWrap w:val="0"/>
            <w:vAlign w:val="top"/>
          </w:tcPr>
          <w:p w14:paraId="70820351">
            <w:pPr>
              <w:pStyle w:val="13"/>
              <w:keepNext/>
              <w:spacing w:line="440" w:lineRule="exact"/>
              <w:ind w:left="63" w:right="63"/>
              <w:rPr>
                <w:color w:val="auto"/>
                <w:sz w:val="24"/>
                <w:highlight w:val="none"/>
              </w:rPr>
            </w:pPr>
          </w:p>
        </w:tc>
        <w:tc>
          <w:tcPr>
            <w:tcW w:w="1418" w:type="dxa"/>
            <w:noWrap w:val="0"/>
            <w:vAlign w:val="top"/>
          </w:tcPr>
          <w:p w14:paraId="47C7F867">
            <w:pPr>
              <w:pStyle w:val="13"/>
              <w:keepNext/>
              <w:spacing w:line="440" w:lineRule="exact"/>
              <w:ind w:left="63" w:right="63"/>
              <w:rPr>
                <w:color w:val="auto"/>
                <w:sz w:val="24"/>
                <w:highlight w:val="none"/>
              </w:rPr>
            </w:pPr>
          </w:p>
        </w:tc>
        <w:tc>
          <w:tcPr>
            <w:tcW w:w="1701" w:type="dxa"/>
            <w:noWrap w:val="0"/>
            <w:vAlign w:val="top"/>
          </w:tcPr>
          <w:p w14:paraId="51EC9FFC">
            <w:pPr>
              <w:pStyle w:val="13"/>
              <w:keepNext/>
              <w:spacing w:line="440" w:lineRule="exact"/>
              <w:ind w:left="63" w:right="63"/>
              <w:rPr>
                <w:color w:val="auto"/>
                <w:sz w:val="24"/>
                <w:highlight w:val="none"/>
              </w:rPr>
            </w:pPr>
          </w:p>
        </w:tc>
      </w:tr>
      <w:tr w14:paraId="26E76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BDBE95">
            <w:pPr>
              <w:pStyle w:val="13"/>
              <w:keepNext/>
              <w:spacing w:line="440" w:lineRule="exact"/>
              <w:ind w:left="63" w:right="63"/>
              <w:rPr>
                <w:color w:val="auto"/>
                <w:sz w:val="24"/>
                <w:highlight w:val="none"/>
              </w:rPr>
            </w:pPr>
          </w:p>
        </w:tc>
        <w:tc>
          <w:tcPr>
            <w:tcW w:w="1984" w:type="dxa"/>
            <w:noWrap w:val="0"/>
            <w:vAlign w:val="top"/>
          </w:tcPr>
          <w:p w14:paraId="7ACD0CE0">
            <w:pPr>
              <w:pStyle w:val="13"/>
              <w:keepNext/>
              <w:spacing w:line="440" w:lineRule="exact"/>
              <w:ind w:left="63" w:right="63"/>
              <w:rPr>
                <w:color w:val="auto"/>
                <w:sz w:val="24"/>
                <w:highlight w:val="none"/>
              </w:rPr>
            </w:pPr>
          </w:p>
        </w:tc>
        <w:tc>
          <w:tcPr>
            <w:tcW w:w="851" w:type="dxa"/>
            <w:noWrap w:val="0"/>
            <w:vAlign w:val="top"/>
          </w:tcPr>
          <w:p w14:paraId="7E050B80">
            <w:pPr>
              <w:pStyle w:val="13"/>
              <w:keepNext/>
              <w:spacing w:line="440" w:lineRule="exact"/>
              <w:ind w:left="63" w:right="63"/>
              <w:rPr>
                <w:color w:val="auto"/>
                <w:sz w:val="24"/>
                <w:highlight w:val="none"/>
              </w:rPr>
            </w:pPr>
          </w:p>
        </w:tc>
        <w:tc>
          <w:tcPr>
            <w:tcW w:w="774" w:type="dxa"/>
            <w:noWrap w:val="0"/>
            <w:vAlign w:val="top"/>
          </w:tcPr>
          <w:p w14:paraId="36B831F2">
            <w:pPr>
              <w:pStyle w:val="13"/>
              <w:keepNext/>
              <w:spacing w:line="440" w:lineRule="exact"/>
              <w:ind w:left="63" w:right="63"/>
              <w:rPr>
                <w:color w:val="auto"/>
                <w:sz w:val="24"/>
                <w:highlight w:val="none"/>
              </w:rPr>
            </w:pPr>
          </w:p>
        </w:tc>
        <w:tc>
          <w:tcPr>
            <w:tcW w:w="1352" w:type="dxa"/>
            <w:noWrap w:val="0"/>
            <w:vAlign w:val="top"/>
          </w:tcPr>
          <w:p w14:paraId="7EE03298">
            <w:pPr>
              <w:pStyle w:val="13"/>
              <w:keepNext/>
              <w:spacing w:line="440" w:lineRule="exact"/>
              <w:ind w:left="63" w:right="63"/>
              <w:rPr>
                <w:color w:val="auto"/>
                <w:sz w:val="24"/>
                <w:highlight w:val="none"/>
              </w:rPr>
            </w:pPr>
          </w:p>
        </w:tc>
        <w:tc>
          <w:tcPr>
            <w:tcW w:w="1418" w:type="dxa"/>
            <w:noWrap w:val="0"/>
            <w:vAlign w:val="top"/>
          </w:tcPr>
          <w:p w14:paraId="69397AB2">
            <w:pPr>
              <w:pStyle w:val="13"/>
              <w:keepNext/>
              <w:spacing w:line="440" w:lineRule="exact"/>
              <w:ind w:left="63" w:right="63"/>
              <w:rPr>
                <w:color w:val="auto"/>
                <w:sz w:val="24"/>
                <w:highlight w:val="none"/>
              </w:rPr>
            </w:pPr>
          </w:p>
        </w:tc>
        <w:tc>
          <w:tcPr>
            <w:tcW w:w="1701" w:type="dxa"/>
            <w:noWrap w:val="0"/>
            <w:vAlign w:val="top"/>
          </w:tcPr>
          <w:p w14:paraId="5DC48350">
            <w:pPr>
              <w:pStyle w:val="13"/>
              <w:keepNext/>
              <w:spacing w:line="440" w:lineRule="exact"/>
              <w:ind w:left="63" w:right="63"/>
              <w:rPr>
                <w:color w:val="auto"/>
                <w:sz w:val="24"/>
                <w:highlight w:val="none"/>
              </w:rPr>
            </w:pPr>
          </w:p>
        </w:tc>
      </w:tr>
      <w:tr w14:paraId="787E5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92C95B">
            <w:pPr>
              <w:pStyle w:val="13"/>
              <w:keepNext/>
              <w:spacing w:line="440" w:lineRule="exact"/>
              <w:ind w:left="63" w:right="63"/>
              <w:rPr>
                <w:color w:val="auto"/>
                <w:sz w:val="24"/>
                <w:highlight w:val="none"/>
              </w:rPr>
            </w:pPr>
          </w:p>
        </w:tc>
        <w:tc>
          <w:tcPr>
            <w:tcW w:w="1984" w:type="dxa"/>
            <w:noWrap w:val="0"/>
            <w:vAlign w:val="top"/>
          </w:tcPr>
          <w:p w14:paraId="234FAF9D">
            <w:pPr>
              <w:pStyle w:val="13"/>
              <w:keepNext/>
              <w:spacing w:line="440" w:lineRule="exact"/>
              <w:ind w:left="63" w:right="63"/>
              <w:rPr>
                <w:color w:val="auto"/>
                <w:sz w:val="24"/>
                <w:highlight w:val="none"/>
              </w:rPr>
            </w:pPr>
          </w:p>
        </w:tc>
        <w:tc>
          <w:tcPr>
            <w:tcW w:w="851" w:type="dxa"/>
            <w:noWrap w:val="0"/>
            <w:vAlign w:val="top"/>
          </w:tcPr>
          <w:p w14:paraId="2148BAA8">
            <w:pPr>
              <w:pStyle w:val="13"/>
              <w:keepNext/>
              <w:spacing w:line="440" w:lineRule="exact"/>
              <w:ind w:left="63" w:right="63"/>
              <w:rPr>
                <w:color w:val="auto"/>
                <w:sz w:val="24"/>
                <w:highlight w:val="none"/>
              </w:rPr>
            </w:pPr>
          </w:p>
        </w:tc>
        <w:tc>
          <w:tcPr>
            <w:tcW w:w="774" w:type="dxa"/>
            <w:noWrap w:val="0"/>
            <w:vAlign w:val="top"/>
          </w:tcPr>
          <w:p w14:paraId="3655175A">
            <w:pPr>
              <w:pStyle w:val="13"/>
              <w:keepNext/>
              <w:spacing w:line="440" w:lineRule="exact"/>
              <w:ind w:left="63" w:right="63"/>
              <w:rPr>
                <w:color w:val="auto"/>
                <w:sz w:val="24"/>
                <w:highlight w:val="none"/>
              </w:rPr>
            </w:pPr>
          </w:p>
        </w:tc>
        <w:tc>
          <w:tcPr>
            <w:tcW w:w="1352" w:type="dxa"/>
            <w:noWrap w:val="0"/>
            <w:vAlign w:val="top"/>
          </w:tcPr>
          <w:p w14:paraId="2AF839F8">
            <w:pPr>
              <w:pStyle w:val="13"/>
              <w:keepNext/>
              <w:spacing w:line="440" w:lineRule="exact"/>
              <w:ind w:left="63" w:right="63"/>
              <w:rPr>
                <w:color w:val="auto"/>
                <w:sz w:val="24"/>
                <w:highlight w:val="none"/>
              </w:rPr>
            </w:pPr>
          </w:p>
        </w:tc>
        <w:tc>
          <w:tcPr>
            <w:tcW w:w="1418" w:type="dxa"/>
            <w:noWrap w:val="0"/>
            <w:vAlign w:val="top"/>
          </w:tcPr>
          <w:p w14:paraId="7B8EA6ED">
            <w:pPr>
              <w:pStyle w:val="13"/>
              <w:keepNext/>
              <w:spacing w:line="440" w:lineRule="exact"/>
              <w:ind w:left="63" w:right="63"/>
              <w:rPr>
                <w:color w:val="auto"/>
                <w:sz w:val="24"/>
                <w:highlight w:val="none"/>
              </w:rPr>
            </w:pPr>
          </w:p>
        </w:tc>
        <w:tc>
          <w:tcPr>
            <w:tcW w:w="1701" w:type="dxa"/>
            <w:noWrap w:val="0"/>
            <w:vAlign w:val="top"/>
          </w:tcPr>
          <w:p w14:paraId="71C1D99E">
            <w:pPr>
              <w:pStyle w:val="13"/>
              <w:keepNext/>
              <w:spacing w:line="440" w:lineRule="exact"/>
              <w:ind w:left="63" w:right="63"/>
              <w:rPr>
                <w:color w:val="auto"/>
                <w:sz w:val="24"/>
                <w:highlight w:val="none"/>
              </w:rPr>
            </w:pPr>
          </w:p>
        </w:tc>
      </w:tr>
      <w:tr w14:paraId="4782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879301">
            <w:pPr>
              <w:pStyle w:val="13"/>
              <w:keepNext/>
              <w:spacing w:line="440" w:lineRule="exact"/>
              <w:ind w:left="63" w:right="63"/>
              <w:rPr>
                <w:color w:val="auto"/>
                <w:sz w:val="24"/>
                <w:highlight w:val="none"/>
              </w:rPr>
            </w:pPr>
          </w:p>
        </w:tc>
        <w:tc>
          <w:tcPr>
            <w:tcW w:w="1984" w:type="dxa"/>
            <w:noWrap w:val="0"/>
            <w:vAlign w:val="top"/>
          </w:tcPr>
          <w:p w14:paraId="57238CF9">
            <w:pPr>
              <w:pStyle w:val="13"/>
              <w:keepNext/>
              <w:spacing w:line="440" w:lineRule="exact"/>
              <w:ind w:left="63" w:right="63"/>
              <w:rPr>
                <w:color w:val="auto"/>
                <w:sz w:val="24"/>
                <w:highlight w:val="none"/>
              </w:rPr>
            </w:pPr>
          </w:p>
        </w:tc>
        <w:tc>
          <w:tcPr>
            <w:tcW w:w="851" w:type="dxa"/>
            <w:noWrap w:val="0"/>
            <w:vAlign w:val="top"/>
          </w:tcPr>
          <w:p w14:paraId="21B81FC1">
            <w:pPr>
              <w:pStyle w:val="13"/>
              <w:keepNext/>
              <w:spacing w:line="440" w:lineRule="exact"/>
              <w:ind w:left="63" w:right="63"/>
              <w:rPr>
                <w:color w:val="auto"/>
                <w:sz w:val="24"/>
                <w:highlight w:val="none"/>
              </w:rPr>
            </w:pPr>
          </w:p>
        </w:tc>
        <w:tc>
          <w:tcPr>
            <w:tcW w:w="774" w:type="dxa"/>
            <w:noWrap w:val="0"/>
            <w:vAlign w:val="top"/>
          </w:tcPr>
          <w:p w14:paraId="04FAC239">
            <w:pPr>
              <w:pStyle w:val="13"/>
              <w:keepNext/>
              <w:spacing w:line="440" w:lineRule="exact"/>
              <w:ind w:left="63" w:right="63"/>
              <w:rPr>
                <w:color w:val="auto"/>
                <w:sz w:val="24"/>
                <w:highlight w:val="none"/>
              </w:rPr>
            </w:pPr>
          </w:p>
        </w:tc>
        <w:tc>
          <w:tcPr>
            <w:tcW w:w="1352" w:type="dxa"/>
            <w:noWrap w:val="0"/>
            <w:vAlign w:val="top"/>
          </w:tcPr>
          <w:p w14:paraId="1C15565F">
            <w:pPr>
              <w:pStyle w:val="13"/>
              <w:keepNext/>
              <w:spacing w:line="440" w:lineRule="exact"/>
              <w:ind w:left="63" w:right="63"/>
              <w:rPr>
                <w:color w:val="auto"/>
                <w:sz w:val="24"/>
                <w:highlight w:val="none"/>
              </w:rPr>
            </w:pPr>
          </w:p>
        </w:tc>
        <w:tc>
          <w:tcPr>
            <w:tcW w:w="1418" w:type="dxa"/>
            <w:noWrap w:val="0"/>
            <w:vAlign w:val="top"/>
          </w:tcPr>
          <w:p w14:paraId="366D6B42">
            <w:pPr>
              <w:pStyle w:val="13"/>
              <w:keepNext/>
              <w:spacing w:line="440" w:lineRule="exact"/>
              <w:ind w:left="63" w:right="63"/>
              <w:rPr>
                <w:color w:val="auto"/>
                <w:sz w:val="24"/>
                <w:highlight w:val="none"/>
              </w:rPr>
            </w:pPr>
          </w:p>
        </w:tc>
        <w:tc>
          <w:tcPr>
            <w:tcW w:w="1701" w:type="dxa"/>
            <w:noWrap w:val="0"/>
            <w:vAlign w:val="top"/>
          </w:tcPr>
          <w:p w14:paraId="5A13CAE4">
            <w:pPr>
              <w:pStyle w:val="13"/>
              <w:keepNext/>
              <w:spacing w:line="440" w:lineRule="exact"/>
              <w:ind w:left="63" w:right="63"/>
              <w:rPr>
                <w:color w:val="auto"/>
                <w:sz w:val="24"/>
                <w:highlight w:val="none"/>
              </w:rPr>
            </w:pPr>
          </w:p>
        </w:tc>
      </w:tr>
      <w:tr w14:paraId="139E9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9AA064">
            <w:pPr>
              <w:pStyle w:val="13"/>
              <w:keepNext/>
              <w:spacing w:line="440" w:lineRule="exact"/>
              <w:ind w:left="63" w:right="63"/>
              <w:rPr>
                <w:color w:val="auto"/>
                <w:sz w:val="24"/>
                <w:highlight w:val="none"/>
              </w:rPr>
            </w:pPr>
          </w:p>
        </w:tc>
        <w:tc>
          <w:tcPr>
            <w:tcW w:w="1984" w:type="dxa"/>
            <w:noWrap w:val="0"/>
            <w:vAlign w:val="top"/>
          </w:tcPr>
          <w:p w14:paraId="0FFA5433">
            <w:pPr>
              <w:pStyle w:val="13"/>
              <w:keepNext/>
              <w:spacing w:line="440" w:lineRule="exact"/>
              <w:ind w:left="63" w:right="63"/>
              <w:rPr>
                <w:color w:val="auto"/>
                <w:sz w:val="24"/>
                <w:highlight w:val="none"/>
              </w:rPr>
            </w:pPr>
          </w:p>
        </w:tc>
        <w:tc>
          <w:tcPr>
            <w:tcW w:w="851" w:type="dxa"/>
            <w:noWrap w:val="0"/>
            <w:vAlign w:val="top"/>
          </w:tcPr>
          <w:p w14:paraId="7D56557E">
            <w:pPr>
              <w:pStyle w:val="13"/>
              <w:keepNext/>
              <w:spacing w:line="440" w:lineRule="exact"/>
              <w:ind w:left="63" w:right="63"/>
              <w:rPr>
                <w:color w:val="auto"/>
                <w:sz w:val="24"/>
                <w:highlight w:val="none"/>
              </w:rPr>
            </w:pPr>
          </w:p>
        </w:tc>
        <w:tc>
          <w:tcPr>
            <w:tcW w:w="774" w:type="dxa"/>
            <w:noWrap w:val="0"/>
            <w:vAlign w:val="top"/>
          </w:tcPr>
          <w:p w14:paraId="23463114">
            <w:pPr>
              <w:pStyle w:val="13"/>
              <w:keepNext/>
              <w:spacing w:line="440" w:lineRule="exact"/>
              <w:ind w:left="63" w:right="63"/>
              <w:rPr>
                <w:color w:val="auto"/>
                <w:sz w:val="24"/>
                <w:highlight w:val="none"/>
              </w:rPr>
            </w:pPr>
          </w:p>
        </w:tc>
        <w:tc>
          <w:tcPr>
            <w:tcW w:w="1352" w:type="dxa"/>
            <w:noWrap w:val="0"/>
            <w:vAlign w:val="top"/>
          </w:tcPr>
          <w:p w14:paraId="288DF7F5">
            <w:pPr>
              <w:pStyle w:val="13"/>
              <w:keepNext/>
              <w:spacing w:line="440" w:lineRule="exact"/>
              <w:ind w:left="63" w:right="63"/>
              <w:rPr>
                <w:color w:val="auto"/>
                <w:sz w:val="24"/>
                <w:highlight w:val="none"/>
              </w:rPr>
            </w:pPr>
          </w:p>
        </w:tc>
        <w:tc>
          <w:tcPr>
            <w:tcW w:w="1418" w:type="dxa"/>
            <w:noWrap w:val="0"/>
            <w:vAlign w:val="top"/>
          </w:tcPr>
          <w:p w14:paraId="548D461F">
            <w:pPr>
              <w:pStyle w:val="13"/>
              <w:keepNext/>
              <w:spacing w:line="440" w:lineRule="exact"/>
              <w:ind w:left="63" w:right="63"/>
              <w:rPr>
                <w:color w:val="auto"/>
                <w:sz w:val="24"/>
                <w:highlight w:val="none"/>
              </w:rPr>
            </w:pPr>
          </w:p>
        </w:tc>
        <w:tc>
          <w:tcPr>
            <w:tcW w:w="1701" w:type="dxa"/>
            <w:noWrap w:val="0"/>
            <w:vAlign w:val="top"/>
          </w:tcPr>
          <w:p w14:paraId="67912399">
            <w:pPr>
              <w:pStyle w:val="13"/>
              <w:keepNext/>
              <w:spacing w:line="440" w:lineRule="exact"/>
              <w:ind w:left="63" w:right="63"/>
              <w:rPr>
                <w:color w:val="auto"/>
                <w:sz w:val="24"/>
                <w:highlight w:val="none"/>
              </w:rPr>
            </w:pPr>
          </w:p>
        </w:tc>
      </w:tr>
      <w:tr w14:paraId="0BB83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B896D3">
            <w:pPr>
              <w:pStyle w:val="13"/>
              <w:keepNext/>
              <w:spacing w:line="440" w:lineRule="exact"/>
              <w:ind w:left="63" w:right="63"/>
              <w:rPr>
                <w:color w:val="auto"/>
                <w:sz w:val="24"/>
                <w:highlight w:val="none"/>
              </w:rPr>
            </w:pPr>
          </w:p>
        </w:tc>
        <w:tc>
          <w:tcPr>
            <w:tcW w:w="1984" w:type="dxa"/>
            <w:noWrap w:val="0"/>
            <w:vAlign w:val="top"/>
          </w:tcPr>
          <w:p w14:paraId="1CD92C96">
            <w:pPr>
              <w:pStyle w:val="13"/>
              <w:keepNext/>
              <w:spacing w:line="440" w:lineRule="exact"/>
              <w:ind w:left="63" w:right="63"/>
              <w:rPr>
                <w:color w:val="auto"/>
                <w:sz w:val="24"/>
                <w:highlight w:val="none"/>
              </w:rPr>
            </w:pPr>
          </w:p>
        </w:tc>
        <w:tc>
          <w:tcPr>
            <w:tcW w:w="851" w:type="dxa"/>
            <w:noWrap w:val="0"/>
            <w:vAlign w:val="top"/>
          </w:tcPr>
          <w:p w14:paraId="5BBECEB3">
            <w:pPr>
              <w:pStyle w:val="13"/>
              <w:keepNext/>
              <w:spacing w:line="440" w:lineRule="exact"/>
              <w:ind w:left="63" w:right="63"/>
              <w:rPr>
                <w:color w:val="auto"/>
                <w:sz w:val="24"/>
                <w:highlight w:val="none"/>
              </w:rPr>
            </w:pPr>
          </w:p>
        </w:tc>
        <w:tc>
          <w:tcPr>
            <w:tcW w:w="774" w:type="dxa"/>
            <w:noWrap w:val="0"/>
            <w:vAlign w:val="top"/>
          </w:tcPr>
          <w:p w14:paraId="3007098C">
            <w:pPr>
              <w:pStyle w:val="13"/>
              <w:keepNext/>
              <w:spacing w:line="440" w:lineRule="exact"/>
              <w:ind w:left="63" w:right="63"/>
              <w:rPr>
                <w:color w:val="auto"/>
                <w:sz w:val="24"/>
                <w:highlight w:val="none"/>
              </w:rPr>
            </w:pPr>
          </w:p>
        </w:tc>
        <w:tc>
          <w:tcPr>
            <w:tcW w:w="1352" w:type="dxa"/>
            <w:noWrap w:val="0"/>
            <w:vAlign w:val="top"/>
          </w:tcPr>
          <w:p w14:paraId="55D1572A">
            <w:pPr>
              <w:pStyle w:val="13"/>
              <w:keepNext/>
              <w:spacing w:line="440" w:lineRule="exact"/>
              <w:ind w:left="63" w:right="63"/>
              <w:rPr>
                <w:color w:val="auto"/>
                <w:sz w:val="24"/>
                <w:highlight w:val="none"/>
              </w:rPr>
            </w:pPr>
          </w:p>
        </w:tc>
        <w:tc>
          <w:tcPr>
            <w:tcW w:w="1418" w:type="dxa"/>
            <w:noWrap w:val="0"/>
            <w:vAlign w:val="top"/>
          </w:tcPr>
          <w:p w14:paraId="12341B41">
            <w:pPr>
              <w:pStyle w:val="13"/>
              <w:keepNext/>
              <w:spacing w:line="440" w:lineRule="exact"/>
              <w:ind w:left="63" w:right="63"/>
              <w:rPr>
                <w:color w:val="auto"/>
                <w:sz w:val="24"/>
                <w:highlight w:val="none"/>
              </w:rPr>
            </w:pPr>
          </w:p>
        </w:tc>
        <w:tc>
          <w:tcPr>
            <w:tcW w:w="1701" w:type="dxa"/>
            <w:noWrap w:val="0"/>
            <w:vAlign w:val="top"/>
          </w:tcPr>
          <w:p w14:paraId="6852D638">
            <w:pPr>
              <w:pStyle w:val="13"/>
              <w:keepNext/>
              <w:spacing w:line="440" w:lineRule="exact"/>
              <w:ind w:left="63" w:right="63"/>
              <w:rPr>
                <w:color w:val="auto"/>
                <w:sz w:val="24"/>
                <w:highlight w:val="none"/>
              </w:rPr>
            </w:pPr>
          </w:p>
        </w:tc>
      </w:tr>
      <w:tr w14:paraId="56DDF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58DF55">
            <w:pPr>
              <w:pStyle w:val="13"/>
              <w:keepNext/>
              <w:spacing w:line="440" w:lineRule="exact"/>
              <w:ind w:left="63" w:right="63"/>
              <w:rPr>
                <w:color w:val="auto"/>
                <w:sz w:val="24"/>
                <w:highlight w:val="none"/>
              </w:rPr>
            </w:pPr>
          </w:p>
        </w:tc>
        <w:tc>
          <w:tcPr>
            <w:tcW w:w="1984" w:type="dxa"/>
            <w:noWrap w:val="0"/>
            <w:vAlign w:val="top"/>
          </w:tcPr>
          <w:p w14:paraId="682A30EA">
            <w:pPr>
              <w:pStyle w:val="13"/>
              <w:keepNext/>
              <w:spacing w:line="440" w:lineRule="exact"/>
              <w:ind w:left="63" w:right="63"/>
              <w:rPr>
                <w:color w:val="auto"/>
                <w:sz w:val="24"/>
                <w:highlight w:val="none"/>
              </w:rPr>
            </w:pPr>
          </w:p>
        </w:tc>
        <w:tc>
          <w:tcPr>
            <w:tcW w:w="851" w:type="dxa"/>
            <w:noWrap w:val="0"/>
            <w:vAlign w:val="top"/>
          </w:tcPr>
          <w:p w14:paraId="5176927A">
            <w:pPr>
              <w:pStyle w:val="13"/>
              <w:keepNext/>
              <w:spacing w:line="440" w:lineRule="exact"/>
              <w:ind w:left="63" w:right="63"/>
              <w:rPr>
                <w:color w:val="auto"/>
                <w:sz w:val="24"/>
                <w:highlight w:val="none"/>
              </w:rPr>
            </w:pPr>
          </w:p>
        </w:tc>
        <w:tc>
          <w:tcPr>
            <w:tcW w:w="774" w:type="dxa"/>
            <w:noWrap w:val="0"/>
            <w:vAlign w:val="top"/>
          </w:tcPr>
          <w:p w14:paraId="22F13D31">
            <w:pPr>
              <w:pStyle w:val="13"/>
              <w:keepNext/>
              <w:spacing w:line="440" w:lineRule="exact"/>
              <w:ind w:left="63" w:right="63"/>
              <w:rPr>
                <w:color w:val="auto"/>
                <w:sz w:val="24"/>
                <w:highlight w:val="none"/>
              </w:rPr>
            </w:pPr>
          </w:p>
        </w:tc>
        <w:tc>
          <w:tcPr>
            <w:tcW w:w="1352" w:type="dxa"/>
            <w:noWrap w:val="0"/>
            <w:vAlign w:val="top"/>
          </w:tcPr>
          <w:p w14:paraId="094EBD7E">
            <w:pPr>
              <w:pStyle w:val="13"/>
              <w:keepNext/>
              <w:spacing w:line="440" w:lineRule="exact"/>
              <w:ind w:left="63" w:right="63"/>
              <w:rPr>
                <w:color w:val="auto"/>
                <w:sz w:val="24"/>
                <w:highlight w:val="none"/>
              </w:rPr>
            </w:pPr>
          </w:p>
        </w:tc>
        <w:tc>
          <w:tcPr>
            <w:tcW w:w="1418" w:type="dxa"/>
            <w:noWrap w:val="0"/>
            <w:vAlign w:val="top"/>
          </w:tcPr>
          <w:p w14:paraId="2384DDBD">
            <w:pPr>
              <w:pStyle w:val="13"/>
              <w:keepNext/>
              <w:spacing w:line="440" w:lineRule="exact"/>
              <w:ind w:left="63" w:right="63"/>
              <w:rPr>
                <w:color w:val="auto"/>
                <w:sz w:val="24"/>
                <w:highlight w:val="none"/>
              </w:rPr>
            </w:pPr>
          </w:p>
        </w:tc>
        <w:tc>
          <w:tcPr>
            <w:tcW w:w="1701" w:type="dxa"/>
            <w:noWrap w:val="0"/>
            <w:vAlign w:val="top"/>
          </w:tcPr>
          <w:p w14:paraId="3FB68105">
            <w:pPr>
              <w:pStyle w:val="13"/>
              <w:keepNext/>
              <w:spacing w:line="440" w:lineRule="exact"/>
              <w:ind w:left="63" w:right="63"/>
              <w:rPr>
                <w:color w:val="auto"/>
                <w:sz w:val="24"/>
                <w:highlight w:val="none"/>
              </w:rPr>
            </w:pPr>
          </w:p>
        </w:tc>
      </w:tr>
      <w:tr w14:paraId="6413D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AAB309">
            <w:pPr>
              <w:pStyle w:val="13"/>
              <w:keepNext/>
              <w:spacing w:line="440" w:lineRule="exact"/>
              <w:ind w:left="63" w:right="63"/>
              <w:rPr>
                <w:color w:val="auto"/>
                <w:sz w:val="24"/>
                <w:highlight w:val="none"/>
              </w:rPr>
            </w:pPr>
          </w:p>
        </w:tc>
        <w:tc>
          <w:tcPr>
            <w:tcW w:w="1984" w:type="dxa"/>
            <w:noWrap w:val="0"/>
            <w:vAlign w:val="top"/>
          </w:tcPr>
          <w:p w14:paraId="72547A4E">
            <w:pPr>
              <w:pStyle w:val="13"/>
              <w:keepNext/>
              <w:spacing w:line="440" w:lineRule="exact"/>
              <w:ind w:left="63" w:right="63"/>
              <w:rPr>
                <w:color w:val="auto"/>
                <w:sz w:val="24"/>
                <w:highlight w:val="none"/>
              </w:rPr>
            </w:pPr>
          </w:p>
        </w:tc>
        <w:tc>
          <w:tcPr>
            <w:tcW w:w="851" w:type="dxa"/>
            <w:noWrap w:val="0"/>
            <w:vAlign w:val="top"/>
          </w:tcPr>
          <w:p w14:paraId="4092582E">
            <w:pPr>
              <w:pStyle w:val="13"/>
              <w:keepNext/>
              <w:spacing w:line="440" w:lineRule="exact"/>
              <w:ind w:left="63" w:right="63"/>
              <w:rPr>
                <w:color w:val="auto"/>
                <w:sz w:val="24"/>
                <w:highlight w:val="none"/>
              </w:rPr>
            </w:pPr>
          </w:p>
        </w:tc>
        <w:tc>
          <w:tcPr>
            <w:tcW w:w="774" w:type="dxa"/>
            <w:noWrap w:val="0"/>
            <w:vAlign w:val="top"/>
          </w:tcPr>
          <w:p w14:paraId="08CBF562">
            <w:pPr>
              <w:pStyle w:val="13"/>
              <w:keepNext/>
              <w:spacing w:line="440" w:lineRule="exact"/>
              <w:ind w:left="63" w:right="63"/>
              <w:rPr>
                <w:color w:val="auto"/>
                <w:sz w:val="24"/>
                <w:highlight w:val="none"/>
              </w:rPr>
            </w:pPr>
          </w:p>
        </w:tc>
        <w:tc>
          <w:tcPr>
            <w:tcW w:w="1352" w:type="dxa"/>
            <w:noWrap w:val="0"/>
            <w:vAlign w:val="top"/>
          </w:tcPr>
          <w:p w14:paraId="77BA9AD1">
            <w:pPr>
              <w:pStyle w:val="13"/>
              <w:keepNext/>
              <w:spacing w:line="440" w:lineRule="exact"/>
              <w:ind w:left="63" w:right="63"/>
              <w:rPr>
                <w:color w:val="auto"/>
                <w:sz w:val="24"/>
                <w:highlight w:val="none"/>
              </w:rPr>
            </w:pPr>
          </w:p>
        </w:tc>
        <w:tc>
          <w:tcPr>
            <w:tcW w:w="1418" w:type="dxa"/>
            <w:noWrap w:val="0"/>
            <w:vAlign w:val="top"/>
          </w:tcPr>
          <w:p w14:paraId="56B3ECC2">
            <w:pPr>
              <w:pStyle w:val="13"/>
              <w:keepNext/>
              <w:spacing w:line="440" w:lineRule="exact"/>
              <w:ind w:left="63" w:right="63"/>
              <w:rPr>
                <w:color w:val="auto"/>
                <w:sz w:val="24"/>
                <w:highlight w:val="none"/>
              </w:rPr>
            </w:pPr>
          </w:p>
        </w:tc>
        <w:tc>
          <w:tcPr>
            <w:tcW w:w="1701" w:type="dxa"/>
            <w:noWrap w:val="0"/>
            <w:vAlign w:val="top"/>
          </w:tcPr>
          <w:p w14:paraId="16C2054B">
            <w:pPr>
              <w:pStyle w:val="13"/>
              <w:keepNext/>
              <w:spacing w:line="440" w:lineRule="exact"/>
              <w:ind w:left="63" w:right="63"/>
              <w:rPr>
                <w:color w:val="auto"/>
                <w:sz w:val="24"/>
                <w:highlight w:val="none"/>
              </w:rPr>
            </w:pPr>
          </w:p>
        </w:tc>
      </w:tr>
      <w:tr w14:paraId="0D140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B4AD70">
            <w:pPr>
              <w:pStyle w:val="13"/>
              <w:keepNext/>
              <w:spacing w:line="440" w:lineRule="exact"/>
              <w:ind w:left="63" w:right="63"/>
              <w:rPr>
                <w:color w:val="auto"/>
                <w:sz w:val="24"/>
                <w:highlight w:val="none"/>
              </w:rPr>
            </w:pPr>
          </w:p>
        </w:tc>
        <w:tc>
          <w:tcPr>
            <w:tcW w:w="1984" w:type="dxa"/>
            <w:noWrap w:val="0"/>
            <w:vAlign w:val="top"/>
          </w:tcPr>
          <w:p w14:paraId="3BDC7543">
            <w:pPr>
              <w:pStyle w:val="13"/>
              <w:keepNext/>
              <w:spacing w:line="440" w:lineRule="exact"/>
              <w:ind w:left="63" w:right="63"/>
              <w:rPr>
                <w:color w:val="auto"/>
                <w:sz w:val="24"/>
                <w:highlight w:val="none"/>
              </w:rPr>
            </w:pPr>
          </w:p>
        </w:tc>
        <w:tc>
          <w:tcPr>
            <w:tcW w:w="851" w:type="dxa"/>
            <w:noWrap w:val="0"/>
            <w:vAlign w:val="top"/>
          </w:tcPr>
          <w:p w14:paraId="3C7B6FC2">
            <w:pPr>
              <w:pStyle w:val="13"/>
              <w:keepNext/>
              <w:spacing w:line="440" w:lineRule="exact"/>
              <w:ind w:left="63" w:right="63"/>
              <w:rPr>
                <w:color w:val="auto"/>
                <w:sz w:val="24"/>
                <w:highlight w:val="none"/>
              </w:rPr>
            </w:pPr>
          </w:p>
        </w:tc>
        <w:tc>
          <w:tcPr>
            <w:tcW w:w="774" w:type="dxa"/>
            <w:noWrap w:val="0"/>
            <w:vAlign w:val="top"/>
          </w:tcPr>
          <w:p w14:paraId="58D02E83">
            <w:pPr>
              <w:pStyle w:val="13"/>
              <w:keepNext/>
              <w:spacing w:line="440" w:lineRule="exact"/>
              <w:ind w:left="63" w:right="63"/>
              <w:rPr>
                <w:color w:val="auto"/>
                <w:sz w:val="24"/>
                <w:highlight w:val="none"/>
              </w:rPr>
            </w:pPr>
          </w:p>
        </w:tc>
        <w:tc>
          <w:tcPr>
            <w:tcW w:w="1352" w:type="dxa"/>
            <w:noWrap w:val="0"/>
            <w:vAlign w:val="top"/>
          </w:tcPr>
          <w:p w14:paraId="2D3E52BB">
            <w:pPr>
              <w:pStyle w:val="13"/>
              <w:keepNext/>
              <w:spacing w:line="440" w:lineRule="exact"/>
              <w:ind w:left="63" w:right="63"/>
              <w:rPr>
                <w:color w:val="auto"/>
                <w:sz w:val="24"/>
                <w:highlight w:val="none"/>
              </w:rPr>
            </w:pPr>
          </w:p>
        </w:tc>
        <w:tc>
          <w:tcPr>
            <w:tcW w:w="1418" w:type="dxa"/>
            <w:noWrap w:val="0"/>
            <w:vAlign w:val="top"/>
          </w:tcPr>
          <w:p w14:paraId="41FD3E17">
            <w:pPr>
              <w:pStyle w:val="13"/>
              <w:keepNext/>
              <w:spacing w:line="440" w:lineRule="exact"/>
              <w:ind w:left="63" w:right="63"/>
              <w:rPr>
                <w:color w:val="auto"/>
                <w:sz w:val="24"/>
                <w:highlight w:val="none"/>
              </w:rPr>
            </w:pPr>
          </w:p>
        </w:tc>
        <w:tc>
          <w:tcPr>
            <w:tcW w:w="1701" w:type="dxa"/>
            <w:noWrap w:val="0"/>
            <w:vAlign w:val="top"/>
          </w:tcPr>
          <w:p w14:paraId="12306D43">
            <w:pPr>
              <w:pStyle w:val="13"/>
              <w:keepNext/>
              <w:spacing w:line="440" w:lineRule="exact"/>
              <w:ind w:left="63" w:right="63"/>
              <w:rPr>
                <w:color w:val="auto"/>
                <w:sz w:val="24"/>
                <w:highlight w:val="none"/>
              </w:rPr>
            </w:pPr>
          </w:p>
        </w:tc>
      </w:tr>
      <w:tr w14:paraId="6E4E8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B1D4CB">
            <w:pPr>
              <w:pStyle w:val="13"/>
              <w:keepNext/>
              <w:spacing w:line="440" w:lineRule="exact"/>
              <w:ind w:left="63" w:right="63"/>
              <w:rPr>
                <w:color w:val="auto"/>
                <w:sz w:val="24"/>
                <w:highlight w:val="none"/>
              </w:rPr>
            </w:pPr>
          </w:p>
        </w:tc>
        <w:tc>
          <w:tcPr>
            <w:tcW w:w="1984" w:type="dxa"/>
            <w:noWrap w:val="0"/>
            <w:vAlign w:val="top"/>
          </w:tcPr>
          <w:p w14:paraId="4A98636A">
            <w:pPr>
              <w:pStyle w:val="13"/>
              <w:keepNext/>
              <w:spacing w:line="440" w:lineRule="exact"/>
              <w:ind w:left="63" w:right="63"/>
              <w:rPr>
                <w:color w:val="auto"/>
                <w:sz w:val="24"/>
                <w:highlight w:val="none"/>
              </w:rPr>
            </w:pPr>
          </w:p>
        </w:tc>
        <w:tc>
          <w:tcPr>
            <w:tcW w:w="851" w:type="dxa"/>
            <w:noWrap w:val="0"/>
            <w:vAlign w:val="top"/>
          </w:tcPr>
          <w:p w14:paraId="43F1C69D">
            <w:pPr>
              <w:pStyle w:val="13"/>
              <w:keepNext/>
              <w:spacing w:line="440" w:lineRule="exact"/>
              <w:ind w:left="63" w:right="63"/>
              <w:rPr>
                <w:color w:val="auto"/>
                <w:sz w:val="24"/>
                <w:highlight w:val="none"/>
              </w:rPr>
            </w:pPr>
          </w:p>
        </w:tc>
        <w:tc>
          <w:tcPr>
            <w:tcW w:w="774" w:type="dxa"/>
            <w:noWrap w:val="0"/>
            <w:vAlign w:val="top"/>
          </w:tcPr>
          <w:p w14:paraId="0C467CE1">
            <w:pPr>
              <w:pStyle w:val="13"/>
              <w:keepNext/>
              <w:spacing w:line="440" w:lineRule="exact"/>
              <w:ind w:left="63" w:right="63"/>
              <w:rPr>
                <w:color w:val="auto"/>
                <w:sz w:val="24"/>
                <w:highlight w:val="none"/>
              </w:rPr>
            </w:pPr>
          </w:p>
        </w:tc>
        <w:tc>
          <w:tcPr>
            <w:tcW w:w="1352" w:type="dxa"/>
            <w:noWrap w:val="0"/>
            <w:vAlign w:val="top"/>
          </w:tcPr>
          <w:p w14:paraId="337C51CC">
            <w:pPr>
              <w:pStyle w:val="13"/>
              <w:keepNext/>
              <w:spacing w:line="440" w:lineRule="exact"/>
              <w:ind w:left="63" w:right="63"/>
              <w:rPr>
                <w:color w:val="auto"/>
                <w:sz w:val="24"/>
                <w:highlight w:val="none"/>
              </w:rPr>
            </w:pPr>
          </w:p>
        </w:tc>
        <w:tc>
          <w:tcPr>
            <w:tcW w:w="1418" w:type="dxa"/>
            <w:noWrap w:val="0"/>
            <w:vAlign w:val="top"/>
          </w:tcPr>
          <w:p w14:paraId="1C16C784">
            <w:pPr>
              <w:pStyle w:val="13"/>
              <w:keepNext/>
              <w:spacing w:line="440" w:lineRule="exact"/>
              <w:ind w:left="63" w:right="63"/>
              <w:rPr>
                <w:color w:val="auto"/>
                <w:sz w:val="24"/>
                <w:highlight w:val="none"/>
              </w:rPr>
            </w:pPr>
          </w:p>
        </w:tc>
        <w:tc>
          <w:tcPr>
            <w:tcW w:w="1701" w:type="dxa"/>
            <w:noWrap w:val="0"/>
            <w:vAlign w:val="top"/>
          </w:tcPr>
          <w:p w14:paraId="12772A1D">
            <w:pPr>
              <w:pStyle w:val="13"/>
              <w:keepNext/>
              <w:spacing w:line="440" w:lineRule="exact"/>
              <w:ind w:left="63" w:right="63"/>
              <w:rPr>
                <w:color w:val="auto"/>
                <w:sz w:val="24"/>
                <w:highlight w:val="none"/>
              </w:rPr>
            </w:pPr>
          </w:p>
        </w:tc>
      </w:tr>
      <w:tr w14:paraId="09402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7936B9">
            <w:pPr>
              <w:pStyle w:val="13"/>
              <w:keepNext/>
              <w:spacing w:line="440" w:lineRule="exact"/>
              <w:ind w:left="63" w:right="63"/>
              <w:rPr>
                <w:color w:val="auto"/>
                <w:sz w:val="24"/>
                <w:highlight w:val="none"/>
              </w:rPr>
            </w:pPr>
          </w:p>
        </w:tc>
        <w:tc>
          <w:tcPr>
            <w:tcW w:w="1984" w:type="dxa"/>
            <w:noWrap w:val="0"/>
            <w:vAlign w:val="top"/>
          </w:tcPr>
          <w:p w14:paraId="00F0852B">
            <w:pPr>
              <w:pStyle w:val="13"/>
              <w:keepNext/>
              <w:spacing w:line="440" w:lineRule="exact"/>
              <w:ind w:left="63" w:right="63"/>
              <w:rPr>
                <w:color w:val="auto"/>
                <w:sz w:val="24"/>
                <w:highlight w:val="none"/>
              </w:rPr>
            </w:pPr>
          </w:p>
        </w:tc>
        <w:tc>
          <w:tcPr>
            <w:tcW w:w="851" w:type="dxa"/>
            <w:noWrap w:val="0"/>
            <w:vAlign w:val="top"/>
          </w:tcPr>
          <w:p w14:paraId="6861607C">
            <w:pPr>
              <w:pStyle w:val="13"/>
              <w:keepNext/>
              <w:spacing w:line="440" w:lineRule="exact"/>
              <w:ind w:left="63" w:right="63"/>
              <w:rPr>
                <w:color w:val="auto"/>
                <w:sz w:val="24"/>
                <w:highlight w:val="none"/>
              </w:rPr>
            </w:pPr>
          </w:p>
        </w:tc>
        <w:tc>
          <w:tcPr>
            <w:tcW w:w="774" w:type="dxa"/>
            <w:noWrap w:val="0"/>
            <w:vAlign w:val="top"/>
          </w:tcPr>
          <w:p w14:paraId="472264B5">
            <w:pPr>
              <w:pStyle w:val="13"/>
              <w:keepNext/>
              <w:spacing w:line="440" w:lineRule="exact"/>
              <w:ind w:left="63" w:right="63"/>
              <w:rPr>
                <w:color w:val="auto"/>
                <w:sz w:val="24"/>
                <w:highlight w:val="none"/>
              </w:rPr>
            </w:pPr>
          </w:p>
        </w:tc>
        <w:tc>
          <w:tcPr>
            <w:tcW w:w="1352" w:type="dxa"/>
            <w:noWrap w:val="0"/>
            <w:vAlign w:val="top"/>
          </w:tcPr>
          <w:p w14:paraId="3EB4E96A">
            <w:pPr>
              <w:pStyle w:val="13"/>
              <w:keepNext/>
              <w:spacing w:line="440" w:lineRule="exact"/>
              <w:ind w:left="63" w:right="63"/>
              <w:rPr>
                <w:color w:val="auto"/>
                <w:sz w:val="24"/>
                <w:highlight w:val="none"/>
              </w:rPr>
            </w:pPr>
          </w:p>
        </w:tc>
        <w:tc>
          <w:tcPr>
            <w:tcW w:w="1418" w:type="dxa"/>
            <w:noWrap w:val="0"/>
            <w:vAlign w:val="top"/>
          </w:tcPr>
          <w:p w14:paraId="7E85C70C">
            <w:pPr>
              <w:pStyle w:val="13"/>
              <w:keepNext/>
              <w:spacing w:line="440" w:lineRule="exact"/>
              <w:ind w:left="63" w:right="63"/>
              <w:rPr>
                <w:color w:val="auto"/>
                <w:sz w:val="24"/>
                <w:highlight w:val="none"/>
              </w:rPr>
            </w:pPr>
          </w:p>
        </w:tc>
        <w:tc>
          <w:tcPr>
            <w:tcW w:w="1701" w:type="dxa"/>
            <w:noWrap w:val="0"/>
            <w:vAlign w:val="top"/>
          </w:tcPr>
          <w:p w14:paraId="181D4972">
            <w:pPr>
              <w:pStyle w:val="13"/>
              <w:keepNext/>
              <w:spacing w:line="440" w:lineRule="exact"/>
              <w:ind w:left="63" w:right="63"/>
              <w:rPr>
                <w:color w:val="auto"/>
                <w:sz w:val="24"/>
                <w:highlight w:val="none"/>
              </w:rPr>
            </w:pPr>
          </w:p>
        </w:tc>
      </w:tr>
      <w:tr w14:paraId="79469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4A1AC0">
            <w:pPr>
              <w:pStyle w:val="13"/>
              <w:keepNext/>
              <w:spacing w:line="440" w:lineRule="exact"/>
              <w:ind w:left="63" w:right="63"/>
              <w:rPr>
                <w:color w:val="auto"/>
                <w:sz w:val="24"/>
                <w:highlight w:val="none"/>
              </w:rPr>
            </w:pPr>
          </w:p>
        </w:tc>
        <w:tc>
          <w:tcPr>
            <w:tcW w:w="1984" w:type="dxa"/>
            <w:noWrap w:val="0"/>
            <w:vAlign w:val="top"/>
          </w:tcPr>
          <w:p w14:paraId="7867908C">
            <w:pPr>
              <w:pStyle w:val="13"/>
              <w:keepNext/>
              <w:spacing w:line="440" w:lineRule="exact"/>
              <w:ind w:left="63" w:right="63"/>
              <w:rPr>
                <w:color w:val="auto"/>
                <w:sz w:val="24"/>
                <w:highlight w:val="none"/>
              </w:rPr>
            </w:pPr>
          </w:p>
        </w:tc>
        <w:tc>
          <w:tcPr>
            <w:tcW w:w="851" w:type="dxa"/>
            <w:noWrap w:val="0"/>
            <w:vAlign w:val="top"/>
          </w:tcPr>
          <w:p w14:paraId="5EE3C0D1">
            <w:pPr>
              <w:pStyle w:val="13"/>
              <w:keepNext/>
              <w:spacing w:line="440" w:lineRule="exact"/>
              <w:ind w:left="63" w:right="63"/>
              <w:rPr>
                <w:color w:val="auto"/>
                <w:sz w:val="24"/>
                <w:highlight w:val="none"/>
              </w:rPr>
            </w:pPr>
          </w:p>
        </w:tc>
        <w:tc>
          <w:tcPr>
            <w:tcW w:w="774" w:type="dxa"/>
            <w:noWrap w:val="0"/>
            <w:vAlign w:val="top"/>
          </w:tcPr>
          <w:p w14:paraId="4CC60B95">
            <w:pPr>
              <w:pStyle w:val="13"/>
              <w:keepNext/>
              <w:spacing w:line="440" w:lineRule="exact"/>
              <w:ind w:left="63" w:right="63"/>
              <w:rPr>
                <w:color w:val="auto"/>
                <w:sz w:val="24"/>
                <w:highlight w:val="none"/>
              </w:rPr>
            </w:pPr>
          </w:p>
        </w:tc>
        <w:tc>
          <w:tcPr>
            <w:tcW w:w="1352" w:type="dxa"/>
            <w:noWrap w:val="0"/>
            <w:vAlign w:val="top"/>
          </w:tcPr>
          <w:p w14:paraId="7E6168B7">
            <w:pPr>
              <w:pStyle w:val="13"/>
              <w:keepNext/>
              <w:spacing w:line="440" w:lineRule="exact"/>
              <w:ind w:left="63" w:right="63"/>
              <w:rPr>
                <w:color w:val="auto"/>
                <w:sz w:val="24"/>
                <w:highlight w:val="none"/>
              </w:rPr>
            </w:pPr>
          </w:p>
        </w:tc>
        <w:tc>
          <w:tcPr>
            <w:tcW w:w="1418" w:type="dxa"/>
            <w:noWrap w:val="0"/>
            <w:vAlign w:val="top"/>
          </w:tcPr>
          <w:p w14:paraId="4F6239A4">
            <w:pPr>
              <w:pStyle w:val="13"/>
              <w:keepNext/>
              <w:spacing w:line="440" w:lineRule="exact"/>
              <w:ind w:left="63" w:right="63"/>
              <w:rPr>
                <w:color w:val="auto"/>
                <w:sz w:val="24"/>
                <w:highlight w:val="none"/>
              </w:rPr>
            </w:pPr>
          </w:p>
        </w:tc>
        <w:tc>
          <w:tcPr>
            <w:tcW w:w="1701" w:type="dxa"/>
            <w:noWrap w:val="0"/>
            <w:vAlign w:val="top"/>
          </w:tcPr>
          <w:p w14:paraId="1201317C">
            <w:pPr>
              <w:pStyle w:val="13"/>
              <w:keepNext/>
              <w:spacing w:line="440" w:lineRule="exact"/>
              <w:ind w:left="63" w:right="63"/>
              <w:rPr>
                <w:color w:val="auto"/>
                <w:sz w:val="24"/>
                <w:highlight w:val="none"/>
              </w:rPr>
            </w:pPr>
          </w:p>
        </w:tc>
      </w:tr>
    </w:tbl>
    <w:p w14:paraId="62CB0161">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90DB03B">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11-2：工程设备暂估价表</w:t>
      </w:r>
    </w:p>
    <w:tbl>
      <w:tblPr>
        <w:tblStyle w:val="3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DF9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207EAA5">
            <w:pPr>
              <w:pStyle w:val="13"/>
              <w:keepNext/>
              <w:spacing w:line="440" w:lineRule="exact"/>
              <w:ind w:left="63" w:right="63"/>
              <w:jc w:val="center"/>
              <w:rPr>
                <w:color w:val="auto"/>
                <w:sz w:val="21"/>
                <w:szCs w:val="21"/>
                <w:highlight w:val="none"/>
              </w:rPr>
            </w:pPr>
            <w:r>
              <w:rPr>
                <w:color w:val="auto"/>
                <w:sz w:val="21"/>
                <w:szCs w:val="21"/>
                <w:highlight w:val="none"/>
              </w:rPr>
              <w:t>序号</w:t>
            </w:r>
          </w:p>
        </w:tc>
        <w:tc>
          <w:tcPr>
            <w:tcW w:w="1984" w:type="dxa"/>
            <w:tcBorders>
              <w:top w:val="single" w:color="auto" w:sz="12" w:space="0"/>
              <w:bottom w:val="double" w:color="auto" w:sz="6" w:space="0"/>
            </w:tcBorders>
            <w:noWrap w:val="0"/>
            <w:vAlign w:val="top"/>
          </w:tcPr>
          <w:p w14:paraId="32BC80DB">
            <w:pPr>
              <w:pStyle w:val="13"/>
              <w:keepNext/>
              <w:spacing w:line="440" w:lineRule="exact"/>
              <w:ind w:left="63" w:right="63"/>
              <w:jc w:val="center"/>
              <w:rPr>
                <w:color w:val="auto"/>
                <w:sz w:val="21"/>
                <w:szCs w:val="21"/>
                <w:highlight w:val="none"/>
              </w:rPr>
            </w:pPr>
            <w:r>
              <w:rPr>
                <w:color w:val="auto"/>
                <w:sz w:val="21"/>
                <w:szCs w:val="21"/>
                <w:highlight w:val="none"/>
              </w:rPr>
              <w:t>名称</w:t>
            </w:r>
          </w:p>
        </w:tc>
        <w:tc>
          <w:tcPr>
            <w:tcW w:w="851" w:type="dxa"/>
            <w:tcBorders>
              <w:top w:val="single" w:color="auto" w:sz="12" w:space="0"/>
              <w:bottom w:val="double" w:color="auto" w:sz="6" w:space="0"/>
            </w:tcBorders>
            <w:noWrap w:val="0"/>
            <w:vAlign w:val="top"/>
          </w:tcPr>
          <w:p w14:paraId="6F0E7800">
            <w:pPr>
              <w:pStyle w:val="13"/>
              <w:keepNext/>
              <w:spacing w:line="440" w:lineRule="exact"/>
              <w:ind w:left="63" w:right="63"/>
              <w:jc w:val="center"/>
              <w:rPr>
                <w:color w:val="auto"/>
                <w:sz w:val="21"/>
                <w:szCs w:val="21"/>
                <w:highlight w:val="none"/>
              </w:rPr>
            </w:pPr>
            <w:r>
              <w:rPr>
                <w:color w:val="auto"/>
                <w:sz w:val="21"/>
                <w:szCs w:val="21"/>
                <w:highlight w:val="none"/>
              </w:rPr>
              <w:t>单位</w:t>
            </w:r>
          </w:p>
        </w:tc>
        <w:tc>
          <w:tcPr>
            <w:tcW w:w="774" w:type="dxa"/>
            <w:tcBorders>
              <w:top w:val="single" w:color="auto" w:sz="12" w:space="0"/>
              <w:bottom w:val="double" w:color="auto" w:sz="6" w:space="0"/>
            </w:tcBorders>
            <w:noWrap w:val="0"/>
            <w:vAlign w:val="top"/>
          </w:tcPr>
          <w:p w14:paraId="60DA3B13">
            <w:pPr>
              <w:pStyle w:val="13"/>
              <w:keepNext/>
              <w:spacing w:line="440" w:lineRule="exact"/>
              <w:ind w:left="63" w:right="63"/>
              <w:jc w:val="center"/>
              <w:rPr>
                <w:color w:val="auto"/>
                <w:sz w:val="21"/>
                <w:szCs w:val="21"/>
                <w:highlight w:val="none"/>
              </w:rPr>
            </w:pPr>
            <w:r>
              <w:rPr>
                <w:color w:val="auto"/>
                <w:sz w:val="21"/>
                <w:szCs w:val="21"/>
                <w:highlight w:val="none"/>
              </w:rPr>
              <w:t>数量</w:t>
            </w:r>
          </w:p>
        </w:tc>
        <w:tc>
          <w:tcPr>
            <w:tcW w:w="1352" w:type="dxa"/>
            <w:tcBorders>
              <w:top w:val="single" w:color="auto" w:sz="12" w:space="0"/>
              <w:bottom w:val="double" w:color="auto" w:sz="6" w:space="0"/>
            </w:tcBorders>
            <w:noWrap w:val="0"/>
            <w:vAlign w:val="top"/>
          </w:tcPr>
          <w:p w14:paraId="0CEA835E">
            <w:pPr>
              <w:pStyle w:val="13"/>
              <w:keepNext/>
              <w:spacing w:line="440" w:lineRule="exact"/>
              <w:ind w:left="63" w:right="63"/>
              <w:jc w:val="center"/>
              <w:rPr>
                <w:color w:val="auto"/>
                <w:sz w:val="21"/>
                <w:szCs w:val="21"/>
                <w:highlight w:val="none"/>
              </w:rPr>
            </w:pPr>
            <w:r>
              <w:rPr>
                <w:color w:val="auto"/>
                <w:sz w:val="21"/>
                <w:szCs w:val="21"/>
                <w:highlight w:val="none"/>
              </w:rPr>
              <w:t>单价</w:t>
            </w:r>
            <w:r>
              <w:rPr>
                <w:rFonts w:hint="eastAsia"/>
                <w:color w:val="auto"/>
                <w:sz w:val="21"/>
                <w:szCs w:val="21"/>
                <w:highlight w:val="none"/>
              </w:rPr>
              <w:t>（元）</w:t>
            </w:r>
          </w:p>
        </w:tc>
        <w:tc>
          <w:tcPr>
            <w:tcW w:w="1418" w:type="dxa"/>
            <w:tcBorders>
              <w:top w:val="single" w:color="auto" w:sz="12" w:space="0"/>
              <w:bottom w:val="double" w:color="auto" w:sz="6" w:space="0"/>
            </w:tcBorders>
            <w:noWrap w:val="0"/>
            <w:vAlign w:val="top"/>
          </w:tcPr>
          <w:p w14:paraId="704DE8A7">
            <w:pPr>
              <w:pStyle w:val="13"/>
              <w:keepNext/>
              <w:spacing w:line="440" w:lineRule="exact"/>
              <w:ind w:left="63" w:right="63"/>
              <w:jc w:val="center"/>
              <w:rPr>
                <w:color w:val="auto"/>
                <w:sz w:val="21"/>
                <w:szCs w:val="21"/>
                <w:highlight w:val="none"/>
              </w:rPr>
            </w:pPr>
            <w:r>
              <w:rPr>
                <w:color w:val="auto"/>
                <w:sz w:val="21"/>
                <w:szCs w:val="21"/>
                <w:highlight w:val="none"/>
              </w:rPr>
              <w:t>合价</w:t>
            </w:r>
            <w:r>
              <w:rPr>
                <w:rFonts w:hint="eastAsia"/>
                <w:color w:val="auto"/>
                <w:sz w:val="21"/>
                <w:szCs w:val="21"/>
                <w:highlight w:val="none"/>
              </w:rPr>
              <w:t>（元）</w:t>
            </w:r>
          </w:p>
        </w:tc>
        <w:tc>
          <w:tcPr>
            <w:tcW w:w="1701" w:type="dxa"/>
            <w:tcBorders>
              <w:top w:val="single" w:color="auto" w:sz="12" w:space="0"/>
              <w:bottom w:val="double" w:color="auto" w:sz="6" w:space="0"/>
            </w:tcBorders>
            <w:noWrap w:val="0"/>
            <w:vAlign w:val="top"/>
          </w:tcPr>
          <w:p w14:paraId="0E87658E">
            <w:pPr>
              <w:pStyle w:val="13"/>
              <w:keepNext/>
              <w:spacing w:line="440" w:lineRule="exact"/>
              <w:ind w:left="63" w:right="63"/>
              <w:jc w:val="center"/>
              <w:rPr>
                <w:color w:val="auto"/>
                <w:sz w:val="21"/>
                <w:szCs w:val="21"/>
                <w:highlight w:val="none"/>
              </w:rPr>
            </w:pPr>
            <w:r>
              <w:rPr>
                <w:color w:val="auto"/>
                <w:sz w:val="21"/>
                <w:szCs w:val="21"/>
                <w:highlight w:val="none"/>
              </w:rPr>
              <w:t>备注</w:t>
            </w:r>
          </w:p>
        </w:tc>
      </w:tr>
      <w:tr w14:paraId="61910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7649BBB">
            <w:pPr>
              <w:pStyle w:val="13"/>
              <w:keepNext/>
              <w:spacing w:line="440" w:lineRule="exact"/>
              <w:ind w:left="63" w:right="63"/>
              <w:rPr>
                <w:color w:val="auto"/>
                <w:sz w:val="24"/>
                <w:highlight w:val="none"/>
              </w:rPr>
            </w:pPr>
          </w:p>
        </w:tc>
        <w:tc>
          <w:tcPr>
            <w:tcW w:w="1984" w:type="dxa"/>
            <w:tcBorders>
              <w:top w:val="double" w:color="auto" w:sz="6" w:space="0"/>
              <w:bottom w:val="single" w:color="auto" w:sz="6" w:space="0"/>
            </w:tcBorders>
            <w:noWrap w:val="0"/>
            <w:vAlign w:val="top"/>
          </w:tcPr>
          <w:p w14:paraId="755DADDD">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top"/>
          </w:tcPr>
          <w:p w14:paraId="17740428">
            <w:pPr>
              <w:pStyle w:val="13"/>
              <w:keepNext/>
              <w:spacing w:line="440" w:lineRule="exact"/>
              <w:ind w:left="63" w:right="63"/>
              <w:rPr>
                <w:color w:val="auto"/>
                <w:sz w:val="24"/>
                <w:highlight w:val="none"/>
              </w:rPr>
            </w:pPr>
          </w:p>
        </w:tc>
        <w:tc>
          <w:tcPr>
            <w:tcW w:w="774" w:type="dxa"/>
            <w:tcBorders>
              <w:top w:val="double" w:color="auto" w:sz="6" w:space="0"/>
              <w:bottom w:val="single" w:color="auto" w:sz="6" w:space="0"/>
            </w:tcBorders>
            <w:noWrap w:val="0"/>
            <w:vAlign w:val="top"/>
          </w:tcPr>
          <w:p w14:paraId="3F96FFE2">
            <w:pPr>
              <w:pStyle w:val="13"/>
              <w:keepNext/>
              <w:spacing w:line="440" w:lineRule="exact"/>
              <w:ind w:left="63" w:right="63"/>
              <w:rPr>
                <w:color w:val="auto"/>
                <w:sz w:val="24"/>
                <w:highlight w:val="none"/>
              </w:rPr>
            </w:pPr>
          </w:p>
        </w:tc>
        <w:tc>
          <w:tcPr>
            <w:tcW w:w="1352" w:type="dxa"/>
            <w:tcBorders>
              <w:top w:val="double" w:color="auto" w:sz="6" w:space="0"/>
              <w:bottom w:val="single" w:color="auto" w:sz="6" w:space="0"/>
            </w:tcBorders>
            <w:noWrap w:val="0"/>
            <w:vAlign w:val="top"/>
          </w:tcPr>
          <w:p w14:paraId="3C04750E">
            <w:pPr>
              <w:pStyle w:val="13"/>
              <w:keepNext/>
              <w:spacing w:line="440" w:lineRule="exact"/>
              <w:ind w:left="63" w:right="63"/>
              <w:rPr>
                <w:color w:val="auto"/>
                <w:sz w:val="24"/>
                <w:highlight w:val="none"/>
              </w:rPr>
            </w:pPr>
          </w:p>
        </w:tc>
        <w:tc>
          <w:tcPr>
            <w:tcW w:w="1418" w:type="dxa"/>
            <w:tcBorders>
              <w:top w:val="double" w:color="auto" w:sz="6" w:space="0"/>
              <w:bottom w:val="single" w:color="auto" w:sz="6" w:space="0"/>
            </w:tcBorders>
            <w:noWrap w:val="0"/>
            <w:vAlign w:val="top"/>
          </w:tcPr>
          <w:p w14:paraId="26A78842">
            <w:pPr>
              <w:pStyle w:val="13"/>
              <w:keepNext/>
              <w:spacing w:line="440" w:lineRule="exact"/>
              <w:ind w:left="63" w:right="63"/>
              <w:rPr>
                <w:color w:val="auto"/>
                <w:sz w:val="24"/>
                <w:highlight w:val="none"/>
              </w:rPr>
            </w:pPr>
          </w:p>
        </w:tc>
        <w:tc>
          <w:tcPr>
            <w:tcW w:w="1701" w:type="dxa"/>
            <w:tcBorders>
              <w:top w:val="double" w:color="auto" w:sz="6" w:space="0"/>
              <w:bottom w:val="single" w:color="auto" w:sz="6" w:space="0"/>
            </w:tcBorders>
            <w:noWrap w:val="0"/>
            <w:vAlign w:val="top"/>
          </w:tcPr>
          <w:p w14:paraId="4A674A33">
            <w:pPr>
              <w:pStyle w:val="13"/>
              <w:keepNext/>
              <w:spacing w:line="440" w:lineRule="exact"/>
              <w:ind w:left="63" w:right="63"/>
              <w:rPr>
                <w:color w:val="auto"/>
                <w:sz w:val="24"/>
                <w:highlight w:val="none"/>
              </w:rPr>
            </w:pPr>
          </w:p>
        </w:tc>
      </w:tr>
      <w:tr w14:paraId="0307D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1DF27B2">
            <w:pPr>
              <w:pStyle w:val="13"/>
              <w:keepNext/>
              <w:spacing w:line="440" w:lineRule="exact"/>
              <w:ind w:left="63" w:right="63"/>
              <w:rPr>
                <w:color w:val="auto"/>
                <w:sz w:val="24"/>
                <w:highlight w:val="none"/>
              </w:rPr>
            </w:pPr>
          </w:p>
        </w:tc>
        <w:tc>
          <w:tcPr>
            <w:tcW w:w="1984" w:type="dxa"/>
            <w:tcBorders>
              <w:top w:val="double" w:color="auto" w:sz="6" w:space="0"/>
              <w:bottom w:val="single" w:color="auto" w:sz="6" w:space="0"/>
            </w:tcBorders>
            <w:noWrap w:val="0"/>
            <w:vAlign w:val="top"/>
          </w:tcPr>
          <w:p w14:paraId="0F452BD8">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top"/>
          </w:tcPr>
          <w:p w14:paraId="0A0AF04A">
            <w:pPr>
              <w:pStyle w:val="13"/>
              <w:keepNext/>
              <w:spacing w:line="440" w:lineRule="exact"/>
              <w:ind w:left="63" w:right="63"/>
              <w:rPr>
                <w:color w:val="auto"/>
                <w:sz w:val="24"/>
                <w:highlight w:val="none"/>
              </w:rPr>
            </w:pPr>
          </w:p>
        </w:tc>
        <w:tc>
          <w:tcPr>
            <w:tcW w:w="774" w:type="dxa"/>
            <w:tcBorders>
              <w:top w:val="double" w:color="auto" w:sz="6" w:space="0"/>
              <w:bottom w:val="single" w:color="auto" w:sz="6" w:space="0"/>
            </w:tcBorders>
            <w:noWrap w:val="0"/>
            <w:vAlign w:val="top"/>
          </w:tcPr>
          <w:p w14:paraId="35145265">
            <w:pPr>
              <w:pStyle w:val="13"/>
              <w:keepNext/>
              <w:spacing w:line="440" w:lineRule="exact"/>
              <w:ind w:left="63" w:right="63"/>
              <w:rPr>
                <w:color w:val="auto"/>
                <w:sz w:val="24"/>
                <w:highlight w:val="none"/>
              </w:rPr>
            </w:pPr>
          </w:p>
        </w:tc>
        <w:tc>
          <w:tcPr>
            <w:tcW w:w="1352" w:type="dxa"/>
            <w:tcBorders>
              <w:top w:val="double" w:color="auto" w:sz="6" w:space="0"/>
              <w:bottom w:val="single" w:color="auto" w:sz="6" w:space="0"/>
            </w:tcBorders>
            <w:noWrap w:val="0"/>
            <w:vAlign w:val="top"/>
          </w:tcPr>
          <w:p w14:paraId="37F1D64A">
            <w:pPr>
              <w:pStyle w:val="13"/>
              <w:keepNext/>
              <w:spacing w:line="440" w:lineRule="exact"/>
              <w:ind w:left="63" w:right="63"/>
              <w:rPr>
                <w:color w:val="auto"/>
                <w:sz w:val="24"/>
                <w:highlight w:val="none"/>
              </w:rPr>
            </w:pPr>
          </w:p>
        </w:tc>
        <w:tc>
          <w:tcPr>
            <w:tcW w:w="1418" w:type="dxa"/>
            <w:tcBorders>
              <w:top w:val="double" w:color="auto" w:sz="6" w:space="0"/>
              <w:bottom w:val="single" w:color="auto" w:sz="6" w:space="0"/>
            </w:tcBorders>
            <w:noWrap w:val="0"/>
            <w:vAlign w:val="top"/>
          </w:tcPr>
          <w:p w14:paraId="41BA698B">
            <w:pPr>
              <w:pStyle w:val="13"/>
              <w:keepNext/>
              <w:spacing w:line="440" w:lineRule="exact"/>
              <w:ind w:left="63" w:right="63"/>
              <w:rPr>
                <w:color w:val="auto"/>
                <w:sz w:val="24"/>
                <w:highlight w:val="none"/>
              </w:rPr>
            </w:pPr>
          </w:p>
        </w:tc>
        <w:tc>
          <w:tcPr>
            <w:tcW w:w="1701" w:type="dxa"/>
            <w:tcBorders>
              <w:top w:val="double" w:color="auto" w:sz="6" w:space="0"/>
              <w:bottom w:val="single" w:color="auto" w:sz="6" w:space="0"/>
            </w:tcBorders>
            <w:noWrap w:val="0"/>
            <w:vAlign w:val="top"/>
          </w:tcPr>
          <w:p w14:paraId="392163F0">
            <w:pPr>
              <w:pStyle w:val="13"/>
              <w:keepNext/>
              <w:spacing w:line="440" w:lineRule="exact"/>
              <w:ind w:left="63" w:right="63"/>
              <w:rPr>
                <w:color w:val="auto"/>
                <w:sz w:val="24"/>
                <w:highlight w:val="none"/>
              </w:rPr>
            </w:pPr>
          </w:p>
        </w:tc>
      </w:tr>
      <w:tr w14:paraId="096B2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25656E1">
            <w:pPr>
              <w:pStyle w:val="13"/>
              <w:keepNext/>
              <w:spacing w:line="440" w:lineRule="exact"/>
              <w:ind w:left="63" w:right="63"/>
              <w:rPr>
                <w:color w:val="auto"/>
                <w:sz w:val="24"/>
                <w:highlight w:val="none"/>
              </w:rPr>
            </w:pPr>
          </w:p>
        </w:tc>
        <w:tc>
          <w:tcPr>
            <w:tcW w:w="1984" w:type="dxa"/>
            <w:tcBorders>
              <w:top w:val="nil"/>
            </w:tcBorders>
            <w:noWrap w:val="0"/>
            <w:vAlign w:val="top"/>
          </w:tcPr>
          <w:p w14:paraId="0F36C5EB">
            <w:pPr>
              <w:pStyle w:val="13"/>
              <w:keepNext/>
              <w:spacing w:line="440" w:lineRule="exact"/>
              <w:ind w:left="63" w:right="63"/>
              <w:rPr>
                <w:color w:val="auto"/>
                <w:sz w:val="24"/>
                <w:highlight w:val="none"/>
              </w:rPr>
            </w:pPr>
          </w:p>
        </w:tc>
        <w:tc>
          <w:tcPr>
            <w:tcW w:w="851" w:type="dxa"/>
            <w:tcBorders>
              <w:top w:val="nil"/>
            </w:tcBorders>
            <w:noWrap w:val="0"/>
            <w:vAlign w:val="top"/>
          </w:tcPr>
          <w:p w14:paraId="3DD0C6F8">
            <w:pPr>
              <w:pStyle w:val="13"/>
              <w:keepNext/>
              <w:spacing w:line="440" w:lineRule="exact"/>
              <w:ind w:left="63" w:right="63"/>
              <w:rPr>
                <w:color w:val="auto"/>
                <w:sz w:val="24"/>
                <w:highlight w:val="none"/>
              </w:rPr>
            </w:pPr>
          </w:p>
        </w:tc>
        <w:tc>
          <w:tcPr>
            <w:tcW w:w="774" w:type="dxa"/>
            <w:tcBorders>
              <w:top w:val="nil"/>
            </w:tcBorders>
            <w:noWrap w:val="0"/>
            <w:vAlign w:val="top"/>
          </w:tcPr>
          <w:p w14:paraId="17C69197">
            <w:pPr>
              <w:pStyle w:val="13"/>
              <w:keepNext/>
              <w:spacing w:line="440" w:lineRule="exact"/>
              <w:ind w:left="63" w:right="63"/>
              <w:rPr>
                <w:color w:val="auto"/>
                <w:sz w:val="24"/>
                <w:highlight w:val="none"/>
              </w:rPr>
            </w:pPr>
          </w:p>
        </w:tc>
        <w:tc>
          <w:tcPr>
            <w:tcW w:w="1352" w:type="dxa"/>
            <w:tcBorders>
              <w:top w:val="nil"/>
            </w:tcBorders>
            <w:noWrap w:val="0"/>
            <w:vAlign w:val="top"/>
          </w:tcPr>
          <w:p w14:paraId="2329E59B">
            <w:pPr>
              <w:pStyle w:val="13"/>
              <w:keepNext/>
              <w:spacing w:line="440" w:lineRule="exact"/>
              <w:ind w:left="63" w:right="63"/>
              <w:rPr>
                <w:color w:val="auto"/>
                <w:sz w:val="24"/>
                <w:highlight w:val="none"/>
              </w:rPr>
            </w:pPr>
          </w:p>
        </w:tc>
        <w:tc>
          <w:tcPr>
            <w:tcW w:w="1418" w:type="dxa"/>
            <w:tcBorders>
              <w:top w:val="nil"/>
            </w:tcBorders>
            <w:noWrap w:val="0"/>
            <w:vAlign w:val="top"/>
          </w:tcPr>
          <w:p w14:paraId="1BF34C1A">
            <w:pPr>
              <w:pStyle w:val="13"/>
              <w:keepNext/>
              <w:spacing w:line="440" w:lineRule="exact"/>
              <w:ind w:left="63" w:right="63"/>
              <w:rPr>
                <w:color w:val="auto"/>
                <w:sz w:val="24"/>
                <w:highlight w:val="none"/>
              </w:rPr>
            </w:pPr>
          </w:p>
        </w:tc>
        <w:tc>
          <w:tcPr>
            <w:tcW w:w="1701" w:type="dxa"/>
            <w:tcBorders>
              <w:top w:val="nil"/>
            </w:tcBorders>
            <w:noWrap w:val="0"/>
            <w:vAlign w:val="top"/>
          </w:tcPr>
          <w:p w14:paraId="36DE89D1">
            <w:pPr>
              <w:pStyle w:val="13"/>
              <w:keepNext/>
              <w:spacing w:line="440" w:lineRule="exact"/>
              <w:ind w:left="63" w:right="63"/>
              <w:rPr>
                <w:color w:val="auto"/>
                <w:sz w:val="24"/>
                <w:highlight w:val="none"/>
              </w:rPr>
            </w:pPr>
          </w:p>
        </w:tc>
      </w:tr>
      <w:tr w14:paraId="2ECE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AADF79">
            <w:pPr>
              <w:pStyle w:val="13"/>
              <w:keepNext/>
              <w:spacing w:line="440" w:lineRule="exact"/>
              <w:ind w:left="63" w:right="63"/>
              <w:rPr>
                <w:color w:val="auto"/>
                <w:sz w:val="24"/>
                <w:highlight w:val="none"/>
              </w:rPr>
            </w:pPr>
          </w:p>
        </w:tc>
        <w:tc>
          <w:tcPr>
            <w:tcW w:w="1984" w:type="dxa"/>
            <w:noWrap w:val="0"/>
            <w:vAlign w:val="top"/>
          </w:tcPr>
          <w:p w14:paraId="6C8E9F95">
            <w:pPr>
              <w:pStyle w:val="13"/>
              <w:keepNext/>
              <w:spacing w:line="440" w:lineRule="exact"/>
              <w:ind w:left="63" w:right="63"/>
              <w:rPr>
                <w:color w:val="auto"/>
                <w:sz w:val="24"/>
                <w:highlight w:val="none"/>
              </w:rPr>
            </w:pPr>
          </w:p>
        </w:tc>
        <w:tc>
          <w:tcPr>
            <w:tcW w:w="851" w:type="dxa"/>
            <w:noWrap w:val="0"/>
            <w:vAlign w:val="top"/>
          </w:tcPr>
          <w:p w14:paraId="5F46AE71">
            <w:pPr>
              <w:pStyle w:val="13"/>
              <w:keepNext/>
              <w:spacing w:line="440" w:lineRule="exact"/>
              <w:ind w:left="63" w:right="63"/>
              <w:rPr>
                <w:color w:val="auto"/>
                <w:sz w:val="24"/>
                <w:highlight w:val="none"/>
              </w:rPr>
            </w:pPr>
          </w:p>
        </w:tc>
        <w:tc>
          <w:tcPr>
            <w:tcW w:w="774" w:type="dxa"/>
            <w:noWrap w:val="0"/>
            <w:vAlign w:val="top"/>
          </w:tcPr>
          <w:p w14:paraId="7C5BFACB">
            <w:pPr>
              <w:pStyle w:val="13"/>
              <w:keepNext/>
              <w:spacing w:line="440" w:lineRule="exact"/>
              <w:ind w:left="63" w:right="63"/>
              <w:rPr>
                <w:color w:val="auto"/>
                <w:sz w:val="24"/>
                <w:highlight w:val="none"/>
              </w:rPr>
            </w:pPr>
          </w:p>
        </w:tc>
        <w:tc>
          <w:tcPr>
            <w:tcW w:w="1352" w:type="dxa"/>
            <w:noWrap w:val="0"/>
            <w:vAlign w:val="top"/>
          </w:tcPr>
          <w:p w14:paraId="0E398510">
            <w:pPr>
              <w:pStyle w:val="13"/>
              <w:keepNext/>
              <w:spacing w:line="440" w:lineRule="exact"/>
              <w:ind w:left="63" w:right="63"/>
              <w:rPr>
                <w:color w:val="auto"/>
                <w:sz w:val="24"/>
                <w:highlight w:val="none"/>
              </w:rPr>
            </w:pPr>
          </w:p>
        </w:tc>
        <w:tc>
          <w:tcPr>
            <w:tcW w:w="1418" w:type="dxa"/>
            <w:noWrap w:val="0"/>
            <w:vAlign w:val="top"/>
          </w:tcPr>
          <w:p w14:paraId="6109425F">
            <w:pPr>
              <w:pStyle w:val="13"/>
              <w:keepNext/>
              <w:spacing w:line="440" w:lineRule="exact"/>
              <w:ind w:left="63" w:right="63"/>
              <w:rPr>
                <w:color w:val="auto"/>
                <w:sz w:val="24"/>
                <w:highlight w:val="none"/>
              </w:rPr>
            </w:pPr>
          </w:p>
        </w:tc>
        <w:tc>
          <w:tcPr>
            <w:tcW w:w="1701" w:type="dxa"/>
            <w:noWrap w:val="0"/>
            <w:vAlign w:val="top"/>
          </w:tcPr>
          <w:p w14:paraId="3DA33247">
            <w:pPr>
              <w:pStyle w:val="13"/>
              <w:keepNext/>
              <w:spacing w:line="440" w:lineRule="exact"/>
              <w:ind w:left="63" w:right="63"/>
              <w:rPr>
                <w:color w:val="auto"/>
                <w:sz w:val="24"/>
                <w:highlight w:val="none"/>
              </w:rPr>
            </w:pPr>
          </w:p>
        </w:tc>
      </w:tr>
      <w:tr w14:paraId="6A7F7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E60A7C">
            <w:pPr>
              <w:pStyle w:val="13"/>
              <w:keepNext/>
              <w:spacing w:line="440" w:lineRule="exact"/>
              <w:ind w:left="63" w:right="63"/>
              <w:rPr>
                <w:color w:val="auto"/>
                <w:sz w:val="24"/>
                <w:highlight w:val="none"/>
              </w:rPr>
            </w:pPr>
          </w:p>
        </w:tc>
        <w:tc>
          <w:tcPr>
            <w:tcW w:w="1984" w:type="dxa"/>
            <w:noWrap w:val="0"/>
            <w:vAlign w:val="top"/>
          </w:tcPr>
          <w:p w14:paraId="0E23B164">
            <w:pPr>
              <w:pStyle w:val="13"/>
              <w:keepNext/>
              <w:spacing w:line="440" w:lineRule="exact"/>
              <w:ind w:left="63" w:right="63"/>
              <w:rPr>
                <w:color w:val="auto"/>
                <w:sz w:val="24"/>
                <w:highlight w:val="none"/>
              </w:rPr>
            </w:pPr>
          </w:p>
        </w:tc>
        <w:tc>
          <w:tcPr>
            <w:tcW w:w="851" w:type="dxa"/>
            <w:noWrap w:val="0"/>
            <w:vAlign w:val="top"/>
          </w:tcPr>
          <w:p w14:paraId="0C8262E8">
            <w:pPr>
              <w:pStyle w:val="13"/>
              <w:keepNext/>
              <w:spacing w:line="440" w:lineRule="exact"/>
              <w:ind w:left="63" w:right="63"/>
              <w:rPr>
                <w:color w:val="auto"/>
                <w:sz w:val="24"/>
                <w:highlight w:val="none"/>
              </w:rPr>
            </w:pPr>
          </w:p>
        </w:tc>
        <w:tc>
          <w:tcPr>
            <w:tcW w:w="774" w:type="dxa"/>
            <w:noWrap w:val="0"/>
            <w:vAlign w:val="top"/>
          </w:tcPr>
          <w:p w14:paraId="5433A10C">
            <w:pPr>
              <w:pStyle w:val="13"/>
              <w:keepNext/>
              <w:spacing w:line="440" w:lineRule="exact"/>
              <w:ind w:left="63" w:right="63"/>
              <w:rPr>
                <w:color w:val="auto"/>
                <w:sz w:val="24"/>
                <w:highlight w:val="none"/>
              </w:rPr>
            </w:pPr>
          </w:p>
        </w:tc>
        <w:tc>
          <w:tcPr>
            <w:tcW w:w="1352" w:type="dxa"/>
            <w:noWrap w:val="0"/>
            <w:vAlign w:val="top"/>
          </w:tcPr>
          <w:p w14:paraId="7EAD840F">
            <w:pPr>
              <w:pStyle w:val="13"/>
              <w:keepNext/>
              <w:spacing w:line="440" w:lineRule="exact"/>
              <w:ind w:left="63" w:right="63"/>
              <w:rPr>
                <w:color w:val="auto"/>
                <w:sz w:val="24"/>
                <w:highlight w:val="none"/>
              </w:rPr>
            </w:pPr>
          </w:p>
        </w:tc>
        <w:tc>
          <w:tcPr>
            <w:tcW w:w="1418" w:type="dxa"/>
            <w:noWrap w:val="0"/>
            <w:vAlign w:val="top"/>
          </w:tcPr>
          <w:p w14:paraId="5F0DA67B">
            <w:pPr>
              <w:pStyle w:val="13"/>
              <w:keepNext/>
              <w:spacing w:line="440" w:lineRule="exact"/>
              <w:ind w:left="63" w:right="63"/>
              <w:rPr>
                <w:color w:val="auto"/>
                <w:sz w:val="24"/>
                <w:highlight w:val="none"/>
              </w:rPr>
            </w:pPr>
          </w:p>
        </w:tc>
        <w:tc>
          <w:tcPr>
            <w:tcW w:w="1701" w:type="dxa"/>
            <w:noWrap w:val="0"/>
            <w:vAlign w:val="top"/>
          </w:tcPr>
          <w:p w14:paraId="71074774">
            <w:pPr>
              <w:pStyle w:val="13"/>
              <w:keepNext/>
              <w:spacing w:line="440" w:lineRule="exact"/>
              <w:ind w:left="63" w:right="63"/>
              <w:rPr>
                <w:color w:val="auto"/>
                <w:sz w:val="24"/>
                <w:highlight w:val="none"/>
              </w:rPr>
            </w:pPr>
          </w:p>
        </w:tc>
      </w:tr>
      <w:tr w14:paraId="0A6B2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1025DD">
            <w:pPr>
              <w:pStyle w:val="13"/>
              <w:keepNext/>
              <w:spacing w:line="440" w:lineRule="exact"/>
              <w:ind w:left="63" w:right="63"/>
              <w:rPr>
                <w:color w:val="auto"/>
                <w:sz w:val="24"/>
                <w:highlight w:val="none"/>
              </w:rPr>
            </w:pPr>
          </w:p>
        </w:tc>
        <w:tc>
          <w:tcPr>
            <w:tcW w:w="1984" w:type="dxa"/>
            <w:noWrap w:val="0"/>
            <w:vAlign w:val="top"/>
          </w:tcPr>
          <w:p w14:paraId="58C7F437">
            <w:pPr>
              <w:pStyle w:val="13"/>
              <w:keepNext/>
              <w:spacing w:line="440" w:lineRule="exact"/>
              <w:ind w:left="63" w:right="63"/>
              <w:rPr>
                <w:color w:val="auto"/>
                <w:sz w:val="24"/>
                <w:highlight w:val="none"/>
              </w:rPr>
            </w:pPr>
          </w:p>
        </w:tc>
        <w:tc>
          <w:tcPr>
            <w:tcW w:w="851" w:type="dxa"/>
            <w:noWrap w:val="0"/>
            <w:vAlign w:val="top"/>
          </w:tcPr>
          <w:p w14:paraId="0A4B62D0">
            <w:pPr>
              <w:pStyle w:val="13"/>
              <w:keepNext/>
              <w:spacing w:line="440" w:lineRule="exact"/>
              <w:ind w:left="63" w:right="63"/>
              <w:rPr>
                <w:color w:val="auto"/>
                <w:sz w:val="24"/>
                <w:highlight w:val="none"/>
              </w:rPr>
            </w:pPr>
          </w:p>
        </w:tc>
        <w:tc>
          <w:tcPr>
            <w:tcW w:w="774" w:type="dxa"/>
            <w:noWrap w:val="0"/>
            <w:vAlign w:val="top"/>
          </w:tcPr>
          <w:p w14:paraId="06BFABA3">
            <w:pPr>
              <w:pStyle w:val="13"/>
              <w:keepNext/>
              <w:spacing w:line="440" w:lineRule="exact"/>
              <w:ind w:left="63" w:right="63"/>
              <w:rPr>
                <w:color w:val="auto"/>
                <w:sz w:val="24"/>
                <w:highlight w:val="none"/>
              </w:rPr>
            </w:pPr>
          </w:p>
        </w:tc>
        <w:tc>
          <w:tcPr>
            <w:tcW w:w="1352" w:type="dxa"/>
            <w:noWrap w:val="0"/>
            <w:vAlign w:val="top"/>
          </w:tcPr>
          <w:p w14:paraId="1AD27CB7">
            <w:pPr>
              <w:pStyle w:val="13"/>
              <w:keepNext/>
              <w:spacing w:line="440" w:lineRule="exact"/>
              <w:ind w:left="63" w:right="63"/>
              <w:rPr>
                <w:color w:val="auto"/>
                <w:sz w:val="24"/>
                <w:highlight w:val="none"/>
              </w:rPr>
            </w:pPr>
          </w:p>
        </w:tc>
        <w:tc>
          <w:tcPr>
            <w:tcW w:w="1418" w:type="dxa"/>
            <w:noWrap w:val="0"/>
            <w:vAlign w:val="top"/>
          </w:tcPr>
          <w:p w14:paraId="37CF51D4">
            <w:pPr>
              <w:pStyle w:val="13"/>
              <w:keepNext/>
              <w:spacing w:line="440" w:lineRule="exact"/>
              <w:ind w:left="63" w:right="63"/>
              <w:rPr>
                <w:color w:val="auto"/>
                <w:sz w:val="24"/>
                <w:highlight w:val="none"/>
              </w:rPr>
            </w:pPr>
          </w:p>
        </w:tc>
        <w:tc>
          <w:tcPr>
            <w:tcW w:w="1701" w:type="dxa"/>
            <w:noWrap w:val="0"/>
            <w:vAlign w:val="top"/>
          </w:tcPr>
          <w:p w14:paraId="6D61C4C1">
            <w:pPr>
              <w:pStyle w:val="13"/>
              <w:keepNext/>
              <w:spacing w:line="440" w:lineRule="exact"/>
              <w:ind w:left="63" w:right="63"/>
              <w:rPr>
                <w:color w:val="auto"/>
                <w:sz w:val="24"/>
                <w:highlight w:val="none"/>
              </w:rPr>
            </w:pPr>
          </w:p>
        </w:tc>
      </w:tr>
      <w:tr w14:paraId="038B3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D62CFD">
            <w:pPr>
              <w:pStyle w:val="13"/>
              <w:keepNext/>
              <w:spacing w:line="440" w:lineRule="exact"/>
              <w:ind w:left="63" w:right="63"/>
              <w:rPr>
                <w:color w:val="auto"/>
                <w:sz w:val="24"/>
                <w:highlight w:val="none"/>
              </w:rPr>
            </w:pPr>
          </w:p>
        </w:tc>
        <w:tc>
          <w:tcPr>
            <w:tcW w:w="1984" w:type="dxa"/>
            <w:noWrap w:val="0"/>
            <w:vAlign w:val="top"/>
          </w:tcPr>
          <w:p w14:paraId="5C924BC6">
            <w:pPr>
              <w:pStyle w:val="13"/>
              <w:keepNext/>
              <w:spacing w:line="440" w:lineRule="exact"/>
              <w:ind w:left="63" w:right="63"/>
              <w:rPr>
                <w:color w:val="auto"/>
                <w:sz w:val="24"/>
                <w:highlight w:val="none"/>
              </w:rPr>
            </w:pPr>
          </w:p>
        </w:tc>
        <w:tc>
          <w:tcPr>
            <w:tcW w:w="851" w:type="dxa"/>
            <w:noWrap w:val="0"/>
            <w:vAlign w:val="top"/>
          </w:tcPr>
          <w:p w14:paraId="13F22AB5">
            <w:pPr>
              <w:pStyle w:val="13"/>
              <w:keepNext/>
              <w:spacing w:line="440" w:lineRule="exact"/>
              <w:ind w:left="63" w:right="63"/>
              <w:rPr>
                <w:color w:val="auto"/>
                <w:sz w:val="24"/>
                <w:highlight w:val="none"/>
              </w:rPr>
            </w:pPr>
          </w:p>
        </w:tc>
        <w:tc>
          <w:tcPr>
            <w:tcW w:w="774" w:type="dxa"/>
            <w:noWrap w:val="0"/>
            <w:vAlign w:val="top"/>
          </w:tcPr>
          <w:p w14:paraId="22AB1E89">
            <w:pPr>
              <w:pStyle w:val="13"/>
              <w:keepNext/>
              <w:spacing w:line="440" w:lineRule="exact"/>
              <w:ind w:left="63" w:right="63"/>
              <w:rPr>
                <w:color w:val="auto"/>
                <w:sz w:val="24"/>
                <w:highlight w:val="none"/>
              </w:rPr>
            </w:pPr>
          </w:p>
        </w:tc>
        <w:tc>
          <w:tcPr>
            <w:tcW w:w="1352" w:type="dxa"/>
            <w:noWrap w:val="0"/>
            <w:vAlign w:val="top"/>
          </w:tcPr>
          <w:p w14:paraId="4973D862">
            <w:pPr>
              <w:pStyle w:val="13"/>
              <w:keepNext/>
              <w:spacing w:line="440" w:lineRule="exact"/>
              <w:ind w:left="63" w:right="63"/>
              <w:rPr>
                <w:color w:val="auto"/>
                <w:sz w:val="24"/>
                <w:highlight w:val="none"/>
              </w:rPr>
            </w:pPr>
          </w:p>
        </w:tc>
        <w:tc>
          <w:tcPr>
            <w:tcW w:w="1418" w:type="dxa"/>
            <w:noWrap w:val="0"/>
            <w:vAlign w:val="top"/>
          </w:tcPr>
          <w:p w14:paraId="31E236F1">
            <w:pPr>
              <w:pStyle w:val="13"/>
              <w:keepNext/>
              <w:spacing w:line="440" w:lineRule="exact"/>
              <w:ind w:left="63" w:right="63"/>
              <w:rPr>
                <w:color w:val="auto"/>
                <w:sz w:val="24"/>
                <w:highlight w:val="none"/>
              </w:rPr>
            </w:pPr>
          </w:p>
        </w:tc>
        <w:tc>
          <w:tcPr>
            <w:tcW w:w="1701" w:type="dxa"/>
            <w:noWrap w:val="0"/>
            <w:vAlign w:val="top"/>
          </w:tcPr>
          <w:p w14:paraId="56F0C07D">
            <w:pPr>
              <w:pStyle w:val="13"/>
              <w:keepNext/>
              <w:spacing w:line="440" w:lineRule="exact"/>
              <w:ind w:left="63" w:right="63"/>
              <w:rPr>
                <w:color w:val="auto"/>
                <w:sz w:val="24"/>
                <w:highlight w:val="none"/>
              </w:rPr>
            </w:pPr>
          </w:p>
        </w:tc>
      </w:tr>
      <w:tr w14:paraId="5D81F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3DE509">
            <w:pPr>
              <w:pStyle w:val="13"/>
              <w:keepNext/>
              <w:spacing w:line="440" w:lineRule="exact"/>
              <w:ind w:left="63" w:right="63"/>
              <w:rPr>
                <w:color w:val="auto"/>
                <w:sz w:val="24"/>
                <w:highlight w:val="none"/>
              </w:rPr>
            </w:pPr>
          </w:p>
        </w:tc>
        <w:tc>
          <w:tcPr>
            <w:tcW w:w="1984" w:type="dxa"/>
            <w:noWrap w:val="0"/>
            <w:vAlign w:val="top"/>
          </w:tcPr>
          <w:p w14:paraId="272F5280">
            <w:pPr>
              <w:pStyle w:val="13"/>
              <w:keepNext/>
              <w:spacing w:line="440" w:lineRule="exact"/>
              <w:ind w:left="63" w:right="63"/>
              <w:rPr>
                <w:color w:val="auto"/>
                <w:sz w:val="24"/>
                <w:highlight w:val="none"/>
              </w:rPr>
            </w:pPr>
          </w:p>
        </w:tc>
        <w:tc>
          <w:tcPr>
            <w:tcW w:w="851" w:type="dxa"/>
            <w:noWrap w:val="0"/>
            <w:vAlign w:val="top"/>
          </w:tcPr>
          <w:p w14:paraId="5C058143">
            <w:pPr>
              <w:pStyle w:val="13"/>
              <w:keepNext/>
              <w:spacing w:line="440" w:lineRule="exact"/>
              <w:ind w:left="63" w:right="63"/>
              <w:rPr>
                <w:color w:val="auto"/>
                <w:sz w:val="24"/>
                <w:highlight w:val="none"/>
              </w:rPr>
            </w:pPr>
          </w:p>
        </w:tc>
        <w:tc>
          <w:tcPr>
            <w:tcW w:w="774" w:type="dxa"/>
            <w:noWrap w:val="0"/>
            <w:vAlign w:val="top"/>
          </w:tcPr>
          <w:p w14:paraId="432D43A1">
            <w:pPr>
              <w:pStyle w:val="13"/>
              <w:keepNext/>
              <w:spacing w:line="440" w:lineRule="exact"/>
              <w:ind w:left="63" w:right="63"/>
              <w:rPr>
                <w:color w:val="auto"/>
                <w:sz w:val="24"/>
                <w:highlight w:val="none"/>
              </w:rPr>
            </w:pPr>
          </w:p>
        </w:tc>
        <w:tc>
          <w:tcPr>
            <w:tcW w:w="1352" w:type="dxa"/>
            <w:noWrap w:val="0"/>
            <w:vAlign w:val="top"/>
          </w:tcPr>
          <w:p w14:paraId="63763AA2">
            <w:pPr>
              <w:pStyle w:val="13"/>
              <w:keepNext/>
              <w:spacing w:line="440" w:lineRule="exact"/>
              <w:ind w:left="63" w:right="63"/>
              <w:rPr>
                <w:color w:val="auto"/>
                <w:sz w:val="24"/>
                <w:highlight w:val="none"/>
              </w:rPr>
            </w:pPr>
          </w:p>
        </w:tc>
        <w:tc>
          <w:tcPr>
            <w:tcW w:w="1418" w:type="dxa"/>
            <w:noWrap w:val="0"/>
            <w:vAlign w:val="top"/>
          </w:tcPr>
          <w:p w14:paraId="1654C2B2">
            <w:pPr>
              <w:pStyle w:val="13"/>
              <w:keepNext/>
              <w:spacing w:line="440" w:lineRule="exact"/>
              <w:ind w:left="63" w:right="63"/>
              <w:rPr>
                <w:color w:val="auto"/>
                <w:sz w:val="24"/>
                <w:highlight w:val="none"/>
              </w:rPr>
            </w:pPr>
          </w:p>
        </w:tc>
        <w:tc>
          <w:tcPr>
            <w:tcW w:w="1701" w:type="dxa"/>
            <w:noWrap w:val="0"/>
            <w:vAlign w:val="top"/>
          </w:tcPr>
          <w:p w14:paraId="4FB1786B">
            <w:pPr>
              <w:pStyle w:val="13"/>
              <w:keepNext/>
              <w:spacing w:line="440" w:lineRule="exact"/>
              <w:ind w:left="63" w:right="63"/>
              <w:rPr>
                <w:color w:val="auto"/>
                <w:sz w:val="24"/>
                <w:highlight w:val="none"/>
              </w:rPr>
            </w:pPr>
          </w:p>
        </w:tc>
      </w:tr>
      <w:tr w14:paraId="1ACCC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B007C">
            <w:pPr>
              <w:pStyle w:val="13"/>
              <w:keepNext/>
              <w:spacing w:line="440" w:lineRule="exact"/>
              <w:ind w:left="63" w:right="63"/>
              <w:rPr>
                <w:color w:val="auto"/>
                <w:sz w:val="24"/>
                <w:highlight w:val="none"/>
              </w:rPr>
            </w:pPr>
          </w:p>
        </w:tc>
        <w:tc>
          <w:tcPr>
            <w:tcW w:w="1984" w:type="dxa"/>
            <w:noWrap w:val="0"/>
            <w:vAlign w:val="top"/>
          </w:tcPr>
          <w:p w14:paraId="0BC53D8C">
            <w:pPr>
              <w:pStyle w:val="13"/>
              <w:keepNext/>
              <w:spacing w:line="440" w:lineRule="exact"/>
              <w:ind w:left="63" w:right="63"/>
              <w:rPr>
                <w:color w:val="auto"/>
                <w:sz w:val="24"/>
                <w:highlight w:val="none"/>
              </w:rPr>
            </w:pPr>
          </w:p>
        </w:tc>
        <w:tc>
          <w:tcPr>
            <w:tcW w:w="851" w:type="dxa"/>
            <w:noWrap w:val="0"/>
            <w:vAlign w:val="top"/>
          </w:tcPr>
          <w:p w14:paraId="4A0946C3">
            <w:pPr>
              <w:pStyle w:val="13"/>
              <w:keepNext/>
              <w:spacing w:line="440" w:lineRule="exact"/>
              <w:ind w:left="63" w:right="63"/>
              <w:rPr>
                <w:color w:val="auto"/>
                <w:sz w:val="24"/>
                <w:highlight w:val="none"/>
              </w:rPr>
            </w:pPr>
          </w:p>
        </w:tc>
        <w:tc>
          <w:tcPr>
            <w:tcW w:w="774" w:type="dxa"/>
            <w:noWrap w:val="0"/>
            <w:vAlign w:val="top"/>
          </w:tcPr>
          <w:p w14:paraId="5BCF00D5">
            <w:pPr>
              <w:pStyle w:val="13"/>
              <w:keepNext/>
              <w:spacing w:line="440" w:lineRule="exact"/>
              <w:ind w:left="63" w:right="63"/>
              <w:rPr>
                <w:color w:val="auto"/>
                <w:sz w:val="24"/>
                <w:highlight w:val="none"/>
              </w:rPr>
            </w:pPr>
          </w:p>
        </w:tc>
        <w:tc>
          <w:tcPr>
            <w:tcW w:w="1352" w:type="dxa"/>
            <w:noWrap w:val="0"/>
            <w:vAlign w:val="top"/>
          </w:tcPr>
          <w:p w14:paraId="60C22F33">
            <w:pPr>
              <w:pStyle w:val="13"/>
              <w:keepNext/>
              <w:spacing w:line="440" w:lineRule="exact"/>
              <w:ind w:left="63" w:right="63"/>
              <w:rPr>
                <w:color w:val="auto"/>
                <w:sz w:val="24"/>
                <w:highlight w:val="none"/>
              </w:rPr>
            </w:pPr>
          </w:p>
        </w:tc>
        <w:tc>
          <w:tcPr>
            <w:tcW w:w="1418" w:type="dxa"/>
            <w:noWrap w:val="0"/>
            <w:vAlign w:val="top"/>
          </w:tcPr>
          <w:p w14:paraId="191E22BA">
            <w:pPr>
              <w:pStyle w:val="13"/>
              <w:keepNext/>
              <w:spacing w:line="440" w:lineRule="exact"/>
              <w:ind w:left="63" w:right="63"/>
              <w:rPr>
                <w:color w:val="auto"/>
                <w:sz w:val="24"/>
                <w:highlight w:val="none"/>
              </w:rPr>
            </w:pPr>
          </w:p>
        </w:tc>
        <w:tc>
          <w:tcPr>
            <w:tcW w:w="1701" w:type="dxa"/>
            <w:noWrap w:val="0"/>
            <w:vAlign w:val="top"/>
          </w:tcPr>
          <w:p w14:paraId="1C38ABC9">
            <w:pPr>
              <w:pStyle w:val="13"/>
              <w:keepNext/>
              <w:spacing w:line="440" w:lineRule="exact"/>
              <w:ind w:left="63" w:right="63"/>
              <w:rPr>
                <w:color w:val="auto"/>
                <w:sz w:val="24"/>
                <w:highlight w:val="none"/>
              </w:rPr>
            </w:pPr>
          </w:p>
        </w:tc>
      </w:tr>
      <w:tr w14:paraId="29C18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D1AA3B">
            <w:pPr>
              <w:pStyle w:val="13"/>
              <w:keepNext/>
              <w:spacing w:line="440" w:lineRule="exact"/>
              <w:ind w:left="63" w:right="63"/>
              <w:rPr>
                <w:color w:val="auto"/>
                <w:sz w:val="24"/>
                <w:highlight w:val="none"/>
              </w:rPr>
            </w:pPr>
          </w:p>
        </w:tc>
        <w:tc>
          <w:tcPr>
            <w:tcW w:w="1984" w:type="dxa"/>
            <w:noWrap w:val="0"/>
            <w:vAlign w:val="top"/>
          </w:tcPr>
          <w:p w14:paraId="0EA735BD">
            <w:pPr>
              <w:pStyle w:val="13"/>
              <w:keepNext/>
              <w:spacing w:line="440" w:lineRule="exact"/>
              <w:ind w:left="63" w:right="63"/>
              <w:rPr>
                <w:color w:val="auto"/>
                <w:sz w:val="24"/>
                <w:highlight w:val="none"/>
              </w:rPr>
            </w:pPr>
          </w:p>
        </w:tc>
        <w:tc>
          <w:tcPr>
            <w:tcW w:w="851" w:type="dxa"/>
            <w:noWrap w:val="0"/>
            <w:vAlign w:val="top"/>
          </w:tcPr>
          <w:p w14:paraId="0C3657C9">
            <w:pPr>
              <w:pStyle w:val="13"/>
              <w:keepNext/>
              <w:spacing w:line="440" w:lineRule="exact"/>
              <w:ind w:left="63" w:right="63"/>
              <w:rPr>
                <w:color w:val="auto"/>
                <w:sz w:val="24"/>
                <w:highlight w:val="none"/>
              </w:rPr>
            </w:pPr>
          </w:p>
        </w:tc>
        <w:tc>
          <w:tcPr>
            <w:tcW w:w="774" w:type="dxa"/>
            <w:noWrap w:val="0"/>
            <w:vAlign w:val="top"/>
          </w:tcPr>
          <w:p w14:paraId="5A4AA5A4">
            <w:pPr>
              <w:pStyle w:val="13"/>
              <w:keepNext/>
              <w:spacing w:line="440" w:lineRule="exact"/>
              <w:ind w:left="63" w:right="63"/>
              <w:rPr>
                <w:color w:val="auto"/>
                <w:sz w:val="24"/>
                <w:highlight w:val="none"/>
              </w:rPr>
            </w:pPr>
          </w:p>
        </w:tc>
        <w:tc>
          <w:tcPr>
            <w:tcW w:w="1352" w:type="dxa"/>
            <w:noWrap w:val="0"/>
            <w:vAlign w:val="top"/>
          </w:tcPr>
          <w:p w14:paraId="6E52F1B1">
            <w:pPr>
              <w:pStyle w:val="13"/>
              <w:keepNext/>
              <w:spacing w:line="440" w:lineRule="exact"/>
              <w:ind w:left="63" w:right="63"/>
              <w:rPr>
                <w:color w:val="auto"/>
                <w:sz w:val="24"/>
                <w:highlight w:val="none"/>
              </w:rPr>
            </w:pPr>
          </w:p>
        </w:tc>
        <w:tc>
          <w:tcPr>
            <w:tcW w:w="1418" w:type="dxa"/>
            <w:noWrap w:val="0"/>
            <w:vAlign w:val="top"/>
          </w:tcPr>
          <w:p w14:paraId="5C46446C">
            <w:pPr>
              <w:pStyle w:val="13"/>
              <w:keepNext/>
              <w:spacing w:line="440" w:lineRule="exact"/>
              <w:ind w:left="63" w:right="63"/>
              <w:rPr>
                <w:color w:val="auto"/>
                <w:sz w:val="24"/>
                <w:highlight w:val="none"/>
              </w:rPr>
            </w:pPr>
          </w:p>
        </w:tc>
        <w:tc>
          <w:tcPr>
            <w:tcW w:w="1701" w:type="dxa"/>
            <w:noWrap w:val="0"/>
            <w:vAlign w:val="top"/>
          </w:tcPr>
          <w:p w14:paraId="0E8DFD52">
            <w:pPr>
              <w:pStyle w:val="13"/>
              <w:keepNext/>
              <w:spacing w:line="440" w:lineRule="exact"/>
              <w:ind w:left="63" w:right="63"/>
              <w:rPr>
                <w:color w:val="auto"/>
                <w:sz w:val="24"/>
                <w:highlight w:val="none"/>
              </w:rPr>
            </w:pPr>
          </w:p>
        </w:tc>
      </w:tr>
      <w:tr w14:paraId="6A42A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63142C">
            <w:pPr>
              <w:pStyle w:val="13"/>
              <w:keepNext/>
              <w:spacing w:line="440" w:lineRule="exact"/>
              <w:ind w:left="63" w:right="63"/>
              <w:rPr>
                <w:color w:val="auto"/>
                <w:sz w:val="24"/>
                <w:highlight w:val="none"/>
              </w:rPr>
            </w:pPr>
          </w:p>
        </w:tc>
        <w:tc>
          <w:tcPr>
            <w:tcW w:w="1984" w:type="dxa"/>
            <w:noWrap w:val="0"/>
            <w:vAlign w:val="top"/>
          </w:tcPr>
          <w:p w14:paraId="5A767484">
            <w:pPr>
              <w:pStyle w:val="13"/>
              <w:keepNext/>
              <w:spacing w:line="440" w:lineRule="exact"/>
              <w:ind w:left="63" w:right="63"/>
              <w:rPr>
                <w:color w:val="auto"/>
                <w:sz w:val="24"/>
                <w:highlight w:val="none"/>
              </w:rPr>
            </w:pPr>
          </w:p>
        </w:tc>
        <w:tc>
          <w:tcPr>
            <w:tcW w:w="851" w:type="dxa"/>
            <w:noWrap w:val="0"/>
            <w:vAlign w:val="top"/>
          </w:tcPr>
          <w:p w14:paraId="28CDAE2D">
            <w:pPr>
              <w:pStyle w:val="13"/>
              <w:keepNext/>
              <w:spacing w:line="440" w:lineRule="exact"/>
              <w:ind w:left="63" w:right="63"/>
              <w:rPr>
                <w:color w:val="auto"/>
                <w:sz w:val="24"/>
                <w:highlight w:val="none"/>
              </w:rPr>
            </w:pPr>
          </w:p>
        </w:tc>
        <w:tc>
          <w:tcPr>
            <w:tcW w:w="774" w:type="dxa"/>
            <w:noWrap w:val="0"/>
            <w:vAlign w:val="top"/>
          </w:tcPr>
          <w:p w14:paraId="026B7402">
            <w:pPr>
              <w:pStyle w:val="13"/>
              <w:keepNext/>
              <w:spacing w:line="440" w:lineRule="exact"/>
              <w:ind w:left="63" w:right="63"/>
              <w:rPr>
                <w:color w:val="auto"/>
                <w:sz w:val="24"/>
                <w:highlight w:val="none"/>
              </w:rPr>
            </w:pPr>
          </w:p>
        </w:tc>
        <w:tc>
          <w:tcPr>
            <w:tcW w:w="1352" w:type="dxa"/>
            <w:noWrap w:val="0"/>
            <w:vAlign w:val="top"/>
          </w:tcPr>
          <w:p w14:paraId="62744536">
            <w:pPr>
              <w:pStyle w:val="13"/>
              <w:keepNext/>
              <w:spacing w:line="440" w:lineRule="exact"/>
              <w:ind w:left="63" w:right="63"/>
              <w:rPr>
                <w:color w:val="auto"/>
                <w:sz w:val="24"/>
                <w:highlight w:val="none"/>
              </w:rPr>
            </w:pPr>
          </w:p>
        </w:tc>
        <w:tc>
          <w:tcPr>
            <w:tcW w:w="1418" w:type="dxa"/>
            <w:noWrap w:val="0"/>
            <w:vAlign w:val="top"/>
          </w:tcPr>
          <w:p w14:paraId="5BE21E25">
            <w:pPr>
              <w:pStyle w:val="13"/>
              <w:keepNext/>
              <w:spacing w:line="440" w:lineRule="exact"/>
              <w:ind w:left="63" w:right="63"/>
              <w:rPr>
                <w:color w:val="auto"/>
                <w:sz w:val="24"/>
                <w:highlight w:val="none"/>
              </w:rPr>
            </w:pPr>
          </w:p>
        </w:tc>
        <w:tc>
          <w:tcPr>
            <w:tcW w:w="1701" w:type="dxa"/>
            <w:noWrap w:val="0"/>
            <w:vAlign w:val="top"/>
          </w:tcPr>
          <w:p w14:paraId="1343206D">
            <w:pPr>
              <w:pStyle w:val="13"/>
              <w:keepNext/>
              <w:spacing w:line="440" w:lineRule="exact"/>
              <w:ind w:left="63" w:right="63"/>
              <w:rPr>
                <w:color w:val="auto"/>
                <w:sz w:val="24"/>
                <w:highlight w:val="none"/>
              </w:rPr>
            </w:pPr>
          </w:p>
        </w:tc>
      </w:tr>
      <w:tr w14:paraId="40FE4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B4262">
            <w:pPr>
              <w:pStyle w:val="13"/>
              <w:keepNext/>
              <w:spacing w:line="440" w:lineRule="exact"/>
              <w:ind w:left="63" w:right="63"/>
              <w:rPr>
                <w:color w:val="auto"/>
                <w:sz w:val="24"/>
                <w:highlight w:val="none"/>
              </w:rPr>
            </w:pPr>
          </w:p>
        </w:tc>
        <w:tc>
          <w:tcPr>
            <w:tcW w:w="1984" w:type="dxa"/>
            <w:noWrap w:val="0"/>
            <w:vAlign w:val="top"/>
          </w:tcPr>
          <w:p w14:paraId="332662E1">
            <w:pPr>
              <w:pStyle w:val="13"/>
              <w:keepNext/>
              <w:spacing w:line="440" w:lineRule="exact"/>
              <w:ind w:left="63" w:right="63"/>
              <w:rPr>
                <w:color w:val="auto"/>
                <w:sz w:val="24"/>
                <w:highlight w:val="none"/>
              </w:rPr>
            </w:pPr>
          </w:p>
        </w:tc>
        <w:tc>
          <w:tcPr>
            <w:tcW w:w="851" w:type="dxa"/>
            <w:noWrap w:val="0"/>
            <w:vAlign w:val="top"/>
          </w:tcPr>
          <w:p w14:paraId="16B4D6FE">
            <w:pPr>
              <w:pStyle w:val="13"/>
              <w:keepNext/>
              <w:spacing w:line="440" w:lineRule="exact"/>
              <w:ind w:left="63" w:right="63"/>
              <w:rPr>
                <w:color w:val="auto"/>
                <w:sz w:val="24"/>
                <w:highlight w:val="none"/>
              </w:rPr>
            </w:pPr>
          </w:p>
        </w:tc>
        <w:tc>
          <w:tcPr>
            <w:tcW w:w="774" w:type="dxa"/>
            <w:noWrap w:val="0"/>
            <w:vAlign w:val="top"/>
          </w:tcPr>
          <w:p w14:paraId="45CF0E77">
            <w:pPr>
              <w:pStyle w:val="13"/>
              <w:keepNext/>
              <w:spacing w:line="440" w:lineRule="exact"/>
              <w:ind w:left="63" w:right="63"/>
              <w:rPr>
                <w:color w:val="auto"/>
                <w:sz w:val="24"/>
                <w:highlight w:val="none"/>
              </w:rPr>
            </w:pPr>
          </w:p>
        </w:tc>
        <w:tc>
          <w:tcPr>
            <w:tcW w:w="1352" w:type="dxa"/>
            <w:noWrap w:val="0"/>
            <w:vAlign w:val="top"/>
          </w:tcPr>
          <w:p w14:paraId="351C54B7">
            <w:pPr>
              <w:pStyle w:val="13"/>
              <w:keepNext/>
              <w:spacing w:line="440" w:lineRule="exact"/>
              <w:ind w:left="63" w:right="63"/>
              <w:rPr>
                <w:color w:val="auto"/>
                <w:sz w:val="24"/>
                <w:highlight w:val="none"/>
              </w:rPr>
            </w:pPr>
          </w:p>
        </w:tc>
        <w:tc>
          <w:tcPr>
            <w:tcW w:w="1418" w:type="dxa"/>
            <w:noWrap w:val="0"/>
            <w:vAlign w:val="top"/>
          </w:tcPr>
          <w:p w14:paraId="19AF77C9">
            <w:pPr>
              <w:pStyle w:val="13"/>
              <w:keepNext/>
              <w:spacing w:line="440" w:lineRule="exact"/>
              <w:ind w:left="63" w:right="63"/>
              <w:rPr>
                <w:color w:val="auto"/>
                <w:sz w:val="24"/>
                <w:highlight w:val="none"/>
              </w:rPr>
            </w:pPr>
          </w:p>
        </w:tc>
        <w:tc>
          <w:tcPr>
            <w:tcW w:w="1701" w:type="dxa"/>
            <w:noWrap w:val="0"/>
            <w:vAlign w:val="top"/>
          </w:tcPr>
          <w:p w14:paraId="7676256C">
            <w:pPr>
              <w:pStyle w:val="13"/>
              <w:keepNext/>
              <w:spacing w:line="440" w:lineRule="exact"/>
              <w:ind w:left="63" w:right="63"/>
              <w:rPr>
                <w:color w:val="auto"/>
                <w:sz w:val="24"/>
                <w:highlight w:val="none"/>
              </w:rPr>
            </w:pPr>
          </w:p>
        </w:tc>
      </w:tr>
      <w:tr w14:paraId="621E7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8159E0">
            <w:pPr>
              <w:pStyle w:val="13"/>
              <w:keepNext/>
              <w:spacing w:line="440" w:lineRule="exact"/>
              <w:ind w:left="63" w:right="63"/>
              <w:rPr>
                <w:color w:val="auto"/>
                <w:sz w:val="24"/>
                <w:highlight w:val="none"/>
              </w:rPr>
            </w:pPr>
          </w:p>
        </w:tc>
        <w:tc>
          <w:tcPr>
            <w:tcW w:w="1984" w:type="dxa"/>
            <w:noWrap w:val="0"/>
            <w:vAlign w:val="top"/>
          </w:tcPr>
          <w:p w14:paraId="58325EC0">
            <w:pPr>
              <w:pStyle w:val="13"/>
              <w:keepNext/>
              <w:spacing w:line="440" w:lineRule="exact"/>
              <w:ind w:left="63" w:right="63"/>
              <w:rPr>
                <w:color w:val="auto"/>
                <w:sz w:val="24"/>
                <w:highlight w:val="none"/>
              </w:rPr>
            </w:pPr>
          </w:p>
        </w:tc>
        <w:tc>
          <w:tcPr>
            <w:tcW w:w="851" w:type="dxa"/>
            <w:noWrap w:val="0"/>
            <w:vAlign w:val="top"/>
          </w:tcPr>
          <w:p w14:paraId="57574691">
            <w:pPr>
              <w:pStyle w:val="13"/>
              <w:keepNext/>
              <w:spacing w:line="440" w:lineRule="exact"/>
              <w:ind w:left="63" w:right="63"/>
              <w:rPr>
                <w:color w:val="auto"/>
                <w:sz w:val="24"/>
                <w:highlight w:val="none"/>
              </w:rPr>
            </w:pPr>
          </w:p>
        </w:tc>
        <w:tc>
          <w:tcPr>
            <w:tcW w:w="774" w:type="dxa"/>
            <w:noWrap w:val="0"/>
            <w:vAlign w:val="top"/>
          </w:tcPr>
          <w:p w14:paraId="3C05AAA4">
            <w:pPr>
              <w:pStyle w:val="13"/>
              <w:keepNext/>
              <w:spacing w:line="440" w:lineRule="exact"/>
              <w:ind w:left="63" w:right="63"/>
              <w:rPr>
                <w:color w:val="auto"/>
                <w:sz w:val="24"/>
                <w:highlight w:val="none"/>
              </w:rPr>
            </w:pPr>
          </w:p>
        </w:tc>
        <w:tc>
          <w:tcPr>
            <w:tcW w:w="1352" w:type="dxa"/>
            <w:noWrap w:val="0"/>
            <w:vAlign w:val="top"/>
          </w:tcPr>
          <w:p w14:paraId="2BC669B0">
            <w:pPr>
              <w:pStyle w:val="13"/>
              <w:keepNext/>
              <w:spacing w:line="440" w:lineRule="exact"/>
              <w:ind w:left="63" w:right="63"/>
              <w:rPr>
                <w:color w:val="auto"/>
                <w:sz w:val="24"/>
                <w:highlight w:val="none"/>
              </w:rPr>
            </w:pPr>
          </w:p>
        </w:tc>
        <w:tc>
          <w:tcPr>
            <w:tcW w:w="1418" w:type="dxa"/>
            <w:noWrap w:val="0"/>
            <w:vAlign w:val="top"/>
          </w:tcPr>
          <w:p w14:paraId="394AAE20">
            <w:pPr>
              <w:pStyle w:val="13"/>
              <w:keepNext/>
              <w:spacing w:line="440" w:lineRule="exact"/>
              <w:ind w:left="63" w:right="63"/>
              <w:rPr>
                <w:color w:val="auto"/>
                <w:sz w:val="24"/>
                <w:highlight w:val="none"/>
              </w:rPr>
            </w:pPr>
          </w:p>
        </w:tc>
        <w:tc>
          <w:tcPr>
            <w:tcW w:w="1701" w:type="dxa"/>
            <w:noWrap w:val="0"/>
            <w:vAlign w:val="top"/>
          </w:tcPr>
          <w:p w14:paraId="22119E7B">
            <w:pPr>
              <w:pStyle w:val="13"/>
              <w:keepNext/>
              <w:spacing w:line="440" w:lineRule="exact"/>
              <w:ind w:left="63" w:right="63"/>
              <w:rPr>
                <w:color w:val="auto"/>
                <w:sz w:val="24"/>
                <w:highlight w:val="none"/>
              </w:rPr>
            </w:pPr>
          </w:p>
        </w:tc>
      </w:tr>
      <w:tr w14:paraId="0B743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620DAFD0">
            <w:pPr>
              <w:pStyle w:val="13"/>
              <w:keepNext/>
              <w:spacing w:line="440" w:lineRule="exact"/>
              <w:ind w:left="63" w:right="63"/>
              <w:rPr>
                <w:color w:val="auto"/>
                <w:sz w:val="24"/>
                <w:highlight w:val="none"/>
              </w:rPr>
            </w:pPr>
          </w:p>
        </w:tc>
        <w:tc>
          <w:tcPr>
            <w:tcW w:w="1984" w:type="dxa"/>
            <w:noWrap w:val="0"/>
            <w:vAlign w:val="top"/>
          </w:tcPr>
          <w:p w14:paraId="4F5A2EE8">
            <w:pPr>
              <w:pStyle w:val="13"/>
              <w:keepNext/>
              <w:spacing w:line="440" w:lineRule="exact"/>
              <w:ind w:left="63" w:right="63"/>
              <w:rPr>
                <w:color w:val="auto"/>
                <w:sz w:val="24"/>
                <w:highlight w:val="none"/>
              </w:rPr>
            </w:pPr>
          </w:p>
        </w:tc>
        <w:tc>
          <w:tcPr>
            <w:tcW w:w="851" w:type="dxa"/>
            <w:noWrap w:val="0"/>
            <w:vAlign w:val="top"/>
          </w:tcPr>
          <w:p w14:paraId="273A587A">
            <w:pPr>
              <w:pStyle w:val="13"/>
              <w:keepNext/>
              <w:spacing w:line="440" w:lineRule="exact"/>
              <w:ind w:left="63" w:right="63"/>
              <w:rPr>
                <w:color w:val="auto"/>
                <w:sz w:val="24"/>
                <w:highlight w:val="none"/>
              </w:rPr>
            </w:pPr>
          </w:p>
        </w:tc>
        <w:tc>
          <w:tcPr>
            <w:tcW w:w="774" w:type="dxa"/>
            <w:noWrap w:val="0"/>
            <w:vAlign w:val="top"/>
          </w:tcPr>
          <w:p w14:paraId="77AFB6A7">
            <w:pPr>
              <w:pStyle w:val="13"/>
              <w:keepNext/>
              <w:spacing w:line="440" w:lineRule="exact"/>
              <w:ind w:left="63" w:right="63"/>
              <w:rPr>
                <w:color w:val="auto"/>
                <w:sz w:val="24"/>
                <w:highlight w:val="none"/>
              </w:rPr>
            </w:pPr>
          </w:p>
        </w:tc>
        <w:tc>
          <w:tcPr>
            <w:tcW w:w="1352" w:type="dxa"/>
            <w:noWrap w:val="0"/>
            <w:vAlign w:val="top"/>
          </w:tcPr>
          <w:p w14:paraId="5F79DB4B">
            <w:pPr>
              <w:pStyle w:val="13"/>
              <w:keepNext/>
              <w:spacing w:line="440" w:lineRule="exact"/>
              <w:ind w:left="63" w:right="63"/>
              <w:rPr>
                <w:color w:val="auto"/>
                <w:sz w:val="24"/>
                <w:highlight w:val="none"/>
              </w:rPr>
            </w:pPr>
          </w:p>
        </w:tc>
        <w:tc>
          <w:tcPr>
            <w:tcW w:w="1418" w:type="dxa"/>
            <w:noWrap w:val="0"/>
            <w:vAlign w:val="top"/>
          </w:tcPr>
          <w:p w14:paraId="3BFD431C">
            <w:pPr>
              <w:pStyle w:val="13"/>
              <w:keepNext/>
              <w:spacing w:line="440" w:lineRule="exact"/>
              <w:ind w:left="63" w:right="63"/>
              <w:rPr>
                <w:color w:val="auto"/>
                <w:sz w:val="24"/>
                <w:highlight w:val="none"/>
              </w:rPr>
            </w:pPr>
          </w:p>
        </w:tc>
        <w:tc>
          <w:tcPr>
            <w:tcW w:w="1701" w:type="dxa"/>
            <w:noWrap w:val="0"/>
            <w:vAlign w:val="top"/>
          </w:tcPr>
          <w:p w14:paraId="0CA67AAD">
            <w:pPr>
              <w:pStyle w:val="13"/>
              <w:keepNext/>
              <w:spacing w:line="440" w:lineRule="exact"/>
              <w:ind w:left="63" w:right="63"/>
              <w:rPr>
                <w:color w:val="auto"/>
                <w:sz w:val="24"/>
                <w:highlight w:val="none"/>
              </w:rPr>
            </w:pPr>
          </w:p>
        </w:tc>
      </w:tr>
      <w:tr w14:paraId="44CF9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099B034D">
            <w:pPr>
              <w:pStyle w:val="13"/>
              <w:keepNext/>
              <w:spacing w:line="440" w:lineRule="exact"/>
              <w:ind w:left="63" w:right="63"/>
              <w:rPr>
                <w:color w:val="auto"/>
                <w:sz w:val="24"/>
                <w:highlight w:val="none"/>
              </w:rPr>
            </w:pPr>
          </w:p>
        </w:tc>
        <w:tc>
          <w:tcPr>
            <w:tcW w:w="1984" w:type="dxa"/>
            <w:noWrap w:val="0"/>
            <w:vAlign w:val="top"/>
          </w:tcPr>
          <w:p w14:paraId="46CC23EA">
            <w:pPr>
              <w:pStyle w:val="13"/>
              <w:keepNext/>
              <w:spacing w:line="440" w:lineRule="exact"/>
              <w:ind w:left="63" w:right="63"/>
              <w:rPr>
                <w:color w:val="auto"/>
                <w:sz w:val="24"/>
                <w:highlight w:val="none"/>
              </w:rPr>
            </w:pPr>
          </w:p>
        </w:tc>
        <w:tc>
          <w:tcPr>
            <w:tcW w:w="851" w:type="dxa"/>
            <w:noWrap w:val="0"/>
            <w:vAlign w:val="top"/>
          </w:tcPr>
          <w:p w14:paraId="3DDEE03E">
            <w:pPr>
              <w:pStyle w:val="13"/>
              <w:keepNext/>
              <w:spacing w:line="440" w:lineRule="exact"/>
              <w:ind w:left="63" w:right="63"/>
              <w:rPr>
                <w:color w:val="auto"/>
                <w:sz w:val="24"/>
                <w:highlight w:val="none"/>
              </w:rPr>
            </w:pPr>
          </w:p>
        </w:tc>
        <w:tc>
          <w:tcPr>
            <w:tcW w:w="774" w:type="dxa"/>
            <w:noWrap w:val="0"/>
            <w:vAlign w:val="top"/>
          </w:tcPr>
          <w:p w14:paraId="170FE8AE">
            <w:pPr>
              <w:pStyle w:val="13"/>
              <w:keepNext/>
              <w:spacing w:line="440" w:lineRule="exact"/>
              <w:ind w:left="63" w:right="63"/>
              <w:rPr>
                <w:color w:val="auto"/>
                <w:sz w:val="24"/>
                <w:highlight w:val="none"/>
              </w:rPr>
            </w:pPr>
          </w:p>
        </w:tc>
        <w:tc>
          <w:tcPr>
            <w:tcW w:w="1352" w:type="dxa"/>
            <w:noWrap w:val="0"/>
            <w:vAlign w:val="top"/>
          </w:tcPr>
          <w:p w14:paraId="20F78736">
            <w:pPr>
              <w:pStyle w:val="13"/>
              <w:keepNext/>
              <w:spacing w:line="440" w:lineRule="exact"/>
              <w:ind w:left="63" w:right="63"/>
              <w:rPr>
                <w:color w:val="auto"/>
                <w:sz w:val="24"/>
                <w:highlight w:val="none"/>
              </w:rPr>
            </w:pPr>
          </w:p>
        </w:tc>
        <w:tc>
          <w:tcPr>
            <w:tcW w:w="1418" w:type="dxa"/>
            <w:noWrap w:val="0"/>
            <w:vAlign w:val="top"/>
          </w:tcPr>
          <w:p w14:paraId="350216C8">
            <w:pPr>
              <w:pStyle w:val="13"/>
              <w:keepNext/>
              <w:spacing w:line="440" w:lineRule="exact"/>
              <w:ind w:left="63" w:right="63"/>
              <w:rPr>
                <w:color w:val="auto"/>
                <w:sz w:val="24"/>
                <w:highlight w:val="none"/>
              </w:rPr>
            </w:pPr>
          </w:p>
        </w:tc>
        <w:tc>
          <w:tcPr>
            <w:tcW w:w="1701" w:type="dxa"/>
            <w:noWrap w:val="0"/>
            <w:vAlign w:val="top"/>
          </w:tcPr>
          <w:p w14:paraId="1D5A780F">
            <w:pPr>
              <w:pStyle w:val="13"/>
              <w:keepNext/>
              <w:spacing w:line="440" w:lineRule="exact"/>
              <w:ind w:left="63" w:right="63"/>
              <w:rPr>
                <w:color w:val="auto"/>
                <w:sz w:val="24"/>
                <w:highlight w:val="none"/>
              </w:rPr>
            </w:pPr>
          </w:p>
        </w:tc>
      </w:tr>
      <w:tr w14:paraId="5FF24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5666D7A5">
            <w:pPr>
              <w:pStyle w:val="13"/>
              <w:keepNext/>
              <w:spacing w:line="440" w:lineRule="exact"/>
              <w:ind w:left="63" w:right="63"/>
              <w:rPr>
                <w:color w:val="auto"/>
                <w:sz w:val="24"/>
                <w:highlight w:val="none"/>
              </w:rPr>
            </w:pPr>
          </w:p>
        </w:tc>
        <w:tc>
          <w:tcPr>
            <w:tcW w:w="1984" w:type="dxa"/>
            <w:noWrap w:val="0"/>
            <w:vAlign w:val="top"/>
          </w:tcPr>
          <w:p w14:paraId="2E816702">
            <w:pPr>
              <w:pStyle w:val="13"/>
              <w:keepNext/>
              <w:spacing w:line="440" w:lineRule="exact"/>
              <w:ind w:left="63" w:right="63"/>
              <w:rPr>
                <w:color w:val="auto"/>
                <w:sz w:val="24"/>
                <w:highlight w:val="none"/>
              </w:rPr>
            </w:pPr>
          </w:p>
        </w:tc>
        <w:tc>
          <w:tcPr>
            <w:tcW w:w="851" w:type="dxa"/>
            <w:noWrap w:val="0"/>
            <w:vAlign w:val="top"/>
          </w:tcPr>
          <w:p w14:paraId="1C722B67">
            <w:pPr>
              <w:pStyle w:val="13"/>
              <w:keepNext/>
              <w:spacing w:line="440" w:lineRule="exact"/>
              <w:ind w:left="63" w:right="63"/>
              <w:rPr>
                <w:color w:val="auto"/>
                <w:sz w:val="24"/>
                <w:highlight w:val="none"/>
              </w:rPr>
            </w:pPr>
          </w:p>
        </w:tc>
        <w:tc>
          <w:tcPr>
            <w:tcW w:w="774" w:type="dxa"/>
            <w:noWrap w:val="0"/>
            <w:vAlign w:val="top"/>
          </w:tcPr>
          <w:p w14:paraId="55032F56">
            <w:pPr>
              <w:pStyle w:val="13"/>
              <w:keepNext/>
              <w:spacing w:line="440" w:lineRule="exact"/>
              <w:ind w:left="63" w:right="63"/>
              <w:rPr>
                <w:color w:val="auto"/>
                <w:sz w:val="24"/>
                <w:highlight w:val="none"/>
              </w:rPr>
            </w:pPr>
          </w:p>
        </w:tc>
        <w:tc>
          <w:tcPr>
            <w:tcW w:w="1352" w:type="dxa"/>
            <w:noWrap w:val="0"/>
            <w:vAlign w:val="top"/>
          </w:tcPr>
          <w:p w14:paraId="2039B711">
            <w:pPr>
              <w:pStyle w:val="13"/>
              <w:keepNext/>
              <w:spacing w:line="440" w:lineRule="exact"/>
              <w:ind w:left="63" w:right="63"/>
              <w:rPr>
                <w:color w:val="auto"/>
                <w:sz w:val="24"/>
                <w:highlight w:val="none"/>
              </w:rPr>
            </w:pPr>
          </w:p>
        </w:tc>
        <w:tc>
          <w:tcPr>
            <w:tcW w:w="1418" w:type="dxa"/>
            <w:noWrap w:val="0"/>
            <w:vAlign w:val="top"/>
          </w:tcPr>
          <w:p w14:paraId="240AFA07">
            <w:pPr>
              <w:pStyle w:val="13"/>
              <w:keepNext/>
              <w:spacing w:line="440" w:lineRule="exact"/>
              <w:ind w:left="63" w:right="63"/>
              <w:rPr>
                <w:color w:val="auto"/>
                <w:sz w:val="24"/>
                <w:highlight w:val="none"/>
              </w:rPr>
            </w:pPr>
          </w:p>
        </w:tc>
        <w:tc>
          <w:tcPr>
            <w:tcW w:w="1701" w:type="dxa"/>
            <w:noWrap w:val="0"/>
            <w:vAlign w:val="top"/>
          </w:tcPr>
          <w:p w14:paraId="117B2CCB">
            <w:pPr>
              <w:pStyle w:val="13"/>
              <w:keepNext/>
              <w:spacing w:line="440" w:lineRule="exact"/>
              <w:ind w:left="63" w:right="63"/>
              <w:rPr>
                <w:color w:val="auto"/>
                <w:sz w:val="24"/>
                <w:highlight w:val="none"/>
              </w:rPr>
            </w:pPr>
          </w:p>
        </w:tc>
      </w:tr>
      <w:tr w14:paraId="5D9CE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4E491164">
            <w:pPr>
              <w:pStyle w:val="13"/>
              <w:keepNext/>
              <w:spacing w:line="440" w:lineRule="exact"/>
              <w:ind w:left="63" w:right="63"/>
              <w:rPr>
                <w:color w:val="auto"/>
                <w:sz w:val="24"/>
                <w:highlight w:val="none"/>
              </w:rPr>
            </w:pPr>
          </w:p>
        </w:tc>
        <w:tc>
          <w:tcPr>
            <w:tcW w:w="1984" w:type="dxa"/>
            <w:noWrap w:val="0"/>
            <w:vAlign w:val="top"/>
          </w:tcPr>
          <w:p w14:paraId="6743B8E1">
            <w:pPr>
              <w:pStyle w:val="13"/>
              <w:keepNext/>
              <w:spacing w:line="440" w:lineRule="exact"/>
              <w:ind w:left="63" w:right="63"/>
              <w:rPr>
                <w:color w:val="auto"/>
                <w:sz w:val="24"/>
                <w:highlight w:val="none"/>
              </w:rPr>
            </w:pPr>
          </w:p>
        </w:tc>
        <w:tc>
          <w:tcPr>
            <w:tcW w:w="851" w:type="dxa"/>
            <w:noWrap w:val="0"/>
            <w:vAlign w:val="top"/>
          </w:tcPr>
          <w:p w14:paraId="0AB2B173">
            <w:pPr>
              <w:pStyle w:val="13"/>
              <w:keepNext/>
              <w:spacing w:line="440" w:lineRule="exact"/>
              <w:ind w:left="63" w:right="63"/>
              <w:rPr>
                <w:color w:val="auto"/>
                <w:sz w:val="24"/>
                <w:highlight w:val="none"/>
              </w:rPr>
            </w:pPr>
          </w:p>
        </w:tc>
        <w:tc>
          <w:tcPr>
            <w:tcW w:w="774" w:type="dxa"/>
            <w:noWrap w:val="0"/>
            <w:vAlign w:val="top"/>
          </w:tcPr>
          <w:p w14:paraId="2F227642">
            <w:pPr>
              <w:pStyle w:val="13"/>
              <w:keepNext/>
              <w:spacing w:line="440" w:lineRule="exact"/>
              <w:ind w:left="63" w:right="63"/>
              <w:rPr>
                <w:color w:val="auto"/>
                <w:sz w:val="24"/>
                <w:highlight w:val="none"/>
              </w:rPr>
            </w:pPr>
          </w:p>
        </w:tc>
        <w:tc>
          <w:tcPr>
            <w:tcW w:w="1352" w:type="dxa"/>
            <w:noWrap w:val="0"/>
            <w:vAlign w:val="top"/>
          </w:tcPr>
          <w:p w14:paraId="20763E3A">
            <w:pPr>
              <w:pStyle w:val="13"/>
              <w:keepNext/>
              <w:spacing w:line="440" w:lineRule="exact"/>
              <w:ind w:left="63" w:right="63"/>
              <w:rPr>
                <w:color w:val="auto"/>
                <w:sz w:val="24"/>
                <w:highlight w:val="none"/>
              </w:rPr>
            </w:pPr>
          </w:p>
        </w:tc>
        <w:tc>
          <w:tcPr>
            <w:tcW w:w="1418" w:type="dxa"/>
            <w:noWrap w:val="0"/>
            <w:vAlign w:val="top"/>
          </w:tcPr>
          <w:p w14:paraId="750AD907">
            <w:pPr>
              <w:pStyle w:val="13"/>
              <w:keepNext/>
              <w:spacing w:line="440" w:lineRule="exact"/>
              <w:ind w:left="63" w:right="63"/>
              <w:rPr>
                <w:color w:val="auto"/>
                <w:sz w:val="24"/>
                <w:highlight w:val="none"/>
              </w:rPr>
            </w:pPr>
          </w:p>
        </w:tc>
        <w:tc>
          <w:tcPr>
            <w:tcW w:w="1701" w:type="dxa"/>
            <w:noWrap w:val="0"/>
            <w:vAlign w:val="top"/>
          </w:tcPr>
          <w:p w14:paraId="02DB9B53">
            <w:pPr>
              <w:pStyle w:val="13"/>
              <w:keepNext/>
              <w:spacing w:line="440" w:lineRule="exact"/>
              <w:ind w:left="63" w:right="63"/>
              <w:rPr>
                <w:color w:val="auto"/>
                <w:sz w:val="24"/>
                <w:highlight w:val="none"/>
              </w:rPr>
            </w:pPr>
          </w:p>
        </w:tc>
      </w:tr>
      <w:tr w14:paraId="1FB56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3F6EF3C7">
            <w:pPr>
              <w:pStyle w:val="13"/>
              <w:keepNext/>
              <w:spacing w:line="440" w:lineRule="exact"/>
              <w:ind w:left="63" w:right="63"/>
              <w:rPr>
                <w:color w:val="auto"/>
                <w:sz w:val="24"/>
                <w:highlight w:val="none"/>
              </w:rPr>
            </w:pPr>
          </w:p>
        </w:tc>
        <w:tc>
          <w:tcPr>
            <w:tcW w:w="1984" w:type="dxa"/>
            <w:noWrap w:val="0"/>
            <w:vAlign w:val="top"/>
          </w:tcPr>
          <w:p w14:paraId="078071E9">
            <w:pPr>
              <w:pStyle w:val="13"/>
              <w:keepNext/>
              <w:spacing w:line="440" w:lineRule="exact"/>
              <w:ind w:left="63" w:right="63"/>
              <w:rPr>
                <w:color w:val="auto"/>
                <w:sz w:val="24"/>
                <w:highlight w:val="none"/>
              </w:rPr>
            </w:pPr>
          </w:p>
        </w:tc>
        <w:tc>
          <w:tcPr>
            <w:tcW w:w="851" w:type="dxa"/>
            <w:noWrap w:val="0"/>
            <w:vAlign w:val="top"/>
          </w:tcPr>
          <w:p w14:paraId="0699DC86">
            <w:pPr>
              <w:pStyle w:val="13"/>
              <w:keepNext/>
              <w:spacing w:line="440" w:lineRule="exact"/>
              <w:ind w:left="63" w:right="63"/>
              <w:rPr>
                <w:color w:val="auto"/>
                <w:sz w:val="24"/>
                <w:highlight w:val="none"/>
              </w:rPr>
            </w:pPr>
          </w:p>
        </w:tc>
        <w:tc>
          <w:tcPr>
            <w:tcW w:w="774" w:type="dxa"/>
            <w:noWrap w:val="0"/>
            <w:vAlign w:val="top"/>
          </w:tcPr>
          <w:p w14:paraId="2A89C681">
            <w:pPr>
              <w:pStyle w:val="13"/>
              <w:keepNext/>
              <w:spacing w:line="440" w:lineRule="exact"/>
              <w:ind w:left="63" w:right="63"/>
              <w:rPr>
                <w:color w:val="auto"/>
                <w:sz w:val="24"/>
                <w:highlight w:val="none"/>
              </w:rPr>
            </w:pPr>
          </w:p>
        </w:tc>
        <w:tc>
          <w:tcPr>
            <w:tcW w:w="1352" w:type="dxa"/>
            <w:noWrap w:val="0"/>
            <w:vAlign w:val="top"/>
          </w:tcPr>
          <w:p w14:paraId="050530B6">
            <w:pPr>
              <w:pStyle w:val="13"/>
              <w:keepNext/>
              <w:spacing w:line="440" w:lineRule="exact"/>
              <w:ind w:left="63" w:right="63"/>
              <w:rPr>
                <w:color w:val="auto"/>
                <w:sz w:val="24"/>
                <w:highlight w:val="none"/>
              </w:rPr>
            </w:pPr>
          </w:p>
        </w:tc>
        <w:tc>
          <w:tcPr>
            <w:tcW w:w="1418" w:type="dxa"/>
            <w:noWrap w:val="0"/>
            <w:vAlign w:val="top"/>
          </w:tcPr>
          <w:p w14:paraId="00E0A9DD">
            <w:pPr>
              <w:pStyle w:val="13"/>
              <w:keepNext/>
              <w:spacing w:line="440" w:lineRule="exact"/>
              <w:ind w:left="63" w:right="63"/>
              <w:rPr>
                <w:color w:val="auto"/>
                <w:sz w:val="24"/>
                <w:highlight w:val="none"/>
              </w:rPr>
            </w:pPr>
          </w:p>
        </w:tc>
        <w:tc>
          <w:tcPr>
            <w:tcW w:w="1701" w:type="dxa"/>
            <w:noWrap w:val="0"/>
            <w:vAlign w:val="top"/>
          </w:tcPr>
          <w:p w14:paraId="40C0A8D6">
            <w:pPr>
              <w:pStyle w:val="13"/>
              <w:keepNext/>
              <w:spacing w:line="440" w:lineRule="exact"/>
              <w:ind w:left="63" w:right="63"/>
              <w:rPr>
                <w:color w:val="auto"/>
                <w:sz w:val="24"/>
                <w:highlight w:val="none"/>
              </w:rPr>
            </w:pPr>
          </w:p>
        </w:tc>
      </w:tr>
      <w:tr w14:paraId="0A0A3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noWrap w:val="0"/>
            <w:vAlign w:val="top"/>
          </w:tcPr>
          <w:p w14:paraId="1E3CF591">
            <w:pPr>
              <w:pStyle w:val="13"/>
              <w:keepNext/>
              <w:spacing w:line="440" w:lineRule="exact"/>
              <w:ind w:left="63" w:right="63"/>
              <w:rPr>
                <w:color w:val="auto"/>
                <w:sz w:val="24"/>
                <w:highlight w:val="none"/>
              </w:rPr>
            </w:pPr>
          </w:p>
        </w:tc>
        <w:tc>
          <w:tcPr>
            <w:tcW w:w="1984" w:type="dxa"/>
            <w:noWrap w:val="0"/>
            <w:vAlign w:val="top"/>
          </w:tcPr>
          <w:p w14:paraId="34F346E3">
            <w:pPr>
              <w:pStyle w:val="13"/>
              <w:keepNext/>
              <w:spacing w:line="440" w:lineRule="exact"/>
              <w:ind w:left="63" w:right="63"/>
              <w:rPr>
                <w:color w:val="auto"/>
                <w:sz w:val="24"/>
                <w:highlight w:val="none"/>
              </w:rPr>
            </w:pPr>
          </w:p>
        </w:tc>
        <w:tc>
          <w:tcPr>
            <w:tcW w:w="851" w:type="dxa"/>
            <w:noWrap w:val="0"/>
            <w:vAlign w:val="top"/>
          </w:tcPr>
          <w:p w14:paraId="4C3CFFA3">
            <w:pPr>
              <w:pStyle w:val="13"/>
              <w:keepNext/>
              <w:spacing w:line="440" w:lineRule="exact"/>
              <w:ind w:left="63" w:right="63"/>
              <w:rPr>
                <w:color w:val="auto"/>
                <w:sz w:val="24"/>
                <w:highlight w:val="none"/>
              </w:rPr>
            </w:pPr>
          </w:p>
        </w:tc>
        <w:tc>
          <w:tcPr>
            <w:tcW w:w="774" w:type="dxa"/>
            <w:noWrap w:val="0"/>
            <w:vAlign w:val="top"/>
          </w:tcPr>
          <w:p w14:paraId="610261D5">
            <w:pPr>
              <w:pStyle w:val="13"/>
              <w:keepNext/>
              <w:spacing w:line="440" w:lineRule="exact"/>
              <w:ind w:left="63" w:right="63"/>
              <w:rPr>
                <w:color w:val="auto"/>
                <w:sz w:val="24"/>
                <w:highlight w:val="none"/>
              </w:rPr>
            </w:pPr>
          </w:p>
        </w:tc>
        <w:tc>
          <w:tcPr>
            <w:tcW w:w="1352" w:type="dxa"/>
            <w:noWrap w:val="0"/>
            <w:vAlign w:val="top"/>
          </w:tcPr>
          <w:p w14:paraId="199E4CD2">
            <w:pPr>
              <w:pStyle w:val="13"/>
              <w:keepNext/>
              <w:spacing w:line="440" w:lineRule="exact"/>
              <w:ind w:left="63" w:right="63"/>
              <w:rPr>
                <w:color w:val="auto"/>
                <w:sz w:val="24"/>
                <w:highlight w:val="none"/>
              </w:rPr>
            </w:pPr>
          </w:p>
        </w:tc>
        <w:tc>
          <w:tcPr>
            <w:tcW w:w="1418" w:type="dxa"/>
            <w:noWrap w:val="0"/>
            <w:vAlign w:val="top"/>
          </w:tcPr>
          <w:p w14:paraId="2FF1D72C">
            <w:pPr>
              <w:pStyle w:val="13"/>
              <w:keepNext/>
              <w:spacing w:line="440" w:lineRule="exact"/>
              <w:ind w:left="63" w:right="63"/>
              <w:rPr>
                <w:color w:val="auto"/>
                <w:sz w:val="24"/>
                <w:highlight w:val="none"/>
              </w:rPr>
            </w:pPr>
          </w:p>
        </w:tc>
        <w:tc>
          <w:tcPr>
            <w:tcW w:w="1701" w:type="dxa"/>
            <w:noWrap w:val="0"/>
            <w:vAlign w:val="top"/>
          </w:tcPr>
          <w:p w14:paraId="3BFCC028">
            <w:pPr>
              <w:pStyle w:val="13"/>
              <w:keepNext/>
              <w:spacing w:line="440" w:lineRule="exact"/>
              <w:ind w:left="63" w:right="63"/>
              <w:rPr>
                <w:color w:val="auto"/>
                <w:sz w:val="24"/>
                <w:highlight w:val="none"/>
              </w:rPr>
            </w:pPr>
          </w:p>
        </w:tc>
      </w:tr>
      <w:tr w14:paraId="320D1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90DC6">
            <w:pPr>
              <w:pStyle w:val="13"/>
              <w:keepNext/>
              <w:spacing w:line="440" w:lineRule="exact"/>
              <w:ind w:left="63" w:right="63"/>
              <w:rPr>
                <w:color w:val="auto"/>
                <w:sz w:val="24"/>
                <w:highlight w:val="none"/>
              </w:rPr>
            </w:pPr>
          </w:p>
        </w:tc>
        <w:tc>
          <w:tcPr>
            <w:tcW w:w="1984" w:type="dxa"/>
            <w:noWrap w:val="0"/>
            <w:vAlign w:val="top"/>
          </w:tcPr>
          <w:p w14:paraId="5F0177AB">
            <w:pPr>
              <w:pStyle w:val="13"/>
              <w:keepNext/>
              <w:spacing w:line="440" w:lineRule="exact"/>
              <w:ind w:left="63" w:right="63"/>
              <w:rPr>
                <w:color w:val="auto"/>
                <w:sz w:val="24"/>
                <w:highlight w:val="none"/>
              </w:rPr>
            </w:pPr>
          </w:p>
        </w:tc>
        <w:tc>
          <w:tcPr>
            <w:tcW w:w="851" w:type="dxa"/>
            <w:noWrap w:val="0"/>
            <w:vAlign w:val="top"/>
          </w:tcPr>
          <w:p w14:paraId="56E385F7">
            <w:pPr>
              <w:pStyle w:val="13"/>
              <w:keepNext/>
              <w:spacing w:line="440" w:lineRule="exact"/>
              <w:ind w:left="63" w:right="63"/>
              <w:rPr>
                <w:color w:val="auto"/>
                <w:sz w:val="24"/>
                <w:highlight w:val="none"/>
              </w:rPr>
            </w:pPr>
          </w:p>
        </w:tc>
        <w:tc>
          <w:tcPr>
            <w:tcW w:w="774" w:type="dxa"/>
            <w:noWrap w:val="0"/>
            <w:vAlign w:val="top"/>
          </w:tcPr>
          <w:p w14:paraId="67544691">
            <w:pPr>
              <w:pStyle w:val="13"/>
              <w:keepNext/>
              <w:spacing w:line="440" w:lineRule="exact"/>
              <w:ind w:left="63" w:right="63"/>
              <w:rPr>
                <w:color w:val="auto"/>
                <w:sz w:val="24"/>
                <w:highlight w:val="none"/>
              </w:rPr>
            </w:pPr>
          </w:p>
        </w:tc>
        <w:tc>
          <w:tcPr>
            <w:tcW w:w="1352" w:type="dxa"/>
            <w:noWrap w:val="0"/>
            <w:vAlign w:val="top"/>
          </w:tcPr>
          <w:p w14:paraId="431E0F02">
            <w:pPr>
              <w:pStyle w:val="13"/>
              <w:keepNext/>
              <w:spacing w:line="440" w:lineRule="exact"/>
              <w:ind w:left="63" w:right="63"/>
              <w:rPr>
                <w:color w:val="auto"/>
                <w:sz w:val="24"/>
                <w:highlight w:val="none"/>
              </w:rPr>
            </w:pPr>
          </w:p>
        </w:tc>
        <w:tc>
          <w:tcPr>
            <w:tcW w:w="1418" w:type="dxa"/>
            <w:noWrap w:val="0"/>
            <w:vAlign w:val="top"/>
          </w:tcPr>
          <w:p w14:paraId="0ED92EBE">
            <w:pPr>
              <w:pStyle w:val="13"/>
              <w:keepNext/>
              <w:spacing w:line="440" w:lineRule="exact"/>
              <w:ind w:left="63" w:right="63"/>
              <w:rPr>
                <w:color w:val="auto"/>
                <w:sz w:val="24"/>
                <w:highlight w:val="none"/>
              </w:rPr>
            </w:pPr>
          </w:p>
        </w:tc>
        <w:tc>
          <w:tcPr>
            <w:tcW w:w="1701" w:type="dxa"/>
            <w:noWrap w:val="0"/>
            <w:vAlign w:val="top"/>
          </w:tcPr>
          <w:p w14:paraId="08127138">
            <w:pPr>
              <w:pStyle w:val="13"/>
              <w:keepNext/>
              <w:spacing w:line="440" w:lineRule="exact"/>
              <w:ind w:left="63" w:right="63"/>
              <w:rPr>
                <w:color w:val="auto"/>
                <w:sz w:val="24"/>
                <w:highlight w:val="none"/>
              </w:rPr>
            </w:pPr>
          </w:p>
        </w:tc>
      </w:tr>
    </w:tbl>
    <w:p w14:paraId="57445D3A">
      <w:pPr>
        <w:spacing w:before="156" w:beforeLines="50" w:after="156" w:afterLines="50" w:line="440" w:lineRule="exact"/>
        <w:jc w:val="center"/>
        <w:rPr>
          <w:rFonts w:ascii="宋体" w:hAnsi="宋体"/>
          <w:b/>
          <w:color w:val="auto"/>
          <w:sz w:val="28"/>
          <w:szCs w:val="28"/>
          <w:highlight w:val="none"/>
        </w:rPr>
      </w:pPr>
    </w:p>
    <w:p w14:paraId="29D811A7">
      <w:pPr>
        <w:rPr>
          <w:rFonts w:ascii="宋体" w:hAnsi="宋体"/>
          <w:b/>
          <w:color w:val="auto"/>
          <w:sz w:val="28"/>
          <w:szCs w:val="28"/>
          <w:highlight w:val="none"/>
        </w:rPr>
      </w:pPr>
      <w:r>
        <w:rPr>
          <w:rFonts w:ascii="宋体" w:hAnsi="宋体"/>
          <w:b/>
          <w:color w:val="auto"/>
          <w:sz w:val="28"/>
          <w:szCs w:val="28"/>
          <w:highlight w:val="none"/>
        </w:rPr>
        <w:br w:type="page"/>
      </w:r>
    </w:p>
    <w:p w14:paraId="630A4EEF">
      <w:pPr>
        <w:spacing w:before="156" w:beforeLines="50" w:after="156" w:afterLines="50" w:line="440" w:lineRule="exact"/>
        <w:jc w:val="center"/>
        <w:rPr>
          <w:rFonts w:ascii="宋体" w:hAnsi="宋体"/>
          <w:b/>
          <w:color w:val="auto"/>
          <w:sz w:val="28"/>
          <w:szCs w:val="28"/>
          <w:highlight w:val="none"/>
        </w:rPr>
      </w:pPr>
      <w:r>
        <w:rPr>
          <w:rFonts w:ascii="宋体" w:hAnsi="宋体"/>
          <w:b/>
          <w:color w:val="auto"/>
          <w:sz w:val="28"/>
          <w:szCs w:val="28"/>
          <w:highlight w:val="none"/>
        </w:rPr>
        <w:t>11-3：专业工程暂估价表</w:t>
      </w:r>
    </w:p>
    <w:tbl>
      <w:tblPr>
        <w:tblStyle w:val="3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DEB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094D2C8">
            <w:pPr>
              <w:pStyle w:val="13"/>
              <w:keepNext/>
              <w:spacing w:line="440" w:lineRule="exact"/>
              <w:ind w:left="63" w:right="63"/>
              <w:jc w:val="center"/>
              <w:rPr>
                <w:color w:val="auto"/>
                <w:sz w:val="21"/>
                <w:szCs w:val="21"/>
                <w:highlight w:val="none"/>
              </w:rPr>
            </w:pPr>
            <w:r>
              <w:rPr>
                <w:color w:val="auto"/>
                <w:sz w:val="21"/>
                <w:szCs w:val="21"/>
                <w:highlight w:val="none"/>
              </w:rPr>
              <w:t>序号</w:t>
            </w:r>
          </w:p>
        </w:tc>
        <w:tc>
          <w:tcPr>
            <w:tcW w:w="1984" w:type="dxa"/>
            <w:tcBorders>
              <w:top w:val="single" w:color="auto" w:sz="12" w:space="0"/>
              <w:bottom w:val="double" w:color="auto" w:sz="6" w:space="0"/>
            </w:tcBorders>
            <w:noWrap w:val="0"/>
            <w:vAlign w:val="top"/>
          </w:tcPr>
          <w:p w14:paraId="0BF1BCD9">
            <w:pPr>
              <w:pStyle w:val="13"/>
              <w:keepNext/>
              <w:spacing w:line="440" w:lineRule="exact"/>
              <w:ind w:left="63" w:right="63"/>
              <w:jc w:val="center"/>
              <w:rPr>
                <w:color w:val="auto"/>
                <w:sz w:val="21"/>
                <w:szCs w:val="21"/>
                <w:highlight w:val="none"/>
              </w:rPr>
            </w:pPr>
            <w:r>
              <w:rPr>
                <w:color w:val="auto"/>
                <w:sz w:val="21"/>
                <w:szCs w:val="21"/>
                <w:highlight w:val="none"/>
              </w:rPr>
              <w:t>名称</w:t>
            </w:r>
          </w:p>
        </w:tc>
        <w:tc>
          <w:tcPr>
            <w:tcW w:w="851" w:type="dxa"/>
            <w:tcBorders>
              <w:top w:val="single" w:color="auto" w:sz="12" w:space="0"/>
              <w:bottom w:val="double" w:color="auto" w:sz="6" w:space="0"/>
            </w:tcBorders>
            <w:noWrap w:val="0"/>
            <w:vAlign w:val="top"/>
          </w:tcPr>
          <w:p w14:paraId="4397AF0D">
            <w:pPr>
              <w:pStyle w:val="13"/>
              <w:keepNext/>
              <w:spacing w:line="440" w:lineRule="exact"/>
              <w:ind w:left="63" w:right="63"/>
              <w:jc w:val="center"/>
              <w:rPr>
                <w:color w:val="auto"/>
                <w:sz w:val="21"/>
                <w:szCs w:val="21"/>
                <w:highlight w:val="none"/>
              </w:rPr>
            </w:pPr>
            <w:r>
              <w:rPr>
                <w:color w:val="auto"/>
                <w:sz w:val="21"/>
                <w:szCs w:val="21"/>
                <w:highlight w:val="none"/>
              </w:rPr>
              <w:t>单位</w:t>
            </w:r>
          </w:p>
        </w:tc>
        <w:tc>
          <w:tcPr>
            <w:tcW w:w="774" w:type="dxa"/>
            <w:tcBorders>
              <w:top w:val="single" w:color="auto" w:sz="12" w:space="0"/>
              <w:bottom w:val="double" w:color="auto" w:sz="6" w:space="0"/>
            </w:tcBorders>
            <w:noWrap w:val="0"/>
            <w:vAlign w:val="top"/>
          </w:tcPr>
          <w:p w14:paraId="5DFA6750">
            <w:pPr>
              <w:pStyle w:val="13"/>
              <w:keepNext/>
              <w:spacing w:line="440" w:lineRule="exact"/>
              <w:ind w:left="63" w:right="63"/>
              <w:jc w:val="center"/>
              <w:rPr>
                <w:color w:val="auto"/>
                <w:sz w:val="21"/>
                <w:szCs w:val="21"/>
                <w:highlight w:val="none"/>
              </w:rPr>
            </w:pPr>
            <w:r>
              <w:rPr>
                <w:color w:val="auto"/>
                <w:sz w:val="21"/>
                <w:szCs w:val="21"/>
                <w:highlight w:val="none"/>
              </w:rPr>
              <w:t>数量</w:t>
            </w:r>
          </w:p>
        </w:tc>
        <w:tc>
          <w:tcPr>
            <w:tcW w:w="1352" w:type="dxa"/>
            <w:tcBorders>
              <w:top w:val="single" w:color="auto" w:sz="12" w:space="0"/>
              <w:bottom w:val="double" w:color="auto" w:sz="6" w:space="0"/>
            </w:tcBorders>
            <w:noWrap w:val="0"/>
            <w:vAlign w:val="top"/>
          </w:tcPr>
          <w:p w14:paraId="3F2608D1">
            <w:pPr>
              <w:pStyle w:val="13"/>
              <w:keepNext/>
              <w:spacing w:line="440" w:lineRule="exact"/>
              <w:ind w:left="63" w:right="63"/>
              <w:jc w:val="center"/>
              <w:rPr>
                <w:color w:val="auto"/>
                <w:sz w:val="21"/>
                <w:szCs w:val="21"/>
                <w:highlight w:val="none"/>
              </w:rPr>
            </w:pPr>
            <w:r>
              <w:rPr>
                <w:color w:val="auto"/>
                <w:sz w:val="21"/>
                <w:szCs w:val="21"/>
                <w:highlight w:val="none"/>
              </w:rPr>
              <w:t>单价</w:t>
            </w:r>
            <w:r>
              <w:rPr>
                <w:rFonts w:hint="eastAsia"/>
                <w:color w:val="auto"/>
                <w:sz w:val="21"/>
                <w:szCs w:val="21"/>
                <w:highlight w:val="none"/>
              </w:rPr>
              <w:t>（元）</w:t>
            </w:r>
          </w:p>
        </w:tc>
        <w:tc>
          <w:tcPr>
            <w:tcW w:w="1418" w:type="dxa"/>
            <w:tcBorders>
              <w:top w:val="single" w:color="auto" w:sz="12" w:space="0"/>
              <w:bottom w:val="double" w:color="auto" w:sz="6" w:space="0"/>
            </w:tcBorders>
            <w:noWrap w:val="0"/>
            <w:vAlign w:val="top"/>
          </w:tcPr>
          <w:p w14:paraId="23D7B373">
            <w:pPr>
              <w:pStyle w:val="13"/>
              <w:keepNext/>
              <w:spacing w:line="440" w:lineRule="exact"/>
              <w:ind w:left="63" w:right="63"/>
              <w:jc w:val="center"/>
              <w:rPr>
                <w:color w:val="auto"/>
                <w:sz w:val="21"/>
                <w:szCs w:val="21"/>
                <w:highlight w:val="none"/>
              </w:rPr>
            </w:pPr>
            <w:r>
              <w:rPr>
                <w:color w:val="auto"/>
                <w:sz w:val="21"/>
                <w:szCs w:val="21"/>
                <w:highlight w:val="none"/>
              </w:rPr>
              <w:t>合价</w:t>
            </w:r>
            <w:r>
              <w:rPr>
                <w:rFonts w:hint="eastAsia"/>
                <w:color w:val="auto"/>
                <w:sz w:val="21"/>
                <w:szCs w:val="21"/>
                <w:highlight w:val="none"/>
              </w:rPr>
              <w:t>（元）</w:t>
            </w:r>
          </w:p>
        </w:tc>
        <w:tc>
          <w:tcPr>
            <w:tcW w:w="1701" w:type="dxa"/>
            <w:tcBorders>
              <w:top w:val="single" w:color="auto" w:sz="12" w:space="0"/>
              <w:bottom w:val="double" w:color="auto" w:sz="6" w:space="0"/>
            </w:tcBorders>
            <w:noWrap w:val="0"/>
            <w:vAlign w:val="top"/>
          </w:tcPr>
          <w:p w14:paraId="5878C51A">
            <w:pPr>
              <w:pStyle w:val="13"/>
              <w:keepNext/>
              <w:spacing w:line="440" w:lineRule="exact"/>
              <w:ind w:left="63" w:right="63"/>
              <w:jc w:val="center"/>
              <w:rPr>
                <w:color w:val="auto"/>
                <w:sz w:val="21"/>
                <w:szCs w:val="21"/>
                <w:highlight w:val="none"/>
              </w:rPr>
            </w:pPr>
            <w:r>
              <w:rPr>
                <w:color w:val="auto"/>
                <w:sz w:val="21"/>
                <w:szCs w:val="21"/>
                <w:highlight w:val="none"/>
              </w:rPr>
              <w:t>备注</w:t>
            </w:r>
          </w:p>
        </w:tc>
      </w:tr>
      <w:tr w14:paraId="6D23D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A827670">
            <w:pPr>
              <w:pStyle w:val="13"/>
              <w:keepNext/>
              <w:spacing w:line="440" w:lineRule="exact"/>
              <w:ind w:left="63" w:right="63"/>
              <w:rPr>
                <w:color w:val="auto"/>
                <w:sz w:val="24"/>
                <w:highlight w:val="none"/>
              </w:rPr>
            </w:pPr>
          </w:p>
        </w:tc>
        <w:tc>
          <w:tcPr>
            <w:tcW w:w="1984" w:type="dxa"/>
            <w:tcBorders>
              <w:top w:val="double" w:color="auto" w:sz="6" w:space="0"/>
              <w:bottom w:val="single" w:color="auto" w:sz="6" w:space="0"/>
            </w:tcBorders>
            <w:noWrap w:val="0"/>
            <w:vAlign w:val="top"/>
          </w:tcPr>
          <w:p w14:paraId="3366FE37">
            <w:pPr>
              <w:pStyle w:val="13"/>
              <w:keepNext/>
              <w:spacing w:line="440" w:lineRule="exact"/>
              <w:ind w:left="63" w:right="63"/>
              <w:rPr>
                <w:color w:val="auto"/>
                <w:sz w:val="24"/>
                <w:highlight w:val="none"/>
              </w:rPr>
            </w:pPr>
          </w:p>
        </w:tc>
        <w:tc>
          <w:tcPr>
            <w:tcW w:w="851" w:type="dxa"/>
            <w:tcBorders>
              <w:top w:val="double" w:color="auto" w:sz="6" w:space="0"/>
              <w:bottom w:val="single" w:color="auto" w:sz="6" w:space="0"/>
            </w:tcBorders>
            <w:noWrap w:val="0"/>
            <w:vAlign w:val="top"/>
          </w:tcPr>
          <w:p w14:paraId="45095B28">
            <w:pPr>
              <w:pStyle w:val="13"/>
              <w:keepNext/>
              <w:spacing w:line="440" w:lineRule="exact"/>
              <w:ind w:left="63" w:right="63"/>
              <w:rPr>
                <w:color w:val="auto"/>
                <w:sz w:val="24"/>
                <w:highlight w:val="none"/>
              </w:rPr>
            </w:pPr>
          </w:p>
        </w:tc>
        <w:tc>
          <w:tcPr>
            <w:tcW w:w="774" w:type="dxa"/>
            <w:tcBorders>
              <w:top w:val="double" w:color="auto" w:sz="6" w:space="0"/>
              <w:bottom w:val="single" w:color="auto" w:sz="6" w:space="0"/>
            </w:tcBorders>
            <w:noWrap w:val="0"/>
            <w:vAlign w:val="top"/>
          </w:tcPr>
          <w:p w14:paraId="19DFA1D7">
            <w:pPr>
              <w:pStyle w:val="13"/>
              <w:keepNext/>
              <w:spacing w:line="440" w:lineRule="exact"/>
              <w:ind w:left="63" w:right="63"/>
              <w:rPr>
                <w:color w:val="auto"/>
                <w:sz w:val="24"/>
                <w:highlight w:val="none"/>
              </w:rPr>
            </w:pPr>
          </w:p>
        </w:tc>
        <w:tc>
          <w:tcPr>
            <w:tcW w:w="1352" w:type="dxa"/>
            <w:tcBorders>
              <w:top w:val="double" w:color="auto" w:sz="6" w:space="0"/>
              <w:bottom w:val="single" w:color="auto" w:sz="6" w:space="0"/>
            </w:tcBorders>
            <w:noWrap w:val="0"/>
            <w:vAlign w:val="top"/>
          </w:tcPr>
          <w:p w14:paraId="321FA6D3">
            <w:pPr>
              <w:pStyle w:val="13"/>
              <w:keepNext/>
              <w:spacing w:line="440" w:lineRule="exact"/>
              <w:ind w:left="63" w:right="63"/>
              <w:rPr>
                <w:color w:val="auto"/>
                <w:sz w:val="24"/>
                <w:highlight w:val="none"/>
              </w:rPr>
            </w:pPr>
          </w:p>
        </w:tc>
        <w:tc>
          <w:tcPr>
            <w:tcW w:w="1418" w:type="dxa"/>
            <w:tcBorders>
              <w:top w:val="double" w:color="auto" w:sz="6" w:space="0"/>
              <w:bottom w:val="single" w:color="auto" w:sz="6" w:space="0"/>
            </w:tcBorders>
            <w:noWrap w:val="0"/>
            <w:vAlign w:val="top"/>
          </w:tcPr>
          <w:p w14:paraId="25ABED0E">
            <w:pPr>
              <w:pStyle w:val="13"/>
              <w:keepNext/>
              <w:spacing w:line="440" w:lineRule="exact"/>
              <w:ind w:left="63" w:right="63"/>
              <w:rPr>
                <w:color w:val="auto"/>
                <w:sz w:val="24"/>
                <w:highlight w:val="none"/>
              </w:rPr>
            </w:pPr>
          </w:p>
        </w:tc>
        <w:tc>
          <w:tcPr>
            <w:tcW w:w="1701" w:type="dxa"/>
            <w:tcBorders>
              <w:top w:val="double" w:color="auto" w:sz="6" w:space="0"/>
              <w:bottom w:val="single" w:color="auto" w:sz="6" w:space="0"/>
            </w:tcBorders>
            <w:noWrap w:val="0"/>
            <w:vAlign w:val="top"/>
          </w:tcPr>
          <w:p w14:paraId="4FC5B441">
            <w:pPr>
              <w:pStyle w:val="13"/>
              <w:keepNext/>
              <w:spacing w:line="440" w:lineRule="exact"/>
              <w:ind w:left="63" w:right="63"/>
              <w:rPr>
                <w:color w:val="auto"/>
                <w:sz w:val="24"/>
                <w:highlight w:val="none"/>
              </w:rPr>
            </w:pPr>
          </w:p>
        </w:tc>
      </w:tr>
      <w:tr w14:paraId="7610F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8C8A57C">
            <w:pPr>
              <w:pStyle w:val="13"/>
              <w:keepNext/>
              <w:spacing w:line="440" w:lineRule="exact"/>
              <w:ind w:left="63" w:right="63"/>
              <w:rPr>
                <w:color w:val="auto"/>
                <w:sz w:val="24"/>
                <w:highlight w:val="none"/>
              </w:rPr>
            </w:pPr>
          </w:p>
        </w:tc>
        <w:tc>
          <w:tcPr>
            <w:tcW w:w="1984" w:type="dxa"/>
            <w:tcBorders>
              <w:top w:val="nil"/>
            </w:tcBorders>
            <w:noWrap w:val="0"/>
            <w:vAlign w:val="top"/>
          </w:tcPr>
          <w:p w14:paraId="5DAFFB4D">
            <w:pPr>
              <w:pStyle w:val="13"/>
              <w:keepNext/>
              <w:spacing w:line="440" w:lineRule="exact"/>
              <w:ind w:left="63" w:right="63"/>
              <w:rPr>
                <w:color w:val="auto"/>
                <w:sz w:val="24"/>
                <w:highlight w:val="none"/>
              </w:rPr>
            </w:pPr>
          </w:p>
        </w:tc>
        <w:tc>
          <w:tcPr>
            <w:tcW w:w="851" w:type="dxa"/>
            <w:tcBorders>
              <w:top w:val="nil"/>
            </w:tcBorders>
            <w:noWrap w:val="0"/>
            <w:vAlign w:val="top"/>
          </w:tcPr>
          <w:p w14:paraId="24CC1440">
            <w:pPr>
              <w:pStyle w:val="13"/>
              <w:keepNext/>
              <w:spacing w:line="440" w:lineRule="exact"/>
              <w:ind w:left="63" w:right="63"/>
              <w:rPr>
                <w:color w:val="auto"/>
                <w:sz w:val="24"/>
                <w:highlight w:val="none"/>
              </w:rPr>
            </w:pPr>
          </w:p>
        </w:tc>
        <w:tc>
          <w:tcPr>
            <w:tcW w:w="774" w:type="dxa"/>
            <w:tcBorders>
              <w:top w:val="nil"/>
            </w:tcBorders>
            <w:noWrap w:val="0"/>
            <w:vAlign w:val="top"/>
          </w:tcPr>
          <w:p w14:paraId="42D7AC6D">
            <w:pPr>
              <w:pStyle w:val="13"/>
              <w:keepNext/>
              <w:spacing w:line="440" w:lineRule="exact"/>
              <w:ind w:left="63" w:right="63"/>
              <w:rPr>
                <w:color w:val="auto"/>
                <w:sz w:val="24"/>
                <w:highlight w:val="none"/>
              </w:rPr>
            </w:pPr>
          </w:p>
        </w:tc>
        <w:tc>
          <w:tcPr>
            <w:tcW w:w="1352" w:type="dxa"/>
            <w:tcBorders>
              <w:top w:val="nil"/>
            </w:tcBorders>
            <w:noWrap w:val="0"/>
            <w:vAlign w:val="top"/>
          </w:tcPr>
          <w:p w14:paraId="21B2C225">
            <w:pPr>
              <w:pStyle w:val="13"/>
              <w:keepNext/>
              <w:spacing w:line="440" w:lineRule="exact"/>
              <w:ind w:left="63" w:right="63"/>
              <w:rPr>
                <w:color w:val="auto"/>
                <w:sz w:val="24"/>
                <w:highlight w:val="none"/>
              </w:rPr>
            </w:pPr>
          </w:p>
        </w:tc>
        <w:tc>
          <w:tcPr>
            <w:tcW w:w="1418" w:type="dxa"/>
            <w:tcBorders>
              <w:top w:val="nil"/>
            </w:tcBorders>
            <w:noWrap w:val="0"/>
            <w:vAlign w:val="top"/>
          </w:tcPr>
          <w:p w14:paraId="1E672E18">
            <w:pPr>
              <w:pStyle w:val="13"/>
              <w:keepNext/>
              <w:spacing w:line="440" w:lineRule="exact"/>
              <w:ind w:left="63" w:right="63"/>
              <w:rPr>
                <w:color w:val="auto"/>
                <w:sz w:val="24"/>
                <w:highlight w:val="none"/>
              </w:rPr>
            </w:pPr>
          </w:p>
        </w:tc>
        <w:tc>
          <w:tcPr>
            <w:tcW w:w="1701" w:type="dxa"/>
            <w:tcBorders>
              <w:top w:val="nil"/>
            </w:tcBorders>
            <w:noWrap w:val="0"/>
            <w:vAlign w:val="top"/>
          </w:tcPr>
          <w:p w14:paraId="6DEC1B44">
            <w:pPr>
              <w:pStyle w:val="13"/>
              <w:keepNext/>
              <w:spacing w:line="440" w:lineRule="exact"/>
              <w:ind w:left="63" w:right="63"/>
              <w:rPr>
                <w:color w:val="auto"/>
                <w:sz w:val="24"/>
                <w:highlight w:val="none"/>
              </w:rPr>
            </w:pPr>
          </w:p>
        </w:tc>
      </w:tr>
      <w:tr w14:paraId="3C07D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D11400">
            <w:pPr>
              <w:pStyle w:val="13"/>
              <w:keepNext/>
              <w:spacing w:line="440" w:lineRule="exact"/>
              <w:ind w:left="63" w:right="63"/>
              <w:rPr>
                <w:color w:val="auto"/>
                <w:sz w:val="24"/>
                <w:highlight w:val="none"/>
              </w:rPr>
            </w:pPr>
          </w:p>
        </w:tc>
        <w:tc>
          <w:tcPr>
            <w:tcW w:w="1984" w:type="dxa"/>
            <w:noWrap w:val="0"/>
            <w:vAlign w:val="top"/>
          </w:tcPr>
          <w:p w14:paraId="64C9DEBF">
            <w:pPr>
              <w:pStyle w:val="13"/>
              <w:keepNext/>
              <w:spacing w:line="440" w:lineRule="exact"/>
              <w:ind w:left="63" w:right="63"/>
              <w:rPr>
                <w:color w:val="auto"/>
                <w:sz w:val="24"/>
                <w:highlight w:val="none"/>
              </w:rPr>
            </w:pPr>
          </w:p>
        </w:tc>
        <w:tc>
          <w:tcPr>
            <w:tcW w:w="851" w:type="dxa"/>
            <w:noWrap w:val="0"/>
            <w:vAlign w:val="top"/>
          </w:tcPr>
          <w:p w14:paraId="3CCFE47F">
            <w:pPr>
              <w:pStyle w:val="13"/>
              <w:keepNext/>
              <w:spacing w:line="440" w:lineRule="exact"/>
              <w:ind w:left="63" w:right="63"/>
              <w:rPr>
                <w:color w:val="auto"/>
                <w:sz w:val="24"/>
                <w:highlight w:val="none"/>
              </w:rPr>
            </w:pPr>
          </w:p>
        </w:tc>
        <w:tc>
          <w:tcPr>
            <w:tcW w:w="774" w:type="dxa"/>
            <w:noWrap w:val="0"/>
            <w:vAlign w:val="top"/>
          </w:tcPr>
          <w:p w14:paraId="4C40A705">
            <w:pPr>
              <w:pStyle w:val="13"/>
              <w:keepNext/>
              <w:spacing w:line="440" w:lineRule="exact"/>
              <w:ind w:left="63" w:right="63"/>
              <w:rPr>
                <w:color w:val="auto"/>
                <w:sz w:val="24"/>
                <w:highlight w:val="none"/>
              </w:rPr>
            </w:pPr>
          </w:p>
        </w:tc>
        <w:tc>
          <w:tcPr>
            <w:tcW w:w="1352" w:type="dxa"/>
            <w:noWrap w:val="0"/>
            <w:vAlign w:val="top"/>
          </w:tcPr>
          <w:p w14:paraId="3777985A">
            <w:pPr>
              <w:pStyle w:val="13"/>
              <w:keepNext/>
              <w:spacing w:line="440" w:lineRule="exact"/>
              <w:ind w:left="63" w:right="63"/>
              <w:rPr>
                <w:color w:val="auto"/>
                <w:sz w:val="24"/>
                <w:highlight w:val="none"/>
              </w:rPr>
            </w:pPr>
          </w:p>
        </w:tc>
        <w:tc>
          <w:tcPr>
            <w:tcW w:w="1418" w:type="dxa"/>
            <w:noWrap w:val="0"/>
            <w:vAlign w:val="top"/>
          </w:tcPr>
          <w:p w14:paraId="7D56D179">
            <w:pPr>
              <w:pStyle w:val="13"/>
              <w:keepNext/>
              <w:spacing w:line="440" w:lineRule="exact"/>
              <w:ind w:left="63" w:right="63"/>
              <w:rPr>
                <w:color w:val="auto"/>
                <w:sz w:val="24"/>
                <w:highlight w:val="none"/>
              </w:rPr>
            </w:pPr>
          </w:p>
        </w:tc>
        <w:tc>
          <w:tcPr>
            <w:tcW w:w="1701" w:type="dxa"/>
            <w:noWrap w:val="0"/>
            <w:vAlign w:val="top"/>
          </w:tcPr>
          <w:p w14:paraId="59450CD2">
            <w:pPr>
              <w:pStyle w:val="13"/>
              <w:keepNext/>
              <w:spacing w:line="440" w:lineRule="exact"/>
              <w:ind w:left="63" w:right="63"/>
              <w:rPr>
                <w:color w:val="auto"/>
                <w:sz w:val="24"/>
                <w:highlight w:val="none"/>
              </w:rPr>
            </w:pPr>
          </w:p>
        </w:tc>
      </w:tr>
      <w:tr w14:paraId="66D77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22C9C2">
            <w:pPr>
              <w:pStyle w:val="13"/>
              <w:keepNext/>
              <w:spacing w:line="440" w:lineRule="exact"/>
              <w:ind w:left="63" w:right="63"/>
              <w:rPr>
                <w:color w:val="auto"/>
                <w:sz w:val="24"/>
                <w:highlight w:val="none"/>
              </w:rPr>
            </w:pPr>
          </w:p>
        </w:tc>
        <w:tc>
          <w:tcPr>
            <w:tcW w:w="1984" w:type="dxa"/>
            <w:noWrap w:val="0"/>
            <w:vAlign w:val="top"/>
          </w:tcPr>
          <w:p w14:paraId="6D28BA78">
            <w:pPr>
              <w:pStyle w:val="13"/>
              <w:keepNext/>
              <w:spacing w:line="440" w:lineRule="exact"/>
              <w:ind w:left="63" w:right="63"/>
              <w:rPr>
                <w:color w:val="auto"/>
                <w:sz w:val="24"/>
                <w:highlight w:val="none"/>
              </w:rPr>
            </w:pPr>
          </w:p>
        </w:tc>
        <w:tc>
          <w:tcPr>
            <w:tcW w:w="851" w:type="dxa"/>
            <w:noWrap w:val="0"/>
            <w:vAlign w:val="top"/>
          </w:tcPr>
          <w:p w14:paraId="3CB22C6B">
            <w:pPr>
              <w:pStyle w:val="13"/>
              <w:keepNext/>
              <w:spacing w:line="440" w:lineRule="exact"/>
              <w:ind w:left="63" w:right="63"/>
              <w:rPr>
                <w:color w:val="auto"/>
                <w:sz w:val="24"/>
                <w:highlight w:val="none"/>
              </w:rPr>
            </w:pPr>
          </w:p>
        </w:tc>
        <w:tc>
          <w:tcPr>
            <w:tcW w:w="774" w:type="dxa"/>
            <w:noWrap w:val="0"/>
            <w:vAlign w:val="top"/>
          </w:tcPr>
          <w:p w14:paraId="0CB5947D">
            <w:pPr>
              <w:pStyle w:val="13"/>
              <w:keepNext/>
              <w:spacing w:line="440" w:lineRule="exact"/>
              <w:ind w:left="63" w:right="63"/>
              <w:rPr>
                <w:color w:val="auto"/>
                <w:sz w:val="24"/>
                <w:highlight w:val="none"/>
              </w:rPr>
            </w:pPr>
          </w:p>
        </w:tc>
        <w:tc>
          <w:tcPr>
            <w:tcW w:w="1352" w:type="dxa"/>
            <w:noWrap w:val="0"/>
            <w:vAlign w:val="top"/>
          </w:tcPr>
          <w:p w14:paraId="049FDD56">
            <w:pPr>
              <w:pStyle w:val="13"/>
              <w:keepNext/>
              <w:spacing w:line="440" w:lineRule="exact"/>
              <w:ind w:left="63" w:right="63"/>
              <w:rPr>
                <w:color w:val="auto"/>
                <w:sz w:val="24"/>
                <w:highlight w:val="none"/>
              </w:rPr>
            </w:pPr>
          </w:p>
        </w:tc>
        <w:tc>
          <w:tcPr>
            <w:tcW w:w="1418" w:type="dxa"/>
            <w:noWrap w:val="0"/>
            <w:vAlign w:val="top"/>
          </w:tcPr>
          <w:p w14:paraId="032BE8C6">
            <w:pPr>
              <w:pStyle w:val="13"/>
              <w:keepNext/>
              <w:spacing w:line="440" w:lineRule="exact"/>
              <w:ind w:left="63" w:right="63"/>
              <w:rPr>
                <w:color w:val="auto"/>
                <w:sz w:val="24"/>
                <w:highlight w:val="none"/>
              </w:rPr>
            </w:pPr>
          </w:p>
        </w:tc>
        <w:tc>
          <w:tcPr>
            <w:tcW w:w="1701" w:type="dxa"/>
            <w:noWrap w:val="0"/>
            <w:vAlign w:val="top"/>
          </w:tcPr>
          <w:p w14:paraId="1426B265">
            <w:pPr>
              <w:pStyle w:val="13"/>
              <w:keepNext/>
              <w:spacing w:line="440" w:lineRule="exact"/>
              <w:ind w:left="63" w:right="63"/>
              <w:rPr>
                <w:color w:val="auto"/>
                <w:sz w:val="24"/>
                <w:highlight w:val="none"/>
              </w:rPr>
            </w:pPr>
          </w:p>
        </w:tc>
      </w:tr>
      <w:tr w14:paraId="6734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878C46">
            <w:pPr>
              <w:pStyle w:val="13"/>
              <w:keepNext/>
              <w:spacing w:line="440" w:lineRule="exact"/>
              <w:ind w:left="63" w:right="63"/>
              <w:rPr>
                <w:color w:val="auto"/>
                <w:sz w:val="24"/>
                <w:highlight w:val="none"/>
              </w:rPr>
            </w:pPr>
          </w:p>
        </w:tc>
        <w:tc>
          <w:tcPr>
            <w:tcW w:w="1984" w:type="dxa"/>
            <w:noWrap w:val="0"/>
            <w:vAlign w:val="top"/>
          </w:tcPr>
          <w:p w14:paraId="39E6EC3D">
            <w:pPr>
              <w:pStyle w:val="13"/>
              <w:keepNext/>
              <w:spacing w:line="440" w:lineRule="exact"/>
              <w:ind w:left="63" w:right="63"/>
              <w:rPr>
                <w:color w:val="auto"/>
                <w:sz w:val="24"/>
                <w:highlight w:val="none"/>
              </w:rPr>
            </w:pPr>
          </w:p>
        </w:tc>
        <w:tc>
          <w:tcPr>
            <w:tcW w:w="851" w:type="dxa"/>
            <w:noWrap w:val="0"/>
            <w:vAlign w:val="top"/>
          </w:tcPr>
          <w:p w14:paraId="324B49F4">
            <w:pPr>
              <w:pStyle w:val="13"/>
              <w:keepNext/>
              <w:spacing w:line="440" w:lineRule="exact"/>
              <w:ind w:left="63" w:right="63"/>
              <w:rPr>
                <w:color w:val="auto"/>
                <w:sz w:val="24"/>
                <w:highlight w:val="none"/>
              </w:rPr>
            </w:pPr>
          </w:p>
        </w:tc>
        <w:tc>
          <w:tcPr>
            <w:tcW w:w="774" w:type="dxa"/>
            <w:noWrap w:val="0"/>
            <w:vAlign w:val="top"/>
          </w:tcPr>
          <w:p w14:paraId="7A5FFB71">
            <w:pPr>
              <w:pStyle w:val="13"/>
              <w:keepNext/>
              <w:spacing w:line="440" w:lineRule="exact"/>
              <w:ind w:left="63" w:right="63"/>
              <w:rPr>
                <w:color w:val="auto"/>
                <w:sz w:val="24"/>
                <w:highlight w:val="none"/>
              </w:rPr>
            </w:pPr>
          </w:p>
        </w:tc>
        <w:tc>
          <w:tcPr>
            <w:tcW w:w="1352" w:type="dxa"/>
            <w:noWrap w:val="0"/>
            <w:vAlign w:val="top"/>
          </w:tcPr>
          <w:p w14:paraId="65B52ED5">
            <w:pPr>
              <w:pStyle w:val="13"/>
              <w:keepNext/>
              <w:spacing w:line="440" w:lineRule="exact"/>
              <w:ind w:left="63" w:right="63"/>
              <w:rPr>
                <w:color w:val="auto"/>
                <w:sz w:val="24"/>
                <w:highlight w:val="none"/>
              </w:rPr>
            </w:pPr>
          </w:p>
        </w:tc>
        <w:tc>
          <w:tcPr>
            <w:tcW w:w="1418" w:type="dxa"/>
            <w:noWrap w:val="0"/>
            <w:vAlign w:val="top"/>
          </w:tcPr>
          <w:p w14:paraId="53882605">
            <w:pPr>
              <w:pStyle w:val="13"/>
              <w:keepNext/>
              <w:spacing w:line="440" w:lineRule="exact"/>
              <w:ind w:left="63" w:right="63"/>
              <w:rPr>
                <w:color w:val="auto"/>
                <w:sz w:val="24"/>
                <w:highlight w:val="none"/>
              </w:rPr>
            </w:pPr>
          </w:p>
        </w:tc>
        <w:tc>
          <w:tcPr>
            <w:tcW w:w="1701" w:type="dxa"/>
            <w:noWrap w:val="0"/>
            <w:vAlign w:val="top"/>
          </w:tcPr>
          <w:p w14:paraId="7F16B0AB">
            <w:pPr>
              <w:pStyle w:val="13"/>
              <w:keepNext/>
              <w:spacing w:line="440" w:lineRule="exact"/>
              <w:ind w:left="63" w:right="63"/>
              <w:rPr>
                <w:color w:val="auto"/>
                <w:sz w:val="24"/>
                <w:highlight w:val="none"/>
              </w:rPr>
            </w:pPr>
          </w:p>
        </w:tc>
      </w:tr>
      <w:tr w14:paraId="205D9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DF0F10">
            <w:pPr>
              <w:pStyle w:val="13"/>
              <w:keepNext/>
              <w:spacing w:line="440" w:lineRule="exact"/>
              <w:ind w:left="63" w:right="63"/>
              <w:rPr>
                <w:color w:val="auto"/>
                <w:sz w:val="24"/>
                <w:highlight w:val="none"/>
              </w:rPr>
            </w:pPr>
          </w:p>
        </w:tc>
        <w:tc>
          <w:tcPr>
            <w:tcW w:w="1984" w:type="dxa"/>
            <w:noWrap w:val="0"/>
            <w:vAlign w:val="top"/>
          </w:tcPr>
          <w:p w14:paraId="496069D4">
            <w:pPr>
              <w:pStyle w:val="13"/>
              <w:keepNext/>
              <w:spacing w:line="440" w:lineRule="exact"/>
              <w:ind w:left="63" w:right="63"/>
              <w:rPr>
                <w:color w:val="auto"/>
                <w:sz w:val="24"/>
                <w:highlight w:val="none"/>
              </w:rPr>
            </w:pPr>
          </w:p>
        </w:tc>
        <w:tc>
          <w:tcPr>
            <w:tcW w:w="851" w:type="dxa"/>
            <w:noWrap w:val="0"/>
            <w:vAlign w:val="top"/>
          </w:tcPr>
          <w:p w14:paraId="2D0F9A68">
            <w:pPr>
              <w:pStyle w:val="13"/>
              <w:keepNext/>
              <w:spacing w:line="440" w:lineRule="exact"/>
              <w:ind w:left="63" w:right="63"/>
              <w:rPr>
                <w:color w:val="auto"/>
                <w:sz w:val="24"/>
                <w:highlight w:val="none"/>
              </w:rPr>
            </w:pPr>
          </w:p>
        </w:tc>
        <w:tc>
          <w:tcPr>
            <w:tcW w:w="774" w:type="dxa"/>
            <w:noWrap w:val="0"/>
            <w:vAlign w:val="top"/>
          </w:tcPr>
          <w:p w14:paraId="3A63F96E">
            <w:pPr>
              <w:pStyle w:val="13"/>
              <w:keepNext/>
              <w:spacing w:line="440" w:lineRule="exact"/>
              <w:ind w:left="63" w:right="63"/>
              <w:rPr>
                <w:color w:val="auto"/>
                <w:sz w:val="24"/>
                <w:highlight w:val="none"/>
              </w:rPr>
            </w:pPr>
          </w:p>
        </w:tc>
        <w:tc>
          <w:tcPr>
            <w:tcW w:w="1352" w:type="dxa"/>
            <w:noWrap w:val="0"/>
            <w:vAlign w:val="top"/>
          </w:tcPr>
          <w:p w14:paraId="03AB5AAB">
            <w:pPr>
              <w:pStyle w:val="13"/>
              <w:keepNext/>
              <w:spacing w:line="440" w:lineRule="exact"/>
              <w:ind w:left="63" w:right="63"/>
              <w:rPr>
                <w:color w:val="auto"/>
                <w:sz w:val="24"/>
                <w:highlight w:val="none"/>
              </w:rPr>
            </w:pPr>
          </w:p>
        </w:tc>
        <w:tc>
          <w:tcPr>
            <w:tcW w:w="1418" w:type="dxa"/>
            <w:noWrap w:val="0"/>
            <w:vAlign w:val="top"/>
          </w:tcPr>
          <w:p w14:paraId="745EF26E">
            <w:pPr>
              <w:pStyle w:val="13"/>
              <w:keepNext/>
              <w:spacing w:line="440" w:lineRule="exact"/>
              <w:ind w:left="63" w:right="63"/>
              <w:rPr>
                <w:color w:val="auto"/>
                <w:sz w:val="24"/>
                <w:highlight w:val="none"/>
              </w:rPr>
            </w:pPr>
          </w:p>
        </w:tc>
        <w:tc>
          <w:tcPr>
            <w:tcW w:w="1701" w:type="dxa"/>
            <w:noWrap w:val="0"/>
            <w:vAlign w:val="top"/>
          </w:tcPr>
          <w:p w14:paraId="7BE97B0B">
            <w:pPr>
              <w:pStyle w:val="13"/>
              <w:keepNext/>
              <w:spacing w:line="440" w:lineRule="exact"/>
              <w:ind w:left="63" w:right="63"/>
              <w:rPr>
                <w:color w:val="auto"/>
                <w:sz w:val="24"/>
                <w:highlight w:val="none"/>
              </w:rPr>
            </w:pPr>
          </w:p>
        </w:tc>
      </w:tr>
      <w:tr w14:paraId="2F8BC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99F8F6">
            <w:pPr>
              <w:pStyle w:val="13"/>
              <w:keepNext/>
              <w:spacing w:line="440" w:lineRule="exact"/>
              <w:ind w:left="63" w:right="63"/>
              <w:rPr>
                <w:color w:val="auto"/>
                <w:sz w:val="24"/>
                <w:highlight w:val="none"/>
              </w:rPr>
            </w:pPr>
          </w:p>
        </w:tc>
        <w:tc>
          <w:tcPr>
            <w:tcW w:w="1984" w:type="dxa"/>
            <w:noWrap w:val="0"/>
            <w:vAlign w:val="top"/>
          </w:tcPr>
          <w:p w14:paraId="7CFCBAFA">
            <w:pPr>
              <w:pStyle w:val="13"/>
              <w:keepNext/>
              <w:spacing w:line="440" w:lineRule="exact"/>
              <w:ind w:left="63" w:right="63"/>
              <w:rPr>
                <w:color w:val="auto"/>
                <w:sz w:val="24"/>
                <w:highlight w:val="none"/>
              </w:rPr>
            </w:pPr>
          </w:p>
        </w:tc>
        <w:tc>
          <w:tcPr>
            <w:tcW w:w="851" w:type="dxa"/>
            <w:noWrap w:val="0"/>
            <w:vAlign w:val="top"/>
          </w:tcPr>
          <w:p w14:paraId="7610911E">
            <w:pPr>
              <w:pStyle w:val="13"/>
              <w:keepNext/>
              <w:spacing w:line="440" w:lineRule="exact"/>
              <w:ind w:left="63" w:right="63"/>
              <w:rPr>
                <w:color w:val="auto"/>
                <w:sz w:val="24"/>
                <w:highlight w:val="none"/>
              </w:rPr>
            </w:pPr>
          </w:p>
        </w:tc>
        <w:tc>
          <w:tcPr>
            <w:tcW w:w="774" w:type="dxa"/>
            <w:noWrap w:val="0"/>
            <w:vAlign w:val="top"/>
          </w:tcPr>
          <w:p w14:paraId="5625964D">
            <w:pPr>
              <w:pStyle w:val="13"/>
              <w:keepNext/>
              <w:spacing w:line="440" w:lineRule="exact"/>
              <w:ind w:left="63" w:right="63"/>
              <w:rPr>
                <w:color w:val="auto"/>
                <w:sz w:val="24"/>
                <w:highlight w:val="none"/>
              </w:rPr>
            </w:pPr>
          </w:p>
        </w:tc>
        <w:tc>
          <w:tcPr>
            <w:tcW w:w="1352" w:type="dxa"/>
            <w:noWrap w:val="0"/>
            <w:vAlign w:val="top"/>
          </w:tcPr>
          <w:p w14:paraId="5174E5F0">
            <w:pPr>
              <w:pStyle w:val="13"/>
              <w:keepNext/>
              <w:spacing w:line="440" w:lineRule="exact"/>
              <w:ind w:left="63" w:right="63"/>
              <w:rPr>
                <w:color w:val="auto"/>
                <w:sz w:val="24"/>
                <w:highlight w:val="none"/>
              </w:rPr>
            </w:pPr>
          </w:p>
        </w:tc>
        <w:tc>
          <w:tcPr>
            <w:tcW w:w="1418" w:type="dxa"/>
            <w:noWrap w:val="0"/>
            <w:vAlign w:val="top"/>
          </w:tcPr>
          <w:p w14:paraId="7E62A8FC">
            <w:pPr>
              <w:pStyle w:val="13"/>
              <w:keepNext/>
              <w:spacing w:line="440" w:lineRule="exact"/>
              <w:ind w:left="63" w:right="63"/>
              <w:rPr>
                <w:color w:val="auto"/>
                <w:sz w:val="24"/>
                <w:highlight w:val="none"/>
              </w:rPr>
            </w:pPr>
          </w:p>
        </w:tc>
        <w:tc>
          <w:tcPr>
            <w:tcW w:w="1701" w:type="dxa"/>
            <w:noWrap w:val="0"/>
            <w:vAlign w:val="top"/>
          </w:tcPr>
          <w:p w14:paraId="427524FC">
            <w:pPr>
              <w:pStyle w:val="13"/>
              <w:keepNext/>
              <w:spacing w:line="440" w:lineRule="exact"/>
              <w:ind w:left="63" w:right="63"/>
              <w:rPr>
                <w:color w:val="auto"/>
                <w:sz w:val="24"/>
                <w:highlight w:val="none"/>
              </w:rPr>
            </w:pPr>
          </w:p>
        </w:tc>
      </w:tr>
      <w:tr w14:paraId="50C5C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3EF167">
            <w:pPr>
              <w:pStyle w:val="13"/>
              <w:keepNext/>
              <w:spacing w:line="440" w:lineRule="exact"/>
              <w:ind w:left="63" w:right="63"/>
              <w:rPr>
                <w:color w:val="auto"/>
                <w:sz w:val="24"/>
                <w:highlight w:val="none"/>
              </w:rPr>
            </w:pPr>
          </w:p>
        </w:tc>
        <w:tc>
          <w:tcPr>
            <w:tcW w:w="1984" w:type="dxa"/>
            <w:noWrap w:val="0"/>
            <w:vAlign w:val="top"/>
          </w:tcPr>
          <w:p w14:paraId="51228E42">
            <w:pPr>
              <w:pStyle w:val="13"/>
              <w:keepNext/>
              <w:spacing w:line="440" w:lineRule="exact"/>
              <w:ind w:left="63" w:right="63"/>
              <w:rPr>
                <w:color w:val="auto"/>
                <w:sz w:val="24"/>
                <w:highlight w:val="none"/>
              </w:rPr>
            </w:pPr>
          </w:p>
        </w:tc>
        <w:tc>
          <w:tcPr>
            <w:tcW w:w="851" w:type="dxa"/>
            <w:noWrap w:val="0"/>
            <w:vAlign w:val="top"/>
          </w:tcPr>
          <w:p w14:paraId="0C874AB9">
            <w:pPr>
              <w:pStyle w:val="13"/>
              <w:keepNext/>
              <w:spacing w:line="440" w:lineRule="exact"/>
              <w:ind w:left="63" w:right="63"/>
              <w:rPr>
                <w:color w:val="auto"/>
                <w:sz w:val="24"/>
                <w:highlight w:val="none"/>
              </w:rPr>
            </w:pPr>
          </w:p>
        </w:tc>
        <w:tc>
          <w:tcPr>
            <w:tcW w:w="774" w:type="dxa"/>
            <w:noWrap w:val="0"/>
            <w:vAlign w:val="top"/>
          </w:tcPr>
          <w:p w14:paraId="66781B6F">
            <w:pPr>
              <w:pStyle w:val="13"/>
              <w:keepNext/>
              <w:spacing w:line="440" w:lineRule="exact"/>
              <w:ind w:left="63" w:right="63"/>
              <w:rPr>
                <w:color w:val="auto"/>
                <w:sz w:val="24"/>
                <w:highlight w:val="none"/>
              </w:rPr>
            </w:pPr>
          </w:p>
        </w:tc>
        <w:tc>
          <w:tcPr>
            <w:tcW w:w="1352" w:type="dxa"/>
            <w:noWrap w:val="0"/>
            <w:vAlign w:val="top"/>
          </w:tcPr>
          <w:p w14:paraId="27C9B594">
            <w:pPr>
              <w:pStyle w:val="13"/>
              <w:keepNext/>
              <w:spacing w:line="440" w:lineRule="exact"/>
              <w:ind w:left="63" w:right="63"/>
              <w:rPr>
                <w:color w:val="auto"/>
                <w:sz w:val="24"/>
                <w:highlight w:val="none"/>
              </w:rPr>
            </w:pPr>
          </w:p>
        </w:tc>
        <w:tc>
          <w:tcPr>
            <w:tcW w:w="1418" w:type="dxa"/>
            <w:noWrap w:val="0"/>
            <w:vAlign w:val="top"/>
          </w:tcPr>
          <w:p w14:paraId="299AD38C">
            <w:pPr>
              <w:pStyle w:val="13"/>
              <w:keepNext/>
              <w:spacing w:line="440" w:lineRule="exact"/>
              <w:ind w:left="63" w:right="63"/>
              <w:rPr>
                <w:color w:val="auto"/>
                <w:sz w:val="24"/>
                <w:highlight w:val="none"/>
              </w:rPr>
            </w:pPr>
          </w:p>
        </w:tc>
        <w:tc>
          <w:tcPr>
            <w:tcW w:w="1701" w:type="dxa"/>
            <w:noWrap w:val="0"/>
            <w:vAlign w:val="top"/>
          </w:tcPr>
          <w:p w14:paraId="7D5FD276">
            <w:pPr>
              <w:pStyle w:val="13"/>
              <w:keepNext/>
              <w:spacing w:line="440" w:lineRule="exact"/>
              <w:ind w:left="63" w:right="63"/>
              <w:rPr>
                <w:color w:val="auto"/>
                <w:sz w:val="24"/>
                <w:highlight w:val="none"/>
              </w:rPr>
            </w:pPr>
          </w:p>
        </w:tc>
      </w:tr>
      <w:tr w14:paraId="26A13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9E21F7">
            <w:pPr>
              <w:pStyle w:val="13"/>
              <w:keepNext/>
              <w:spacing w:line="440" w:lineRule="exact"/>
              <w:ind w:left="63" w:right="63"/>
              <w:rPr>
                <w:color w:val="auto"/>
                <w:sz w:val="24"/>
                <w:highlight w:val="none"/>
              </w:rPr>
            </w:pPr>
          </w:p>
        </w:tc>
        <w:tc>
          <w:tcPr>
            <w:tcW w:w="1984" w:type="dxa"/>
            <w:noWrap w:val="0"/>
            <w:vAlign w:val="top"/>
          </w:tcPr>
          <w:p w14:paraId="17BB56A2">
            <w:pPr>
              <w:pStyle w:val="13"/>
              <w:keepNext/>
              <w:spacing w:line="440" w:lineRule="exact"/>
              <w:ind w:left="63" w:right="63"/>
              <w:rPr>
                <w:color w:val="auto"/>
                <w:sz w:val="24"/>
                <w:highlight w:val="none"/>
              </w:rPr>
            </w:pPr>
          </w:p>
        </w:tc>
        <w:tc>
          <w:tcPr>
            <w:tcW w:w="851" w:type="dxa"/>
            <w:noWrap w:val="0"/>
            <w:vAlign w:val="top"/>
          </w:tcPr>
          <w:p w14:paraId="1D4D0772">
            <w:pPr>
              <w:pStyle w:val="13"/>
              <w:keepNext/>
              <w:spacing w:line="440" w:lineRule="exact"/>
              <w:ind w:left="63" w:right="63"/>
              <w:rPr>
                <w:color w:val="auto"/>
                <w:sz w:val="24"/>
                <w:highlight w:val="none"/>
              </w:rPr>
            </w:pPr>
          </w:p>
        </w:tc>
        <w:tc>
          <w:tcPr>
            <w:tcW w:w="774" w:type="dxa"/>
            <w:noWrap w:val="0"/>
            <w:vAlign w:val="top"/>
          </w:tcPr>
          <w:p w14:paraId="2E0C0CF0">
            <w:pPr>
              <w:pStyle w:val="13"/>
              <w:keepNext/>
              <w:spacing w:line="440" w:lineRule="exact"/>
              <w:ind w:left="63" w:right="63"/>
              <w:rPr>
                <w:color w:val="auto"/>
                <w:sz w:val="24"/>
                <w:highlight w:val="none"/>
              </w:rPr>
            </w:pPr>
          </w:p>
        </w:tc>
        <w:tc>
          <w:tcPr>
            <w:tcW w:w="1352" w:type="dxa"/>
            <w:noWrap w:val="0"/>
            <w:vAlign w:val="top"/>
          </w:tcPr>
          <w:p w14:paraId="00E84B8C">
            <w:pPr>
              <w:pStyle w:val="13"/>
              <w:keepNext/>
              <w:spacing w:line="440" w:lineRule="exact"/>
              <w:ind w:left="63" w:right="63"/>
              <w:rPr>
                <w:color w:val="auto"/>
                <w:sz w:val="24"/>
                <w:highlight w:val="none"/>
              </w:rPr>
            </w:pPr>
          </w:p>
        </w:tc>
        <w:tc>
          <w:tcPr>
            <w:tcW w:w="1418" w:type="dxa"/>
            <w:noWrap w:val="0"/>
            <w:vAlign w:val="top"/>
          </w:tcPr>
          <w:p w14:paraId="2AD33FA6">
            <w:pPr>
              <w:pStyle w:val="13"/>
              <w:keepNext/>
              <w:spacing w:line="440" w:lineRule="exact"/>
              <w:ind w:left="63" w:right="63"/>
              <w:rPr>
                <w:color w:val="auto"/>
                <w:sz w:val="24"/>
                <w:highlight w:val="none"/>
              </w:rPr>
            </w:pPr>
          </w:p>
        </w:tc>
        <w:tc>
          <w:tcPr>
            <w:tcW w:w="1701" w:type="dxa"/>
            <w:noWrap w:val="0"/>
            <w:vAlign w:val="top"/>
          </w:tcPr>
          <w:p w14:paraId="247C4761">
            <w:pPr>
              <w:pStyle w:val="13"/>
              <w:keepNext/>
              <w:spacing w:line="440" w:lineRule="exact"/>
              <w:ind w:left="63" w:right="63"/>
              <w:rPr>
                <w:color w:val="auto"/>
                <w:sz w:val="24"/>
                <w:highlight w:val="none"/>
              </w:rPr>
            </w:pPr>
          </w:p>
        </w:tc>
      </w:tr>
      <w:tr w14:paraId="50780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8E7CEE">
            <w:pPr>
              <w:pStyle w:val="13"/>
              <w:keepNext/>
              <w:spacing w:line="440" w:lineRule="exact"/>
              <w:ind w:left="63" w:right="63"/>
              <w:rPr>
                <w:color w:val="auto"/>
                <w:sz w:val="24"/>
                <w:highlight w:val="none"/>
              </w:rPr>
            </w:pPr>
          </w:p>
        </w:tc>
        <w:tc>
          <w:tcPr>
            <w:tcW w:w="1984" w:type="dxa"/>
            <w:noWrap w:val="0"/>
            <w:vAlign w:val="top"/>
          </w:tcPr>
          <w:p w14:paraId="7F7AFA2E">
            <w:pPr>
              <w:pStyle w:val="13"/>
              <w:keepNext/>
              <w:spacing w:line="440" w:lineRule="exact"/>
              <w:ind w:left="63" w:right="63"/>
              <w:rPr>
                <w:color w:val="auto"/>
                <w:sz w:val="24"/>
                <w:highlight w:val="none"/>
              </w:rPr>
            </w:pPr>
          </w:p>
        </w:tc>
        <w:tc>
          <w:tcPr>
            <w:tcW w:w="851" w:type="dxa"/>
            <w:noWrap w:val="0"/>
            <w:vAlign w:val="top"/>
          </w:tcPr>
          <w:p w14:paraId="2A80B681">
            <w:pPr>
              <w:pStyle w:val="13"/>
              <w:keepNext/>
              <w:spacing w:line="440" w:lineRule="exact"/>
              <w:ind w:left="63" w:right="63"/>
              <w:rPr>
                <w:color w:val="auto"/>
                <w:sz w:val="24"/>
                <w:highlight w:val="none"/>
              </w:rPr>
            </w:pPr>
          </w:p>
        </w:tc>
        <w:tc>
          <w:tcPr>
            <w:tcW w:w="774" w:type="dxa"/>
            <w:noWrap w:val="0"/>
            <w:vAlign w:val="top"/>
          </w:tcPr>
          <w:p w14:paraId="7AC012A2">
            <w:pPr>
              <w:pStyle w:val="13"/>
              <w:keepNext/>
              <w:spacing w:line="440" w:lineRule="exact"/>
              <w:ind w:left="63" w:right="63"/>
              <w:rPr>
                <w:color w:val="auto"/>
                <w:sz w:val="24"/>
                <w:highlight w:val="none"/>
              </w:rPr>
            </w:pPr>
          </w:p>
        </w:tc>
        <w:tc>
          <w:tcPr>
            <w:tcW w:w="1352" w:type="dxa"/>
            <w:noWrap w:val="0"/>
            <w:vAlign w:val="top"/>
          </w:tcPr>
          <w:p w14:paraId="2ABA250D">
            <w:pPr>
              <w:pStyle w:val="13"/>
              <w:keepNext/>
              <w:spacing w:line="440" w:lineRule="exact"/>
              <w:ind w:left="63" w:right="63"/>
              <w:rPr>
                <w:color w:val="auto"/>
                <w:sz w:val="24"/>
                <w:highlight w:val="none"/>
              </w:rPr>
            </w:pPr>
          </w:p>
        </w:tc>
        <w:tc>
          <w:tcPr>
            <w:tcW w:w="1418" w:type="dxa"/>
            <w:noWrap w:val="0"/>
            <w:vAlign w:val="top"/>
          </w:tcPr>
          <w:p w14:paraId="5A1E1CF7">
            <w:pPr>
              <w:pStyle w:val="13"/>
              <w:keepNext/>
              <w:spacing w:line="440" w:lineRule="exact"/>
              <w:ind w:left="63" w:right="63"/>
              <w:rPr>
                <w:color w:val="auto"/>
                <w:sz w:val="24"/>
                <w:highlight w:val="none"/>
              </w:rPr>
            </w:pPr>
          </w:p>
        </w:tc>
        <w:tc>
          <w:tcPr>
            <w:tcW w:w="1701" w:type="dxa"/>
            <w:noWrap w:val="0"/>
            <w:vAlign w:val="top"/>
          </w:tcPr>
          <w:p w14:paraId="1A04FAC2">
            <w:pPr>
              <w:pStyle w:val="13"/>
              <w:keepNext/>
              <w:spacing w:line="440" w:lineRule="exact"/>
              <w:ind w:left="63" w:right="63"/>
              <w:rPr>
                <w:color w:val="auto"/>
                <w:sz w:val="24"/>
                <w:highlight w:val="none"/>
              </w:rPr>
            </w:pPr>
          </w:p>
        </w:tc>
      </w:tr>
      <w:tr w14:paraId="11047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72701E">
            <w:pPr>
              <w:pStyle w:val="13"/>
              <w:keepNext/>
              <w:spacing w:line="440" w:lineRule="exact"/>
              <w:ind w:left="63" w:right="63"/>
              <w:rPr>
                <w:color w:val="auto"/>
                <w:sz w:val="24"/>
                <w:highlight w:val="none"/>
              </w:rPr>
            </w:pPr>
          </w:p>
        </w:tc>
        <w:tc>
          <w:tcPr>
            <w:tcW w:w="1984" w:type="dxa"/>
            <w:noWrap w:val="0"/>
            <w:vAlign w:val="top"/>
          </w:tcPr>
          <w:p w14:paraId="618F6CF7">
            <w:pPr>
              <w:pStyle w:val="13"/>
              <w:keepNext/>
              <w:spacing w:line="440" w:lineRule="exact"/>
              <w:ind w:left="63" w:right="63"/>
              <w:rPr>
                <w:color w:val="auto"/>
                <w:sz w:val="24"/>
                <w:highlight w:val="none"/>
              </w:rPr>
            </w:pPr>
          </w:p>
        </w:tc>
        <w:tc>
          <w:tcPr>
            <w:tcW w:w="851" w:type="dxa"/>
            <w:noWrap w:val="0"/>
            <w:vAlign w:val="top"/>
          </w:tcPr>
          <w:p w14:paraId="0D2E4063">
            <w:pPr>
              <w:pStyle w:val="13"/>
              <w:keepNext/>
              <w:spacing w:line="440" w:lineRule="exact"/>
              <w:ind w:left="63" w:right="63"/>
              <w:rPr>
                <w:color w:val="auto"/>
                <w:sz w:val="24"/>
                <w:highlight w:val="none"/>
              </w:rPr>
            </w:pPr>
          </w:p>
        </w:tc>
        <w:tc>
          <w:tcPr>
            <w:tcW w:w="774" w:type="dxa"/>
            <w:noWrap w:val="0"/>
            <w:vAlign w:val="top"/>
          </w:tcPr>
          <w:p w14:paraId="36F13D0D">
            <w:pPr>
              <w:pStyle w:val="13"/>
              <w:keepNext/>
              <w:spacing w:line="440" w:lineRule="exact"/>
              <w:ind w:left="63" w:right="63"/>
              <w:rPr>
                <w:color w:val="auto"/>
                <w:sz w:val="24"/>
                <w:highlight w:val="none"/>
              </w:rPr>
            </w:pPr>
          </w:p>
        </w:tc>
        <w:tc>
          <w:tcPr>
            <w:tcW w:w="1352" w:type="dxa"/>
            <w:noWrap w:val="0"/>
            <w:vAlign w:val="top"/>
          </w:tcPr>
          <w:p w14:paraId="1040AE2D">
            <w:pPr>
              <w:pStyle w:val="13"/>
              <w:keepNext/>
              <w:spacing w:line="440" w:lineRule="exact"/>
              <w:ind w:left="63" w:right="63"/>
              <w:rPr>
                <w:color w:val="auto"/>
                <w:sz w:val="24"/>
                <w:highlight w:val="none"/>
              </w:rPr>
            </w:pPr>
          </w:p>
        </w:tc>
        <w:tc>
          <w:tcPr>
            <w:tcW w:w="1418" w:type="dxa"/>
            <w:noWrap w:val="0"/>
            <w:vAlign w:val="top"/>
          </w:tcPr>
          <w:p w14:paraId="529BB9FB">
            <w:pPr>
              <w:pStyle w:val="13"/>
              <w:keepNext/>
              <w:spacing w:line="440" w:lineRule="exact"/>
              <w:ind w:left="63" w:right="63"/>
              <w:rPr>
                <w:color w:val="auto"/>
                <w:sz w:val="24"/>
                <w:highlight w:val="none"/>
              </w:rPr>
            </w:pPr>
          </w:p>
        </w:tc>
        <w:tc>
          <w:tcPr>
            <w:tcW w:w="1701" w:type="dxa"/>
            <w:noWrap w:val="0"/>
            <w:vAlign w:val="top"/>
          </w:tcPr>
          <w:p w14:paraId="116AE82F">
            <w:pPr>
              <w:pStyle w:val="13"/>
              <w:keepNext/>
              <w:spacing w:line="440" w:lineRule="exact"/>
              <w:ind w:left="63" w:right="63"/>
              <w:rPr>
                <w:color w:val="auto"/>
                <w:sz w:val="24"/>
                <w:highlight w:val="none"/>
              </w:rPr>
            </w:pPr>
          </w:p>
        </w:tc>
      </w:tr>
      <w:tr w14:paraId="770A7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80DA4B">
            <w:pPr>
              <w:pStyle w:val="13"/>
              <w:keepNext/>
              <w:spacing w:line="440" w:lineRule="exact"/>
              <w:ind w:left="63" w:right="63"/>
              <w:rPr>
                <w:color w:val="auto"/>
                <w:sz w:val="24"/>
                <w:highlight w:val="none"/>
              </w:rPr>
            </w:pPr>
          </w:p>
        </w:tc>
        <w:tc>
          <w:tcPr>
            <w:tcW w:w="1984" w:type="dxa"/>
            <w:noWrap w:val="0"/>
            <w:vAlign w:val="top"/>
          </w:tcPr>
          <w:p w14:paraId="7808CE6A">
            <w:pPr>
              <w:pStyle w:val="13"/>
              <w:keepNext/>
              <w:spacing w:line="440" w:lineRule="exact"/>
              <w:ind w:left="63" w:right="63"/>
              <w:rPr>
                <w:color w:val="auto"/>
                <w:sz w:val="24"/>
                <w:highlight w:val="none"/>
              </w:rPr>
            </w:pPr>
          </w:p>
        </w:tc>
        <w:tc>
          <w:tcPr>
            <w:tcW w:w="851" w:type="dxa"/>
            <w:noWrap w:val="0"/>
            <w:vAlign w:val="top"/>
          </w:tcPr>
          <w:p w14:paraId="5995B883">
            <w:pPr>
              <w:pStyle w:val="13"/>
              <w:keepNext/>
              <w:spacing w:line="440" w:lineRule="exact"/>
              <w:ind w:left="63" w:right="63"/>
              <w:rPr>
                <w:color w:val="auto"/>
                <w:sz w:val="24"/>
                <w:highlight w:val="none"/>
              </w:rPr>
            </w:pPr>
          </w:p>
        </w:tc>
        <w:tc>
          <w:tcPr>
            <w:tcW w:w="774" w:type="dxa"/>
            <w:noWrap w:val="0"/>
            <w:vAlign w:val="top"/>
          </w:tcPr>
          <w:p w14:paraId="1589CD8F">
            <w:pPr>
              <w:pStyle w:val="13"/>
              <w:keepNext/>
              <w:spacing w:line="440" w:lineRule="exact"/>
              <w:ind w:left="63" w:right="63"/>
              <w:rPr>
                <w:color w:val="auto"/>
                <w:sz w:val="24"/>
                <w:highlight w:val="none"/>
              </w:rPr>
            </w:pPr>
          </w:p>
        </w:tc>
        <w:tc>
          <w:tcPr>
            <w:tcW w:w="1352" w:type="dxa"/>
            <w:noWrap w:val="0"/>
            <w:vAlign w:val="top"/>
          </w:tcPr>
          <w:p w14:paraId="6C4711E4">
            <w:pPr>
              <w:pStyle w:val="13"/>
              <w:keepNext/>
              <w:spacing w:line="440" w:lineRule="exact"/>
              <w:ind w:left="63" w:right="63"/>
              <w:rPr>
                <w:color w:val="auto"/>
                <w:sz w:val="24"/>
                <w:highlight w:val="none"/>
              </w:rPr>
            </w:pPr>
          </w:p>
        </w:tc>
        <w:tc>
          <w:tcPr>
            <w:tcW w:w="1418" w:type="dxa"/>
            <w:noWrap w:val="0"/>
            <w:vAlign w:val="top"/>
          </w:tcPr>
          <w:p w14:paraId="62E20C1B">
            <w:pPr>
              <w:pStyle w:val="13"/>
              <w:keepNext/>
              <w:spacing w:line="440" w:lineRule="exact"/>
              <w:ind w:left="63" w:right="63"/>
              <w:rPr>
                <w:color w:val="auto"/>
                <w:sz w:val="24"/>
                <w:highlight w:val="none"/>
              </w:rPr>
            </w:pPr>
          </w:p>
        </w:tc>
        <w:tc>
          <w:tcPr>
            <w:tcW w:w="1701" w:type="dxa"/>
            <w:noWrap w:val="0"/>
            <w:vAlign w:val="top"/>
          </w:tcPr>
          <w:p w14:paraId="292E8B84">
            <w:pPr>
              <w:pStyle w:val="13"/>
              <w:keepNext/>
              <w:spacing w:line="440" w:lineRule="exact"/>
              <w:ind w:left="63" w:right="63"/>
              <w:rPr>
                <w:color w:val="auto"/>
                <w:sz w:val="24"/>
                <w:highlight w:val="none"/>
              </w:rPr>
            </w:pPr>
          </w:p>
        </w:tc>
      </w:tr>
      <w:tr w14:paraId="7C66F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E1E9C8">
            <w:pPr>
              <w:pStyle w:val="13"/>
              <w:keepNext/>
              <w:spacing w:line="440" w:lineRule="exact"/>
              <w:ind w:left="63" w:right="63"/>
              <w:rPr>
                <w:color w:val="auto"/>
                <w:sz w:val="24"/>
                <w:highlight w:val="none"/>
              </w:rPr>
            </w:pPr>
          </w:p>
        </w:tc>
        <w:tc>
          <w:tcPr>
            <w:tcW w:w="1984" w:type="dxa"/>
            <w:noWrap w:val="0"/>
            <w:vAlign w:val="top"/>
          </w:tcPr>
          <w:p w14:paraId="25DA8499">
            <w:pPr>
              <w:pStyle w:val="13"/>
              <w:keepNext/>
              <w:spacing w:line="440" w:lineRule="exact"/>
              <w:ind w:left="63" w:right="63"/>
              <w:rPr>
                <w:color w:val="auto"/>
                <w:sz w:val="24"/>
                <w:highlight w:val="none"/>
              </w:rPr>
            </w:pPr>
          </w:p>
        </w:tc>
        <w:tc>
          <w:tcPr>
            <w:tcW w:w="851" w:type="dxa"/>
            <w:noWrap w:val="0"/>
            <w:vAlign w:val="top"/>
          </w:tcPr>
          <w:p w14:paraId="5074AB1C">
            <w:pPr>
              <w:pStyle w:val="13"/>
              <w:keepNext/>
              <w:spacing w:line="440" w:lineRule="exact"/>
              <w:ind w:left="63" w:right="63"/>
              <w:rPr>
                <w:color w:val="auto"/>
                <w:sz w:val="24"/>
                <w:highlight w:val="none"/>
              </w:rPr>
            </w:pPr>
          </w:p>
        </w:tc>
        <w:tc>
          <w:tcPr>
            <w:tcW w:w="774" w:type="dxa"/>
            <w:noWrap w:val="0"/>
            <w:vAlign w:val="top"/>
          </w:tcPr>
          <w:p w14:paraId="36C456E8">
            <w:pPr>
              <w:pStyle w:val="13"/>
              <w:keepNext/>
              <w:spacing w:line="440" w:lineRule="exact"/>
              <w:ind w:left="63" w:right="63"/>
              <w:rPr>
                <w:color w:val="auto"/>
                <w:sz w:val="24"/>
                <w:highlight w:val="none"/>
              </w:rPr>
            </w:pPr>
          </w:p>
        </w:tc>
        <w:tc>
          <w:tcPr>
            <w:tcW w:w="1352" w:type="dxa"/>
            <w:noWrap w:val="0"/>
            <w:vAlign w:val="top"/>
          </w:tcPr>
          <w:p w14:paraId="07DE7201">
            <w:pPr>
              <w:pStyle w:val="13"/>
              <w:keepNext/>
              <w:spacing w:line="440" w:lineRule="exact"/>
              <w:ind w:left="63" w:right="63"/>
              <w:rPr>
                <w:color w:val="auto"/>
                <w:sz w:val="24"/>
                <w:highlight w:val="none"/>
              </w:rPr>
            </w:pPr>
          </w:p>
        </w:tc>
        <w:tc>
          <w:tcPr>
            <w:tcW w:w="1418" w:type="dxa"/>
            <w:noWrap w:val="0"/>
            <w:vAlign w:val="top"/>
          </w:tcPr>
          <w:p w14:paraId="4D93BC62">
            <w:pPr>
              <w:pStyle w:val="13"/>
              <w:keepNext/>
              <w:spacing w:line="440" w:lineRule="exact"/>
              <w:ind w:left="63" w:right="63"/>
              <w:rPr>
                <w:color w:val="auto"/>
                <w:sz w:val="24"/>
                <w:highlight w:val="none"/>
              </w:rPr>
            </w:pPr>
          </w:p>
        </w:tc>
        <w:tc>
          <w:tcPr>
            <w:tcW w:w="1701" w:type="dxa"/>
            <w:noWrap w:val="0"/>
            <w:vAlign w:val="top"/>
          </w:tcPr>
          <w:p w14:paraId="2DF9F328">
            <w:pPr>
              <w:pStyle w:val="13"/>
              <w:keepNext/>
              <w:spacing w:line="440" w:lineRule="exact"/>
              <w:ind w:left="63" w:right="63"/>
              <w:rPr>
                <w:color w:val="auto"/>
                <w:sz w:val="24"/>
                <w:highlight w:val="none"/>
              </w:rPr>
            </w:pPr>
          </w:p>
        </w:tc>
      </w:tr>
      <w:tr w14:paraId="08787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B4F38F">
            <w:pPr>
              <w:pStyle w:val="13"/>
              <w:keepNext/>
              <w:spacing w:line="440" w:lineRule="exact"/>
              <w:ind w:left="63" w:right="63"/>
              <w:rPr>
                <w:color w:val="auto"/>
                <w:sz w:val="24"/>
                <w:highlight w:val="none"/>
              </w:rPr>
            </w:pPr>
          </w:p>
        </w:tc>
        <w:tc>
          <w:tcPr>
            <w:tcW w:w="1984" w:type="dxa"/>
            <w:noWrap w:val="0"/>
            <w:vAlign w:val="top"/>
          </w:tcPr>
          <w:p w14:paraId="5EBE5F64">
            <w:pPr>
              <w:pStyle w:val="13"/>
              <w:keepNext/>
              <w:spacing w:line="440" w:lineRule="exact"/>
              <w:ind w:left="63" w:right="63"/>
              <w:rPr>
                <w:color w:val="auto"/>
                <w:sz w:val="24"/>
                <w:highlight w:val="none"/>
              </w:rPr>
            </w:pPr>
          </w:p>
        </w:tc>
        <w:tc>
          <w:tcPr>
            <w:tcW w:w="851" w:type="dxa"/>
            <w:noWrap w:val="0"/>
            <w:vAlign w:val="top"/>
          </w:tcPr>
          <w:p w14:paraId="444D872D">
            <w:pPr>
              <w:pStyle w:val="13"/>
              <w:keepNext/>
              <w:spacing w:line="440" w:lineRule="exact"/>
              <w:ind w:left="63" w:right="63"/>
              <w:rPr>
                <w:color w:val="auto"/>
                <w:sz w:val="24"/>
                <w:highlight w:val="none"/>
              </w:rPr>
            </w:pPr>
          </w:p>
        </w:tc>
        <w:tc>
          <w:tcPr>
            <w:tcW w:w="774" w:type="dxa"/>
            <w:noWrap w:val="0"/>
            <w:vAlign w:val="top"/>
          </w:tcPr>
          <w:p w14:paraId="7FCE5AFF">
            <w:pPr>
              <w:pStyle w:val="13"/>
              <w:keepNext/>
              <w:spacing w:line="440" w:lineRule="exact"/>
              <w:ind w:left="63" w:right="63"/>
              <w:rPr>
                <w:color w:val="auto"/>
                <w:sz w:val="24"/>
                <w:highlight w:val="none"/>
              </w:rPr>
            </w:pPr>
          </w:p>
        </w:tc>
        <w:tc>
          <w:tcPr>
            <w:tcW w:w="1352" w:type="dxa"/>
            <w:noWrap w:val="0"/>
            <w:vAlign w:val="top"/>
          </w:tcPr>
          <w:p w14:paraId="6662A7D5">
            <w:pPr>
              <w:pStyle w:val="13"/>
              <w:keepNext/>
              <w:spacing w:line="440" w:lineRule="exact"/>
              <w:ind w:left="63" w:right="63"/>
              <w:rPr>
                <w:color w:val="auto"/>
                <w:sz w:val="24"/>
                <w:highlight w:val="none"/>
              </w:rPr>
            </w:pPr>
          </w:p>
        </w:tc>
        <w:tc>
          <w:tcPr>
            <w:tcW w:w="1418" w:type="dxa"/>
            <w:noWrap w:val="0"/>
            <w:vAlign w:val="top"/>
          </w:tcPr>
          <w:p w14:paraId="239EBE9E">
            <w:pPr>
              <w:pStyle w:val="13"/>
              <w:keepNext/>
              <w:spacing w:line="440" w:lineRule="exact"/>
              <w:ind w:left="63" w:right="63"/>
              <w:rPr>
                <w:color w:val="auto"/>
                <w:sz w:val="24"/>
                <w:highlight w:val="none"/>
              </w:rPr>
            </w:pPr>
          </w:p>
        </w:tc>
        <w:tc>
          <w:tcPr>
            <w:tcW w:w="1701" w:type="dxa"/>
            <w:noWrap w:val="0"/>
            <w:vAlign w:val="top"/>
          </w:tcPr>
          <w:p w14:paraId="0CE7F61D">
            <w:pPr>
              <w:pStyle w:val="13"/>
              <w:keepNext/>
              <w:spacing w:line="440" w:lineRule="exact"/>
              <w:ind w:left="63" w:right="63"/>
              <w:rPr>
                <w:color w:val="auto"/>
                <w:sz w:val="24"/>
                <w:highlight w:val="none"/>
              </w:rPr>
            </w:pPr>
          </w:p>
        </w:tc>
      </w:tr>
      <w:tr w14:paraId="71392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CCEE98">
            <w:pPr>
              <w:pStyle w:val="13"/>
              <w:keepNext/>
              <w:spacing w:line="440" w:lineRule="exact"/>
              <w:ind w:left="63" w:right="63"/>
              <w:rPr>
                <w:color w:val="auto"/>
                <w:sz w:val="24"/>
                <w:highlight w:val="none"/>
              </w:rPr>
            </w:pPr>
          </w:p>
        </w:tc>
        <w:tc>
          <w:tcPr>
            <w:tcW w:w="1984" w:type="dxa"/>
            <w:noWrap w:val="0"/>
            <w:vAlign w:val="top"/>
          </w:tcPr>
          <w:p w14:paraId="79315A2B">
            <w:pPr>
              <w:pStyle w:val="13"/>
              <w:keepNext/>
              <w:spacing w:line="440" w:lineRule="exact"/>
              <w:ind w:left="63" w:right="63"/>
              <w:rPr>
                <w:color w:val="auto"/>
                <w:sz w:val="24"/>
                <w:highlight w:val="none"/>
              </w:rPr>
            </w:pPr>
          </w:p>
        </w:tc>
        <w:tc>
          <w:tcPr>
            <w:tcW w:w="851" w:type="dxa"/>
            <w:noWrap w:val="0"/>
            <w:vAlign w:val="top"/>
          </w:tcPr>
          <w:p w14:paraId="68FF070D">
            <w:pPr>
              <w:pStyle w:val="13"/>
              <w:keepNext/>
              <w:spacing w:line="440" w:lineRule="exact"/>
              <w:ind w:left="63" w:right="63"/>
              <w:rPr>
                <w:color w:val="auto"/>
                <w:sz w:val="24"/>
                <w:highlight w:val="none"/>
              </w:rPr>
            </w:pPr>
          </w:p>
        </w:tc>
        <w:tc>
          <w:tcPr>
            <w:tcW w:w="774" w:type="dxa"/>
            <w:noWrap w:val="0"/>
            <w:vAlign w:val="top"/>
          </w:tcPr>
          <w:p w14:paraId="5390906C">
            <w:pPr>
              <w:pStyle w:val="13"/>
              <w:keepNext/>
              <w:spacing w:line="440" w:lineRule="exact"/>
              <w:ind w:left="63" w:right="63"/>
              <w:rPr>
                <w:color w:val="auto"/>
                <w:sz w:val="24"/>
                <w:highlight w:val="none"/>
              </w:rPr>
            </w:pPr>
          </w:p>
        </w:tc>
        <w:tc>
          <w:tcPr>
            <w:tcW w:w="1352" w:type="dxa"/>
            <w:noWrap w:val="0"/>
            <w:vAlign w:val="top"/>
          </w:tcPr>
          <w:p w14:paraId="501A1077">
            <w:pPr>
              <w:pStyle w:val="13"/>
              <w:keepNext/>
              <w:spacing w:line="440" w:lineRule="exact"/>
              <w:ind w:left="63" w:right="63"/>
              <w:rPr>
                <w:color w:val="auto"/>
                <w:sz w:val="24"/>
                <w:highlight w:val="none"/>
              </w:rPr>
            </w:pPr>
          </w:p>
        </w:tc>
        <w:tc>
          <w:tcPr>
            <w:tcW w:w="1418" w:type="dxa"/>
            <w:noWrap w:val="0"/>
            <w:vAlign w:val="top"/>
          </w:tcPr>
          <w:p w14:paraId="7FCF2A6B">
            <w:pPr>
              <w:pStyle w:val="13"/>
              <w:keepNext/>
              <w:spacing w:line="440" w:lineRule="exact"/>
              <w:ind w:left="63" w:right="63"/>
              <w:rPr>
                <w:color w:val="auto"/>
                <w:sz w:val="24"/>
                <w:highlight w:val="none"/>
              </w:rPr>
            </w:pPr>
          </w:p>
        </w:tc>
        <w:tc>
          <w:tcPr>
            <w:tcW w:w="1701" w:type="dxa"/>
            <w:noWrap w:val="0"/>
            <w:vAlign w:val="top"/>
          </w:tcPr>
          <w:p w14:paraId="54BFFC61">
            <w:pPr>
              <w:pStyle w:val="13"/>
              <w:keepNext/>
              <w:spacing w:line="440" w:lineRule="exact"/>
              <w:ind w:left="63" w:right="63"/>
              <w:rPr>
                <w:color w:val="auto"/>
                <w:sz w:val="24"/>
                <w:highlight w:val="none"/>
              </w:rPr>
            </w:pPr>
          </w:p>
        </w:tc>
      </w:tr>
      <w:tr w14:paraId="54CCD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304051">
            <w:pPr>
              <w:pStyle w:val="13"/>
              <w:keepNext/>
              <w:spacing w:line="440" w:lineRule="exact"/>
              <w:ind w:left="63" w:right="63"/>
              <w:rPr>
                <w:color w:val="auto"/>
                <w:sz w:val="24"/>
                <w:highlight w:val="none"/>
              </w:rPr>
            </w:pPr>
          </w:p>
        </w:tc>
        <w:tc>
          <w:tcPr>
            <w:tcW w:w="1984" w:type="dxa"/>
            <w:noWrap w:val="0"/>
            <w:vAlign w:val="top"/>
          </w:tcPr>
          <w:p w14:paraId="3162B7DC">
            <w:pPr>
              <w:pStyle w:val="13"/>
              <w:keepNext/>
              <w:spacing w:line="440" w:lineRule="exact"/>
              <w:ind w:left="63" w:right="63"/>
              <w:rPr>
                <w:color w:val="auto"/>
                <w:sz w:val="24"/>
                <w:highlight w:val="none"/>
              </w:rPr>
            </w:pPr>
          </w:p>
        </w:tc>
        <w:tc>
          <w:tcPr>
            <w:tcW w:w="851" w:type="dxa"/>
            <w:noWrap w:val="0"/>
            <w:vAlign w:val="top"/>
          </w:tcPr>
          <w:p w14:paraId="3C366FB0">
            <w:pPr>
              <w:pStyle w:val="13"/>
              <w:keepNext/>
              <w:spacing w:line="440" w:lineRule="exact"/>
              <w:ind w:left="63" w:right="63"/>
              <w:rPr>
                <w:color w:val="auto"/>
                <w:sz w:val="24"/>
                <w:highlight w:val="none"/>
              </w:rPr>
            </w:pPr>
          </w:p>
        </w:tc>
        <w:tc>
          <w:tcPr>
            <w:tcW w:w="774" w:type="dxa"/>
            <w:noWrap w:val="0"/>
            <w:vAlign w:val="top"/>
          </w:tcPr>
          <w:p w14:paraId="6B9AE85B">
            <w:pPr>
              <w:pStyle w:val="13"/>
              <w:keepNext/>
              <w:spacing w:line="440" w:lineRule="exact"/>
              <w:ind w:left="63" w:right="63"/>
              <w:rPr>
                <w:color w:val="auto"/>
                <w:sz w:val="24"/>
                <w:highlight w:val="none"/>
              </w:rPr>
            </w:pPr>
          </w:p>
        </w:tc>
        <w:tc>
          <w:tcPr>
            <w:tcW w:w="1352" w:type="dxa"/>
            <w:noWrap w:val="0"/>
            <w:vAlign w:val="top"/>
          </w:tcPr>
          <w:p w14:paraId="28951B98">
            <w:pPr>
              <w:pStyle w:val="13"/>
              <w:keepNext/>
              <w:spacing w:line="440" w:lineRule="exact"/>
              <w:ind w:left="63" w:right="63"/>
              <w:rPr>
                <w:color w:val="auto"/>
                <w:sz w:val="24"/>
                <w:highlight w:val="none"/>
              </w:rPr>
            </w:pPr>
          </w:p>
        </w:tc>
        <w:tc>
          <w:tcPr>
            <w:tcW w:w="1418" w:type="dxa"/>
            <w:noWrap w:val="0"/>
            <w:vAlign w:val="top"/>
          </w:tcPr>
          <w:p w14:paraId="5DEB82EE">
            <w:pPr>
              <w:pStyle w:val="13"/>
              <w:keepNext/>
              <w:spacing w:line="440" w:lineRule="exact"/>
              <w:ind w:left="63" w:right="63"/>
              <w:rPr>
                <w:color w:val="auto"/>
                <w:sz w:val="24"/>
                <w:highlight w:val="none"/>
              </w:rPr>
            </w:pPr>
          </w:p>
        </w:tc>
        <w:tc>
          <w:tcPr>
            <w:tcW w:w="1701" w:type="dxa"/>
            <w:noWrap w:val="0"/>
            <w:vAlign w:val="top"/>
          </w:tcPr>
          <w:p w14:paraId="03F660F0">
            <w:pPr>
              <w:pStyle w:val="13"/>
              <w:keepNext/>
              <w:spacing w:line="440" w:lineRule="exact"/>
              <w:ind w:left="63" w:right="63"/>
              <w:rPr>
                <w:color w:val="auto"/>
                <w:sz w:val="24"/>
                <w:highlight w:val="none"/>
              </w:rPr>
            </w:pPr>
          </w:p>
        </w:tc>
      </w:tr>
      <w:tr w14:paraId="45767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C70D4D">
            <w:pPr>
              <w:pStyle w:val="13"/>
              <w:keepNext/>
              <w:spacing w:line="440" w:lineRule="exact"/>
              <w:ind w:left="63" w:right="63"/>
              <w:rPr>
                <w:color w:val="auto"/>
                <w:sz w:val="24"/>
                <w:highlight w:val="none"/>
              </w:rPr>
            </w:pPr>
          </w:p>
        </w:tc>
        <w:tc>
          <w:tcPr>
            <w:tcW w:w="1984" w:type="dxa"/>
            <w:noWrap w:val="0"/>
            <w:vAlign w:val="top"/>
          </w:tcPr>
          <w:p w14:paraId="37A05E6F">
            <w:pPr>
              <w:pStyle w:val="13"/>
              <w:keepNext/>
              <w:spacing w:line="440" w:lineRule="exact"/>
              <w:ind w:left="63" w:right="63"/>
              <w:rPr>
                <w:color w:val="auto"/>
                <w:sz w:val="24"/>
                <w:highlight w:val="none"/>
              </w:rPr>
            </w:pPr>
          </w:p>
        </w:tc>
        <w:tc>
          <w:tcPr>
            <w:tcW w:w="851" w:type="dxa"/>
            <w:noWrap w:val="0"/>
            <w:vAlign w:val="top"/>
          </w:tcPr>
          <w:p w14:paraId="3B75F938">
            <w:pPr>
              <w:pStyle w:val="13"/>
              <w:keepNext/>
              <w:spacing w:line="440" w:lineRule="exact"/>
              <w:ind w:left="63" w:right="63"/>
              <w:rPr>
                <w:color w:val="auto"/>
                <w:sz w:val="24"/>
                <w:highlight w:val="none"/>
              </w:rPr>
            </w:pPr>
          </w:p>
        </w:tc>
        <w:tc>
          <w:tcPr>
            <w:tcW w:w="774" w:type="dxa"/>
            <w:noWrap w:val="0"/>
            <w:vAlign w:val="top"/>
          </w:tcPr>
          <w:p w14:paraId="16A98909">
            <w:pPr>
              <w:pStyle w:val="13"/>
              <w:keepNext/>
              <w:spacing w:line="440" w:lineRule="exact"/>
              <w:ind w:left="63" w:right="63"/>
              <w:rPr>
                <w:color w:val="auto"/>
                <w:sz w:val="24"/>
                <w:highlight w:val="none"/>
              </w:rPr>
            </w:pPr>
          </w:p>
        </w:tc>
        <w:tc>
          <w:tcPr>
            <w:tcW w:w="1352" w:type="dxa"/>
            <w:noWrap w:val="0"/>
            <w:vAlign w:val="top"/>
          </w:tcPr>
          <w:p w14:paraId="2E2FD209">
            <w:pPr>
              <w:pStyle w:val="13"/>
              <w:keepNext/>
              <w:spacing w:line="440" w:lineRule="exact"/>
              <w:ind w:left="63" w:right="63"/>
              <w:rPr>
                <w:color w:val="auto"/>
                <w:sz w:val="24"/>
                <w:highlight w:val="none"/>
              </w:rPr>
            </w:pPr>
          </w:p>
        </w:tc>
        <w:tc>
          <w:tcPr>
            <w:tcW w:w="1418" w:type="dxa"/>
            <w:noWrap w:val="0"/>
            <w:vAlign w:val="top"/>
          </w:tcPr>
          <w:p w14:paraId="62D5B814">
            <w:pPr>
              <w:pStyle w:val="13"/>
              <w:keepNext/>
              <w:spacing w:line="440" w:lineRule="exact"/>
              <w:ind w:left="63" w:right="63"/>
              <w:rPr>
                <w:color w:val="auto"/>
                <w:sz w:val="24"/>
                <w:highlight w:val="none"/>
              </w:rPr>
            </w:pPr>
          </w:p>
        </w:tc>
        <w:tc>
          <w:tcPr>
            <w:tcW w:w="1701" w:type="dxa"/>
            <w:noWrap w:val="0"/>
            <w:vAlign w:val="top"/>
          </w:tcPr>
          <w:p w14:paraId="3EDF1739">
            <w:pPr>
              <w:pStyle w:val="13"/>
              <w:keepNext/>
              <w:spacing w:line="440" w:lineRule="exact"/>
              <w:ind w:left="63" w:right="63"/>
              <w:rPr>
                <w:color w:val="auto"/>
                <w:sz w:val="24"/>
                <w:highlight w:val="none"/>
              </w:rPr>
            </w:pPr>
          </w:p>
        </w:tc>
      </w:tr>
      <w:tr w14:paraId="3E744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6F472">
            <w:pPr>
              <w:pStyle w:val="13"/>
              <w:keepNext/>
              <w:spacing w:line="440" w:lineRule="exact"/>
              <w:ind w:left="63" w:right="63"/>
              <w:rPr>
                <w:color w:val="auto"/>
                <w:sz w:val="24"/>
                <w:highlight w:val="none"/>
              </w:rPr>
            </w:pPr>
          </w:p>
        </w:tc>
        <w:tc>
          <w:tcPr>
            <w:tcW w:w="1984" w:type="dxa"/>
            <w:noWrap w:val="0"/>
            <w:vAlign w:val="top"/>
          </w:tcPr>
          <w:p w14:paraId="5511BDA9">
            <w:pPr>
              <w:pStyle w:val="13"/>
              <w:keepNext/>
              <w:spacing w:line="440" w:lineRule="exact"/>
              <w:ind w:left="63" w:right="63"/>
              <w:rPr>
                <w:color w:val="auto"/>
                <w:sz w:val="24"/>
                <w:highlight w:val="none"/>
              </w:rPr>
            </w:pPr>
          </w:p>
        </w:tc>
        <w:tc>
          <w:tcPr>
            <w:tcW w:w="851" w:type="dxa"/>
            <w:noWrap w:val="0"/>
            <w:vAlign w:val="top"/>
          </w:tcPr>
          <w:p w14:paraId="4B7520CF">
            <w:pPr>
              <w:pStyle w:val="13"/>
              <w:keepNext/>
              <w:spacing w:line="440" w:lineRule="exact"/>
              <w:ind w:left="63" w:right="63"/>
              <w:rPr>
                <w:color w:val="auto"/>
                <w:sz w:val="24"/>
                <w:highlight w:val="none"/>
              </w:rPr>
            </w:pPr>
          </w:p>
        </w:tc>
        <w:tc>
          <w:tcPr>
            <w:tcW w:w="774" w:type="dxa"/>
            <w:noWrap w:val="0"/>
            <w:vAlign w:val="top"/>
          </w:tcPr>
          <w:p w14:paraId="7689D01C">
            <w:pPr>
              <w:pStyle w:val="13"/>
              <w:keepNext/>
              <w:spacing w:line="440" w:lineRule="exact"/>
              <w:ind w:left="63" w:right="63"/>
              <w:rPr>
                <w:color w:val="auto"/>
                <w:sz w:val="24"/>
                <w:highlight w:val="none"/>
              </w:rPr>
            </w:pPr>
          </w:p>
        </w:tc>
        <w:tc>
          <w:tcPr>
            <w:tcW w:w="1352" w:type="dxa"/>
            <w:noWrap w:val="0"/>
            <w:vAlign w:val="top"/>
          </w:tcPr>
          <w:p w14:paraId="24913872">
            <w:pPr>
              <w:pStyle w:val="13"/>
              <w:keepNext/>
              <w:spacing w:line="440" w:lineRule="exact"/>
              <w:ind w:left="63" w:right="63"/>
              <w:rPr>
                <w:color w:val="auto"/>
                <w:sz w:val="24"/>
                <w:highlight w:val="none"/>
              </w:rPr>
            </w:pPr>
          </w:p>
        </w:tc>
        <w:tc>
          <w:tcPr>
            <w:tcW w:w="1418" w:type="dxa"/>
            <w:noWrap w:val="0"/>
            <w:vAlign w:val="top"/>
          </w:tcPr>
          <w:p w14:paraId="29C063A8">
            <w:pPr>
              <w:pStyle w:val="13"/>
              <w:keepNext/>
              <w:spacing w:line="440" w:lineRule="exact"/>
              <w:ind w:left="63" w:right="63"/>
              <w:rPr>
                <w:color w:val="auto"/>
                <w:sz w:val="24"/>
                <w:highlight w:val="none"/>
              </w:rPr>
            </w:pPr>
          </w:p>
        </w:tc>
        <w:tc>
          <w:tcPr>
            <w:tcW w:w="1701" w:type="dxa"/>
            <w:noWrap w:val="0"/>
            <w:vAlign w:val="top"/>
          </w:tcPr>
          <w:p w14:paraId="345A7452">
            <w:pPr>
              <w:pStyle w:val="13"/>
              <w:keepNext/>
              <w:spacing w:line="440" w:lineRule="exact"/>
              <w:ind w:left="63" w:right="63"/>
              <w:rPr>
                <w:color w:val="auto"/>
                <w:sz w:val="24"/>
                <w:highlight w:val="none"/>
              </w:rPr>
            </w:pPr>
          </w:p>
        </w:tc>
      </w:tr>
      <w:tr w14:paraId="5D0BD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215B7A">
            <w:pPr>
              <w:pStyle w:val="13"/>
              <w:keepNext/>
              <w:spacing w:line="440" w:lineRule="exact"/>
              <w:ind w:left="63" w:right="63"/>
              <w:rPr>
                <w:color w:val="auto"/>
                <w:sz w:val="24"/>
                <w:highlight w:val="none"/>
              </w:rPr>
            </w:pPr>
          </w:p>
        </w:tc>
        <w:tc>
          <w:tcPr>
            <w:tcW w:w="1984" w:type="dxa"/>
            <w:noWrap w:val="0"/>
            <w:vAlign w:val="top"/>
          </w:tcPr>
          <w:p w14:paraId="50639826">
            <w:pPr>
              <w:pStyle w:val="13"/>
              <w:keepNext/>
              <w:spacing w:line="440" w:lineRule="exact"/>
              <w:ind w:left="63" w:right="63"/>
              <w:rPr>
                <w:color w:val="auto"/>
                <w:sz w:val="24"/>
                <w:highlight w:val="none"/>
              </w:rPr>
            </w:pPr>
          </w:p>
        </w:tc>
        <w:tc>
          <w:tcPr>
            <w:tcW w:w="851" w:type="dxa"/>
            <w:noWrap w:val="0"/>
            <w:vAlign w:val="top"/>
          </w:tcPr>
          <w:p w14:paraId="00B08E90">
            <w:pPr>
              <w:pStyle w:val="13"/>
              <w:keepNext/>
              <w:spacing w:line="440" w:lineRule="exact"/>
              <w:ind w:left="63" w:right="63"/>
              <w:rPr>
                <w:color w:val="auto"/>
                <w:sz w:val="24"/>
                <w:highlight w:val="none"/>
              </w:rPr>
            </w:pPr>
          </w:p>
        </w:tc>
        <w:tc>
          <w:tcPr>
            <w:tcW w:w="774" w:type="dxa"/>
            <w:noWrap w:val="0"/>
            <w:vAlign w:val="top"/>
          </w:tcPr>
          <w:p w14:paraId="33CE465F">
            <w:pPr>
              <w:pStyle w:val="13"/>
              <w:keepNext/>
              <w:spacing w:line="440" w:lineRule="exact"/>
              <w:ind w:left="63" w:right="63"/>
              <w:rPr>
                <w:color w:val="auto"/>
                <w:sz w:val="24"/>
                <w:highlight w:val="none"/>
              </w:rPr>
            </w:pPr>
          </w:p>
        </w:tc>
        <w:tc>
          <w:tcPr>
            <w:tcW w:w="1352" w:type="dxa"/>
            <w:noWrap w:val="0"/>
            <w:vAlign w:val="top"/>
          </w:tcPr>
          <w:p w14:paraId="13CB15D3">
            <w:pPr>
              <w:pStyle w:val="13"/>
              <w:keepNext/>
              <w:spacing w:line="440" w:lineRule="exact"/>
              <w:ind w:left="63" w:right="63"/>
              <w:rPr>
                <w:color w:val="auto"/>
                <w:sz w:val="24"/>
                <w:highlight w:val="none"/>
              </w:rPr>
            </w:pPr>
          </w:p>
        </w:tc>
        <w:tc>
          <w:tcPr>
            <w:tcW w:w="1418" w:type="dxa"/>
            <w:noWrap w:val="0"/>
            <w:vAlign w:val="top"/>
          </w:tcPr>
          <w:p w14:paraId="51367A52">
            <w:pPr>
              <w:pStyle w:val="13"/>
              <w:keepNext/>
              <w:spacing w:line="440" w:lineRule="exact"/>
              <w:ind w:left="63" w:right="63"/>
              <w:rPr>
                <w:color w:val="auto"/>
                <w:sz w:val="24"/>
                <w:highlight w:val="none"/>
              </w:rPr>
            </w:pPr>
          </w:p>
        </w:tc>
        <w:tc>
          <w:tcPr>
            <w:tcW w:w="1701" w:type="dxa"/>
            <w:noWrap w:val="0"/>
            <w:vAlign w:val="top"/>
          </w:tcPr>
          <w:p w14:paraId="1B1DAD2E">
            <w:pPr>
              <w:pStyle w:val="13"/>
              <w:keepNext/>
              <w:spacing w:line="440" w:lineRule="exact"/>
              <w:ind w:left="63" w:right="63"/>
              <w:rPr>
                <w:color w:val="auto"/>
                <w:sz w:val="24"/>
                <w:highlight w:val="none"/>
              </w:rPr>
            </w:pPr>
          </w:p>
        </w:tc>
      </w:tr>
      <w:tr w14:paraId="68BFE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63F68C">
            <w:pPr>
              <w:pStyle w:val="13"/>
              <w:keepNext/>
              <w:spacing w:line="440" w:lineRule="exact"/>
              <w:ind w:left="63" w:right="63"/>
              <w:rPr>
                <w:color w:val="auto"/>
                <w:sz w:val="24"/>
                <w:highlight w:val="none"/>
              </w:rPr>
            </w:pPr>
          </w:p>
        </w:tc>
        <w:tc>
          <w:tcPr>
            <w:tcW w:w="1984" w:type="dxa"/>
            <w:noWrap w:val="0"/>
            <w:vAlign w:val="top"/>
          </w:tcPr>
          <w:p w14:paraId="3C606BCD">
            <w:pPr>
              <w:pStyle w:val="13"/>
              <w:keepNext/>
              <w:spacing w:line="440" w:lineRule="exact"/>
              <w:ind w:left="63" w:right="63"/>
              <w:rPr>
                <w:color w:val="auto"/>
                <w:sz w:val="24"/>
                <w:highlight w:val="none"/>
              </w:rPr>
            </w:pPr>
          </w:p>
        </w:tc>
        <w:tc>
          <w:tcPr>
            <w:tcW w:w="851" w:type="dxa"/>
            <w:noWrap w:val="0"/>
            <w:vAlign w:val="top"/>
          </w:tcPr>
          <w:p w14:paraId="009A734C">
            <w:pPr>
              <w:pStyle w:val="13"/>
              <w:keepNext/>
              <w:spacing w:line="440" w:lineRule="exact"/>
              <w:ind w:left="63" w:right="63"/>
              <w:rPr>
                <w:color w:val="auto"/>
                <w:sz w:val="24"/>
                <w:highlight w:val="none"/>
              </w:rPr>
            </w:pPr>
          </w:p>
        </w:tc>
        <w:tc>
          <w:tcPr>
            <w:tcW w:w="774" w:type="dxa"/>
            <w:noWrap w:val="0"/>
            <w:vAlign w:val="top"/>
          </w:tcPr>
          <w:p w14:paraId="286C700D">
            <w:pPr>
              <w:pStyle w:val="13"/>
              <w:keepNext/>
              <w:spacing w:line="440" w:lineRule="exact"/>
              <w:ind w:left="63" w:right="63"/>
              <w:rPr>
                <w:color w:val="auto"/>
                <w:sz w:val="24"/>
                <w:highlight w:val="none"/>
              </w:rPr>
            </w:pPr>
          </w:p>
        </w:tc>
        <w:tc>
          <w:tcPr>
            <w:tcW w:w="1352" w:type="dxa"/>
            <w:noWrap w:val="0"/>
            <w:vAlign w:val="top"/>
          </w:tcPr>
          <w:p w14:paraId="1F815DC7">
            <w:pPr>
              <w:pStyle w:val="13"/>
              <w:keepNext/>
              <w:spacing w:line="440" w:lineRule="exact"/>
              <w:ind w:left="63" w:right="63"/>
              <w:rPr>
                <w:color w:val="auto"/>
                <w:sz w:val="24"/>
                <w:highlight w:val="none"/>
              </w:rPr>
            </w:pPr>
          </w:p>
        </w:tc>
        <w:tc>
          <w:tcPr>
            <w:tcW w:w="1418" w:type="dxa"/>
            <w:noWrap w:val="0"/>
            <w:vAlign w:val="top"/>
          </w:tcPr>
          <w:p w14:paraId="7BD34F33">
            <w:pPr>
              <w:pStyle w:val="13"/>
              <w:keepNext/>
              <w:spacing w:line="440" w:lineRule="exact"/>
              <w:ind w:left="63" w:right="63"/>
              <w:rPr>
                <w:color w:val="auto"/>
                <w:sz w:val="24"/>
                <w:highlight w:val="none"/>
              </w:rPr>
            </w:pPr>
          </w:p>
        </w:tc>
        <w:tc>
          <w:tcPr>
            <w:tcW w:w="1701" w:type="dxa"/>
            <w:noWrap w:val="0"/>
            <w:vAlign w:val="top"/>
          </w:tcPr>
          <w:p w14:paraId="6ECFAE2A">
            <w:pPr>
              <w:pStyle w:val="13"/>
              <w:keepNext/>
              <w:spacing w:line="440" w:lineRule="exact"/>
              <w:ind w:left="63" w:right="63"/>
              <w:rPr>
                <w:color w:val="auto"/>
                <w:sz w:val="24"/>
                <w:highlight w:val="none"/>
              </w:rPr>
            </w:pPr>
          </w:p>
        </w:tc>
      </w:tr>
    </w:tbl>
    <w:p w14:paraId="34801D59">
      <w:pPr>
        <w:pStyle w:val="2"/>
        <w:keepNext w:val="0"/>
        <w:keepLines w:val="0"/>
        <w:spacing w:before="120" w:after="120" w:line="900" w:lineRule="exact"/>
        <w:jc w:val="center"/>
        <w:outlineLvl w:val="9"/>
        <w:rPr>
          <w:rFonts w:hint="eastAsia" w:ascii="宋体" w:hAnsi="宋体"/>
          <w:color w:val="auto"/>
          <w:highlight w:val="none"/>
        </w:rPr>
      </w:pPr>
    </w:p>
    <w:p w14:paraId="0048C712">
      <w:pPr>
        <w:spacing w:line="440" w:lineRule="exact"/>
        <w:rPr>
          <w:rFonts w:hint="eastAsia" w:ascii="宋体" w:hAnsi="宋体"/>
          <w:b/>
          <w:color w:val="auto"/>
          <w:sz w:val="28"/>
          <w:szCs w:val="28"/>
          <w:highlight w:val="none"/>
        </w:rPr>
      </w:pPr>
      <w:r>
        <w:rPr>
          <w:rFonts w:ascii="宋体" w:hAnsi="宋体"/>
          <w:b/>
          <w:color w:val="auto"/>
          <w:sz w:val="28"/>
          <w:szCs w:val="28"/>
          <w:highlight w:val="none"/>
        </w:rPr>
        <w:t>附件1</w:t>
      </w:r>
      <w:r>
        <w:rPr>
          <w:rFonts w:hint="eastAsia" w:ascii="宋体" w:hAnsi="宋体"/>
          <w:b/>
          <w:color w:val="auto"/>
          <w:sz w:val="28"/>
          <w:szCs w:val="28"/>
          <w:highlight w:val="none"/>
        </w:rPr>
        <w:t>2</w:t>
      </w:r>
      <w:r>
        <w:rPr>
          <w:rFonts w:ascii="宋体" w:hAnsi="宋体"/>
          <w:b/>
          <w:color w:val="auto"/>
          <w:sz w:val="28"/>
          <w:szCs w:val="28"/>
          <w:highlight w:val="none"/>
        </w:rPr>
        <w:t>：</w:t>
      </w:r>
    </w:p>
    <w:p w14:paraId="3FFD0C95">
      <w:pPr>
        <w:spacing w:line="320" w:lineRule="exact"/>
        <w:ind w:firstLine="643" w:firstLineChars="200"/>
        <w:jc w:val="center"/>
        <w:rPr>
          <w:rFonts w:hint="eastAsia" w:ascii="宋体" w:hAnsi="宋体"/>
          <w:b/>
          <w:color w:val="auto"/>
          <w:sz w:val="32"/>
          <w:highlight w:val="none"/>
        </w:rPr>
      </w:pPr>
      <w:r>
        <w:rPr>
          <w:rFonts w:hint="eastAsia" w:ascii="宋体" w:hAnsi="宋体"/>
          <w:b/>
          <w:color w:val="auto"/>
          <w:sz w:val="32"/>
          <w:highlight w:val="none"/>
        </w:rPr>
        <w:t>建设工程廉政责任书</w:t>
      </w:r>
    </w:p>
    <w:p w14:paraId="0A541F28">
      <w:pPr>
        <w:spacing w:line="300" w:lineRule="exact"/>
        <w:rPr>
          <w:rFonts w:hint="eastAsia" w:ascii="宋体" w:hAnsi="宋体"/>
          <w:color w:val="auto"/>
          <w:szCs w:val="21"/>
          <w:highlight w:val="none"/>
        </w:rPr>
      </w:pPr>
    </w:p>
    <w:p w14:paraId="4B22944C">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发包人：</w:t>
      </w:r>
      <w:r>
        <w:rPr>
          <w:rFonts w:hint="eastAsia" w:ascii="宋体" w:hAnsi="宋体"/>
          <w:color w:val="auto"/>
          <w:sz w:val="24"/>
          <w:szCs w:val="24"/>
          <w:highlight w:val="none"/>
          <w:u w:val="single"/>
        </w:rPr>
        <w:t xml:space="preserve">                                               </w:t>
      </w:r>
    </w:p>
    <w:p w14:paraId="44E41EC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承包人：</w:t>
      </w:r>
      <w:r>
        <w:rPr>
          <w:rFonts w:hint="eastAsia" w:ascii="宋体" w:hAnsi="宋体"/>
          <w:color w:val="auto"/>
          <w:sz w:val="24"/>
          <w:szCs w:val="24"/>
          <w:highlight w:val="none"/>
          <w:u w:val="single"/>
        </w:rPr>
        <w:t xml:space="preserve">                                               </w:t>
      </w:r>
    </w:p>
    <w:p w14:paraId="2A38D599">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C28C617">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一、双方的责任</w:t>
      </w:r>
    </w:p>
    <w:p w14:paraId="420930D2">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1.1应严格遵守国家关于建设工程的有关法律、法规，相关政策，以及廉政建设的各项规定。</w:t>
      </w:r>
    </w:p>
    <w:p w14:paraId="0376B2B0">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1.2严格执行建设工程合同文件，自觉按合同办事。</w:t>
      </w:r>
    </w:p>
    <w:p w14:paraId="6EBD078C">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365E4815">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1.4发现对方在业务活动中有违规、违纪、违法行为的，应及时提醒对方，情节严重的，应向其上级主管部门或纪检监察、司法等有关机关举报。</w:t>
      </w:r>
    </w:p>
    <w:p w14:paraId="72667454">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二、发包人责任</w:t>
      </w:r>
    </w:p>
    <w:p w14:paraId="257BD8CB">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发包人的领导和从事该建设工程项目的工作人员，在工程建设的事前、事中、事后应遵守以下规定：</w:t>
      </w:r>
    </w:p>
    <w:p w14:paraId="5F8EB74B">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2.1不得向承包人和相关单位索要或接受回扣、礼金、有价证券、贵重物品和好处费、感谢费等。</w:t>
      </w:r>
    </w:p>
    <w:p w14:paraId="18A8137F">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2.2不得在承包人和相关单位报销任何应由发包人或个人支付的费用。</w:t>
      </w:r>
    </w:p>
    <w:p w14:paraId="4921023D">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2.3不得要求、暗示或接受承包人和相关单位为个人装修住房、婚丧嫁娶、配偶子女的工作安排以及出国(境)、旅游等提供方便。</w:t>
      </w:r>
    </w:p>
    <w:p w14:paraId="3C55F69C">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2.4不得参加有可能影响公正执行公务的承包人和相关单位的宴请、健身、娱乐等活动。</w:t>
      </w:r>
    </w:p>
    <w:p w14:paraId="24A6C900">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1C37EEB5">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三、承包人责任</w:t>
      </w:r>
    </w:p>
    <w:p w14:paraId="1FE1A4F9">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61CD08BB">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3.1不得以任何理由向发包人及其工作人员索要、接受或赠送礼金、有价证券、贵重物品及回扣、好处费、感谢费等。</w:t>
      </w:r>
    </w:p>
    <w:p w14:paraId="51046396">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3.2不得以任何理由为发包人和相关单位报销应由对方或个人支付的费用。</w:t>
      </w:r>
    </w:p>
    <w:p w14:paraId="3C3A4F27">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3.3不得接受或暗示为发包人、相关单位或个人装修住房、婚丧嫁娶、配偶子女的工作安排以及出国(境)、旅游等提供方便。</w:t>
      </w:r>
    </w:p>
    <w:p w14:paraId="3BE0E9A8">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3.4不得以任何理由为发包人、相关单位或个人组织有可能影响公正执行公务的宴请、健身、娱乐等活动。</w:t>
      </w:r>
    </w:p>
    <w:p w14:paraId="36546C87">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四、违约责任</w:t>
      </w:r>
    </w:p>
    <w:p w14:paraId="1910B724">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2A6D633F">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23049AC8">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4.3本责任书作为建设工程合同的组成部分，与建设工程合同具有同等法律效力。经双方签署后立即生效。</w:t>
      </w:r>
    </w:p>
    <w:p w14:paraId="39D57A47">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五、责任书有效期</w:t>
      </w:r>
    </w:p>
    <w:p w14:paraId="0CDEDEDF">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本责任书的有效期为双方签署之日起至该工程项目竣工验收合格时止。</w:t>
      </w:r>
    </w:p>
    <w:p w14:paraId="18C228EA">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六、责任书份数</w:t>
      </w:r>
    </w:p>
    <w:p w14:paraId="10FC4AB9">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本责任书一式二份，发包人承包人各执一份，具有同等效力。</w:t>
      </w:r>
    </w:p>
    <w:p w14:paraId="16475168">
      <w:pPr>
        <w:spacing w:line="360" w:lineRule="auto"/>
        <w:ind w:firstLine="480" w:firstLineChars="200"/>
        <w:jc w:val="left"/>
        <w:rPr>
          <w:rFonts w:hint="eastAsia" w:ascii="宋体" w:hAnsi="宋体"/>
          <w:color w:val="auto"/>
          <w:sz w:val="24"/>
          <w:szCs w:val="24"/>
          <w:highlight w:val="none"/>
        </w:rPr>
      </w:pPr>
    </w:p>
    <w:p w14:paraId="3B0C981B">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发包人：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(公章)    承包人：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(公章)</w:t>
      </w:r>
    </w:p>
    <w:p w14:paraId="1078937E">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法定地址：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法定地址：</w:t>
      </w:r>
      <w:r>
        <w:rPr>
          <w:rFonts w:hint="eastAsia" w:ascii="宋体" w:hAnsi="宋体"/>
          <w:color w:val="auto"/>
          <w:sz w:val="24"/>
          <w:szCs w:val="24"/>
          <w:highlight w:val="none"/>
          <w:u w:val="single"/>
        </w:rPr>
        <w:t xml:space="preserve">                   </w:t>
      </w:r>
    </w:p>
    <w:p w14:paraId="68F7A62C">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法定代表人或其                    法定代表人或其</w:t>
      </w:r>
    </w:p>
    <w:p w14:paraId="70DDB73A">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   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(签字)</w:t>
      </w:r>
    </w:p>
    <w:p w14:paraId="1FCDBE01">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电话：</w:t>
      </w:r>
      <w:r>
        <w:rPr>
          <w:rFonts w:hint="eastAsia" w:ascii="宋体" w:hAnsi="宋体"/>
          <w:color w:val="auto"/>
          <w:sz w:val="24"/>
          <w:szCs w:val="24"/>
          <w:highlight w:val="none"/>
          <w:u w:val="single"/>
        </w:rPr>
        <w:t xml:space="preserve">                       </w:t>
      </w:r>
    </w:p>
    <w:p w14:paraId="009F6E72">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传真：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传真：</w:t>
      </w:r>
      <w:r>
        <w:rPr>
          <w:rFonts w:hint="eastAsia" w:ascii="宋体" w:hAnsi="宋体"/>
          <w:color w:val="auto"/>
          <w:sz w:val="24"/>
          <w:szCs w:val="24"/>
          <w:highlight w:val="none"/>
          <w:u w:val="single"/>
        </w:rPr>
        <w:t xml:space="preserve">                       </w:t>
      </w:r>
    </w:p>
    <w:p w14:paraId="6D4C2635">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电子邮箱：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电子邮箱：</w:t>
      </w:r>
      <w:r>
        <w:rPr>
          <w:rFonts w:hint="eastAsia" w:ascii="宋体" w:hAnsi="宋体"/>
          <w:color w:val="auto"/>
          <w:sz w:val="24"/>
          <w:szCs w:val="24"/>
          <w:highlight w:val="none"/>
          <w:u w:val="single"/>
        </w:rPr>
        <w:t xml:space="preserve">                   </w:t>
      </w:r>
    </w:p>
    <w:p w14:paraId="1B3A18DD">
      <w:pPr>
        <w:spacing w:line="400" w:lineRule="exact"/>
        <w:ind w:left="0" w:leftChars="0" w:firstLine="420" w:firstLineChars="175"/>
        <w:rPr>
          <w:rFonts w:hint="eastAsia"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开户银行：</w:t>
      </w:r>
      <w:r>
        <w:rPr>
          <w:rFonts w:hint="eastAsia" w:ascii="宋体" w:hAnsi="宋体"/>
          <w:color w:val="auto"/>
          <w:sz w:val="24"/>
          <w:szCs w:val="24"/>
          <w:highlight w:val="none"/>
          <w:u w:val="single"/>
        </w:rPr>
        <w:t xml:space="preserve">                   </w:t>
      </w:r>
    </w:p>
    <w:p w14:paraId="648EF447">
      <w:pPr>
        <w:spacing w:line="400" w:lineRule="exact"/>
        <w:ind w:left="0" w:leftChars="0" w:firstLine="420" w:firstLineChars="175"/>
        <w:rPr>
          <w:rFonts w:hint="eastAsia" w:ascii="宋体" w:hAnsi="宋体"/>
          <w:color w:val="auto"/>
          <w:sz w:val="24"/>
          <w:szCs w:val="24"/>
          <w:highlight w:val="none"/>
          <w:u w:val="single"/>
        </w:rPr>
      </w:pPr>
      <w:r>
        <w:rPr>
          <w:rFonts w:hint="eastAsia" w:ascii="宋体" w:hAnsi="宋体"/>
          <w:color w:val="auto"/>
          <w:sz w:val="24"/>
          <w:szCs w:val="24"/>
          <w:highlight w:val="none"/>
        </w:rPr>
        <w:t>帐号：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帐号：</w:t>
      </w:r>
      <w:r>
        <w:rPr>
          <w:rFonts w:hint="eastAsia" w:ascii="宋体" w:hAnsi="宋体"/>
          <w:color w:val="auto"/>
          <w:sz w:val="24"/>
          <w:szCs w:val="24"/>
          <w:highlight w:val="none"/>
          <w:u w:val="single"/>
        </w:rPr>
        <w:t xml:space="preserve">                       </w:t>
      </w:r>
    </w:p>
    <w:p w14:paraId="1E196DE9">
      <w:pPr>
        <w:spacing w:line="400" w:lineRule="exact"/>
        <w:ind w:left="0" w:leftChars="0" w:firstLine="420" w:firstLineChars="175"/>
        <w:rPr>
          <w:rFonts w:hint="eastAsia"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邮政编码：</w:t>
      </w:r>
      <w:r>
        <w:rPr>
          <w:rFonts w:hint="eastAsia" w:ascii="宋体" w:hAnsi="宋体"/>
          <w:color w:val="auto"/>
          <w:sz w:val="24"/>
          <w:szCs w:val="24"/>
          <w:highlight w:val="none"/>
          <w:u w:val="single"/>
        </w:rPr>
        <w:t xml:space="preserve">                   </w:t>
      </w:r>
    </w:p>
    <w:p w14:paraId="6D52C5C5">
      <w:pPr>
        <w:ind w:left="0" w:leftChars="0" w:firstLine="420" w:firstLineChars="175"/>
        <w:rPr>
          <w:color w:val="auto"/>
          <w:highlight w:val="none"/>
        </w:rPr>
      </w:pPr>
    </w:p>
    <w:p w14:paraId="423063F9">
      <w:pPr>
        <w:keepNext/>
        <w:keepLines/>
        <w:widowControl w:val="0"/>
        <w:numPr>
          <w:ilvl w:val="0"/>
          <w:numId w:val="0"/>
        </w:numPr>
        <w:spacing w:before="100" w:line="240" w:lineRule="auto"/>
        <w:jc w:val="both"/>
        <w:outlineLvl w:val="1"/>
        <w:rPr>
          <w:rFonts w:hint="eastAsia" w:ascii="宋体" w:hAnsi="宋体" w:cs="宋体"/>
          <w:b/>
          <w:bCs/>
          <w:i w:val="0"/>
          <w:iCs w:val="0"/>
          <w:snapToGrid w:val="0"/>
          <w:color w:val="auto"/>
          <w:kern w:val="44"/>
          <w:sz w:val="36"/>
          <w:szCs w:val="36"/>
          <w:highlight w:val="none"/>
        </w:rPr>
      </w:pPr>
    </w:p>
    <w:p w14:paraId="63453737">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0589DE6A">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79172B52">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3AB285E4">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2C3E0415">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7B599C1D">
      <w:pPr>
        <w:keepNext/>
        <w:keepLines/>
        <w:widowControl w:val="0"/>
        <w:numPr>
          <w:ilvl w:val="0"/>
          <w:numId w:val="0"/>
        </w:numPr>
        <w:spacing w:before="100" w:line="240" w:lineRule="auto"/>
        <w:jc w:val="both"/>
        <w:outlineLvl w:val="1"/>
        <w:rPr>
          <w:rFonts w:hint="eastAsia" w:ascii="宋体" w:hAnsi="宋体" w:cs="宋体"/>
          <w:b/>
          <w:bCs/>
          <w:i w:val="0"/>
          <w:iCs w:val="0"/>
          <w:snapToGrid w:val="0"/>
          <w:color w:val="auto"/>
          <w:kern w:val="44"/>
          <w:sz w:val="36"/>
          <w:szCs w:val="36"/>
          <w:highlight w:val="none"/>
        </w:rPr>
      </w:pPr>
    </w:p>
    <w:p w14:paraId="3B3F477E">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341817BC">
      <w:pPr>
        <w:keepNext/>
        <w:keepLines/>
        <w:widowControl w:val="0"/>
        <w:numPr>
          <w:ilvl w:val="0"/>
          <w:numId w:val="0"/>
        </w:numPr>
        <w:spacing w:before="100" w:line="240" w:lineRule="auto"/>
        <w:jc w:val="center"/>
        <w:outlineLvl w:val="1"/>
        <w:rPr>
          <w:rFonts w:hint="eastAsia" w:ascii="宋体" w:hAnsi="宋体" w:cs="宋体"/>
          <w:b/>
          <w:bCs/>
          <w:i w:val="0"/>
          <w:iCs w:val="0"/>
          <w:snapToGrid w:val="0"/>
          <w:color w:val="auto"/>
          <w:kern w:val="44"/>
          <w:sz w:val="36"/>
          <w:szCs w:val="36"/>
          <w:highlight w:val="none"/>
        </w:rPr>
      </w:pPr>
    </w:p>
    <w:p w14:paraId="4E15AFA1">
      <w:pPr>
        <w:pStyle w:val="2"/>
        <w:keepNext/>
        <w:keepLines/>
        <w:pageBreakBefore w:val="0"/>
        <w:widowControl w:val="0"/>
        <w:numPr>
          <w:ilvl w:val="0"/>
          <w:numId w:val="0"/>
        </w:numPr>
        <w:kinsoku/>
        <w:wordWrap/>
        <w:overflowPunct/>
        <w:topLinePunct w:val="0"/>
        <w:autoSpaceDE/>
        <w:autoSpaceDN/>
        <w:bidi w:val="0"/>
        <w:adjustRightInd/>
        <w:snapToGrid/>
        <w:spacing w:line="579"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r>
        <w:rPr>
          <w:rFonts w:ascii="Times New Roman" w:hAnsi="Times New Roman" w:eastAsia="仿宋_GB2312"/>
          <w:b/>
          <w:i w:val="0"/>
          <w:iCs w:val="0"/>
          <w:color w:val="auto"/>
          <w:sz w:val="30"/>
          <w:szCs w:val="30"/>
          <w:highlight w:val="none"/>
        </w:rPr>
        <w:br w:type="page"/>
      </w:r>
      <w:bookmarkEnd w:id="471"/>
    </w:p>
    <w:p w14:paraId="6AE0B59E">
      <w:pPr>
        <w:rPr>
          <w:rFonts w:hint="eastAsia"/>
          <w:color w:val="auto"/>
          <w:highlight w:val="none"/>
          <w:lang w:val="en-US" w:eastAsia="zh-CN"/>
        </w:rPr>
      </w:pPr>
    </w:p>
    <w:p w14:paraId="27E26346">
      <w:pPr>
        <w:pStyle w:val="2"/>
        <w:numPr>
          <w:ilvl w:val="0"/>
          <w:numId w:val="0"/>
        </w:numPr>
        <w:ind w:left="420" w:leftChars="0" w:hanging="420" w:firstLineChars="0"/>
        <w:rPr>
          <w:rFonts w:hint="eastAsia" w:ascii="宋体" w:hAnsi="宋体" w:eastAsia="宋体" w:cs="宋体"/>
          <w:color w:val="auto"/>
          <w:sz w:val="36"/>
          <w:szCs w:val="36"/>
          <w:highlight w:val="none"/>
        </w:rPr>
      </w:pPr>
      <w:bookmarkStart w:id="1118" w:name="_Toc32390"/>
      <w:r>
        <w:rPr>
          <w:rFonts w:hint="eastAsia" w:ascii="宋体" w:hAnsi="宋体" w:eastAsia="宋体" w:cs="宋体"/>
          <w:b/>
          <w:bCs/>
          <w:color w:val="auto"/>
          <w:kern w:val="44"/>
          <w:sz w:val="36"/>
          <w:szCs w:val="36"/>
          <w:highlight w:val="none"/>
          <w:lang w:val="en-US" w:eastAsia="zh-CN" w:bidi="ar-SA"/>
        </w:rPr>
        <w:t xml:space="preserve">第六章 </w:t>
      </w:r>
      <w:r>
        <w:rPr>
          <w:rFonts w:hint="eastAsia" w:ascii="宋体" w:hAnsi="宋体" w:eastAsia="宋体" w:cs="宋体"/>
          <w:color w:val="auto"/>
          <w:sz w:val="36"/>
          <w:szCs w:val="36"/>
          <w:highlight w:val="none"/>
        </w:rPr>
        <w:t>响应文件的格式</w:t>
      </w:r>
      <w:bookmarkEnd w:id="1118"/>
    </w:p>
    <w:p w14:paraId="174BB9C4">
      <w:pPr>
        <w:ind w:firstLine="480" w:firstLineChars="200"/>
        <w:rPr>
          <w:rFonts w:hint="eastAsia" w:cs="仿宋_GB2312"/>
          <w:color w:val="auto"/>
          <w:highlight w:val="none"/>
          <w:lang w:val="zh-CN"/>
        </w:rPr>
      </w:pPr>
    </w:p>
    <w:p w14:paraId="08C8A4A8">
      <w:pPr>
        <w:ind w:firstLine="480" w:firstLineChars="200"/>
        <w:rPr>
          <w:rFonts w:hint="eastAsia" w:cs="仿宋_GB2312"/>
          <w:i w:val="0"/>
          <w:iCs w:val="0"/>
          <w:color w:val="auto"/>
          <w:highlight w:val="none"/>
          <w:lang w:val="zh-CN"/>
        </w:rPr>
      </w:pPr>
    </w:p>
    <w:p w14:paraId="0F1E5057">
      <w:pPr>
        <w:ind w:firstLine="480" w:firstLineChars="200"/>
        <w:rPr>
          <w:rFonts w:hint="eastAsia" w:cs="仿宋_GB2312"/>
          <w:i w:val="0"/>
          <w:iCs w:val="0"/>
          <w:color w:val="auto"/>
          <w:highlight w:val="none"/>
          <w:lang w:val="zh-CN"/>
        </w:rPr>
      </w:pPr>
    </w:p>
    <w:p w14:paraId="02C1CDE2">
      <w:pPr>
        <w:ind w:firstLine="480" w:firstLineChars="200"/>
        <w:rPr>
          <w:rFonts w:hint="eastAsia" w:cs="仿宋_GB2312"/>
          <w:i w:val="0"/>
          <w:iCs w:val="0"/>
          <w:color w:val="auto"/>
          <w:highlight w:val="none"/>
          <w:lang w:val="zh-CN"/>
        </w:rPr>
      </w:pPr>
    </w:p>
    <w:p w14:paraId="5FD4F8BE">
      <w:pPr>
        <w:ind w:firstLine="480" w:firstLineChars="200"/>
        <w:rPr>
          <w:rFonts w:hint="eastAsia" w:cs="仿宋_GB2312"/>
          <w:i w:val="0"/>
          <w:iCs w:val="0"/>
          <w:color w:val="auto"/>
          <w:highlight w:val="none"/>
          <w:lang w:val="zh-CN"/>
        </w:rPr>
      </w:pPr>
    </w:p>
    <w:p w14:paraId="40FD170D">
      <w:pPr>
        <w:ind w:firstLine="480" w:firstLineChars="200"/>
        <w:rPr>
          <w:rFonts w:hint="eastAsia" w:cs="仿宋_GB2312"/>
          <w:i w:val="0"/>
          <w:iCs w:val="0"/>
          <w:color w:val="auto"/>
          <w:highlight w:val="none"/>
          <w:lang w:val="zh-CN"/>
        </w:rPr>
      </w:pPr>
    </w:p>
    <w:p w14:paraId="333C12D2">
      <w:pPr>
        <w:ind w:firstLine="480" w:firstLineChars="200"/>
        <w:rPr>
          <w:rFonts w:hint="eastAsia" w:cs="仿宋_GB2312"/>
          <w:i w:val="0"/>
          <w:iCs w:val="0"/>
          <w:color w:val="auto"/>
          <w:highlight w:val="none"/>
          <w:lang w:val="zh-CN"/>
        </w:rPr>
      </w:pPr>
    </w:p>
    <w:p w14:paraId="0DC5F5FB">
      <w:pPr>
        <w:ind w:firstLine="480" w:firstLineChars="200"/>
        <w:rPr>
          <w:rFonts w:hint="eastAsia" w:cs="仿宋_GB2312"/>
          <w:i w:val="0"/>
          <w:iCs w:val="0"/>
          <w:color w:val="auto"/>
          <w:highlight w:val="none"/>
          <w:lang w:val="zh-CN"/>
        </w:rPr>
      </w:pPr>
    </w:p>
    <w:p w14:paraId="7D5CE0DF">
      <w:pPr>
        <w:ind w:firstLine="480" w:firstLineChars="200"/>
        <w:rPr>
          <w:rFonts w:hint="eastAsia" w:cs="仿宋_GB2312"/>
          <w:i w:val="0"/>
          <w:iCs w:val="0"/>
          <w:color w:val="auto"/>
          <w:highlight w:val="none"/>
          <w:lang w:val="zh-CN"/>
        </w:rPr>
      </w:pPr>
    </w:p>
    <w:p w14:paraId="226FEC9F">
      <w:pPr>
        <w:ind w:firstLine="480" w:firstLineChars="200"/>
        <w:rPr>
          <w:rFonts w:hint="eastAsia" w:cs="仿宋_GB2312"/>
          <w:i w:val="0"/>
          <w:iCs w:val="0"/>
          <w:color w:val="auto"/>
          <w:highlight w:val="none"/>
          <w:lang w:val="zh-CN"/>
        </w:rPr>
      </w:pPr>
    </w:p>
    <w:p w14:paraId="3B193948">
      <w:pPr>
        <w:ind w:firstLine="480" w:firstLineChars="200"/>
        <w:rPr>
          <w:rFonts w:hint="eastAsia" w:cs="仿宋_GB2312"/>
          <w:i w:val="0"/>
          <w:iCs w:val="0"/>
          <w:color w:val="auto"/>
          <w:highlight w:val="none"/>
          <w:lang w:val="zh-CN"/>
        </w:rPr>
      </w:pPr>
    </w:p>
    <w:p w14:paraId="25528327">
      <w:pPr>
        <w:ind w:firstLine="480" w:firstLineChars="200"/>
        <w:rPr>
          <w:rFonts w:hint="eastAsia" w:cs="仿宋_GB2312"/>
          <w:i w:val="0"/>
          <w:iCs w:val="0"/>
          <w:color w:val="auto"/>
          <w:highlight w:val="none"/>
          <w:lang w:val="zh-CN"/>
        </w:rPr>
      </w:pPr>
    </w:p>
    <w:p w14:paraId="6F2846A3">
      <w:pPr>
        <w:ind w:firstLine="480" w:firstLineChars="200"/>
        <w:rPr>
          <w:rFonts w:hint="eastAsia" w:cs="仿宋_GB2312"/>
          <w:i w:val="0"/>
          <w:iCs w:val="0"/>
          <w:color w:val="auto"/>
          <w:highlight w:val="none"/>
          <w:lang w:val="zh-CN"/>
        </w:rPr>
      </w:pPr>
    </w:p>
    <w:p w14:paraId="6D7EA01B">
      <w:pPr>
        <w:ind w:firstLine="480" w:firstLineChars="200"/>
        <w:rPr>
          <w:rFonts w:hint="eastAsia" w:cs="仿宋_GB2312"/>
          <w:i w:val="0"/>
          <w:iCs w:val="0"/>
          <w:color w:val="auto"/>
          <w:highlight w:val="none"/>
          <w:lang w:val="zh-CN"/>
        </w:rPr>
      </w:pPr>
    </w:p>
    <w:p w14:paraId="1FA1C6E4">
      <w:pPr>
        <w:ind w:firstLine="480" w:firstLineChars="200"/>
        <w:rPr>
          <w:rFonts w:hint="eastAsia" w:cs="仿宋_GB2312"/>
          <w:i w:val="0"/>
          <w:iCs w:val="0"/>
          <w:color w:val="auto"/>
          <w:highlight w:val="none"/>
          <w:lang w:val="zh-CN"/>
        </w:rPr>
      </w:pPr>
    </w:p>
    <w:p w14:paraId="7080018F">
      <w:pPr>
        <w:ind w:firstLine="480" w:firstLineChars="200"/>
        <w:rPr>
          <w:rFonts w:hint="eastAsia" w:cs="仿宋_GB2312"/>
          <w:i w:val="0"/>
          <w:iCs w:val="0"/>
          <w:color w:val="auto"/>
          <w:highlight w:val="none"/>
          <w:lang w:val="zh-CN"/>
        </w:rPr>
      </w:pPr>
    </w:p>
    <w:p w14:paraId="4B79049E">
      <w:pPr>
        <w:ind w:firstLine="480" w:firstLineChars="200"/>
        <w:rPr>
          <w:rFonts w:hint="eastAsia" w:cs="仿宋_GB2312"/>
          <w:i w:val="0"/>
          <w:iCs w:val="0"/>
          <w:color w:val="auto"/>
          <w:highlight w:val="none"/>
          <w:lang w:val="zh-CN"/>
        </w:rPr>
      </w:pPr>
    </w:p>
    <w:p w14:paraId="690F05F4">
      <w:pPr>
        <w:ind w:firstLine="480" w:firstLineChars="200"/>
        <w:rPr>
          <w:rFonts w:hint="eastAsia" w:cs="仿宋_GB2312"/>
          <w:i w:val="0"/>
          <w:iCs w:val="0"/>
          <w:color w:val="auto"/>
          <w:highlight w:val="none"/>
          <w:lang w:val="zh-CN"/>
        </w:rPr>
      </w:pPr>
    </w:p>
    <w:p w14:paraId="6ED94B89">
      <w:pPr>
        <w:ind w:firstLine="480" w:firstLineChars="200"/>
        <w:rPr>
          <w:rFonts w:hint="eastAsia" w:cs="仿宋_GB2312"/>
          <w:i w:val="0"/>
          <w:iCs w:val="0"/>
          <w:color w:val="auto"/>
          <w:highlight w:val="none"/>
          <w:lang w:val="zh-CN"/>
        </w:rPr>
      </w:pPr>
    </w:p>
    <w:p w14:paraId="7DE59651">
      <w:pPr>
        <w:ind w:firstLine="480" w:firstLineChars="200"/>
        <w:rPr>
          <w:rFonts w:hint="eastAsia" w:cs="仿宋_GB2312"/>
          <w:i w:val="0"/>
          <w:iCs w:val="0"/>
          <w:color w:val="auto"/>
          <w:highlight w:val="none"/>
          <w:lang w:val="zh-CN"/>
        </w:rPr>
      </w:pPr>
    </w:p>
    <w:p w14:paraId="6165D9DC">
      <w:pPr>
        <w:ind w:firstLine="480" w:firstLineChars="200"/>
        <w:rPr>
          <w:rFonts w:hint="eastAsia" w:cs="仿宋_GB2312"/>
          <w:i w:val="0"/>
          <w:iCs w:val="0"/>
          <w:color w:val="auto"/>
          <w:highlight w:val="none"/>
          <w:lang w:val="zh-CN"/>
        </w:rPr>
      </w:pPr>
    </w:p>
    <w:p w14:paraId="0D899E1D">
      <w:pPr>
        <w:ind w:firstLine="480" w:firstLineChars="200"/>
        <w:rPr>
          <w:rFonts w:hint="eastAsia" w:cs="仿宋_GB2312"/>
          <w:i w:val="0"/>
          <w:iCs w:val="0"/>
          <w:color w:val="auto"/>
          <w:highlight w:val="none"/>
          <w:lang w:val="zh-CN"/>
        </w:rPr>
      </w:pPr>
    </w:p>
    <w:p w14:paraId="6EA0DF60">
      <w:pPr>
        <w:ind w:firstLine="480" w:firstLineChars="200"/>
        <w:rPr>
          <w:rFonts w:hint="eastAsia" w:cs="仿宋_GB2312"/>
          <w:i w:val="0"/>
          <w:iCs w:val="0"/>
          <w:color w:val="auto"/>
          <w:highlight w:val="none"/>
          <w:lang w:val="zh-CN"/>
        </w:rPr>
      </w:pPr>
    </w:p>
    <w:p w14:paraId="0EAD2D3B">
      <w:pPr>
        <w:ind w:firstLine="480" w:firstLineChars="200"/>
        <w:rPr>
          <w:rFonts w:hint="eastAsia" w:cs="仿宋_GB2312"/>
          <w:i w:val="0"/>
          <w:iCs w:val="0"/>
          <w:color w:val="auto"/>
          <w:highlight w:val="none"/>
          <w:lang w:val="zh-CN"/>
        </w:rPr>
      </w:pPr>
    </w:p>
    <w:p w14:paraId="3D40132F">
      <w:pPr>
        <w:ind w:firstLine="480" w:firstLineChars="200"/>
        <w:rPr>
          <w:rFonts w:hint="eastAsia" w:cs="仿宋_GB2312"/>
          <w:color w:val="auto"/>
          <w:szCs w:val="24"/>
          <w:highlight w:val="none"/>
          <w:lang w:val="zh-CN"/>
        </w:rPr>
      </w:pPr>
    </w:p>
    <w:p w14:paraId="6DC90E3C">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202803F7">
      <w:pPr>
        <w:autoSpaceDE w:val="0"/>
        <w:autoSpaceDN w:val="0"/>
        <w:adjustRightInd w:val="0"/>
        <w:rPr>
          <w:color w:val="auto"/>
          <w:sz w:val="21"/>
          <w:szCs w:val="24"/>
          <w:highlight w:val="none"/>
        </w:rPr>
      </w:pP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3"/>
        <w:bidi w:val="0"/>
        <w:jc w:val="center"/>
        <w:rPr>
          <w:color w:val="auto"/>
          <w:sz w:val="84"/>
          <w:szCs w:val="84"/>
          <w:highlight w:val="none"/>
        </w:rPr>
      </w:pPr>
      <w:bookmarkStart w:id="1119" w:name="_Toc10901"/>
      <w:r>
        <w:rPr>
          <w:rFonts w:hint="eastAsia"/>
          <w:color w:val="auto"/>
          <w:sz w:val="84"/>
          <w:szCs w:val="84"/>
          <w:highlight w:val="none"/>
          <w:lang w:val="en-US" w:eastAsia="zh-CN"/>
        </w:rPr>
        <w:t>响</w:t>
      </w:r>
      <w:r>
        <w:rPr>
          <w:rFonts w:hint="eastAsia"/>
          <w:color w:val="auto"/>
          <w:sz w:val="84"/>
          <w:szCs w:val="84"/>
          <w:highlight w:val="none"/>
        </w:rPr>
        <w:t xml:space="preserve"> </w:t>
      </w:r>
      <w:r>
        <w:rPr>
          <w:rFonts w:hint="eastAsia"/>
          <w:color w:val="auto"/>
          <w:sz w:val="84"/>
          <w:szCs w:val="84"/>
          <w:highlight w:val="none"/>
          <w:lang w:val="en-US" w:eastAsia="zh-CN"/>
        </w:rPr>
        <w:t>应</w:t>
      </w:r>
      <w:r>
        <w:rPr>
          <w:rFonts w:hint="eastAsia"/>
          <w:color w:val="auto"/>
          <w:sz w:val="84"/>
          <w:szCs w:val="84"/>
          <w:highlight w:val="none"/>
        </w:rPr>
        <w:t xml:space="preserve"> 文 件</w:t>
      </w:r>
      <w:bookmarkEnd w:id="1119"/>
    </w:p>
    <w:p w14:paraId="7053976A">
      <w:pPr>
        <w:pStyle w:val="3"/>
        <w:bidi w:val="0"/>
        <w:jc w:val="center"/>
        <w:rPr>
          <w:color w:val="auto"/>
          <w:sz w:val="56"/>
          <w:szCs w:val="56"/>
          <w:highlight w:val="none"/>
        </w:rPr>
      </w:pPr>
      <w:bookmarkStart w:id="1120" w:name="_Toc13537"/>
      <w:r>
        <w:rPr>
          <w:rFonts w:hint="eastAsia"/>
          <w:color w:val="auto"/>
          <w:sz w:val="56"/>
          <w:szCs w:val="56"/>
          <w:highlight w:val="none"/>
        </w:rPr>
        <w:t>资格证明文件</w:t>
      </w:r>
      <w:bookmarkEnd w:id="1120"/>
    </w:p>
    <w:p w14:paraId="11B2218D">
      <w:pPr>
        <w:autoSpaceDE w:val="0"/>
        <w:autoSpaceDN w:val="0"/>
        <w:adjustRightInd w:val="0"/>
        <w:rPr>
          <w:b/>
          <w:bCs/>
          <w:color w:val="auto"/>
          <w:sz w:val="22"/>
          <w:highlight w:val="none"/>
        </w:rPr>
      </w:pPr>
    </w:p>
    <w:p w14:paraId="7EDE7CD9">
      <w:pPr>
        <w:autoSpaceDE w:val="0"/>
        <w:autoSpaceDN w:val="0"/>
        <w:adjustRightInd w:val="0"/>
        <w:rPr>
          <w:color w:val="auto"/>
          <w:sz w:val="21"/>
          <w:szCs w:val="21"/>
          <w:highlight w:val="none"/>
        </w:rPr>
      </w:pPr>
    </w:p>
    <w:p w14:paraId="42DB1859">
      <w:pPr>
        <w:pStyle w:val="3"/>
        <w:rPr>
          <w:color w:val="auto"/>
          <w:highlight w:val="none"/>
        </w:rPr>
      </w:pPr>
    </w:p>
    <w:p w14:paraId="30EB22E6">
      <w:pPr>
        <w:autoSpaceDE w:val="0"/>
        <w:autoSpaceDN w:val="0"/>
        <w:adjustRightInd w:val="0"/>
        <w:rPr>
          <w:color w:val="auto"/>
          <w:sz w:val="21"/>
          <w:szCs w:val="21"/>
          <w:highlight w:val="none"/>
        </w:rPr>
      </w:pPr>
    </w:p>
    <w:p w14:paraId="0D158554">
      <w:pPr>
        <w:autoSpaceDE w:val="0"/>
        <w:autoSpaceDN w:val="0"/>
        <w:adjustRightInd w:val="0"/>
        <w:rPr>
          <w:color w:val="auto"/>
          <w:sz w:val="21"/>
          <w:szCs w:val="21"/>
          <w:highlight w:val="none"/>
        </w:rPr>
      </w:pPr>
    </w:p>
    <w:p w14:paraId="01B855BF">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E0530D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281C2EA">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7DB2DE4">
      <w:pPr>
        <w:ind w:left="840" w:firstLine="420"/>
        <w:rPr>
          <w:b/>
          <w:bCs/>
          <w:color w:val="auto"/>
          <w:sz w:val="28"/>
          <w:szCs w:val="28"/>
          <w:highlight w:val="none"/>
        </w:rPr>
      </w:pPr>
    </w:p>
    <w:p w14:paraId="1D6D546F">
      <w:pPr>
        <w:ind w:left="840" w:firstLine="420"/>
        <w:rPr>
          <w:b/>
          <w:bCs/>
          <w:color w:val="auto"/>
          <w:sz w:val="28"/>
          <w:szCs w:val="28"/>
          <w:highlight w:val="none"/>
        </w:rPr>
      </w:pPr>
    </w:p>
    <w:p w14:paraId="167EF277">
      <w:pPr>
        <w:ind w:left="840" w:firstLine="420"/>
        <w:rPr>
          <w:b/>
          <w:bCs/>
          <w:color w:val="auto"/>
          <w:sz w:val="28"/>
          <w:szCs w:val="28"/>
          <w:highlight w:val="none"/>
        </w:rPr>
      </w:pPr>
    </w:p>
    <w:p w14:paraId="6F83EA22">
      <w:pPr>
        <w:jc w:val="center"/>
        <w:rPr>
          <w:rFonts w:ascii="黑体" w:hAnsi="黑体" w:eastAsia="黑体"/>
          <w:i w:val="0"/>
          <w:iCs w:val="0"/>
          <w:color w:val="auto"/>
          <w:sz w:val="32"/>
          <w:szCs w:val="32"/>
          <w:highlight w:val="none"/>
        </w:rPr>
      </w:pPr>
      <w:r>
        <w:rPr>
          <w:rFonts w:hint="eastAsia" w:ascii="宋体" w:hAnsi="宋体" w:eastAsia="宋体" w:cs="宋体"/>
          <w:color w:val="auto"/>
          <w:sz w:val="32"/>
          <w:szCs w:val="32"/>
          <w:highlight w:val="none"/>
        </w:rPr>
        <w:t>年   月    日</w:t>
      </w:r>
    </w:p>
    <w:p w14:paraId="39BD53E8">
      <w:pPr>
        <w:jc w:val="center"/>
        <w:rPr>
          <w:b/>
          <w:bCs/>
          <w:i w:val="0"/>
          <w:iCs w:val="0"/>
          <w:color w:val="auto"/>
          <w:sz w:val="28"/>
          <w:szCs w:val="28"/>
          <w:highlight w:val="none"/>
        </w:rPr>
      </w:pPr>
      <w:r>
        <w:rPr>
          <w:b/>
          <w:bCs/>
          <w:i w:val="0"/>
          <w:iCs w:val="0"/>
          <w:color w:val="auto"/>
          <w:sz w:val="28"/>
          <w:szCs w:val="28"/>
          <w:highlight w:val="none"/>
        </w:rPr>
        <w:br w:type="page"/>
      </w:r>
    </w:p>
    <w:p w14:paraId="6DBE2CDA">
      <w:pPr>
        <w:rPr>
          <w:color w:val="auto"/>
          <w:highlight w:val="none"/>
          <w:lang w:val="zh-CN"/>
        </w:rPr>
      </w:pPr>
      <w:bookmarkStart w:id="1121" w:name="_Toc163493643"/>
    </w:p>
    <w:p w14:paraId="1582779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122" w:name="_Toc29826"/>
      <w:bookmarkStart w:id="1123" w:name="_Toc155185927"/>
      <w:r>
        <w:rPr>
          <w:rFonts w:hint="eastAsia" w:eastAsia="宋体" w:asciiTheme="majorHAnsi" w:hAnsiTheme="majorHAnsi" w:cstheme="majorBidi"/>
          <w:b/>
          <w:bCs/>
          <w:color w:val="auto"/>
          <w:kern w:val="2"/>
          <w:sz w:val="28"/>
          <w:szCs w:val="28"/>
          <w:highlight w:val="none"/>
          <w:lang w:val="en-US" w:eastAsia="zh-CN" w:bidi="ar-SA"/>
        </w:rPr>
        <w:t>一、满足《中华人民共和国政府采购法》第二十二条规定</w:t>
      </w:r>
      <w:bookmarkEnd w:id="1122"/>
    </w:p>
    <w:bookmarkEnd w:id="1123"/>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1、供应商</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2、供应商</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3、供应商</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4、供应商</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C5E4B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5、供应商</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0552EC5">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55A5AE2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593C05F7">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4E552CF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7171938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0E2D6054">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3845DBA7">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278832F9">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5867C6B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4053A2AA">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5A243C9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08CDCDAB">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28CC466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47D8D8D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5C8690F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s="宋体"/>
          <w:i w:val="0"/>
          <w:iCs w:val="0"/>
          <w:color w:val="auto"/>
          <w:kern w:val="0"/>
          <w:sz w:val="24"/>
          <w:szCs w:val="24"/>
          <w:highlight w:val="none"/>
          <w:lang w:val="en-US" w:eastAsia="zh-CN"/>
        </w:rPr>
      </w:pPr>
    </w:p>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1124" w:name="_Toc155185928"/>
      <w:bookmarkStart w:id="1125" w:name="_Toc163492922"/>
      <w:bookmarkStart w:id="1126" w:name="_Toc15431"/>
      <w:r>
        <w:rPr>
          <w:rFonts w:hint="eastAsia" w:eastAsia="宋体" w:cstheme="majorBidi"/>
          <w:b/>
          <w:bCs/>
          <w:color w:val="auto"/>
          <w:kern w:val="2"/>
          <w:sz w:val="24"/>
          <w:szCs w:val="24"/>
          <w:highlight w:val="none"/>
          <w:lang w:val="en-US" w:eastAsia="zh-CN" w:bidi="ar-SA"/>
        </w:rPr>
        <w:t>（二</w:t>
      </w:r>
      <w:bookmarkEnd w:id="1124"/>
      <w:bookmarkEnd w:id="1125"/>
      <w:r>
        <w:rPr>
          <w:rFonts w:hint="eastAsia" w:eastAsia="宋体" w:cstheme="majorBidi"/>
          <w:b/>
          <w:bCs/>
          <w:color w:val="auto"/>
          <w:kern w:val="2"/>
          <w:sz w:val="24"/>
          <w:szCs w:val="24"/>
          <w:highlight w:val="none"/>
          <w:lang w:val="en-US" w:eastAsia="zh-CN" w:bidi="ar-SA"/>
        </w:rPr>
        <w:t>）兵团政府采购供应商信用承诺函</w:t>
      </w:r>
      <w:bookmarkEnd w:id="1126"/>
    </w:p>
    <w:p w14:paraId="149786FB">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8FFA3C0">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7DA4A26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2565F5FE">
      <w:pPr>
        <w:spacing w:line="560" w:lineRule="exact"/>
        <w:ind w:firstLine="480" w:firstLineChars="200"/>
        <w:rPr>
          <w:rFonts w:hint="eastAsia" w:ascii="宋体" w:hAnsi="宋体" w:eastAsia="宋体" w:cs="宋体"/>
          <w:i w:val="0"/>
          <w:iCs w:val="0"/>
          <w:color w:val="auto"/>
          <w:kern w:val="0"/>
          <w:sz w:val="24"/>
          <w:szCs w:val="24"/>
          <w:highlight w:val="none"/>
        </w:rPr>
      </w:pPr>
    </w:p>
    <w:p w14:paraId="39CDD6B5">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0127B2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i w:val="0"/>
          <w:iCs w:val="0"/>
          <w:color w:val="auto"/>
          <w:kern w:val="0"/>
          <w:sz w:val="24"/>
          <w:szCs w:val="24"/>
          <w:highlight w:val="none"/>
        </w:rPr>
      </w:pPr>
    </w:p>
    <w:p w14:paraId="5883D10C">
      <w:pPr>
        <w:spacing w:line="560" w:lineRule="exact"/>
        <w:rPr>
          <w:rFonts w:hint="eastAsia" w:ascii="宋体" w:hAnsi="宋体" w:eastAsia="宋体" w:cs="宋体"/>
          <w:i w:val="0"/>
          <w:iCs w:val="0"/>
          <w:color w:val="auto"/>
          <w:kern w:val="0"/>
          <w:sz w:val="24"/>
          <w:szCs w:val="24"/>
          <w:highlight w:val="none"/>
        </w:rPr>
      </w:pPr>
    </w:p>
    <w:p w14:paraId="02066849">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FCFFDCC">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cs="宋体"/>
          <w:i w:val="0"/>
          <w:iCs w:val="0"/>
          <w:color w:val="auto"/>
          <w:kern w:val="0"/>
          <w:sz w:val="24"/>
          <w:szCs w:val="24"/>
          <w:highlight w:val="none"/>
          <w:lang w:val="en-US"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10A125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282D3BE6">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33E55E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1127" w:name="_Toc109899498"/>
      <w:bookmarkStart w:id="1128" w:name="_Toc155185930"/>
      <w:bookmarkStart w:id="1129" w:name="_Toc163492923"/>
      <w:bookmarkStart w:id="1130" w:name="_Toc140132840"/>
      <w:bookmarkStart w:id="1131" w:name="_Toc109899917"/>
      <w:bookmarkStart w:id="1132" w:name="_Toc109900336"/>
      <w:bookmarkStart w:id="1133" w:name="_Toc10865"/>
      <w:r>
        <w:rPr>
          <w:rFonts w:hint="eastAsia" w:cstheme="majorBidi"/>
          <w:b/>
          <w:bCs/>
          <w:color w:val="auto"/>
          <w:kern w:val="2"/>
          <w:sz w:val="28"/>
          <w:szCs w:val="28"/>
          <w:highlight w:val="none"/>
          <w:lang w:val="en-US" w:eastAsia="zh-CN" w:bidi="ar-SA"/>
        </w:rPr>
        <w:t>二</w:t>
      </w:r>
      <w:r>
        <w:rPr>
          <w:rFonts w:hint="eastAsia" w:eastAsia="宋体" w:asciiTheme="majorHAnsi" w:hAnsiTheme="majorHAnsi" w:cstheme="majorBidi"/>
          <w:b/>
          <w:bCs/>
          <w:color w:val="auto"/>
          <w:kern w:val="2"/>
          <w:sz w:val="28"/>
          <w:szCs w:val="28"/>
          <w:highlight w:val="none"/>
          <w:lang w:val="en-US" w:eastAsia="zh-CN" w:bidi="ar-SA"/>
        </w:rPr>
        <w:t>、</w:t>
      </w:r>
      <w:bookmarkEnd w:id="1127"/>
      <w:bookmarkEnd w:id="1128"/>
      <w:bookmarkEnd w:id="1129"/>
      <w:bookmarkEnd w:id="1130"/>
      <w:bookmarkEnd w:id="1131"/>
      <w:bookmarkEnd w:id="1132"/>
      <w:bookmarkStart w:id="1134" w:name="_Toc155185931"/>
      <w:r>
        <w:rPr>
          <w:rFonts w:hint="eastAsia" w:eastAsia="宋体" w:asciiTheme="majorHAnsi" w:hAnsiTheme="majorHAnsi" w:cstheme="majorBidi"/>
          <w:b/>
          <w:bCs/>
          <w:color w:val="auto"/>
          <w:kern w:val="2"/>
          <w:sz w:val="28"/>
          <w:szCs w:val="28"/>
          <w:highlight w:val="none"/>
          <w:lang w:val="zh-CN" w:eastAsia="zh-CN" w:bidi="ar-SA"/>
        </w:rPr>
        <w:t>联合体协议书</w:t>
      </w:r>
      <w:bookmarkEnd w:id="1134"/>
      <w:r>
        <w:rPr>
          <w:rFonts w:hint="eastAsia" w:ascii="宋体" w:hAnsi="宋体" w:eastAsia="宋体" w:cstheme="minorBidi"/>
          <w:b w:val="0"/>
          <w:bCs w:val="0"/>
          <w:color w:val="auto"/>
          <w:kern w:val="2"/>
          <w:sz w:val="28"/>
          <w:szCs w:val="28"/>
          <w:highlight w:val="none"/>
          <w:lang w:val="zh-CN" w:eastAsia="zh-CN" w:bidi="ar-SA"/>
        </w:rPr>
        <w:t>【如适用】</w:t>
      </w:r>
      <w:bookmarkEnd w:id="1133"/>
    </w:p>
    <w:p w14:paraId="39563C7F">
      <w:pPr>
        <w:snapToGrid w:val="0"/>
        <w:spacing w:line="360" w:lineRule="auto"/>
        <w:jc w:val="center"/>
        <w:outlineLvl w:val="0"/>
        <w:rPr>
          <w:rFonts w:hint="eastAsia" w:ascii="宋体" w:hAnsi="宋体" w:cs="宋体"/>
          <w:b/>
          <w:color w:val="auto"/>
          <w:kern w:val="0"/>
          <w:sz w:val="32"/>
          <w:szCs w:val="32"/>
          <w:highlight w:val="none"/>
        </w:rPr>
      </w:pPr>
    </w:p>
    <w:p w14:paraId="5AAD02BD">
      <w:pPr>
        <w:snapToGrid w:val="0"/>
        <w:spacing w:line="360" w:lineRule="auto"/>
        <w:jc w:val="center"/>
        <w:outlineLvl w:val="0"/>
        <w:rPr>
          <w:rFonts w:hint="eastAsia" w:ascii="宋体" w:hAnsi="宋体" w:cs="宋体"/>
          <w:b/>
          <w:i w:val="0"/>
          <w:iCs w:val="0"/>
          <w:color w:val="auto"/>
          <w:kern w:val="0"/>
          <w:sz w:val="32"/>
          <w:szCs w:val="32"/>
          <w:highlight w:val="none"/>
        </w:rPr>
      </w:pPr>
      <w:bookmarkStart w:id="1135" w:name="_Toc17206"/>
      <w:r>
        <w:rPr>
          <w:rFonts w:hint="eastAsia" w:ascii="宋体" w:hAnsi="宋体" w:cs="宋体"/>
          <w:b/>
          <w:color w:val="auto"/>
          <w:kern w:val="0"/>
          <w:sz w:val="32"/>
          <w:szCs w:val="32"/>
          <w:highlight w:val="none"/>
        </w:rPr>
        <w:t>联合体协议书</w:t>
      </w:r>
      <w:bookmarkEnd w:id="1135"/>
    </w:p>
    <w:p w14:paraId="67954623">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的，提供联合</w:t>
      </w:r>
      <w:r>
        <w:rPr>
          <w:rFonts w:hint="eastAsia" w:cs="宋体"/>
          <w:b/>
          <w:i w:val="0"/>
          <w:iCs w:val="0"/>
          <w:color w:val="auto"/>
          <w:sz w:val="24"/>
          <w:highlight w:val="none"/>
          <w:lang w:val="en-US" w:eastAsia="zh-CN"/>
        </w:rPr>
        <w:t>体</w:t>
      </w:r>
      <w:r>
        <w:rPr>
          <w:rFonts w:hint="eastAsia" w:ascii="宋体" w:hAnsi="宋体" w:cs="宋体"/>
          <w:b/>
          <w:i w:val="0"/>
          <w:iCs w:val="0"/>
          <w:color w:val="auto"/>
          <w:sz w:val="24"/>
          <w:highlight w:val="none"/>
        </w:rPr>
        <w:t>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；本项目不接受联合体</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或者</w:t>
      </w:r>
      <w:r>
        <w:rPr>
          <w:rFonts w:hint="eastAsia" w:cs="宋体"/>
          <w:b/>
          <w:i w:val="0"/>
          <w:iCs w:val="0"/>
          <w:color w:val="auto"/>
          <w:sz w:val="24"/>
          <w:highlight w:val="none"/>
          <w:lang w:val="en-US" w:eastAsia="zh-CN"/>
        </w:rPr>
        <w:t>供应商</w:t>
      </w:r>
      <w:r>
        <w:rPr>
          <w:rFonts w:hint="eastAsia" w:ascii="宋体" w:hAnsi="宋体" w:cs="宋体"/>
          <w:b/>
          <w:i w:val="0"/>
          <w:iCs w:val="0"/>
          <w:color w:val="auto"/>
          <w:sz w:val="24"/>
          <w:highlight w:val="none"/>
        </w:rPr>
        <w:t>不以联合体形式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的，则不需要提供）</w:t>
      </w:r>
    </w:p>
    <w:p w14:paraId="14187E6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（联合体所有成员名称）</w:t>
      </w:r>
      <w:r>
        <w:rPr>
          <w:rFonts w:hint="eastAsia" w:ascii="宋体" w:hAnsi="宋体" w:cs="宋体"/>
          <w:i w:val="0"/>
          <w:iCs w:val="0"/>
          <w:color w:val="auto"/>
          <w:kern w:val="0"/>
          <w:sz w:val="24"/>
          <w:highlight w:val="none"/>
        </w:rPr>
        <w:t>自愿</w:t>
      </w:r>
      <w:r>
        <w:rPr>
          <w:rFonts w:hint="eastAsia" w:ascii="宋体" w:hAnsi="宋体" w:cs="宋体"/>
          <w:i w:val="0"/>
          <w:iCs w:val="0"/>
          <w:color w:val="auto"/>
          <w:kern w:val="0"/>
          <w:sz w:val="24"/>
          <w:highlight w:val="none"/>
          <w:lang w:val="zh-CN"/>
        </w:rPr>
        <w:t>组成一个联合体，以一个</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的身份</w:t>
      </w:r>
      <w:r>
        <w:rPr>
          <w:rFonts w:hint="eastAsia" w:ascii="宋体" w:hAnsi="宋体" w:cs="宋体"/>
          <w:i w:val="0"/>
          <w:iCs w:val="0"/>
          <w:color w:val="auto"/>
          <w:kern w:val="0"/>
          <w:sz w:val="24"/>
          <w:highlight w:val="none"/>
        </w:rPr>
        <w:t>参加</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kern w:val="0"/>
          <w:sz w:val="24"/>
          <w:highlight w:val="none"/>
          <w:lang w:val="en-US" w:eastAsia="zh-CN"/>
        </w:rPr>
        <w:t>磋商</w:t>
      </w:r>
      <w:r>
        <w:rPr>
          <w:rFonts w:hint="eastAsia" w:ascii="宋体" w:hAnsi="宋体" w:cs="宋体"/>
          <w:i w:val="0"/>
          <w:iCs w:val="0"/>
          <w:color w:val="auto"/>
          <w:kern w:val="0"/>
          <w:sz w:val="24"/>
          <w:highlight w:val="none"/>
          <w:lang w:val="zh-CN"/>
        </w:rPr>
        <w:t xml:space="preserve">。 </w:t>
      </w:r>
    </w:p>
    <w:p w14:paraId="682E8747">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一、各方一致决定，</w:t>
      </w:r>
      <w:r>
        <w:rPr>
          <w:rFonts w:hint="eastAsia" w:ascii="宋体" w:hAnsi="宋体" w:cs="宋体"/>
          <w:i w:val="0"/>
          <w:iCs w:val="0"/>
          <w:color w:val="auto"/>
          <w:kern w:val="0"/>
          <w:sz w:val="24"/>
          <w:highlight w:val="none"/>
          <w:u w:val="single"/>
        </w:rPr>
        <w:t>（某联合体成员名称）</w:t>
      </w:r>
      <w:r>
        <w:rPr>
          <w:rFonts w:hint="eastAsia" w:ascii="宋体" w:hAnsi="宋体" w:cs="宋体"/>
          <w:i w:val="0"/>
          <w:iCs w:val="0"/>
          <w:color w:val="auto"/>
          <w:kern w:val="0"/>
          <w:sz w:val="24"/>
          <w:highlight w:val="none"/>
        </w:rPr>
        <w:t>为联合体</w:t>
      </w:r>
      <w:r>
        <w:rPr>
          <w:rFonts w:hint="eastAsia" w:ascii="宋体" w:hAnsi="宋体" w:cs="宋体"/>
          <w:i w:val="0"/>
          <w:iCs w:val="0"/>
          <w:color w:val="auto"/>
          <w:kern w:val="0"/>
          <w:sz w:val="24"/>
          <w:highlight w:val="none"/>
          <w:lang w:val="zh-CN"/>
        </w:rPr>
        <w:t>牵头人</w:t>
      </w:r>
      <w:r>
        <w:rPr>
          <w:rFonts w:hint="eastAsia" w:ascii="宋体" w:hAnsi="宋体" w:cs="宋体"/>
          <w:i w:val="0"/>
          <w:iCs w:val="0"/>
          <w:color w:val="auto"/>
          <w:sz w:val="24"/>
          <w:highlight w:val="none"/>
        </w:rPr>
        <w:t>，代表所有联合体成员负责</w:t>
      </w:r>
      <w:r>
        <w:rPr>
          <w:rFonts w:hint="eastAsia" w:cs="宋体"/>
          <w:i w:val="0"/>
          <w:iCs w:val="0"/>
          <w:color w:val="auto"/>
          <w:sz w:val="24"/>
          <w:highlight w:val="none"/>
          <w:lang w:val="en-US" w:eastAsia="zh-CN"/>
        </w:rPr>
        <w:t>磋商响应</w:t>
      </w:r>
      <w:r>
        <w:rPr>
          <w:rFonts w:hint="eastAsia" w:ascii="宋体" w:hAnsi="宋体" w:cs="宋体"/>
          <w:i w:val="0"/>
          <w:iCs w:val="0"/>
          <w:color w:val="auto"/>
          <w:sz w:val="24"/>
          <w:highlight w:val="none"/>
        </w:rPr>
        <w:t>和合同实施阶段的主办、协调工作</w:t>
      </w:r>
      <w:r>
        <w:rPr>
          <w:rFonts w:hint="eastAsia" w:ascii="宋体" w:hAnsi="宋体" w:cs="宋体"/>
          <w:i w:val="0"/>
          <w:iCs w:val="0"/>
          <w:color w:val="auto"/>
          <w:kern w:val="0"/>
          <w:sz w:val="24"/>
          <w:highlight w:val="none"/>
          <w:lang w:val="zh-CN"/>
        </w:rPr>
        <w:t>。</w:t>
      </w:r>
    </w:p>
    <w:p w14:paraId="2FA3C75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w:t>
      </w:r>
      <w:r>
        <w:rPr>
          <w:rFonts w:hint="eastAsia" w:ascii="宋体" w:hAnsi="宋体" w:cs="宋体"/>
          <w:i w:val="0"/>
          <w:iCs w:val="0"/>
          <w:color w:val="auto"/>
          <w:sz w:val="24"/>
          <w:highlight w:val="none"/>
        </w:rPr>
        <w:t>所有联合体成员各方签署授权书，授权书载明的</w:t>
      </w:r>
      <w:r>
        <w:rPr>
          <w:rFonts w:hint="eastAsia" w:ascii="宋体" w:hAnsi="宋体" w:cs="宋体"/>
          <w:i w:val="0"/>
          <w:iCs w:val="0"/>
          <w:color w:val="auto"/>
          <w:kern w:val="0"/>
          <w:sz w:val="24"/>
          <w:highlight w:val="none"/>
          <w:lang w:val="zh-CN"/>
        </w:rPr>
        <w:t>授权代表根据</w:t>
      </w:r>
      <w:r>
        <w:rPr>
          <w:rFonts w:hint="eastAsia" w:ascii="宋体" w:hAnsi="宋体" w:cs="宋体"/>
          <w:i w:val="0"/>
          <w:iCs w:val="0"/>
          <w:color w:val="auto"/>
          <w:kern w:val="0"/>
          <w:sz w:val="24"/>
          <w:highlight w:val="none"/>
          <w:lang w:val="zh-CN" w:eastAsia="zh-CN"/>
        </w:rPr>
        <w:t>竞争性磋商</w:t>
      </w:r>
      <w:r>
        <w:rPr>
          <w:rFonts w:hint="eastAsia" w:ascii="宋体" w:hAnsi="宋体" w:cs="宋体"/>
          <w:i w:val="0"/>
          <w:iCs w:val="0"/>
          <w:color w:val="auto"/>
          <w:kern w:val="0"/>
          <w:sz w:val="24"/>
          <w:highlight w:val="none"/>
          <w:lang w:val="zh-CN"/>
        </w:rPr>
        <w:t>文件规定及</w:t>
      </w:r>
      <w:r>
        <w:rPr>
          <w:rFonts w:hint="eastAsia" w:cs="宋体"/>
          <w:i w:val="0"/>
          <w:iCs w:val="0"/>
          <w:color w:val="auto"/>
          <w:kern w:val="0"/>
          <w:sz w:val="24"/>
          <w:highlight w:val="none"/>
          <w:lang w:val="en-US" w:eastAsia="zh-CN"/>
        </w:rPr>
        <w:t>响应</w:t>
      </w:r>
      <w:r>
        <w:rPr>
          <w:rFonts w:hint="eastAsia" w:ascii="宋体" w:hAnsi="宋体" w:cs="宋体"/>
          <w:i w:val="0"/>
          <w:iCs w:val="0"/>
          <w:color w:val="auto"/>
          <w:kern w:val="0"/>
          <w:sz w:val="24"/>
          <w:highlight w:val="none"/>
          <w:lang w:val="zh-CN"/>
        </w:rPr>
        <w:t>内容而对采购人、采购代理机构所作的任何合法承诺，包括书面澄清及相应等均对联合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各方产生约束力。</w:t>
      </w:r>
    </w:p>
    <w:p w14:paraId="794C756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中，分工如下：</w:t>
      </w:r>
    </w:p>
    <w:p w14:paraId="5742291A">
      <w:pPr>
        <w:snapToGrid w:val="0"/>
        <w:spacing w:line="360" w:lineRule="auto"/>
        <w:ind w:firstLine="576"/>
        <w:rPr>
          <w:rFonts w:ascii="宋体" w:hAnsi="宋体" w:cs="宋体"/>
          <w:i w:val="0"/>
          <w:iCs w:val="0"/>
          <w:color w:val="auto"/>
          <w:kern w:val="0"/>
          <w:sz w:val="24"/>
          <w:highlight w:val="none"/>
          <w:lang w:val="zh-CN"/>
        </w:rPr>
      </w:pPr>
      <w:bookmarkStart w:id="1136" w:name="_Hlk101134295"/>
      <w:r>
        <w:rPr>
          <w:rFonts w:hint="eastAsia" w:ascii="宋体" w:hAnsi="宋体" w:cs="宋体"/>
          <w:i w:val="0"/>
          <w:iCs w:val="0"/>
          <w:color w:val="auto"/>
          <w:kern w:val="0"/>
          <w:sz w:val="24"/>
          <w:highlight w:val="none"/>
          <w:u w:val="single"/>
        </w:rPr>
        <w:t>（联合体成员1）</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51F758B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2</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6E4350A6">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bookmarkEnd w:id="1136"/>
    <w:p w14:paraId="417425E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四、联合体成员中小企业合同份额。</w:t>
      </w:r>
    </w:p>
    <w:p w14:paraId="40493970">
      <w:pPr>
        <w:snapToGrid w:val="0"/>
        <w:spacing w:line="360" w:lineRule="auto"/>
        <w:ind w:firstLine="576"/>
        <w:rPr>
          <w:rFonts w:ascii="宋体" w:hAnsi="宋体" w:cs="宋体"/>
          <w:b/>
          <w:i w:val="0"/>
          <w:iCs w:val="0"/>
          <w:color w:val="auto"/>
          <w:kern w:val="0"/>
          <w:sz w:val="24"/>
          <w:highlight w:val="none"/>
          <w:lang w:val="zh-CN"/>
        </w:rPr>
      </w:pPr>
      <w:r>
        <w:rPr>
          <w:rFonts w:hint="eastAsia" w:ascii="宋体" w:hAnsi="宋体" w:cs="宋体"/>
          <w:i w:val="0"/>
          <w:iCs w:val="0"/>
          <w:color w:val="auto"/>
          <w:kern w:val="0"/>
          <w:sz w:val="24"/>
          <w:highlight w:val="none"/>
          <w:lang w:val="zh-CN"/>
        </w:rPr>
        <w:t>1、</w:t>
      </w: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X,</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提供的全部</w:t>
      </w:r>
      <w:r>
        <w:rPr>
          <w:rFonts w:hint="eastAsia" w:cs="宋体"/>
          <w:i w:val="0"/>
          <w:iCs w:val="0"/>
          <w:color w:val="auto"/>
          <w:kern w:val="0"/>
          <w:sz w:val="24"/>
          <w:highlight w:val="none"/>
          <w:lang w:val="en-US" w:eastAsia="zh-CN"/>
        </w:rPr>
        <w:t>工程</w:t>
      </w:r>
      <w:r>
        <w:rPr>
          <w:rFonts w:hint="eastAsia" w:ascii="宋体" w:hAnsi="宋体" w:cs="宋体"/>
          <w:i w:val="0"/>
          <w:iCs w:val="0"/>
          <w:color w:val="auto"/>
          <w:kern w:val="0"/>
          <w:sz w:val="24"/>
          <w:highlight w:val="none"/>
        </w:rPr>
        <w:t>由小微企业</w:t>
      </w:r>
      <w:r>
        <w:rPr>
          <w:rFonts w:hint="eastAsia" w:cs="宋体"/>
          <w:i w:val="0"/>
          <w:iCs w:val="0"/>
          <w:color w:val="auto"/>
          <w:kern w:val="0"/>
          <w:sz w:val="24"/>
          <w:highlight w:val="none"/>
          <w:lang w:val="en-US" w:eastAsia="zh-CN"/>
        </w:rPr>
        <w:t>实施</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kern w:val="0"/>
          <w:sz w:val="24"/>
          <w:highlight w:val="none"/>
          <w:lang w:val="zh-CN"/>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i w:val="0"/>
          <w:iCs w:val="0"/>
          <w:color w:val="auto"/>
          <w:kern w:val="0"/>
          <w:sz w:val="24"/>
          <w:highlight w:val="none"/>
          <w:lang w:val="zh-CN" w:eastAsia="zh-CN"/>
        </w:rPr>
        <w:t>磋商响应</w:t>
      </w:r>
      <w:r>
        <w:rPr>
          <w:rFonts w:hint="eastAsia" w:ascii="宋体" w:hAnsi="宋体" w:cs="宋体"/>
          <w:b/>
          <w:i w:val="0"/>
          <w:iCs w:val="0"/>
          <w:color w:val="auto"/>
          <w:kern w:val="0"/>
          <w:sz w:val="24"/>
          <w:highlight w:val="none"/>
          <w:lang w:val="zh-CN"/>
        </w:rPr>
        <w:t>的，联合</w:t>
      </w:r>
      <w:r>
        <w:rPr>
          <w:rFonts w:hint="eastAsia" w:cs="宋体"/>
          <w:b/>
          <w:i w:val="0"/>
          <w:iCs w:val="0"/>
          <w:color w:val="auto"/>
          <w:kern w:val="0"/>
          <w:sz w:val="24"/>
          <w:highlight w:val="none"/>
          <w:lang w:val="en-US" w:eastAsia="zh-CN"/>
        </w:rPr>
        <w:t>体</w:t>
      </w:r>
      <w:r>
        <w:rPr>
          <w:rFonts w:hint="eastAsia" w:ascii="宋体" w:hAnsi="宋体" w:cs="宋体"/>
          <w:b/>
          <w:i w:val="0"/>
          <w:iCs w:val="0"/>
          <w:color w:val="auto"/>
          <w:kern w:val="0"/>
          <w:sz w:val="24"/>
          <w:highlight w:val="none"/>
          <w:lang w:val="zh-CN"/>
        </w:rPr>
        <w:t>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约定小微企业的合同份额占到合同总金额30%以上的，对联合体报价按评</w:t>
      </w:r>
      <w:r>
        <w:rPr>
          <w:rFonts w:hint="eastAsia" w:cs="宋体"/>
          <w:b/>
          <w:i w:val="0"/>
          <w:iCs w:val="0"/>
          <w:color w:val="auto"/>
          <w:kern w:val="0"/>
          <w:sz w:val="24"/>
          <w:highlight w:val="none"/>
          <w:lang w:val="en-US" w:eastAsia="zh-CN"/>
        </w:rPr>
        <w:t>审</w:t>
      </w:r>
      <w:r>
        <w:rPr>
          <w:rFonts w:hint="eastAsia" w:ascii="宋体" w:hAnsi="宋体" w:cs="宋体"/>
          <w:b/>
          <w:i w:val="0"/>
          <w:iCs w:val="0"/>
          <w:color w:val="auto"/>
          <w:kern w:val="0"/>
          <w:sz w:val="24"/>
          <w:highlight w:val="none"/>
          <w:lang w:val="zh-CN"/>
        </w:rPr>
        <w:t>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C0B640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sz w:val="24"/>
          <w:highlight w:val="none"/>
        </w:rPr>
        <w:t>2、中小企业合同金额达到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要求以联合体形式参加的项目或采购包，供应商按</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文件第一部分</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公告申请人的资格要求中规定的联合</w:t>
      </w:r>
      <w:r>
        <w:rPr>
          <w:rFonts w:hint="eastAsia" w:cs="宋体"/>
          <w:b/>
          <w:bCs/>
          <w:i w:val="0"/>
          <w:iCs w:val="0"/>
          <w:color w:val="auto"/>
          <w:sz w:val="24"/>
          <w:highlight w:val="none"/>
          <w:lang w:val="en-US" w:eastAsia="zh-CN"/>
        </w:rPr>
        <w:t>体</w:t>
      </w:r>
      <w:r>
        <w:rPr>
          <w:rFonts w:hint="eastAsia" w:ascii="宋体" w:hAnsi="宋体" w:cs="宋体"/>
          <w:b/>
          <w:bCs/>
          <w:i w:val="0"/>
          <w:iCs w:val="0"/>
          <w:color w:val="auto"/>
          <w:sz w:val="24"/>
          <w:highlight w:val="none"/>
        </w:rPr>
        <w:t>协议</w:t>
      </w:r>
      <w:r>
        <w:rPr>
          <w:rFonts w:hint="eastAsia" w:cs="宋体"/>
          <w:b/>
          <w:bCs/>
          <w:i w:val="0"/>
          <w:iCs w:val="0"/>
          <w:color w:val="auto"/>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p>
    <w:p w14:paraId="1EC462A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五、如果</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sz w:val="24"/>
          <w:highlight w:val="none"/>
        </w:rPr>
        <w:t>联合体各成员方共同与采购人签订</w:t>
      </w:r>
      <w:r>
        <w:rPr>
          <w:rFonts w:hint="eastAsia" w:ascii="宋体" w:hAnsi="宋体" w:cs="宋体"/>
          <w:i w:val="0"/>
          <w:iCs w:val="0"/>
          <w:color w:val="auto"/>
          <w:sz w:val="24"/>
          <w:highlight w:val="none"/>
          <w:lang w:val="en-US" w:eastAsia="zh-CN"/>
        </w:rPr>
        <w:t>采购</w:t>
      </w:r>
      <w:r>
        <w:rPr>
          <w:rFonts w:hint="eastAsia" w:ascii="宋体" w:hAnsi="宋体" w:cs="宋体"/>
          <w:i w:val="0"/>
          <w:iCs w:val="0"/>
          <w:color w:val="auto"/>
          <w:sz w:val="24"/>
          <w:highlight w:val="none"/>
        </w:rPr>
        <w:t>合同，并就采购合同约定的事项对采购人承担连带责任。</w:t>
      </w:r>
    </w:p>
    <w:p w14:paraId="0B6A82F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六、有关本次联合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的其他事宜：</w:t>
      </w:r>
    </w:p>
    <w:p w14:paraId="518CE91A">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4、</w:t>
      </w:r>
      <w:r>
        <w:rPr>
          <w:rFonts w:hint="eastAsia" w:ascii="宋体" w:hAnsi="宋体" w:cs="宋体"/>
          <w:i w:val="0"/>
          <w:iCs w:val="0"/>
          <w:color w:val="auto"/>
          <w:kern w:val="0"/>
          <w:sz w:val="24"/>
          <w:highlight w:val="none"/>
          <w:lang w:val="zh-CN"/>
        </w:rPr>
        <w:t>其他：……</w:t>
      </w:r>
    </w:p>
    <w:p w14:paraId="43009373">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5、</w:t>
      </w:r>
      <w:r>
        <w:rPr>
          <w:rFonts w:hint="eastAsia" w:ascii="宋体" w:hAnsi="宋体" w:cs="宋体"/>
          <w:i w:val="0"/>
          <w:iCs w:val="0"/>
          <w:color w:val="auto"/>
          <w:kern w:val="0"/>
          <w:sz w:val="24"/>
          <w:highlight w:val="none"/>
          <w:lang w:val="zh-CN"/>
        </w:rPr>
        <w:t>本协议书自签署之日起生效，若未</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，自本</w:t>
      </w:r>
      <w:r>
        <w:rPr>
          <w:rFonts w:hint="eastAsia" w:cs="宋体"/>
          <w:i w:val="0"/>
          <w:iCs w:val="0"/>
          <w:color w:val="auto"/>
          <w:kern w:val="0"/>
          <w:sz w:val="24"/>
          <w:highlight w:val="none"/>
          <w:lang w:val="en-US" w:eastAsia="zh-CN"/>
        </w:rPr>
        <w:t>响应文件</w:t>
      </w:r>
      <w:r>
        <w:rPr>
          <w:rFonts w:hint="eastAsia" w:ascii="宋体" w:hAnsi="宋体" w:cs="宋体"/>
          <w:i w:val="0"/>
          <w:iCs w:val="0"/>
          <w:color w:val="auto"/>
          <w:kern w:val="0"/>
          <w:sz w:val="24"/>
          <w:highlight w:val="none"/>
          <w:lang w:val="zh-CN"/>
        </w:rPr>
        <w:t>有效期结束后自行失效；若</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，自合同书规定的期限之后自行失效。</w:t>
      </w:r>
    </w:p>
    <w:p w14:paraId="580F475F">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6、</w:t>
      </w:r>
      <w:r>
        <w:rPr>
          <w:rFonts w:hint="eastAsia" w:ascii="宋体" w:hAnsi="宋体" w:cs="宋体"/>
          <w:i w:val="0"/>
          <w:iCs w:val="0"/>
          <w:color w:val="auto"/>
          <w:kern w:val="0"/>
          <w:sz w:val="24"/>
          <w:highlight w:val="none"/>
          <w:lang w:val="zh-CN"/>
        </w:rPr>
        <w:t>本协议书正本一式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份；副本一式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w:t>
      </w:r>
    </w:p>
    <w:p w14:paraId="1797DC92">
      <w:pPr>
        <w:pStyle w:val="3"/>
        <w:rPr>
          <w:i w:val="0"/>
          <w:iCs w:val="0"/>
          <w:color w:val="auto"/>
          <w:highlight w:val="none"/>
          <w:lang w:val="zh-CN"/>
        </w:rPr>
      </w:pPr>
    </w:p>
    <w:p w14:paraId="6A1B5B57">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lang w:val="zh-CN"/>
        </w:rPr>
        <w:t>名称(公章)：</w:t>
      </w:r>
    </w:p>
    <w:p w14:paraId="21DBA726">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lang w:val="zh-CN"/>
        </w:rPr>
        <w:t>名称(公章)：</w:t>
      </w:r>
    </w:p>
    <w:p w14:paraId="2C01AA77">
      <w:pPr>
        <w:snapToGrid w:val="0"/>
        <w:spacing w:line="360" w:lineRule="auto"/>
        <w:ind w:right="960"/>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p>
    <w:p w14:paraId="64D03F6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  年  月   日</w:t>
      </w:r>
    </w:p>
    <w:p w14:paraId="69BB115A">
      <w:pPr>
        <w:spacing w:line="360" w:lineRule="auto"/>
        <w:ind w:right="420"/>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i w:val="0"/>
          <w:iCs w:val="0"/>
          <w:color w:val="auto"/>
          <w:highlight w:val="none"/>
          <w:u w:val="single"/>
        </w:rPr>
      </w:pPr>
      <w:r>
        <w:rPr>
          <w:rFonts w:cs="Tahoma"/>
          <w:i w:val="0"/>
          <w:iCs w:val="0"/>
          <w:color w:val="auto"/>
          <w:highlight w:val="none"/>
          <w:u w:val="single"/>
        </w:rPr>
        <w:br w:type="page"/>
      </w:r>
    </w:p>
    <w:p w14:paraId="7512156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1137" w:name="_Toc29707"/>
      <w:bookmarkStart w:id="1138" w:name="_Toc162299566"/>
      <w:bookmarkStart w:id="1139" w:name="_Toc156490356"/>
      <w:bookmarkStart w:id="1140" w:name="_Hlk101169080"/>
      <w:r>
        <w:rPr>
          <w:rFonts w:hint="eastAsia" w:cstheme="majorBidi"/>
          <w:b/>
          <w:bCs/>
          <w:color w:val="auto"/>
          <w:kern w:val="2"/>
          <w:sz w:val="28"/>
          <w:szCs w:val="28"/>
          <w:highlight w:val="none"/>
          <w:lang w:val="en-US" w:eastAsia="zh-CN" w:bidi="ar-SA"/>
        </w:rPr>
        <w:t>三</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分包意向协议书</w:t>
      </w:r>
      <w:r>
        <w:rPr>
          <w:rFonts w:hint="eastAsia" w:ascii="宋体" w:hAnsi="宋体" w:eastAsia="宋体" w:cstheme="minorBidi"/>
          <w:b w:val="0"/>
          <w:bCs w:val="0"/>
          <w:color w:val="auto"/>
          <w:kern w:val="2"/>
          <w:sz w:val="28"/>
          <w:szCs w:val="28"/>
          <w:highlight w:val="none"/>
          <w:lang w:val="zh-CN" w:eastAsia="zh-CN" w:bidi="ar-SA"/>
        </w:rPr>
        <w:t>【如适用】</w:t>
      </w:r>
      <w:bookmarkEnd w:id="1137"/>
      <w:bookmarkEnd w:id="1138"/>
      <w:bookmarkEnd w:id="1139"/>
    </w:p>
    <w:p w14:paraId="72EF9FB2">
      <w:pPr>
        <w:snapToGrid w:val="0"/>
        <w:spacing w:line="360" w:lineRule="auto"/>
        <w:jc w:val="center"/>
        <w:outlineLvl w:val="0"/>
        <w:rPr>
          <w:rFonts w:hint="eastAsia" w:ascii="宋体" w:hAnsi="宋体" w:cs="宋体"/>
          <w:b/>
          <w:color w:val="auto"/>
          <w:kern w:val="0"/>
          <w:sz w:val="32"/>
          <w:szCs w:val="32"/>
          <w:highlight w:val="none"/>
        </w:rPr>
      </w:pPr>
    </w:p>
    <w:p w14:paraId="14324193">
      <w:pPr>
        <w:snapToGrid w:val="0"/>
        <w:spacing w:line="360" w:lineRule="auto"/>
        <w:jc w:val="center"/>
        <w:outlineLvl w:val="0"/>
        <w:rPr>
          <w:rFonts w:hint="eastAsia" w:ascii="宋体" w:hAnsi="宋体" w:eastAsia="宋体" w:cs="宋体"/>
          <w:b/>
          <w:i w:val="0"/>
          <w:iCs w:val="0"/>
          <w:color w:val="auto"/>
          <w:kern w:val="0"/>
          <w:sz w:val="32"/>
          <w:szCs w:val="32"/>
          <w:highlight w:val="none"/>
          <w:lang w:val="en-US" w:eastAsia="zh-CN"/>
        </w:rPr>
      </w:pPr>
      <w:bookmarkStart w:id="1141" w:name="_Toc16723"/>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1141"/>
    </w:p>
    <w:p w14:paraId="4E9F0BF4">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cs="宋体"/>
          <w:b/>
          <w:i w:val="0"/>
          <w:iCs w:val="0"/>
          <w:color w:val="auto"/>
          <w:sz w:val="24"/>
          <w:highlight w:val="none"/>
          <w:lang w:val="en-US" w:eastAsia="zh-CN"/>
        </w:rPr>
        <w:t>成交</w:t>
      </w:r>
      <w:r>
        <w:rPr>
          <w:rFonts w:hint="eastAsia" w:ascii="宋体" w:hAnsi="宋体" w:cs="宋体"/>
          <w:b/>
          <w:i w:val="0"/>
          <w:iCs w:val="0"/>
          <w:color w:val="auto"/>
          <w:sz w:val="24"/>
          <w:highlight w:val="none"/>
        </w:rPr>
        <w:t>后以分包方式履行合同的，提供分包意向协议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；采购人不同意分包或者</w:t>
      </w:r>
      <w:r>
        <w:rPr>
          <w:rFonts w:hint="eastAsia" w:cs="宋体"/>
          <w:b/>
          <w:i w:val="0"/>
          <w:iCs w:val="0"/>
          <w:color w:val="auto"/>
          <w:sz w:val="24"/>
          <w:highlight w:val="none"/>
          <w:lang w:val="en-US" w:eastAsia="zh-CN"/>
        </w:rPr>
        <w:t>供应商成交</w:t>
      </w:r>
      <w:r>
        <w:rPr>
          <w:rFonts w:hint="eastAsia" w:ascii="宋体" w:hAnsi="宋体" w:cs="宋体"/>
          <w:b/>
          <w:i w:val="0"/>
          <w:iCs w:val="0"/>
          <w:color w:val="auto"/>
          <w:sz w:val="24"/>
          <w:highlight w:val="none"/>
        </w:rPr>
        <w:t>后不以分包方式履行合同的，则不需要提供。</w:t>
      </w:r>
      <w:r>
        <w:rPr>
          <w:rFonts w:hint="eastAsia" w:ascii="宋体" w:hAnsi="宋体" w:cs="宋体"/>
          <w:i w:val="0"/>
          <w:iCs w:val="0"/>
          <w:color w:val="auto"/>
          <w:sz w:val="24"/>
          <w:highlight w:val="none"/>
        </w:rPr>
        <w:t>）</w:t>
      </w:r>
    </w:p>
    <w:p w14:paraId="5791A4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的</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供应商，将依法采取分包方式履行合同。</w:t>
      </w: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cs="宋体"/>
          <w:i w:val="0"/>
          <w:iCs w:val="0"/>
          <w:color w:val="auto"/>
          <w:kern w:val="0"/>
          <w:sz w:val="24"/>
          <w:highlight w:val="none"/>
          <w:lang w:val="en-US" w:eastAsia="zh-CN"/>
        </w:rPr>
        <w:t>书</w:t>
      </w:r>
      <w:r>
        <w:rPr>
          <w:rFonts w:hint="eastAsia" w:ascii="宋体" w:hAnsi="宋体" w:cs="宋体"/>
          <w:i w:val="0"/>
          <w:iCs w:val="0"/>
          <w:color w:val="auto"/>
          <w:kern w:val="0"/>
          <w:sz w:val="24"/>
          <w:highlight w:val="none"/>
          <w:lang w:val="zh-CN"/>
        </w:rPr>
        <w:t xml:space="preserve">。 </w:t>
      </w:r>
    </w:p>
    <w:p w14:paraId="545E90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一、分包标的及数量</w:t>
      </w:r>
    </w:p>
    <w:p w14:paraId="5E08737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具备承</w:t>
      </w:r>
      <w:r>
        <w:rPr>
          <w:rFonts w:hint="eastAsia" w:ascii="宋体" w:hAnsi="宋体" w:cs="宋体"/>
          <w:i w:val="0"/>
          <w:iCs w:val="0"/>
          <w:color w:val="auto"/>
          <w:kern w:val="0"/>
          <w:sz w:val="24"/>
          <w:highlight w:val="none"/>
        </w:rPr>
        <w:t>担</w:t>
      </w:r>
      <w:r>
        <w:rPr>
          <w:rFonts w:hint="eastAsia" w:ascii="宋体" w:hAnsi="宋体" w:cs="宋体"/>
          <w:i w:val="0"/>
          <w:iCs w:val="0"/>
          <w:color w:val="auto"/>
          <w:kern w:val="0"/>
          <w:sz w:val="24"/>
          <w:highlight w:val="none"/>
          <w:u w:val="single"/>
          <w:lang w:val="zh-CN"/>
        </w:rPr>
        <w:t>XX工作内容</w:t>
      </w:r>
      <w:r>
        <w:rPr>
          <w:rFonts w:hint="eastAsia" w:ascii="宋体" w:hAnsi="宋体" w:cs="宋体"/>
          <w:i w:val="0"/>
          <w:iCs w:val="0"/>
          <w:color w:val="auto"/>
          <w:kern w:val="0"/>
          <w:sz w:val="24"/>
          <w:highlight w:val="none"/>
          <w:lang w:val="zh-CN"/>
        </w:rPr>
        <w:t>相应资质条件且不得再次分包；</w:t>
      </w:r>
    </w:p>
    <w:p w14:paraId="37B916C5">
      <w:pPr>
        <w:pStyle w:val="3"/>
        <w:tabs>
          <w:tab w:val="left" w:pos="432"/>
        </w:tabs>
        <w:ind w:left="758" w:leftChars="316" w:firstLine="229" w:firstLineChars="95"/>
        <w:rPr>
          <w:rFonts w:ascii="宋体" w:hAnsi="宋体" w:eastAsia="宋体" w:cs="宋体"/>
          <w:i w:val="0"/>
          <w:iCs w:val="0"/>
          <w:color w:val="auto"/>
          <w:kern w:val="0"/>
          <w:sz w:val="24"/>
          <w:szCs w:val="24"/>
          <w:highlight w:val="none"/>
        </w:rPr>
      </w:pPr>
      <w:bookmarkStart w:id="1142" w:name="_Toc1681"/>
      <w:r>
        <w:rPr>
          <w:rFonts w:hint="eastAsia" w:ascii="宋体" w:hAnsi="宋体" w:eastAsia="宋体" w:cs="宋体"/>
          <w:i w:val="0"/>
          <w:iCs w:val="0"/>
          <w:color w:val="auto"/>
          <w:kern w:val="0"/>
          <w:sz w:val="24"/>
          <w:szCs w:val="24"/>
          <w:highlight w:val="none"/>
        </w:rPr>
        <w:t>……</w:t>
      </w:r>
      <w:bookmarkEnd w:id="1142"/>
    </w:p>
    <w:p w14:paraId="042688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i w:val="0"/>
          <w:iCs w:val="0"/>
          <w:color w:val="auto"/>
          <w:kern w:val="0"/>
          <w:sz w:val="24"/>
          <w:highlight w:val="none"/>
          <w:lang w:val="zh-CN"/>
        </w:rPr>
      </w:pPr>
      <w:r>
        <w:rPr>
          <w:rFonts w:ascii="宋体" w:hAnsi="宋体" w:cs="宋体"/>
          <w:i w:val="0"/>
          <w:iCs w:val="0"/>
          <w:color w:val="auto"/>
          <w:kern w:val="0"/>
          <w:sz w:val="24"/>
          <w:highlight w:val="none"/>
        </w:rPr>
        <w:t>1、</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w:t>
      </w:r>
      <w:r>
        <w:rPr>
          <w:rFonts w:hint="eastAsia" w:cs="宋体"/>
          <w:i w:val="0"/>
          <w:iCs w:val="0"/>
          <w:color w:val="auto"/>
          <w:kern w:val="0"/>
          <w:sz w:val="24"/>
          <w:highlight w:val="none"/>
          <w:u w:val="single"/>
          <w:lang w:val="en-US" w:eastAsia="zh-CN"/>
        </w:rPr>
        <w:t>工程</w:t>
      </w:r>
      <w:r>
        <w:rPr>
          <w:rFonts w:hint="eastAsia" w:ascii="宋体" w:hAnsi="宋体" w:cs="宋体"/>
          <w:i w:val="0"/>
          <w:iCs w:val="0"/>
          <w:color w:val="auto"/>
          <w:kern w:val="0"/>
          <w:sz w:val="24"/>
          <w:highlight w:val="none"/>
          <w:u w:val="single"/>
        </w:rPr>
        <w:t>全部由小微企业</w:t>
      </w:r>
      <w:r>
        <w:rPr>
          <w:rFonts w:hint="eastAsia" w:cs="宋体"/>
          <w:i w:val="0"/>
          <w:iCs w:val="0"/>
          <w:color w:val="auto"/>
          <w:kern w:val="0"/>
          <w:sz w:val="24"/>
          <w:highlight w:val="none"/>
          <w:u w:val="single"/>
          <w:lang w:val="en-US" w:eastAsia="zh-CN"/>
        </w:rPr>
        <w:t>实施</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（未预留份额专门面向中小企业采购的采购项目，以及预留份额中的非预留部分采购包，允许分包的，分包意向协议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45FF207">
      <w:pPr>
        <w:spacing w:line="360" w:lineRule="auto"/>
        <w:ind w:firstLine="480" w:firstLineChars="200"/>
        <w:rPr>
          <w:rFonts w:ascii="宋体" w:hAnsi="宋体" w:cs="宋体"/>
          <w:b/>
          <w:bCs/>
          <w:i w:val="0"/>
          <w:iCs w:val="0"/>
          <w:color w:val="auto"/>
          <w:kern w:val="0"/>
          <w:sz w:val="24"/>
          <w:highlight w:val="none"/>
          <w:lang w:val="zh-CN"/>
        </w:rPr>
      </w:pPr>
      <w:r>
        <w:rPr>
          <w:rFonts w:hint="eastAsia" w:ascii="宋体" w:hAnsi="宋体" w:cs="宋体"/>
          <w:i w:val="0"/>
          <w:iCs w:val="0"/>
          <w:color w:val="auto"/>
          <w:sz w:val="24"/>
          <w:highlight w:val="none"/>
        </w:rPr>
        <w:t>2、</w:t>
      </w:r>
      <w:bookmarkStart w:id="1143"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公告申请人的资格要求中规定的</w:t>
      </w:r>
      <w:r>
        <w:rPr>
          <w:rFonts w:hint="eastAsia" w:ascii="宋体" w:hAnsi="宋体" w:cs="宋体"/>
          <w:b/>
          <w:i w:val="0"/>
          <w:iCs w:val="0"/>
          <w:color w:val="auto"/>
          <w:kern w:val="0"/>
          <w:sz w:val="24"/>
          <w:highlight w:val="none"/>
          <w:lang w:val="zh-CN"/>
        </w:rPr>
        <w:t>分包意向协议</w:t>
      </w:r>
      <w:r>
        <w:rPr>
          <w:rFonts w:hint="eastAsia" w:cs="宋体"/>
          <w:b/>
          <w:i w:val="0"/>
          <w:iCs w:val="0"/>
          <w:color w:val="auto"/>
          <w:kern w:val="0"/>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bookmarkEnd w:id="1143"/>
    </w:p>
    <w:p w14:paraId="51C56E7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7F26E4A3">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7925029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7369B1B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E7AB092">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32B92C8">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C79FAF7">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17F77B9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2CBB9B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5D83C45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A9066DF">
      <w:pPr>
        <w:snapToGrid w:val="0"/>
        <w:spacing w:line="360" w:lineRule="auto"/>
        <w:ind w:left="5861" w:leftChars="342" w:hanging="5040" w:hanging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名称(</w:t>
      </w:r>
      <w:r>
        <w:rPr>
          <w:rFonts w:hint="eastAsia" w:cs="宋体"/>
          <w:i w:val="0"/>
          <w:iCs w:val="0"/>
          <w:color w:val="auto"/>
          <w:kern w:val="0"/>
          <w:sz w:val="24"/>
          <w:highlight w:val="none"/>
          <w:lang w:val="en-US" w:eastAsia="zh-CN"/>
        </w:rPr>
        <w:t>公章</w:t>
      </w:r>
      <w:r>
        <w:rPr>
          <w:rFonts w:hint="eastAsia" w:ascii="宋体" w:hAnsi="宋体" w:cs="宋体"/>
          <w:i w:val="0"/>
          <w:iCs w:val="0"/>
          <w:color w:val="auto"/>
          <w:kern w:val="0"/>
          <w:sz w:val="24"/>
          <w:highlight w:val="none"/>
          <w:lang w:val="zh-CN"/>
        </w:rPr>
        <w:t>)：</w:t>
      </w:r>
    </w:p>
    <w:p w14:paraId="665C464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分包供应商名称(公章)：</w:t>
      </w:r>
    </w:p>
    <w:p w14:paraId="102F6BD9">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22C38D7A">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49A2F910">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7F0D76CC">
      <w:pPr>
        <w:topLinePunct/>
        <w:ind w:firstLine="480" w:firstLineChars="200"/>
        <w:rPr>
          <w:rFonts w:hint="eastAsia"/>
          <w:i w:val="0"/>
          <w:iCs w:val="0"/>
          <w:color w:val="auto"/>
          <w:szCs w:val="32"/>
          <w:highlight w:val="none"/>
        </w:rPr>
      </w:pPr>
    </w:p>
    <w:p w14:paraId="5F400CB9">
      <w:pPr>
        <w:topLinePunct/>
        <w:ind w:firstLine="480" w:firstLineChars="200"/>
        <w:rPr>
          <w:rFonts w:hint="eastAsia"/>
          <w:i w:val="0"/>
          <w:iCs w:val="0"/>
          <w:color w:val="auto"/>
          <w:szCs w:val="32"/>
          <w:highlight w:val="none"/>
        </w:rPr>
      </w:pPr>
    </w:p>
    <w:p w14:paraId="11CAF290">
      <w:pPr>
        <w:topLinePunct/>
        <w:ind w:firstLine="480" w:firstLineChars="200"/>
        <w:rPr>
          <w:rFonts w:hint="eastAsia"/>
          <w:i w:val="0"/>
          <w:iCs w:val="0"/>
          <w:color w:val="auto"/>
          <w:szCs w:val="32"/>
          <w:highlight w:val="none"/>
        </w:rPr>
      </w:pPr>
    </w:p>
    <w:p w14:paraId="35CFE103">
      <w:pPr>
        <w:topLinePunct/>
        <w:ind w:firstLine="480" w:firstLineChars="200"/>
        <w:rPr>
          <w:rFonts w:hint="eastAsia"/>
          <w:i w:val="0"/>
          <w:iCs w:val="0"/>
          <w:color w:val="auto"/>
          <w:szCs w:val="32"/>
          <w:highlight w:val="none"/>
        </w:rPr>
      </w:pPr>
    </w:p>
    <w:bookmarkEnd w:id="1140"/>
    <w:p w14:paraId="5775F461">
      <w:pPr>
        <w:ind w:left="2520" w:leftChars="1050"/>
        <w:rPr>
          <w:i w:val="0"/>
          <w:iCs w:val="0"/>
          <w:color w:val="auto"/>
          <w:highlight w:val="none"/>
        </w:rPr>
      </w:pPr>
      <w:r>
        <w:rPr>
          <w:rFonts w:cs="Courier New"/>
          <w:i w:val="0"/>
          <w:iCs w:val="0"/>
          <w:color w:val="auto"/>
          <w:szCs w:val="24"/>
          <w:highlight w:val="none"/>
        </w:rPr>
        <w:br w:type="page"/>
      </w:r>
    </w:p>
    <w:p w14:paraId="27442EE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144" w:name="_Toc155185932"/>
      <w:bookmarkStart w:id="1145" w:name="_Toc163492926"/>
      <w:bookmarkStart w:id="1146" w:name="_Toc2629"/>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bookmarkEnd w:id="1144"/>
      <w:bookmarkEnd w:id="1145"/>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1146"/>
    </w:p>
    <w:p w14:paraId="0BDCE4A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47" w:name="_Toc163492938"/>
      <w:bookmarkStart w:id="1148" w:name="_Toc13527"/>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1147"/>
      <w:bookmarkEnd w:id="1148"/>
    </w:p>
    <w:p w14:paraId="738C7A23">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74728550">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48"/>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48"/>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48"/>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48"/>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48"/>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48"/>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48"/>
              <w:jc w:val="center"/>
              <w:rPr>
                <w:color w:val="auto"/>
                <w:sz w:val="21"/>
                <w:szCs w:val="21"/>
                <w:highlight w:val="none"/>
              </w:rPr>
            </w:pPr>
            <w:r>
              <w:rPr>
                <w:rFonts w:hint="eastAsia"/>
                <w:color w:val="auto"/>
                <w:sz w:val="21"/>
                <w:szCs w:val="21"/>
                <w:highlight w:val="none"/>
              </w:rPr>
              <w:t>单价</w:t>
            </w:r>
          </w:p>
          <w:p w14:paraId="4D8AC9C4">
            <w:pPr>
              <w:pStyle w:val="48"/>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48"/>
              <w:jc w:val="center"/>
              <w:rPr>
                <w:color w:val="auto"/>
                <w:sz w:val="21"/>
                <w:szCs w:val="21"/>
                <w:highlight w:val="none"/>
              </w:rPr>
            </w:pPr>
            <w:r>
              <w:rPr>
                <w:rFonts w:hint="eastAsia"/>
                <w:color w:val="auto"/>
                <w:sz w:val="21"/>
                <w:szCs w:val="21"/>
                <w:highlight w:val="none"/>
              </w:rPr>
              <w:t>总价</w:t>
            </w:r>
          </w:p>
          <w:p w14:paraId="4637FB3E">
            <w:pPr>
              <w:pStyle w:val="48"/>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48"/>
              <w:jc w:val="center"/>
              <w:rPr>
                <w:color w:val="auto"/>
                <w:sz w:val="21"/>
                <w:szCs w:val="21"/>
                <w:highlight w:val="none"/>
              </w:rPr>
            </w:pPr>
            <w:r>
              <w:rPr>
                <w:rFonts w:hint="eastAsia"/>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48"/>
              <w:numPr>
                <w:ilvl w:val="0"/>
                <w:numId w:val="1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48"/>
              <w:jc w:val="center"/>
              <w:rPr>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48"/>
              <w:numPr>
                <w:ilvl w:val="0"/>
                <w:numId w:val="1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48"/>
              <w:jc w:val="center"/>
              <w:rPr>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48"/>
              <w:numPr>
                <w:ilvl w:val="0"/>
                <w:numId w:val="1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48"/>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48"/>
              <w:jc w:val="center"/>
              <w:rPr>
                <w:color w:val="auto"/>
                <w:sz w:val="21"/>
                <w:szCs w:val="21"/>
                <w:highlight w:val="none"/>
              </w:rPr>
            </w:pPr>
          </w:p>
        </w:tc>
      </w:tr>
    </w:tbl>
    <w:p w14:paraId="2831E0BE">
      <w:pPr>
        <w:spacing w:line="300" w:lineRule="auto"/>
        <w:rPr>
          <w:rFonts w:ascii="Arial" w:hAnsi="Arial" w:cs="Arial"/>
          <w:color w:val="auto"/>
          <w:szCs w:val="21"/>
          <w:highlight w:val="none"/>
        </w:rPr>
      </w:pPr>
    </w:p>
    <w:p w14:paraId="60D44E3F">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8"/>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8"/>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8"/>
              <w:jc w:val="center"/>
              <w:rPr>
                <w:color w:val="auto"/>
                <w:sz w:val="21"/>
                <w:szCs w:val="21"/>
                <w:highlight w:val="none"/>
              </w:rPr>
            </w:pPr>
            <w:r>
              <w:rPr>
                <w:rFonts w:hint="eastAsia"/>
                <w:color w:val="auto"/>
                <w:sz w:val="21"/>
                <w:szCs w:val="21"/>
                <w:highlight w:val="none"/>
              </w:rPr>
              <w:t>制造商</w:t>
            </w:r>
          </w:p>
          <w:p w14:paraId="6871D586">
            <w:pPr>
              <w:pStyle w:val="48"/>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8"/>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8"/>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8"/>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8"/>
              <w:jc w:val="center"/>
              <w:rPr>
                <w:color w:val="auto"/>
                <w:sz w:val="21"/>
                <w:szCs w:val="21"/>
                <w:highlight w:val="none"/>
              </w:rPr>
            </w:pPr>
            <w:r>
              <w:rPr>
                <w:rFonts w:hint="eastAsia"/>
                <w:color w:val="auto"/>
                <w:sz w:val="21"/>
                <w:szCs w:val="21"/>
                <w:highlight w:val="none"/>
              </w:rPr>
              <w:t>单价</w:t>
            </w:r>
          </w:p>
          <w:p w14:paraId="09FBCB92">
            <w:pPr>
              <w:pStyle w:val="48"/>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8"/>
              <w:jc w:val="center"/>
              <w:rPr>
                <w:color w:val="auto"/>
                <w:sz w:val="21"/>
                <w:szCs w:val="21"/>
                <w:highlight w:val="none"/>
              </w:rPr>
            </w:pPr>
            <w:r>
              <w:rPr>
                <w:rFonts w:hint="eastAsia"/>
                <w:color w:val="auto"/>
                <w:sz w:val="21"/>
                <w:szCs w:val="21"/>
                <w:highlight w:val="none"/>
              </w:rPr>
              <w:t>总价</w:t>
            </w:r>
          </w:p>
          <w:p w14:paraId="33CDE01B">
            <w:pPr>
              <w:pStyle w:val="48"/>
              <w:jc w:val="center"/>
              <w:rPr>
                <w:color w:val="auto"/>
                <w:sz w:val="21"/>
                <w:szCs w:val="21"/>
                <w:highlight w:val="none"/>
              </w:rPr>
            </w:pPr>
            <w:r>
              <w:rPr>
                <w:rFonts w:hint="eastAsia"/>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8"/>
              <w:numPr>
                <w:ilvl w:val="0"/>
                <w:numId w:val="1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8"/>
              <w:jc w:val="center"/>
              <w:rPr>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8"/>
              <w:numPr>
                <w:ilvl w:val="0"/>
                <w:numId w:val="1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8"/>
              <w:jc w:val="center"/>
              <w:rPr>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8"/>
              <w:numPr>
                <w:ilvl w:val="0"/>
                <w:numId w:val="1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8"/>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8"/>
              <w:jc w:val="center"/>
              <w:rPr>
                <w:color w:val="auto"/>
                <w:sz w:val="21"/>
                <w:szCs w:val="21"/>
                <w:highlight w:val="none"/>
              </w:rPr>
            </w:pPr>
          </w:p>
        </w:tc>
      </w:tr>
    </w:tbl>
    <w:p w14:paraId="141E07B3">
      <w:pPr>
        <w:spacing w:line="300" w:lineRule="auto"/>
        <w:rPr>
          <w:rFonts w:ascii="Arial" w:hAnsi="Arial" w:cs="Arial"/>
          <w:color w:val="auto"/>
          <w:szCs w:val="21"/>
          <w:highlight w:val="none"/>
        </w:rPr>
      </w:pPr>
    </w:p>
    <w:p w14:paraId="606E5A08">
      <w:pPr>
        <w:rPr>
          <w:rFonts w:ascii="Arial" w:hAnsi="Arial" w:cs="Arial"/>
          <w:b/>
          <w:i w:val="0"/>
          <w:iCs w:val="0"/>
          <w:color w:val="auto"/>
          <w:sz w:val="21"/>
          <w:szCs w:val="21"/>
          <w:highlight w:val="none"/>
        </w:rPr>
      </w:pPr>
      <w:r>
        <w:rPr>
          <w:rFonts w:hint="eastAsia" w:ascii="Arial" w:hAnsi="Arial" w:cs="Arial"/>
          <w:b/>
          <w:i w:val="0"/>
          <w:iCs w:val="0"/>
          <w:color w:val="auto"/>
          <w:sz w:val="21"/>
          <w:szCs w:val="21"/>
          <w:highlight w:val="none"/>
        </w:rPr>
        <w:t>特别说明：</w:t>
      </w:r>
      <w:r>
        <w:rPr>
          <w:rFonts w:hint="eastAsia" w:ascii="Arial" w:hAnsi="Arial" w:cs="Arial"/>
          <w:b/>
          <w:i w:val="0"/>
          <w:iCs w:val="0"/>
          <w:color w:val="auto"/>
          <w:sz w:val="21"/>
          <w:szCs w:val="21"/>
          <w:highlight w:val="none"/>
          <w:lang w:val="en-US" w:eastAsia="zh-CN"/>
        </w:rPr>
        <w:t>供应商</w:t>
      </w:r>
      <w:r>
        <w:rPr>
          <w:rFonts w:hint="eastAsia" w:ascii="Arial" w:hAnsi="Arial" w:cs="Arial"/>
          <w:b/>
          <w:i w:val="0"/>
          <w:iCs w:val="0"/>
          <w:color w:val="auto"/>
          <w:sz w:val="21"/>
          <w:szCs w:val="21"/>
          <w:highlight w:val="none"/>
        </w:rPr>
        <w:t>应将所投产品中节能、环保产品分别列入上表中，并按本</w:t>
      </w:r>
      <w:r>
        <w:rPr>
          <w:rFonts w:hint="eastAsia" w:ascii="Arial" w:hAnsi="Arial" w:cs="Arial"/>
          <w:b/>
          <w:i w:val="0"/>
          <w:iCs w:val="0"/>
          <w:color w:val="auto"/>
          <w:sz w:val="21"/>
          <w:szCs w:val="21"/>
          <w:highlight w:val="none"/>
          <w:lang w:val="en-US" w:eastAsia="zh-CN"/>
        </w:rPr>
        <w:t>竞争性磋商</w:t>
      </w:r>
      <w:r>
        <w:rPr>
          <w:rFonts w:hint="eastAsia" w:ascii="Arial" w:hAnsi="Arial" w:cs="Arial"/>
          <w:b/>
          <w:i w:val="0"/>
          <w:iCs w:val="0"/>
          <w:color w:val="auto"/>
          <w:sz w:val="21"/>
          <w:szCs w:val="21"/>
          <w:highlight w:val="none"/>
        </w:rPr>
        <w:t>文件</w:t>
      </w:r>
      <w:r>
        <w:rPr>
          <w:rFonts w:hint="eastAsia" w:ascii="Arial" w:hAnsi="Arial" w:cs="Arial"/>
          <w:b/>
          <w:i w:val="0"/>
          <w:iCs w:val="0"/>
          <w:color w:val="auto"/>
          <w:sz w:val="21"/>
          <w:szCs w:val="21"/>
          <w:highlight w:val="none"/>
          <w:lang w:val="en-US" w:eastAsia="zh-CN"/>
        </w:rPr>
        <w:t>“</w:t>
      </w:r>
      <w:r>
        <w:rPr>
          <w:rFonts w:hint="eastAsia" w:ascii="Arial" w:hAnsi="Arial" w:cs="Arial"/>
          <w:b/>
          <w:i w:val="0"/>
          <w:iCs w:val="0"/>
          <w:color w:val="auto"/>
          <w:sz w:val="21"/>
          <w:szCs w:val="21"/>
          <w:highlight w:val="none"/>
        </w:rPr>
        <w:t>第二章</w:t>
      </w:r>
      <w:r>
        <w:rPr>
          <w:rFonts w:hint="eastAsia" w:ascii="Arial" w:hAnsi="Arial" w:cs="Arial"/>
          <w:b/>
          <w:i w:val="0"/>
          <w:iCs w:val="0"/>
          <w:color w:val="auto"/>
          <w:sz w:val="21"/>
          <w:szCs w:val="21"/>
          <w:highlight w:val="none"/>
          <w:lang w:val="en-US" w:eastAsia="zh-CN"/>
        </w:rPr>
        <w:t>供应商须知”</w:t>
      </w:r>
      <w:r>
        <w:rPr>
          <w:rFonts w:hint="eastAsia" w:ascii="Arial" w:hAnsi="Arial" w:cs="Arial"/>
          <w:b/>
          <w:i w:val="0"/>
          <w:iCs w:val="0"/>
          <w:color w:val="auto"/>
          <w:sz w:val="21"/>
          <w:szCs w:val="21"/>
          <w:highlight w:val="none"/>
        </w:rPr>
        <w:t>提供相关证明材料，未填写本表或未提供有效认证证书</w:t>
      </w:r>
      <w:r>
        <w:rPr>
          <w:rFonts w:ascii="Arial" w:hAnsi="Arial" w:cs="Arial"/>
          <w:b/>
          <w:i w:val="0"/>
          <w:iCs w:val="0"/>
          <w:color w:val="auto"/>
          <w:sz w:val="21"/>
          <w:szCs w:val="21"/>
          <w:highlight w:val="none"/>
        </w:rPr>
        <w:t>的</w:t>
      </w:r>
      <w:r>
        <w:rPr>
          <w:rFonts w:hint="eastAsia" w:ascii="Arial" w:hAnsi="Arial" w:cs="Arial"/>
          <w:b/>
          <w:i w:val="0"/>
          <w:iCs w:val="0"/>
          <w:color w:val="auto"/>
          <w:sz w:val="21"/>
          <w:szCs w:val="21"/>
          <w:highlight w:val="none"/>
        </w:rPr>
        <w:t>不给予</w:t>
      </w:r>
      <w:r>
        <w:rPr>
          <w:rFonts w:ascii="Arial" w:hAnsi="Arial" w:cs="Arial"/>
          <w:b/>
          <w:i w:val="0"/>
          <w:iCs w:val="0"/>
          <w:color w:val="auto"/>
          <w:sz w:val="21"/>
          <w:szCs w:val="21"/>
          <w:highlight w:val="none"/>
        </w:rPr>
        <w:t>价格扣除</w:t>
      </w:r>
      <w:r>
        <w:rPr>
          <w:rFonts w:hint="eastAsia" w:ascii="Arial" w:hAnsi="Arial" w:cs="Arial"/>
          <w:b/>
          <w:i w:val="0"/>
          <w:iCs w:val="0"/>
          <w:color w:val="auto"/>
          <w:sz w:val="21"/>
          <w:szCs w:val="21"/>
          <w:highlight w:val="none"/>
        </w:rPr>
        <w:t>。</w:t>
      </w:r>
    </w:p>
    <w:p w14:paraId="675C9164">
      <w:pPr>
        <w:spacing w:line="300" w:lineRule="auto"/>
        <w:rPr>
          <w:rFonts w:ascii="Arial" w:hAnsi="Arial" w:cs="Arial"/>
          <w:i w:val="0"/>
          <w:iCs w:val="0"/>
          <w:color w:val="auto"/>
          <w:szCs w:val="21"/>
          <w:highlight w:val="none"/>
        </w:rPr>
      </w:pPr>
    </w:p>
    <w:p w14:paraId="402F965E">
      <w:pPr>
        <w:spacing w:line="300" w:lineRule="auto"/>
        <w:rPr>
          <w:rFonts w:ascii="Arial" w:hAnsi="Arial" w:cs="Arial"/>
          <w:i w:val="0"/>
          <w:iCs w:val="0"/>
          <w:color w:val="auto"/>
          <w:szCs w:val="21"/>
          <w:highlight w:val="none"/>
        </w:rPr>
      </w:pPr>
      <w:r>
        <w:rPr>
          <w:rFonts w:hint="eastAsia" w:ascii="Arial" w:hAnsi="Arial" w:cs="Arial"/>
          <w:i w:val="0"/>
          <w:iCs w:val="0"/>
          <w:color w:val="auto"/>
          <w:szCs w:val="21"/>
          <w:highlight w:val="none"/>
          <w:lang w:val="en-US" w:eastAsia="zh-CN"/>
        </w:rPr>
        <w:t>供应商</w:t>
      </w:r>
      <w:r>
        <w:rPr>
          <w:rFonts w:ascii="Arial" w:hAnsi="Arial" w:cs="Arial"/>
          <w:i w:val="0"/>
          <w:iCs w:val="0"/>
          <w:color w:val="auto"/>
          <w:szCs w:val="21"/>
          <w:highlight w:val="none"/>
        </w:rPr>
        <w:t>名称：</w:t>
      </w:r>
    </w:p>
    <w:p w14:paraId="3068A70D">
      <w:pPr>
        <w:rPr>
          <w:rFonts w:ascii="Arial" w:hAnsi="Arial" w:cs="Arial"/>
          <w:i w:val="0"/>
          <w:iCs w:val="0"/>
          <w:color w:val="auto"/>
          <w:szCs w:val="21"/>
          <w:highlight w:val="none"/>
        </w:rPr>
      </w:pPr>
      <w:r>
        <w:rPr>
          <w:rFonts w:ascii="Arial" w:hAnsi="Arial" w:cs="Arial"/>
          <w:i w:val="0"/>
          <w:iCs w:val="0"/>
          <w:color w:val="auto"/>
          <w:szCs w:val="21"/>
          <w:highlight w:val="none"/>
        </w:rPr>
        <w:t>日期：</w:t>
      </w:r>
    </w:p>
    <w:p w14:paraId="70617D68">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711C0C5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1149" w:name="_Toc17478"/>
      <w:bookmarkStart w:id="1150" w:name="_Toc163492939"/>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1149"/>
      <w:bookmarkEnd w:id="1150"/>
    </w:p>
    <w:p w14:paraId="17DF8322">
      <w:pPr>
        <w:pStyle w:val="4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53FBBEA6">
      <w:pPr>
        <w:spacing w:line="360" w:lineRule="auto"/>
        <w:jc w:val="center"/>
        <w:rPr>
          <w:rFonts w:ascii="宋体" w:hAnsi="宋体" w:cs="宋体"/>
          <w:b/>
          <w:i w:val="0"/>
          <w:iCs w:val="0"/>
          <w:color w:val="auto"/>
          <w:sz w:val="32"/>
          <w:szCs w:val="32"/>
          <w:highlight w:val="none"/>
        </w:rPr>
      </w:pPr>
      <w:r>
        <w:rPr>
          <w:rFonts w:hint="eastAsia"/>
          <w:b/>
          <w:bCs/>
          <w:color w:val="auto"/>
          <w:sz w:val="32"/>
          <w:szCs w:val="32"/>
          <w:highlight w:val="none"/>
        </w:rPr>
        <w:t>中小企业声明函</w:t>
      </w:r>
    </w:p>
    <w:p w14:paraId="220BFBEA">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4"/>
          <w:highlight w:val="none"/>
          <w:u w:val="single"/>
        </w:rPr>
        <w:t>（</w:t>
      </w:r>
      <w:r>
        <w:rPr>
          <w:rFonts w:hint="eastAsia" w:cs="宋体"/>
          <w:i w:val="0"/>
          <w:iCs w:val="0"/>
          <w:color w:val="auto"/>
          <w:sz w:val="24"/>
          <w:highlight w:val="none"/>
          <w:u w:val="single"/>
          <w:lang w:val="en-US" w:eastAsia="zh-CN"/>
        </w:rPr>
        <w:t>单位名称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 xml:space="preserve"> （项目名称） </w:t>
      </w:r>
      <w:r>
        <w:rPr>
          <w:rFonts w:hint="eastAsia" w:ascii="宋体" w:hAnsi="宋体" w:eastAsia="宋体" w:cs="宋体"/>
          <w:i w:val="0"/>
          <w:iCs w:val="0"/>
          <w:color w:val="auto"/>
          <w:sz w:val="24"/>
          <w:highlight w:val="none"/>
        </w:rPr>
        <w:t>采购活动，工程的施工单位全部为符合政策要求的中小企业。相关企业（含联合体中的中小企业、签订分包意向协议的中小企业）的具体情况如下：</w:t>
      </w:r>
    </w:p>
    <w:p w14:paraId="04EA303F">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 xml:space="preserve"> ；承建企业为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w:t>
      </w:r>
      <w:r>
        <w:rPr>
          <w:rFonts w:hint="eastAsia"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（中型企业、小型企业、微型企业） </w:t>
      </w:r>
      <w:r>
        <w:rPr>
          <w:rFonts w:hint="eastAsia" w:ascii="宋体" w:hAnsi="宋体" w:eastAsia="宋体" w:cs="宋体"/>
          <w:i w:val="0"/>
          <w:iCs w:val="0"/>
          <w:color w:val="auto"/>
          <w:sz w:val="24"/>
          <w:highlight w:val="none"/>
        </w:rPr>
        <w:t>；</w:t>
      </w:r>
    </w:p>
    <w:p w14:paraId="4F02369D">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sz w:val="24"/>
          <w:highlight w:val="none"/>
          <w:u w:val="single"/>
        </w:rPr>
        <w:t>（标的名称）</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sz w:val="24"/>
          <w:highlight w:val="none"/>
          <w:u w:val="single"/>
        </w:rPr>
        <w:t>（采购文件中明确的所属行业）</w:t>
      </w:r>
      <w:r>
        <w:rPr>
          <w:rFonts w:hint="eastAsia" w:ascii="宋体" w:hAnsi="宋体" w:eastAsia="宋体" w:cs="宋体"/>
          <w:i w:val="0"/>
          <w:iCs w:val="0"/>
          <w:color w:val="auto"/>
          <w:sz w:val="24"/>
          <w:highlight w:val="none"/>
        </w:rPr>
        <w:t xml:space="preserve"> ；承建企业为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w:t>
      </w:r>
      <w:r>
        <w:rPr>
          <w:rFonts w:hint="eastAsia"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（中型企业、小型企业、微型企业） </w:t>
      </w:r>
      <w:r>
        <w:rPr>
          <w:rFonts w:hint="eastAsia" w:ascii="宋体" w:hAnsi="宋体" w:eastAsia="宋体" w:cs="宋体"/>
          <w:i w:val="0"/>
          <w:iCs w:val="0"/>
          <w:color w:val="auto"/>
          <w:sz w:val="24"/>
          <w:highlight w:val="none"/>
        </w:rPr>
        <w:t>；</w:t>
      </w:r>
    </w:p>
    <w:p w14:paraId="58DDA894">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14:paraId="68292050">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以上企业，不属于大企业的分支机构，不存在控股股东为大企业的情形，也不存在与大企业的负责人为同一人的情形。</w:t>
      </w:r>
    </w:p>
    <w:p w14:paraId="6474980D">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本企业对上述声明内容的真实性负责。如有虚假，将依法承担相应责任。</w:t>
      </w:r>
    </w:p>
    <w:p w14:paraId="6F144CE6">
      <w:pPr>
        <w:spacing w:line="360" w:lineRule="auto"/>
        <w:ind w:firstLine="480" w:firstLineChars="200"/>
        <w:rPr>
          <w:rFonts w:hint="eastAsia" w:ascii="宋体" w:hAnsi="宋体" w:eastAsia="宋体" w:cs="宋体"/>
          <w:i w:val="0"/>
          <w:iCs w:val="0"/>
          <w:color w:val="auto"/>
          <w:sz w:val="24"/>
          <w:highlight w:val="none"/>
        </w:rPr>
      </w:pPr>
    </w:p>
    <w:p w14:paraId="2A781C2A">
      <w:pPr>
        <w:snapToGrid w:val="0"/>
        <w:spacing w:line="360" w:lineRule="auto"/>
        <w:ind w:firstLine="5160" w:firstLineChars="21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供应商名称(</w:t>
      </w:r>
      <w:r>
        <w:rPr>
          <w:rFonts w:hint="eastAsia" w:cs="宋体"/>
          <w:i w:val="0"/>
          <w:iCs w:val="0"/>
          <w:color w:val="auto"/>
          <w:kern w:val="0"/>
          <w:sz w:val="24"/>
          <w:highlight w:val="none"/>
          <w:lang w:val="en-US" w:eastAsia="zh-CN"/>
        </w:rPr>
        <w:t>公章</w:t>
      </w:r>
      <w:r>
        <w:rPr>
          <w:rFonts w:hint="eastAsia" w:ascii="宋体" w:hAnsi="宋体" w:eastAsia="宋体" w:cs="宋体"/>
          <w:i w:val="0"/>
          <w:iCs w:val="0"/>
          <w:color w:val="auto"/>
          <w:kern w:val="0"/>
          <w:sz w:val="24"/>
          <w:highlight w:val="none"/>
          <w:lang w:val="zh-CN"/>
        </w:rPr>
        <w:t>)：</w:t>
      </w:r>
    </w:p>
    <w:p w14:paraId="6457F571">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14:paraId="459B85C0">
      <w:pPr>
        <w:snapToGrid w:val="0"/>
        <w:spacing w:line="360" w:lineRule="auto"/>
        <w:ind w:firstLine="420" w:firstLineChars="200"/>
        <w:rPr>
          <w:rFonts w:hint="eastAsia" w:ascii="宋体" w:hAnsi="宋体" w:eastAsia="宋体" w:cs="宋体"/>
          <w:i w:val="0"/>
          <w:iCs w:val="0"/>
          <w:color w:val="auto"/>
          <w:sz w:val="21"/>
          <w:szCs w:val="21"/>
          <w:highlight w:val="none"/>
        </w:rPr>
      </w:pPr>
    </w:p>
    <w:p w14:paraId="748B4DD4">
      <w:pPr>
        <w:rPr>
          <w:rFonts w:hint="default" w:cs="宋体"/>
          <w:b/>
          <w:bCs/>
          <w:i w:val="0"/>
          <w:iCs w:val="0"/>
          <w:color w:val="auto"/>
          <w:spacing w:val="6"/>
          <w:sz w:val="21"/>
          <w:szCs w:val="21"/>
          <w:highlight w:val="none"/>
          <w:lang w:val="en-US" w:eastAsia="zh-CN"/>
        </w:rPr>
      </w:pPr>
      <w:r>
        <w:rPr>
          <w:rFonts w:hint="eastAsia" w:cs="宋体"/>
          <w:b/>
          <w:bCs/>
          <w:i w:val="0"/>
          <w:iCs w:val="0"/>
          <w:color w:val="auto"/>
          <w:spacing w:val="6"/>
          <w:sz w:val="21"/>
          <w:szCs w:val="21"/>
          <w:highlight w:val="none"/>
        </w:rPr>
        <w:t>说明：</w:t>
      </w:r>
      <w:r>
        <w:rPr>
          <w:rFonts w:hint="eastAsia" w:cs="宋体"/>
          <w:b/>
          <w:bCs/>
          <w:i w:val="0"/>
          <w:iCs w:val="0"/>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645259F9">
      <w:pPr>
        <w:ind w:firstLine="446" w:firstLineChars="200"/>
        <w:rPr>
          <w:rFonts w:hint="eastAsia" w:cs="宋体"/>
          <w:i w:val="0"/>
          <w:iCs w:val="0"/>
          <w:color w:val="auto"/>
          <w:spacing w:val="6"/>
          <w:sz w:val="21"/>
          <w:szCs w:val="21"/>
          <w:highlight w:val="none"/>
        </w:rPr>
      </w:pPr>
      <w:r>
        <w:rPr>
          <w:rFonts w:hint="eastAsia" w:cs="宋体"/>
          <w:b/>
          <w:bCs/>
          <w:i w:val="0"/>
          <w:iCs w:val="0"/>
          <w:color w:val="auto"/>
          <w:spacing w:val="6"/>
          <w:sz w:val="21"/>
          <w:szCs w:val="21"/>
          <w:highlight w:val="none"/>
          <w:lang w:val="en-US" w:eastAsia="zh-CN"/>
        </w:rPr>
        <w:t>2.</w:t>
      </w:r>
      <w:r>
        <w:rPr>
          <w:rFonts w:hint="eastAsia" w:cs="宋体"/>
          <w:i w:val="0"/>
          <w:iCs w:val="0"/>
          <w:color w:val="auto"/>
          <w:spacing w:val="6"/>
          <w:sz w:val="21"/>
          <w:szCs w:val="21"/>
          <w:highlight w:val="none"/>
        </w:rPr>
        <w:t>从业人员、营业收入、资产总额填报上一年度数据，无上一年度数据的新成立企业可不填报。</w:t>
      </w:r>
    </w:p>
    <w:p w14:paraId="012BEE83">
      <w:pPr>
        <w:snapToGrid w:val="0"/>
        <w:spacing w:line="360" w:lineRule="auto"/>
        <w:ind w:firstLine="420" w:firstLineChars="200"/>
        <w:rPr>
          <w:rFonts w:hint="eastAsia" w:ascii="宋体" w:hAnsi="宋体" w:eastAsia="宋体" w:cs="宋体"/>
          <w:i w:val="0"/>
          <w:iCs w:val="0"/>
          <w:color w:val="auto"/>
          <w:sz w:val="21"/>
          <w:szCs w:val="21"/>
          <w:highlight w:val="none"/>
        </w:rPr>
      </w:pPr>
    </w:p>
    <w:p w14:paraId="600935B0">
      <w:pPr>
        <w:rPr>
          <w:rFonts w:cs="宋体"/>
          <w:i w:val="0"/>
          <w:iCs w:val="0"/>
          <w:color w:val="auto"/>
          <w:spacing w:val="6"/>
          <w:sz w:val="21"/>
          <w:szCs w:val="21"/>
          <w:highlight w:val="none"/>
        </w:rPr>
      </w:pPr>
    </w:p>
    <w:p w14:paraId="149F21C9">
      <w:pPr>
        <w:rPr>
          <w:rFonts w:cs="宋体"/>
          <w:i w:val="0"/>
          <w:iCs w:val="0"/>
          <w:color w:val="auto"/>
          <w:spacing w:val="6"/>
          <w:sz w:val="21"/>
          <w:szCs w:val="21"/>
          <w:highlight w:val="none"/>
        </w:rPr>
      </w:pPr>
    </w:p>
    <w:p w14:paraId="60EFE5EE">
      <w:pPr>
        <w:rPr>
          <w:rFonts w:cs="宋体"/>
          <w:i w:val="0"/>
          <w:iCs w:val="0"/>
          <w:color w:val="auto"/>
          <w:spacing w:val="6"/>
          <w:sz w:val="21"/>
          <w:szCs w:val="21"/>
          <w:highlight w:val="none"/>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006C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0A0B18BB">
      <w:pPr>
        <w:keepNext w:val="0"/>
        <w:keepLines w:val="0"/>
        <w:widowControl/>
        <w:suppressLineNumbers w:val="0"/>
        <w:ind w:firstLine="562" w:firstLineChars="200"/>
        <w:jc w:val="left"/>
        <w:rPr>
          <w:rStyle w:val="34"/>
          <w:rFonts w:hint="eastAsia" w:ascii="宋体" w:hAnsi="宋体" w:eastAsia="宋体" w:cs="宋体"/>
          <w:color w:val="auto"/>
          <w:kern w:val="0"/>
          <w:sz w:val="28"/>
          <w:szCs w:val="28"/>
          <w:highlight w:val="none"/>
          <w:lang w:val="en-US" w:eastAsia="zh-CN" w:bidi="ar"/>
        </w:rPr>
      </w:pPr>
    </w:p>
    <w:p w14:paraId="2C71B7D1">
      <w:pPr>
        <w:keepNext w:val="0"/>
        <w:keepLines w:val="0"/>
        <w:widowControl/>
        <w:suppressLineNumbers w:val="0"/>
        <w:ind w:firstLine="482" w:firstLineChars="200"/>
        <w:jc w:val="left"/>
        <w:rPr>
          <w:rStyle w:val="34"/>
          <w:rFonts w:hint="eastAsia" w:ascii="宋体" w:hAnsi="宋体" w:eastAsia="宋体" w:cs="宋体"/>
          <w:i w:val="0"/>
          <w:iCs w:val="0"/>
          <w:color w:val="auto"/>
          <w:kern w:val="0"/>
          <w:sz w:val="28"/>
          <w:szCs w:val="28"/>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（一）关于</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中小企业声明函</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4"/>
          <w:rFonts w:hint="eastAsia" w:ascii="宋体" w:hAnsi="宋体" w:eastAsia="宋体" w:cs="宋体"/>
          <w:color w:val="auto"/>
          <w:kern w:val="0"/>
          <w:sz w:val="24"/>
          <w:szCs w:val="24"/>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75B198BB">
      <w:pPr>
        <w:ind w:firstLine="480" w:firstLineChars="200"/>
        <w:rPr>
          <w:rFonts w:cs="宋体"/>
          <w:i w:val="0"/>
          <w:iCs w:val="0"/>
          <w:color w:val="auto"/>
          <w:spacing w:val="6"/>
          <w:sz w:val="21"/>
          <w:szCs w:val="21"/>
          <w:highlight w:val="none"/>
        </w:rPr>
      </w:pPr>
      <w:r>
        <w:rPr>
          <w:rFonts w:hint="eastAsia" w:ascii="宋体" w:hAnsi="宋体" w:eastAsia="宋体" w:cs="宋体"/>
          <w:i w:val="0"/>
          <w:iCs w:val="0"/>
          <w:color w:val="auto"/>
          <w:kern w:val="0"/>
          <w:sz w:val="24"/>
          <w:szCs w:val="28"/>
          <w:highlight w:val="none"/>
          <w:lang w:val="en-US" w:eastAsia="zh-CN" w:bidi="ar"/>
        </w:rPr>
        <w:t>3.如供应商提供的</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04D8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color w:val="auto"/>
          <w:highlight w:val="none"/>
          <w:lang w:val="en-US" w:eastAsia="zh-CN"/>
        </w:rPr>
      </w:pPr>
    </w:p>
    <w:p w14:paraId="6E224C0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243BB2FE">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i w:val="0"/>
          <w:iCs w:val="0"/>
          <w:color w:val="auto"/>
          <w:sz w:val="24"/>
          <w:szCs w:val="24"/>
          <w:highlight w:val="none"/>
        </w:rPr>
      </w:pPr>
      <w:r>
        <w:rPr>
          <w:rStyle w:val="34"/>
          <w:rFonts w:hint="eastAsia" w:ascii="宋体" w:hAnsi="宋体" w:eastAsia="宋体" w:cs="宋体"/>
          <w:b w:val="0"/>
          <w:i w:val="0"/>
          <w:iCs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bCs w:val="0"/>
          <w:i w:val="0"/>
          <w:iCs w:val="0"/>
          <w:color w:val="auto"/>
          <w:sz w:val="30"/>
          <w:szCs w:val="30"/>
          <w:highlight w:val="none"/>
        </w:rPr>
      </w:pPr>
      <w:r>
        <w:rPr>
          <w:rStyle w:val="34"/>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i w:val="0"/>
          <w:iCs w:val="0"/>
          <w:color w:val="auto"/>
          <w:spacing w:val="6"/>
          <w:sz w:val="21"/>
          <w:szCs w:val="21"/>
          <w:highlight w:val="none"/>
        </w:rPr>
      </w:pPr>
      <w:r>
        <w:rPr>
          <w:rStyle w:val="34"/>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5FA7D1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bookmarkStart w:id="1151" w:name="_Toc163492940"/>
      <w:r>
        <w:rPr>
          <w:rFonts w:hint="eastAsia"/>
          <w:b/>
          <w:bCs/>
          <w:color w:val="auto"/>
          <w:highlight w:val="none"/>
          <w:lang w:val="en-US" w:eastAsia="zh-CN"/>
        </w:rPr>
        <w:t>附件3：</w:t>
      </w:r>
    </w:p>
    <w:p w14:paraId="1AF7C83B">
      <w:pPr>
        <w:rPr>
          <w:rFonts w:hint="eastAsia" w:cs="宋体"/>
          <w:color w:val="auto"/>
          <w:spacing w:val="6"/>
          <w:sz w:val="21"/>
          <w:szCs w:val="21"/>
          <w:highlight w:val="none"/>
        </w:rPr>
      </w:pPr>
    </w:p>
    <w:p w14:paraId="134F6EBF">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0E9786C6">
      <w:pPr>
        <w:jc w:val="center"/>
        <w:rPr>
          <w:rStyle w:val="34"/>
          <w:rFonts w:hint="eastAsia" w:ascii="宋体" w:hAnsi="宋体" w:eastAsia="宋体" w:cs="宋体"/>
          <w:b w:val="0"/>
          <w:i w:val="0"/>
          <w:iCs w:val="0"/>
          <w:color w:val="auto"/>
          <w:sz w:val="24"/>
          <w:szCs w:val="24"/>
          <w:highlight w:val="none"/>
        </w:rPr>
      </w:pPr>
      <w:r>
        <w:rPr>
          <w:rStyle w:val="34"/>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i w:val="0"/>
          <w:iCs w:val="0"/>
          <w:color w:val="auto"/>
          <w:sz w:val="24"/>
          <w:szCs w:val="24"/>
          <w:highlight w:val="none"/>
        </w:rPr>
      </w:pPr>
      <w:r>
        <w:rPr>
          <w:rFonts w:hint="eastAsia" w:cs="宋体"/>
          <w:i w:val="0"/>
          <w:iCs w:val="0"/>
          <w:color w:val="auto"/>
          <w:spacing w:val="6"/>
          <w:sz w:val="24"/>
          <w:szCs w:val="24"/>
          <w:highlight w:val="none"/>
        </w:rPr>
        <w:t>                                      </w:t>
      </w:r>
      <w:r>
        <w:rPr>
          <w:rStyle w:val="34"/>
          <w:rFonts w:hint="eastAsia" w:ascii="宋体" w:hAnsi="宋体" w:eastAsia="宋体" w:cs="宋体"/>
          <w:b w:val="0"/>
          <w:bCs w:val="0"/>
          <w:i w:val="0"/>
          <w:iCs w:val="0"/>
          <w:color w:val="auto"/>
          <w:sz w:val="24"/>
          <w:szCs w:val="24"/>
          <w:highlight w:val="none"/>
        </w:rPr>
        <w:t>       </w:t>
      </w:r>
      <w:r>
        <w:rPr>
          <w:rStyle w:val="34"/>
          <w:rFonts w:hint="eastAsia" w:cs="宋体"/>
          <w:b w:val="0"/>
          <w:bCs w:val="0"/>
          <w:i w:val="0"/>
          <w:iCs w:val="0"/>
          <w:color w:val="auto"/>
          <w:sz w:val="24"/>
          <w:szCs w:val="24"/>
          <w:highlight w:val="none"/>
          <w:lang w:val="en-US" w:eastAsia="zh-CN"/>
        </w:rPr>
        <w:t xml:space="preserve">                            </w:t>
      </w:r>
      <w:r>
        <w:rPr>
          <w:rStyle w:val="34"/>
          <w:rFonts w:hint="eastAsia" w:ascii="宋体" w:hAnsi="宋体" w:eastAsia="宋体" w:cs="宋体"/>
          <w:b w:val="0"/>
          <w:bCs w:val="0"/>
          <w:i w:val="0"/>
          <w:i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w:t>
      </w:r>
      <w:r>
        <w:rPr>
          <w:rStyle w:val="34"/>
          <w:rFonts w:hint="eastAsia" w:cs="宋体"/>
          <w:b w:val="0"/>
          <w:bCs w:val="0"/>
          <w:i w:val="0"/>
          <w:iCs w:val="0"/>
          <w:color w:val="auto"/>
          <w:sz w:val="24"/>
          <w:szCs w:val="24"/>
          <w:highlight w:val="none"/>
          <w:lang w:val="en-US" w:eastAsia="zh-CN"/>
        </w:rPr>
        <w:t xml:space="preserve">     </w:t>
      </w:r>
      <w:r>
        <w:rPr>
          <w:rStyle w:val="34"/>
          <w:rFonts w:hint="eastAsia" w:ascii="宋体" w:hAnsi="宋体" w:eastAsia="宋体" w:cs="宋体"/>
          <w:b w:val="0"/>
          <w:bCs w:val="0"/>
          <w:i w:val="0"/>
          <w:iCs w:val="0"/>
          <w:color w:val="auto"/>
          <w:sz w:val="24"/>
          <w:szCs w:val="24"/>
          <w:highlight w:val="none"/>
        </w:rPr>
        <w:t> 2015年9月28日</w:t>
      </w:r>
    </w:p>
    <w:p w14:paraId="2D875BF0">
      <w:pPr>
        <w:rPr>
          <w:rFonts w:hint="eastAsia" w:cs="宋体"/>
          <w:i w:val="0"/>
          <w:iCs w:val="0"/>
          <w:color w:val="auto"/>
          <w:spacing w:val="6"/>
          <w:sz w:val="21"/>
          <w:szCs w:val="21"/>
          <w:highlight w:val="none"/>
        </w:rPr>
      </w:pPr>
    </w:p>
    <w:p w14:paraId="3D3E2F07">
      <w:pPr>
        <w:rPr>
          <w:rFonts w:hint="eastAsia" w:cs="宋体"/>
          <w:i w:val="0"/>
          <w:iCs w:val="0"/>
          <w:color w:val="auto"/>
          <w:spacing w:val="6"/>
          <w:sz w:val="21"/>
          <w:szCs w:val="21"/>
          <w:highlight w:val="none"/>
          <w:lang w:val="en-US" w:eastAsia="zh-CN"/>
        </w:rPr>
      </w:pPr>
    </w:p>
    <w:p w14:paraId="7D55D2C4">
      <w:pPr>
        <w:rPr>
          <w:rFonts w:hint="eastAsia" w:cs="宋体"/>
          <w:i w:val="0"/>
          <w:iCs w:val="0"/>
          <w:color w:val="auto"/>
          <w:spacing w:val="6"/>
          <w:sz w:val="21"/>
          <w:szCs w:val="21"/>
          <w:highlight w:val="none"/>
          <w:lang w:val="en-US" w:eastAsia="zh-CN"/>
        </w:rPr>
      </w:pPr>
    </w:p>
    <w:p w14:paraId="535B7B3C">
      <w:pPr>
        <w:rPr>
          <w:rFonts w:hint="eastAsia" w:cs="宋体"/>
          <w:i w:val="0"/>
          <w:iCs w:val="0"/>
          <w:color w:val="auto"/>
          <w:spacing w:val="6"/>
          <w:sz w:val="21"/>
          <w:szCs w:val="21"/>
          <w:highlight w:val="none"/>
          <w:lang w:val="en-US" w:eastAsia="zh-CN"/>
        </w:rPr>
      </w:pPr>
    </w:p>
    <w:p w14:paraId="0003DA46">
      <w:pPr>
        <w:rPr>
          <w:rFonts w:hint="eastAsia" w:cs="宋体"/>
          <w:i w:val="0"/>
          <w:iCs w:val="0"/>
          <w:color w:val="auto"/>
          <w:spacing w:val="6"/>
          <w:sz w:val="21"/>
          <w:szCs w:val="21"/>
          <w:highlight w:val="none"/>
          <w:lang w:val="en-US" w:eastAsia="zh-CN"/>
        </w:rPr>
      </w:pPr>
    </w:p>
    <w:p w14:paraId="2EB5298D">
      <w:pPr>
        <w:rPr>
          <w:rFonts w:hint="eastAsia" w:cs="宋体"/>
          <w:i w:val="0"/>
          <w:iCs w:val="0"/>
          <w:color w:val="auto"/>
          <w:spacing w:val="6"/>
          <w:sz w:val="21"/>
          <w:szCs w:val="21"/>
          <w:highlight w:val="none"/>
          <w:lang w:val="en-US" w:eastAsia="zh-CN"/>
        </w:rPr>
      </w:pPr>
    </w:p>
    <w:p w14:paraId="04253368">
      <w:pPr>
        <w:rPr>
          <w:rFonts w:hint="eastAsia" w:cs="宋体"/>
          <w:color w:val="auto"/>
          <w:spacing w:val="6"/>
          <w:sz w:val="21"/>
          <w:szCs w:val="21"/>
          <w:highlight w:val="none"/>
          <w:lang w:val="en-US" w:eastAsia="zh-CN"/>
        </w:rPr>
      </w:pPr>
    </w:p>
    <w:p w14:paraId="0C202F82">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6F014A6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4"/>
          <w:rFonts w:hint="eastAsia"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4"/>
          <w:rFonts w:hint="eastAsia" w:cs="宋体"/>
          <w:b w:val="0"/>
          <w:bCs w:val="0"/>
          <w:i w:val="0"/>
          <w:iCs w:val="0"/>
          <w:color w:val="auto"/>
          <w:sz w:val="24"/>
          <w:szCs w:val="24"/>
          <w:highlight w:val="none"/>
          <w:lang w:eastAsia="zh-CN"/>
        </w:rPr>
        <w:t>，</w:t>
      </w:r>
      <w:r>
        <w:rPr>
          <w:rStyle w:val="34"/>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4"/>
          <w:rFonts w:hint="eastAsia"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4"/>
          <w:rFonts w:hint="eastAsia"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十一、本规定自发布之日起实施,</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附:金融业企业划型标准</w:t>
      </w:r>
    </w:p>
    <w:p w14:paraId="4CB94869">
      <w:pPr>
        <w:rPr>
          <w:rFonts w:cs="宋体"/>
          <w:i w:val="0"/>
          <w:iCs w:val="0"/>
          <w:color w:val="auto"/>
          <w:spacing w:val="6"/>
          <w:sz w:val="21"/>
          <w:szCs w:val="21"/>
          <w:highlight w:val="none"/>
        </w:rPr>
      </w:pPr>
    </w:p>
    <w:p w14:paraId="018058A8">
      <w:pPr>
        <w:rPr>
          <w:rFonts w:hint="eastAsia" w:cs="宋体"/>
          <w:i w:val="0"/>
          <w:iCs w:val="0"/>
          <w:color w:val="auto"/>
          <w:spacing w:val="6"/>
          <w:sz w:val="24"/>
          <w:szCs w:val="24"/>
          <w:highlight w:val="none"/>
          <w:lang w:val="en-US" w:eastAsia="zh-CN"/>
        </w:rPr>
      </w:pPr>
    </w:p>
    <w:p w14:paraId="5023B69E">
      <w:pPr>
        <w:rPr>
          <w:rFonts w:hint="eastAsia" w:cs="宋体"/>
          <w:i w:val="0"/>
          <w:iCs w:val="0"/>
          <w:color w:val="auto"/>
          <w:spacing w:val="6"/>
          <w:sz w:val="24"/>
          <w:szCs w:val="24"/>
          <w:highlight w:val="none"/>
          <w:lang w:val="en-US" w:eastAsia="zh-CN"/>
        </w:rPr>
      </w:pPr>
    </w:p>
    <w:p w14:paraId="5F7D4B83">
      <w:pPr>
        <w:rPr>
          <w:rFonts w:hint="eastAsia" w:cs="宋体"/>
          <w:i w:val="0"/>
          <w:iCs w:val="0"/>
          <w:color w:val="auto"/>
          <w:spacing w:val="6"/>
          <w:sz w:val="24"/>
          <w:szCs w:val="24"/>
          <w:highlight w:val="none"/>
          <w:lang w:val="en-US" w:eastAsia="zh-CN"/>
        </w:rPr>
      </w:pPr>
    </w:p>
    <w:p w14:paraId="20B74F82">
      <w:pPr>
        <w:rPr>
          <w:rFonts w:hint="eastAsia" w:cs="宋体"/>
          <w:i w:val="0"/>
          <w:iCs w:val="0"/>
          <w:color w:val="auto"/>
          <w:spacing w:val="6"/>
          <w:sz w:val="24"/>
          <w:szCs w:val="24"/>
          <w:highlight w:val="none"/>
          <w:lang w:val="en-US" w:eastAsia="zh-CN"/>
        </w:rPr>
      </w:pPr>
    </w:p>
    <w:p w14:paraId="5D736742">
      <w:pPr>
        <w:rPr>
          <w:rFonts w:hint="eastAsia" w:cs="宋体"/>
          <w:color w:val="auto"/>
          <w:spacing w:val="6"/>
          <w:sz w:val="24"/>
          <w:szCs w:val="24"/>
          <w:highlight w:val="none"/>
          <w:lang w:val="en-US" w:eastAsia="zh-CN"/>
        </w:rPr>
      </w:pPr>
    </w:p>
    <w:p w14:paraId="226ECDE6">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4D37D23">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32"/>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4F673937">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bookmarkEnd w:id="1151"/>
    <w:p w14:paraId="14DDE05C">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1152" w:name="_Toc6137"/>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1152"/>
    </w:p>
    <w:p w14:paraId="28DED716">
      <w:pPr>
        <w:rPr>
          <w:rFonts w:cs="仿宋_GB2312"/>
          <w:b/>
          <w:color w:val="auto"/>
          <w:sz w:val="28"/>
          <w:szCs w:val="28"/>
          <w:highlight w:val="none"/>
        </w:rPr>
      </w:pPr>
    </w:p>
    <w:p w14:paraId="23D1BFCD">
      <w:pPr>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75238DB1">
      <w:pPr>
        <w:pStyle w:val="18"/>
        <w:spacing w:line="360" w:lineRule="auto"/>
        <w:jc w:val="center"/>
        <w:rPr>
          <w:rFonts w:hint="eastAsia" w:ascii="宋体" w:hAnsi="宋体" w:eastAsia="宋体" w:cs="宋体"/>
          <w:b/>
          <w:bCs w:val="0"/>
          <w:i w:val="0"/>
          <w:iCs w:val="0"/>
          <w:color w:val="auto"/>
          <w:sz w:val="32"/>
          <w:szCs w:val="32"/>
          <w:highlight w:val="none"/>
        </w:rPr>
      </w:pPr>
    </w:p>
    <w:p w14:paraId="3EAA5E2A">
      <w:pPr>
        <w:pStyle w:val="18"/>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73EFA9C1">
      <w:pPr>
        <w:spacing w:line="360" w:lineRule="auto"/>
        <w:rPr>
          <w:rFonts w:hint="eastAsia" w:ascii="仿宋_GB2312" w:hAnsi="仿宋_GB2312" w:eastAsia="仿宋_GB2312" w:cs="仿宋_GB2312"/>
          <w:i w:val="0"/>
          <w:iCs w:val="0"/>
          <w:color w:val="auto"/>
          <w:sz w:val="32"/>
          <w:szCs w:val="32"/>
          <w:highlight w:val="none"/>
        </w:rPr>
      </w:pPr>
    </w:p>
    <w:p w14:paraId="7E6FDB37">
      <w:pPr>
        <w:ind w:firstLine="504" w:firstLineChars="200"/>
        <w:rPr>
          <w:rFonts w:hint="eastAsia" w:cs="宋体"/>
          <w:i w:val="0"/>
          <w:iCs w:val="0"/>
          <w:color w:val="auto"/>
          <w:spacing w:val="6"/>
          <w:szCs w:val="24"/>
          <w:highlight w:val="none"/>
        </w:rPr>
      </w:pPr>
      <w:r>
        <w:rPr>
          <w:rFonts w:hint="eastAsia" w:cs="宋体"/>
          <w:i w:val="0"/>
          <w:iCs w:val="0"/>
          <w:color w:val="auto"/>
          <w:spacing w:val="6"/>
          <w:szCs w:val="24"/>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宋体" w:hAnsi="宋体" w:eastAsia="宋体" w:cs="宋体"/>
          <w:i w:val="0"/>
          <w:iCs w:val="0"/>
          <w:color w:val="auto"/>
          <w:sz w:val="24"/>
          <w:szCs w:val="24"/>
          <w:highlight w:val="none"/>
        </w:rPr>
      </w:pPr>
    </w:p>
    <w:p w14:paraId="25406F97">
      <w:pPr>
        <w:ind w:firstLine="4440" w:firstLineChars="1850"/>
        <w:rPr>
          <w:rFonts w:hint="eastAsia" w:ascii="宋体" w:hAnsi="宋体" w:eastAsia="宋体" w:cs="宋体"/>
          <w:i w:val="0"/>
          <w:iCs w:val="0"/>
          <w:color w:val="auto"/>
          <w:sz w:val="24"/>
          <w:szCs w:val="24"/>
          <w:highlight w:val="none"/>
        </w:rPr>
      </w:pPr>
    </w:p>
    <w:p w14:paraId="44FF352C">
      <w:pPr>
        <w:ind w:firstLine="4440" w:firstLineChars="1850"/>
        <w:rPr>
          <w:rFonts w:hint="eastAsia" w:ascii="宋体" w:hAnsi="宋体" w:eastAsia="宋体" w:cs="宋体"/>
          <w:i w:val="0"/>
          <w:iCs w:val="0"/>
          <w:color w:val="auto"/>
          <w:sz w:val="24"/>
          <w:szCs w:val="24"/>
          <w:highlight w:val="none"/>
        </w:rPr>
      </w:pPr>
    </w:p>
    <w:p w14:paraId="0841D36F">
      <w:pPr>
        <w:ind w:right="1008" w:firstLine="4284" w:firstLineChars="1700"/>
        <w:rPr>
          <w:rFonts w:hint="eastAsia" w:ascii="宋体" w:hAnsi="宋体" w:eastAsia="宋体" w:cs="宋体"/>
          <w:i w:val="0"/>
          <w:iCs w:val="0"/>
          <w:color w:val="auto"/>
          <w:spacing w:val="6"/>
          <w:sz w:val="24"/>
          <w:szCs w:val="24"/>
          <w:highlight w:val="none"/>
        </w:rPr>
      </w:pPr>
      <w:r>
        <w:rPr>
          <w:rFonts w:hint="eastAsia" w:cs="宋体"/>
          <w:i w:val="0"/>
          <w:iCs w:val="0"/>
          <w:color w:val="auto"/>
          <w:spacing w:val="6"/>
          <w:sz w:val="24"/>
          <w:szCs w:val="24"/>
          <w:highlight w:val="none"/>
          <w:lang w:val="en-US" w:eastAsia="zh-CN"/>
        </w:rPr>
        <w:t>供应商</w:t>
      </w:r>
      <w:r>
        <w:rPr>
          <w:rFonts w:hint="eastAsia" w:ascii="宋体" w:hAnsi="宋体" w:eastAsia="宋体" w:cs="宋体"/>
          <w:i w:val="0"/>
          <w:iCs w:val="0"/>
          <w:color w:val="auto"/>
          <w:spacing w:val="6"/>
          <w:sz w:val="24"/>
          <w:szCs w:val="24"/>
          <w:highlight w:val="none"/>
        </w:rPr>
        <w:t>名称</w:t>
      </w:r>
      <w:r>
        <w:rPr>
          <w:rFonts w:hint="eastAsia" w:ascii="宋体" w:hAnsi="宋体" w:eastAsia="宋体" w:cs="宋体"/>
          <w:i w:val="0"/>
          <w:iCs w:val="0"/>
          <w:color w:val="auto"/>
          <w:spacing w:val="6"/>
          <w:sz w:val="24"/>
          <w:szCs w:val="24"/>
          <w:highlight w:val="none"/>
          <w:lang w:eastAsia="zh-CN"/>
        </w:rPr>
        <w:t>（</w:t>
      </w:r>
      <w:r>
        <w:rPr>
          <w:rFonts w:hint="eastAsia" w:cs="宋体"/>
          <w:i w:val="0"/>
          <w:iCs w:val="0"/>
          <w:color w:val="auto"/>
          <w:spacing w:val="6"/>
          <w:sz w:val="24"/>
          <w:szCs w:val="24"/>
          <w:highlight w:val="none"/>
          <w:lang w:val="en-US" w:eastAsia="zh-CN"/>
        </w:rPr>
        <w:t>公章</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rPr>
        <w:t>：</w:t>
      </w:r>
    </w:p>
    <w:p w14:paraId="3678CEA7">
      <w:pPr>
        <w:ind w:right="1008" w:firstLine="4284" w:firstLineChars="1700"/>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i w:val="0"/>
          <w:iCs w:val="0"/>
          <w:color w:val="auto"/>
          <w:sz w:val="24"/>
          <w:szCs w:val="24"/>
          <w:highlight w:val="none"/>
        </w:rPr>
      </w:pPr>
    </w:p>
    <w:p w14:paraId="7B8735C9">
      <w:pPr>
        <w:spacing w:line="360" w:lineRule="auto"/>
        <w:ind w:firstLine="240" w:firstLineChars="100"/>
        <w:rPr>
          <w:rFonts w:hint="eastAsia" w:ascii="宋体" w:hAnsi="宋体" w:eastAsia="宋体" w:cs="宋体"/>
          <w:i w:val="0"/>
          <w:iCs w:val="0"/>
          <w:color w:val="auto"/>
          <w:sz w:val="24"/>
          <w:szCs w:val="24"/>
          <w:highlight w:val="none"/>
        </w:rPr>
      </w:pPr>
    </w:p>
    <w:p w14:paraId="32722C7E">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20204BC0">
      <w:pPr>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（含新疆生产建设兵团）（盖章）：  </w:t>
      </w:r>
    </w:p>
    <w:p w14:paraId="4A414B41">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i w:val="0"/>
          <w:iCs w:val="0"/>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i w:val="0"/>
          <w:iCs w:val="0"/>
          <w:color w:val="auto"/>
          <w:sz w:val="32"/>
          <w:szCs w:val="32"/>
          <w:highlight w:val="none"/>
        </w:rPr>
      </w:pPr>
    </w:p>
    <w:p w14:paraId="206A9633">
      <w:pPr>
        <w:spacing w:line="360" w:lineRule="auto"/>
        <w:rPr>
          <w:rFonts w:hint="eastAsia" w:ascii="仿宋_GB2312" w:hAnsi="仿宋_GB2312" w:eastAsia="仿宋_GB2312" w:cs="仿宋_GB2312"/>
          <w:i w:val="0"/>
          <w:iCs w:val="0"/>
          <w:color w:val="auto"/>
          <w:sz w:val="32"/>
          <w:szCs w:val="32"/>
          <w:highlight w:val="none"/>
        </w:rPr>
      </w:pPr>
    </w:p>
    <w:p w14:paraId="283F77FC">
      <w:pPr>
        <w:widowControl/>
        <w:spacing w:before="100" w:beforeAutospacing="1" w:after="100" w:afterAutospacing="1"/>
        <w:rPr>
          <w:rFonts w:ascii="Arial" w:hAnsi="Arial" w:cs="Arial"/>
          <w:i w:val="0"/>
          <w:iCs w:val="0"/>
          <w:color w:val="auto"/>
          <w:sz w:val="21"/>
          <w:szCs w:val="21"/>
          <w:highlight w:val="none"/>
        </w:rPr>
      </w:pPr>
    </w:p>
    <w:p w14:paraId="7137179C">
      <w:pPr>
        <w:widowControl/>
        <w:spacing w:before="100" w:beforeAutospacing="1" w:after="100" w:afterAutospacing="1"/>
        <w:rPr>
          <w:rFonts w:ascii="Arial" w:hAnsi="Arial" w:cs="Arial"/>
          <w:i w:val="0"/>
          <w:iCs w:val="0"/>
          <w:color w:val="auto"/>
          <w:sz w:val="21"/>
          <w:szCs w:val="21"/>
          <w:highlight w:val="none"/>
        </w:rPr>
      </w:pPr>
    </w:p>
    <w:p w14:paraId="3ACDD48E">
      <w:pPr>
        <w:widowControl/>
        <w:spacing w:before="100" w:beforeAutospacing="1" w:after="100" w:afterAutospacing="1"/>
        <w:rPr>
          <w:rFonts w:ascii="Arial" w:hAnsi="Arial" w:cs="Arial"/>
          <w:i w:val="0"/>
          <w:iCs w:val="0"/>
          <w:color w:val="auto"/>
          <w:sz w:val="21"/>
          <w:szCs w:val="21"/>
          <w:highlight w:val="none"/>
        </w:rPr>
      </w:pPr>
    </w:p>
    <w:p w14:paraId="69ACD5D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1153" w:name="_Toc163492941"/>
      <w:bookmarkStart w:id="1154" w:name="_Toc18574"/>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1153"/>
      <w:bookmarkEnd w:id="1154"/>
    </w:p>
    <w:p w14:paraId="57F303A4">
      <w:pPr>
        <w:pStyle w:val="41"/>
        <w:numPr>
          <w:ilvl w:val="0"/>
          <w:numId w:val="0"/>
        </w:numPr>
        <w:ind w:left="420" w:leftChars="0" w:hanging="420" w:firstLineChars="0"/>
        <w:jc w:val="center"/>
        <w:rPr>
          <w:rFonts w:hint="eastAsia"/>
          <w:b/>
          <w:bCs/>
          <w:color w:val="auto"/>
          <w:sz w:val="32"/>
          <w:szCs w:val="32"/>
          <w:highlight w:val="none"/>
        </w:rPr>
      </w:pPr>
    </w:p>
    <w:p w14:paraId="6582780B">
      <w:pPr>
        <w:pStyle w:val="41"/>
        <w:numPr>
          <w:ilvl w:val="0"/>
          <w:numId w:val="0"/>
        </w:numPr>
        <w:ind w:left="420" w:leftChars="0" w:hanging="420" w:firstLineChars="0"/>
        <w:jc w:val="center"/>
        <w:rPr>
          <w:b/>
          <w:bCs/>
          <w:i w:val="0"/>
          <w:iCs w:val="0"/>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i w:val="0"/>
          <w:iCs w:val="0"/>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工程</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承建</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承建单位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承建单位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1091" w:hangingChars="453"/>
        <w:rPr>
          <w:b/>
          <w:bCs/>
          <w:i w:val="0"/>
          <w:iCs w:val="0"/>
          <w:color w:val="auto"/>
          <w:szCs w:val="24"/>
          <w:highlight w:val="none"/>
        </w:rPr>
      </w:pPr>
    </w:p>
    <w:p w14:paraId="43523196">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en-US" w:eastAsia="zh-CN"/>
        </w:rPr>
        <w:t>工程</w:t>
      </w:r>
      <w:r>
        <w:rPr>
          <w:rFonts w:hint="eastAsia"/>
          <w:bCs/>
          <w:i w:val="0"/>
          <w:iCs w:val="0"/>
          <w:color w:val="auto"/>
          <w:szCs w:val="21"/>
          <w:highlight w:val="none"/>
          <w:lang w:val="zh-CN"/>
        </w:rPr>
        <w:t>应当全部由符合政策要求的残疾人福利性单位</w:t>
      </w:r>
      <w:r>
        <w:rPr>
          <w:rFonts w:hint="eastAsia"/>
          <w:bCs/>
          <w:i w:val="0"/>
          <w:iCs w:val="0"/>
          <w:color w:val="auto"/>
          <w:szCs w:val="21"/>
          <w:highlight w:val="none"/>
          <w:lang w:val="en-US" w:eastAsia="zh-CN"/>
        </w:rPr>
        <w:t>承建</w:t>
      </w:r>
      <w:r>
        <w:rPr>
          <w:rFonts w:hint="eastAsia"/>
          <w:bCs/>
          <w:i w:val="0"/>
          <w:iCs w:val="0"/>
          <w:color w:val="auto"/>
          <w:szCs w:val="21"/>
          <w:highlight w:val="none"/>
          <w:lang w:val="zh-CN"/>
        </w:rPr>
        <w:t>；应当严格按上述格式及内容进行填写（应当明确每个</w:t>
      </w:r>
      <w:r>
        <w:rPr>
          <w:rFonts w:hint="eastAsia"/>
          <w:bCs/>
          <w:i w:val="0"/>
          <w:iCs w:val="0"/>
          <w:color w:val="auto"/>
          <w:szCs w:val="21"/>
          <w:highlight w:val="none"/>
          <w:lang w:val="en-US" w:eastAsia="zh-CN"/>
        </w:rPr>
        <w:t>包</w:t>
      </w:r>
      <w:r>
        <w:rPr>
          <w:rFonts w:hint="eastAsia"/>
          <w:bCs/>
          <w:i w:val="0"/>
          <w:iCs w:val="0"/>
          <w:color w:val="auto"/>
          <w:szCs w:val="21"/>
          <w:highlight w:val="none"/>
          <w:lang w:val="zh-CN"/>
        </w:rPr>
        <w:t>的的</w:t>
      </w:r>
      <w:r>
        <w:rPr>
          <w:rFonts w:hint="eastAsia"/>
          <w:bCs/>
          <w:i w:val="0"/>
          <w:iCs w:val="0"/>
          <w:color w:val="auto"/>
          <w:szCs w:val="21"/>
          <w:highlight w:val="none"/>
          <w:lang w:val="en-US" w:eastAsia="zh-CN"/>
        </w:rPr>
        <w:t>实施单位</w:t>
      </w:r>
      <w:r>
        <w:rPr>
          <w:rFonts w:hint="eastAsia"/>
          <w:bCs/>
          <w:i w:val="0"/>
          <w:iCs w:val="0"/>
          <w:color w:val="auto"/>
          <w:szCs w:val="21"/>
          <w:highlight w:val="none"/>
          <w:lang w:val="zh-CN"/>
        </w:rPr>
        <w:t>及相关数据），否则导致的后果由</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自行承担；</w:t>
      </w:r>
    </w:p>
    <w:p w14:paraId="2288B711">
      <w:pPr>
        <w:wordWrap w:val="0"/>
        <w:ind w:left="1087" w:hanging="1087" w:hangingChars="453"/>
        <w:rPr>
          <w:rFonts w:cs="Courier New"/>
          <w:i w:val="0"/>
          <w:iCs w:val="0"/>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3316" w:firstLineChars="1382"/>
        <w:rPr>
          <w:bCs/>
          <w:i w:val="0"/>
          <w:iCs w:val="0"/>
          <w:color w:val="auto"/>
          <w:szCs w:val="21"/>
          <w:highlight w:val="none"/>
          <w:lang w:val="zh-CN"/>
        </w:rPr>
      </w:pPr>
      <w:r>
        <w:rPr>
          <w:rFonts w:hint="eastAsia"/>
          <w:bCs/>
          <w:i w:val="0"/>
          <w:iCs w:val="0"/>
          <w:color w:val="auto"/>
          <w:szCs w:val="21"/>
          <w:highlight w:val="none"/>
          <w:lang w:val="en-US" w:eastAsia="zh-CN"/>
        </w:rPr>
        <w:t>供应商名称（公章）</w:t>
      </w:r>
      <w:r>
        <w:rPr>
          <w:rFonts w:hint="eastAsia"/>
          <w:bCs/>
          <w:i w:val="0"/>
          <w:iCs w:val="0"/>
          <w:color w:val="auto"/>
          <w:szCs w:val="21"/>
          <w:highlight w:val="none"/>
          <w:lang w:val="zh-CN"/>
        </w:rPr>
        <w:t>：</w:t>
      </w:r>
      <w:r>
        <w:rPr>
          <w:rFonts w:hint="eastAsia"/>
          <w:bCs/>
          <w:i w:val="0"/>
          <w:iCs w:val="0"/>
          <w:color w:val="auto"/>
          <w:szCs w:val="21"/>
          <w:highlight w:val="none"/>
          <w:u w:val="single"/>
          <w:lang w:val="zh-CN"/>
        </w:rPr>
        <w:t xml:space="preserve">                </w:t>
      </w:r>
    </w:p>
    <w:p w14:paraId="3A972AC9">
      <w:pPr>
        <w:wordWrap w:val="0"/>
        <w:spacing w:before="100" w:beforeAutospacing="1" w:after="100" w:afterAutospacing="1"/>
        <w:ind w:firstLine="3316" w:firstLineChars="1382"/>
        <w:rPr>
          <w:i w:val="0"/>
          <w:iCs w:val="0"/>
          <w:color w:val="auto"/>
          <w:highlight w:val="none"/>
        </w:rPr>
      </w:pPr>
      <w:r>
        <w:rPr>
          <w:rFonts w:hint="eastAsia"/>
          <w:i w:val="0"/>
          <w:iCs w:val="0"/>
          <w:color w:val="auto"/>
          <w:szCs w:val="24"/>
          <w:highlight w:val="none"/>
        </w:rPr>
        <w:t>日</w:t>
      </w:r>
      <w:r>
        <w:rPr>
          <w:i w:val="0"/>
          <w:iCs w:val="0"/>
          <w:color w:val="auto"/>
          <w:szCs w:val="24"/>
          <w:highlight w:val="none"/>
        </w:rPr>
        <w:t xml:space="preserve">  </w:t>
      </w:r>
      <w:r>
        <w:rPr>
          <w:rFonts w:hint="eastAsia"/>
          <w:i w:val="0"/>
          <w:iCs w:val="0"/>
          <w:color w:val="auto"/>
          <w:szCs w:val="24"/>
          <w:highlight w:val="none"/>
        </w:rPr>
        <w:t>期：</w:t>
      </w:r>
      <w:r>
        <w:rPr>
          <w:bCs/>
          <w:i w:val="0"/>
          <w:iCs w:val="0"/>
          <w:color w:val="auto"/>
          <w:szCs w:val="24"/>
          <w:highlight w:val="none"/>
          <w:u w:val="single"/>
        </w:rPr>
        <w:t xml:space="preserve">             </w:t>
      </w:r>
      <w:r>
        <w:rPr>
          <w:rFonts w:hint="eastAsia"/>
          <w:bCs/>
          <w:i w:val="0"/>
          <w:iCs w:val="0"/>
          <w:color w:val="auto"/>
          <w:szCs w:val="24"/>
          <w:highlight w:val="none"/>
          <w:u w:val="single"/>
          <w:lang w:val="en-US" w:eastAsia="zh-CN"/>
        </w:rPr>
        <w:t xml:space="preserve">  </w:t>
      </w:r>
      <w:r>
        <w:rPr>
          <w:bCs/>
          <w:i w:val="0"/>
          <w:iCs w:val="0"/>
          <w:color w:val="auto"/>
          <w:szCs w:val="24"/>
          <w:highlight w:val="none"/>
          <w:u w:val="single"/>
        </w:rPr>
        <w:t xml:space="preserve">            </w:t>
      </w:r>
    </w:p>
    <w:p w14:paraId="6F5F8DCA">
      <w:pPr>
        <w:ind w:left="4620" w:firstLine="281" w:firstLineChars="100"/>
        <w:rPr>
          <w:rFonts w:cs="仿宋_GB2312"/>
          <w:b/>
          <w:i w:val="0"/>
          <w:iCs w:val="0"/>
          <w:color w:val="auto"/>
          <w:sz w:val="28"/>
          <w:szCs w:val="28"/>
          <w:highlight w:val="none"/>
        </w:rPr>
      </w:pPr>
    </w:p>
    <w:p w14:paraId="7BDD1A80">
      <w:pPr>
        <w:rPr>
          <w:i w:val="0"/>
          <w:iCs w:val="0"/>
          <w:color w:val="auto"/>
          <w:highlight w:val="none"/>
        </w:rPr>
      </w:pPr>
      <w:r>
        <w:rPr>
          <w:i w:val="0"/>
          <w:iCs w:val="0"/>
          <w:color w:val="auto"/>
          <w:highlight w:val="none"/>
        </w:rPr>
        <w:br w:type="page"/>
      </w:r>
    </w:p>
    <w:p w14:paraId="1468967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1155" w:name="_Toc24243"/>
      <w:r>
        <w:rPr>
          <w:rFonts w:hint="eastAsia" w:cstheme="majorBidi"/>
          <w:b/>
          <w:bCs/>
          <w:color w:val="auto"/>
          <w:kern w:val="2"/>
          <w:sz w:val="28"/>
          <w:szCs w:val="28"/>
          <w:highlight w:val="none"/>
          <w:lang w:val="en-US" w:eastAsia="zh-CN" w:bidi="ar-SA"/>
        </w:rPr>
        <w:t>五、</w:t>
      </w:r>
      <w:r>
        <w:rPr>
          <w:rFonts w:hint="eastAsia" w:ascii="黑体" w:hAnsi="黑体" w:eastAsia="黑体" w:cs="黑体"/>
          <w:b/>
          <w:color w:val="auto"/>
          <w:kern w:val="0"/>
          <w:sz w:val="28"/>
          <w:highlight w:val="none"/>
          <w:lang w:eastAsia="zh-CN"/>
        </w:rPr>
        <w:t>★</w:t>
      </w:r>
      <w:r>
        <w:rPr>
          <w:rFonts w:hint="eastAsia" w:cstheme="majorBidi"/>
          <w:b/>
          <w:bCs/>
          <w:color w:val="auto"/>
          <w:kern w:val="2"/>
          <w:sz w:val="28"/>
          <w:szCs w:val="28"/>
          <w:highlight w:val="none"/>
          <w:lang w:val="en-US" w:eastAsia="zh-CN" w:bidi="ar-SA"/>
        </w:rPr>
        <w:t>不参与围标串标承诺书</w:t>
      </w:r>
      <w:bookmarkEnd w:id="1155"/>
    </w:p>
    <w:p w14:paraId="415F309A">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593E065F">
      <w:pPr>
        <w:jc w:val="center"/>
        <w:rPr>
          <w:rFonts w:hint="eastAsia"/>
          <w:i w:val="0"/>
          <w:iCs w:val="0"/>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785BACB9">
      <w:pPr>
        <w:rPr>
          <w:rFonts w:hint="eastAsia"/>
          <w:i w:val="0"/>
          <w:iCs w:val="0"/>
          <w:color w:val="auto"/>
          <w:highlight w:val="none"/>
          <w:lang w:val="en-US" w:eastAsia="zh-CN"/>
        </w:rPr>
      </w:pPr>
      <w:r>
        <w:rPr>
          <w:rFonts w:hint="eastAsia"/>
          <w:i w:val="0"/>
          <w:iCs w:val="0"/>
          <w:color w:val="auto"/>
          <w:highlight w:val="none"/>
          <w:lang w:val="en-US" w:eastAsia="zh-CN"/>
        </w:rPr>
        <w:t>  </w:t>
      </w:r>
    </w:p>
    <w:p w14:paraId="65B53D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本人作为经授权的供应商代表,清楚知晓我单位参与本项目竞争性磋商活动,对以下事项作出承诺：</w:t>
      </w:r>
    </w:p>
    <w:p w14:paraId="4248D5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p>
    <w:p w14:paraId="291F85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一、我单位和我本人遵循公开透明、公平竞争、公正和诚实信用的原则,依法依规参与本项目竞标。</w:t>
      </w:r>
    </w:p>
    <w:p w14:paraId="0E49D4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二、我单位和我本人在本项目政府采购竞争性磋商活动中,未参与围标串标。</w:t>
      </w:r>
    </w:p>
    <w:p w14:paraId="5F1653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4C8BE6CD">
      <w:pPr>
        <w:pStyle w:val="13"/>
        <w:rPr>
          <w:rFonts w:hint="eastAsia"/>
          <w:i w:val="0"/>
          <w:iCs w:val="0"/>
          <w:color w:val="auto"/>
          <w:highlight w:val="none"/>
          <w:lang w:val="en-US" w:eastAsia="zh-CN"/>
        </w:rPr>
      </w:pPr>
    </w:p>
    <w:p w14:paraId="47BB786F">
      <w:pPr>
        <w:spacing w:line="560" w:lineRule="exact"/>
        <w:rPr>
          <w:rFonts w:hint="eastAsia" w:ascii="宋体" w:hAnsi="宋体" w:eastAsia="宋体" w:cs="宋体"/>
          <w:i w:val="0"/>
          <w:iCs w:val="0"/>
          <w:color w:val="auto"/>
          <w:kern w:val="0"/>
          <w:sz w:val="24"/>
          <w:szCs w:val="24"/>
          <w:highlight w:val="none"/>
        </w:rPr>
      </w:pPr>
    </w:p>
    <w:p w14:paraId="02A7C720">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ascii="宋体" w:hAnsi="宋体" w:eastAsia="宋体" w:cs="宋体"/>
          <w:i w:val="0"/>
          <w:iCs w:val="0"/>
          <w:color w:val="auto"/>
          <w:kern w:val="0"/>
          <w:sz w:val="24"/>
          <w:szCs w:val="24"/>
          <w:highlight w:val="none"/>
        </w:rPr>
        <w:t>：</w:t>
      </w:r>
    </w:p>
    <w:p w14:paraId="0B0B73C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65EDCBC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5E08753D">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3"/>
        <w:rPr>
          <w:rFonts w:hint="eastAsia"/>
          <w:i w:val="0"/>
          <w:iCs w:val="0"/>
          <w:color w:val="auto"/>
          <w:highlight w:val="none"/>
          <w:lang w:val="en-US" w:eastAsia="zh-CN"/>
        </w:rPr>
      </w:pPr>
    </w:p>
    <w:p w14:paraId="6FC519D1">
      <w:pPr>
        <w:pStyle w:val="13"/>
        <w:rPr>
          <w:rFonts w:hint="eastAsia"/>
          <w:i w:val="0"/>
          <w:iCs w:val="0"/>
          <w:color w:val="auto"/>
          <w:highlight w:val="none"/>
          <w:lang w:val="en-US" w:eastAsia="zh-CN"/>
        </w:rPr>
      </w:pPr>
    </w:p>
    <w:p w14:paraId="7500053D">
      <w:pPr>
        <w:pStyle w:val="13"/>
        <w:rPr>
          <w:rFonts w:hint="eastAsia"/>
          <w:i w:val="0"/>
          <w:iCs w:val="0"/>
          <w:color w:val="auto"/>
          <w:highlight w:val="none"/>
          <w:lang w:val="en-US" w:eastAsia="zh-CN"/>
        </w:rPr>
      </w:pPr>
    </w:p>
    <w:p w14:paraId="5BF64493">
      <w:pPr>
        <w:pStyle w:val="13"/>
        <w:rPr>
          <w:rFonts w:hint="eastAsia"/>
          <w:i w:val="0"/>
          <w:iCs w:val="0"/>
          <w:color w:val="auto"/>
          <w:highlight w:val="none"/>
          <w:lang w:val="en-US" w:eastAsia="zh-CN"/>
        </w:rPr>
      </w:pPr>
    </w:p>
    <w:p w14:paraId="5CA01A8B">
      <w:pPr>
        <w:pStyle w:val="13"/>
        <w:rPr>
          <w:rFonts w:hint="eastAsia"/>
          <w:i w:val="0"/>
          <w:iCs w:val="0"/>
          <w:color w:val="auto"/>
          <w:highlight w:val="none"/>
          <w:lang w:val="en-US" w:eastAsia="zh-CN"/>
        </w:rPr>
      </w:pPr>
    </w:p>
    <w:p w14:paraId="029F743D">
      <w:pPr>
        <w:pStyle w:val="13"/>
        <w:rPr>
          <w:rFonts w:hint="eastAsia"/>
          <w:i w:val="0"/>
          <w:iCs w:val="0"/>
          <w:color w:val="auto"/>
          <w:highlight w:val="none"/>
          <w:lang w:val="en-US" w:eastAsia="zh-CN"/>
        </w:rPr>
      </w:pP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p w14:paraId="1B4F1F67">
      <w:pPr>
        <w:rPr>
          <w:rFonts w:hint="eastAsia" w:ascii="宋体" w:hAnsi="宋体" w:eastAsia="宋体" w:cstheme="minorBidi"/>
          <w:b/>
          <w:bCs/>
          <w:color w:val="auto"/>
          <w:kern w:val="2"/>
          <w:sz w:val="24"/>
          <w:szCs w:val="24"/>
          <w:highlight w:val="none"/>
          <w:lang w:val="en-US" w:eastAsia="zh-CN" w:bidi="ar-SA"/>
        </w:rPr>
      </w:pPr>
    </w:p>
    <w:p w14:paraId="07DD2377">
      <w:pPr>
        <w:pStyle w:val="116"/>
        <w:spacing w:line="500" w:lineRule="exact"/>
        <w:rPr>
          <w:rFonts w:hint="eastAsia" w:ascii="宋体" w:hAnsi="宋体" w:eastAsia="宋体" w:cs="Times New Roman"/>
          <w:b/>
          <w:color w:val="auto"/>
          <w:kern w:val="2"/>
          <w:sz w:val="28"/>
          <w:szCs w:val="22"/>
          <w:highlight w:val="none"/>
          <w:lang w:val="en-US" w:eastAsia="zh-CN" w:bidi="ar-SA"/>
        </w:rPr>
      </w:pPr>
      <w:r>
        <w:rPr>
          <w:rFonts w:hint="eastAsia" w:ascii="黑体" w:hAnsi="黑体" w:eastAsia="黑体" w:cs="黑体"/>
          <w:b/>
          <w:color w:val="auto"/>
          <w:kern w:val="0"/>
          <w:sz w:val="28"/>
          <w:highlight w:val="none"/>
          <w:lang w:eastAsia="zh-CN"/>
        </w:rPr>
        <w:t>六、★</w:t>
      </w:r>
      <w:r>
        <w:rPr>
          <w:rFonts w:hint="eastAsia" w:ascii="宋体" w:hAnsi="宋体" w:eastAsia="宋体" w:cs="Times New Roman"/>
          <w:b/>
          <w:color w:val="auto"/>
          <w:kern w:val="2"/>
          <w:sz w:val="28"/>
          <w:szCs w:val="22"/>
          <w:highlight w:val="none"/>
          <w:lang w:val="en-US" w:eastAsia="zh-CN" w:bidi="ar-SA"/>
        </w:rPr>
        <w:t>保密承诺书</w:t>
      </w:r>
    </w:p>
    <w:p w14:paraId="7DD11FE0">
      <w:pPr>
        <w:spacing w:beforeAutospacing="0" w:afterAutospacing="0" w:line="240" w:lineRule="exact"/>
        <w:rPr>
          <w:rFonts w:ascii="宋体" w:hAnsi="宋体"/>
          <w:color w:val="auto"/>
          <w:sz w:val="32"/>
          <w:szCs w:val="32"/>
          <w:highlight w:val="none"/>
        </w:rPr>
      </w:pPr>
    </w:p>
    <w:p w14:paraId="62E96459">
      <w:pPr>
        <w:spacing w:beforeAutospacing="0" w:afterAutospacing="0" w:line="480" w:lineRule="auto"/>
        <w:rPr>
          <w:rFonts w:ascii="楷体_GB2312" w:hAnsi="宋体" w:eastAsia="楷体_GB2312"/>
          <w:color w:val="auto"/>
          <w:sz w:val="24"/>
          <w:szCs w:val="24"/>
          <w:highlight w:val="none"/>
          <w:u w:val="single"/>
        </w:rPr>
      </w:pPr>
      <w:r>
        <w:rPr>
          <w:rFonts w:hint="eastAsia" w:ascii="楷体_GB2312" w:hAnsi="宋体" w:eastAsia="楷体_GB2312"/>
          <w:color w:val="auto"/>
          <w:sz w:val="24"/>
          <w:szCs w:val="24"/>
          <w:highlight w:val="none"/>
          <w:u w:val="single"/>
          <w:lang w:val="en-US" w:eastAsia="zh-CN"/>
        </w:rPr>
        <w:t xml:space="preserve">            </w:t>
      </w:r>
      <w:r>
        <w:rPr>
          <w:rFonts w:eastAsia="MS Gothic"/>
          <w:snapToGrid w:val="0"/>
          <w:color w:val="auto"/>
          <w:sz w:val="24"/>
          <w:szCs w:val="24"/>
          <w:highlight w:val="none"/>
        </w:rPr>
        <w:t>：</w:t>
      </w:r>
    </w:p>
    <w:p w14:paraId="4315F49B">
      <w:pPr>
        <w:autoSpaceDE w:val="0"/>
        <w:autoSpaceDN w:val="0"/>
        <w:spacing w:beforeAutospacing="0" w:afterAutospacing="0" w:line="480" w:lineRule="auto"/>
        <w:ind w:firstLine="480" w:firstLineChars="200"/>
        <w:rPr>
          <w:color w:val="auto"/>
          <w:sz w:val="24"/>
          <w:szCs w:val="24"/>
          <w:highlight w:val="none"/>
          <w:lang w:val="zh-CN"/>
        </w:rPr>
      </w:pPr>
      <w:r>
        <w:rPr>
          <w:color w:val="auto"/>
          <w:sz w:val="24"/>
          <w:szCs w:val="24"/>
          <w:highlight w:val="none"/>
          <w:lang w:val="zh-CN"/>
        </w:rPr>
        <w:t>我方</w:t>
      </w:r>
      <w:r>
        <w:rPr>
          <w:rFonts w:hint="eastAsia"/>
          <w:color w:val="auto"/>
          <w:sz w:val="24"/>
          <w:szCs w:val="24"/>
          <w:highlight w:val="none"/>
          <w:lang w:val="zh-CN"/>
        </w:rPr>
        <w:t>参加单位组织的编号为</w:t>
      </w:r>
      <w:r>
        <w:rPr>
          <w:color w:val="auto"/>
          <w:sz w:val="24"/>
          <w:szCs w:val="24"/>
          <w:highlight w:val="non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项目采购活动，根据有关保密法规制度，知悉应当承担的保密义务和法律责任，承诺如下：</w:t>
      </w:r>
    </w:p>
    <w:p w14:paraId="3C80DE61">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一、严格遵守国家的保密法律法规和规章制度，履行保密义务。</w:t>
      </w:r>
    </w:p>
    <w:p w14:paraId="3CADF2D6">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二、不以任何方式泄露或传播本次采购项目相关信息。</w:t>
      </w:r>
    </w:p>
    <w:p w14:paraId="22BC58D1">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三、不违规记录、存储、复制本次采购项目相关信息。</w:t>
      </w:r>
    </w:p>
    <w:p w14:paraId="23530B33">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四、招标文件以及相关技术文件专室放置、专盘存储、专人管理。</w:t>
      </w:r>
    </w:p>
    <w:p w14:paraId="2C64A7C8">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五、未经采购机构审查批准，不得擅自在互联网、通讯媒体等发表涉及此次采购项目相关内容或资讯。</w:t>
      </w:r>
      <w:r>
        <w:rPr>
          <w:color w:val="auto"/>
          <w:sz w:val="24"/>
          <w:szCs w:val="24"/>
          <w:highlight w:val="none"/>
          <w:lang w:val="zh-CN"/>
        </w:rPr>
        <w:t xml:space="preserve"> </w:t>
      </w:r>
    </w:p>
    <w:p w14:paraId="2CDCB97C">
      <w:pPr>
        <w:autoSpaceDE w:val="0"/>
        <w:autoSpaceDN w:val="0"/>
        <w:spacing w:beforeAutospacing="0" w:afterAutospacing="0" w:line="480" w:lineRule="auto"/>
        <w:ind w:firstLine="480" w:firstLineChars="200"/>
        <w:rPr>
          <w:rFonts w:hint="eastAsia"/>
          <w:color w:val="auto"/>
          <w:sz w:val="24"/>
          <w:szCs w:val="24"/>
          <w:highlight w:val="none"/>
          <w:lang w:val="zh-CN"/>
        </w:rPr>
      </w:pPr>
      <w:r>
        <w:rPr>
          <w:rFonts w:hint="eastAsia"/>
          <w:color w:val="auto"/>
          <w:sz w:val="24"/>
          <w:szCs w:val="24"/>
          <w:highlight w:val="none"/>
          <w:lang w:val="zh-CN"/>
        </w:rPr>
        <w:t>违反上述承诺，愿承担一切法律责任，接受军队采购管理部门和采购机构按国家和军队规定作出的相关处罚。</w:t>
      </w:r>
    </w:p>
    <w:p w14:paraId="7EED792B">
      <w:pPr>
        <w:autoSpaceDE w:val="0"/>
        <w:autoSpaceDN w:val="0"/>
        <w:spacing w:beforeAutospacing="0" w:afterAutospacing="0" w:line="480" w:lineRule="auto"/>
        <w:ind w:firstLine="480" w:firstLineChars="200"/>
        <w:rPr>
          <w:color w:val="auto"/>
          <w:sz w:val="24"/>
          <w:szCs w:val="24"/>
          <w:highlight w:val="none"/>
          <w:lang w:val="zh-CN"/>
        </w:rPr>
      </w:pPr>
    </w:p>
    <w:p w14:paraId="7FE291DE">
      <w:pPr>
        <w:autoSpaceDE w:val="0"/>
        <w:autoSpaceDN w:val="0"/>
        <w:spacing w:beforeAutospacing="0" w:afterAutospacing="0" w:line="360" w:lineRule="auto"/>
        <w:ind w:firstLine="480" w:firstLineChars="200"/>
        <w:rPr>
          <w:color w:val="auto"/>
          <w:sz w:val="24"/>
          <w:szCs w:val="24"/>
          <w:highlight w:val="none"/>
          <w:lang w:val="zh-CN"/>
        </w:rPr>
      </w:pPr>
    </w:p>
    <w:p w14:paraId="72FE275C">
      <w:pPr>
        <w:autoSpaceDE w:val="0"/>
        <w:autoSpaceDN w:val="0"/>
        <w:spacing w:beforeAutospacing="0" w:afterAutospacing="0" w:line="360" w:lineRule="auto"/>
        <w:ind w:firstLine="480" w:firstLineChars="200"/>
        <w:rPr>
          <w:color w:val="auto"/>
          <w:sz w:val="24"/>
          <w:szCs w:val="24"/>
          <w:highlight w:val="none"/>
          <w:lang w:val="zh-CN"/>
        </w:rPr>
      </w:pPr>
    </w:p>
    <w:p w14:paraId="505439BD">
      <w:pPr>
        <w:spacing w:beforeAutospacing="0" w:afterAutospacing="0" w:line="360" w:lineRule="auto"/>
        <w:rPr>
          <w:rFonts w:hint="eastAsia"/>
          <w:color w:val="auto"/>
          <w:sz w:val="24"/>
          <w:szCs w:val="24"/>
          <w:highlight w:val="none"/>
          <w:lang w:val="zh-CN"/>
        </w:rPr>
      </w:pPr>
    </w:p>
    <w:p w14:paraId="4962465C">
      <w:pPr>
        <w:spacing w:beforeAutospacing="0" w:afterAutospacing="0" w:line="360" w:lineRule="auto"/>
        <w:ind w:firstLine="964" w:firstLineChars="402"/>
        <w:rPr>
          <w:color w:val="auto"/>
          <w:sz w:val="24"/>
          <w:szCs w:val="24"/>
          <w:highlight w:val="none"/>
          <w:lang w:val="zh-CN"/>
        </w:rPr>
      </w:pPr>
      <w:r>
        <w:rPr>
          <w:color w:val="auto"/>
          <w:sz w:val="24"/>
          <w:szCs w:val="24"/>
          <w:highlight w:val="none"/>
          <w:lang w:val="zh-CN"/>
        </w:rPr>
        <w:t xml:space="preserve">                </w:t>
      </w:r>
      <w:r>
        <w:rPr>
          <w:rFonts w:hint="eastAsia"/>
          <w:color w:val="auto"/>
          <w:sz w:val="24"/>
          <w:szCs w:val="24"/>
          <w:highlight w:val="none"/>
          <w:lang w:val="zh-CN"/>
        </w:rPr>
        <w:t xml:space="preserve"> </w:t>
      </w:r>
      <w:r>
        <w:rPr>
          <w:color w:val="auto"/>
          <w:sz w:val="24"/>
          <w:szCs w:val="24"/>
          <w:highlight w:val="none"/>
          <w:lang w:val="zh-CN"/>
        </w:rPr>
        <w:t xml:space="preserve"> </w:t>
      </w:r>
      <w:r>
        <w:rPr>
          <w:rFonts w:hint="eastAsia"/>
          <w:color w:val="auto"/>
          <w:sz w:val="24"/>
          <w:szCs w:val="24"/>
          <w:highlight w:val="none"/>
          <w:lang w:val="zh-CN"/>
        </w:rPr>
        <w:t>投标供应商全称：（盖章）</w:t>
      </w:r>
    </w:p>
    <w:p w14:paraId="0BC94C9F">
      <w:pPr>
        <w:spacing w:beforeAutospacing="0" w:afterAutospacing="0" w:line="360" w:lineRule="auto"/>
        <w:ind w:firstLine="3120" w:firstLineChars="1300"/>
        <w:rPr>
          <w:rFonts w:hint="eastAsia"/>
          <w:color w:val="auto"/>
          <w:sz w:val="24"/>
          <w:szCs w:val="24"/>
          <w:highlight w:val="none"/>
          <w:lang w:val="zh-CN"/>
        </w:rPr>
      </w:pPr>
      <w:r>
        <w:rPr>
          <w:rFonts w:hint="eastAsia"/>
          <w:color w:val="auto"/>
          <w:sz w:val="24"/>
          <w:szCs w:val="24"/>
          <w:highlight w:val="none"/>
          <w:lang w:val="zh-CN"/>
        </w:rPr>
        <w:t>法定代表人（或授权代表）：（签字）</w:t>
      </w:r>
    </w:p>
    <w:p w14:paraId="10243828">
      <w:pPr>
        <w:spacing w:beforeAutospacing="0" w:afterAutospacing="0" w:line="360" w:lineRule="auto"/>
        <w:ind w:firstLine="3120" w:firstLineChars="1300"/>
        <w:rPr>
          <w:rFonts w:hint="eastAsia"/>
          <w:color w:val="auto"/>
          <w:sz w:val="24"/>
          <w:szCs w:val="24"/>
          <w:highlight w:val="none"/>
          <w:lang w:val="zh-CN"/>
        </w:rPr>
      </w:pPr>
      <w:r>
        <w:rPr>
          <w:color w:val="auto"/>
          <w:sz w:val="24"/>
          <w:szCs w:val="24"/>
          <w:highlight w:val="none"/>
          <w:lang w:val="zh-CN"/>
        </w:rPr>
        <w:t xml:space="preserve"> </w:t>
      </w:r>
      <w:r>
        <w:rPr>
          <w:color w:val="auto"/>
          <w:sz w:val="28"/>
          <w:szCs w:val="28"/>
          <w:highlight w:val="none"/>
          <w:lang w:val="zh-CN"/>
        </w:rPr>
        <w:t xml:space="preserve">  </w:t>
      </w:r>
    </w:p>
    <w:p w14:paraId="02AEAF3E">
      <w:pPr>
        <w:rPr>
          <w:rFonts w:hint="eastAsia" w:ascii="宋体" w:hAnsi="宋体" w:eastAsia="宋体" w:cstheme="minorBidi"/>
          <w:b/>
          <w:bCs/>
          <w:color w:val="auto"/>
          <w:kern w:val="2"/>
          <w:sz w:val="24"/>
          <w:szCs w:val="24"/>
          <w:highlight w:val="none"/>
          <w:lang w:val="en-US" w:eastAsia="zh-CN" w:bidi="ar-SA"/>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日</w:t>
      </w:r>
    </w:p>
    <w:p w14:paraId="31031A44">
      <w:pPr>
        <w:rPr>
          <w:rFonts w:hint="eastAsia" w:ascii="宋体" w:hAnsi="宋体" w:eastAsia="宋体" w:cstheme="minorBidi"/>
          <w:b/>
          <w:bCs/>
          <w:color w:val="auto"/>
          <w:kern w:val="2"/>
          <w:sz w:val="24"/>
          <w:szCs w:val="24"/>
          <w:highlight w:val="none"/>
          <w:lang w:val="en-US" w:eastAsia="zh-CN" w:bidi="ar-SA"/>
        </w:rPr>
      </w:pPr>
    </w:p>
    <w:p w14:paraId="2EDD3537">
      <w:pPr>
        <w:rPr>
          <w:rFonts w:hint="eastAsia" w:ascii="宋体" w:hAnsi="宋体" w:eastAsia="宋体" w:cstheme="minorBidi"/>
          <w:b/>
          <w:bCs/>
          <w:color w:val="auto"/>
          <w:kern w:val="2"/>
          <w:sz w:val="24"/>
          <w:szCs w:val="24"/>
          <w:highlight w:val="none"/>
          <w:lang w:val="en-US" w:eastAsia="zh-CN" w:bidi="ar-SA"/>
        </w:rPr>
      </w:pPr>
    </w:p>
    <w:p w14:paraId="4909D694">
      <w:pPr>
        <w:rPr>
          <w:rFonts w:hint="eastAsia" w:ascii="宋体" w:hAnsi="宋体" w:eastAsia="宋体" w:cstheme="minorBidi"/>
          <w:b/>
          <w:bCs/>
          <w:color w:val="auto"/>
          <w:kern w:val="2"/>
          <w:sz w:val="24"/>
          <w:szCs w:val="24"/>
          <w:highlight w:val="none"/>
          <w:lang w:val="en-US" w:eastAsia="zh-CN" w:bidi="ar-SA"/>
        </w:rPr>
      </w:pPr>
    </w:p>
    <w:p w14:paraId="2A0D0C5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32"/>
          <w:szCs w:val="32"/>
          <w:highlight w:val="none"/>
          <w:lang w:val="zh-CN" w:eastAsia="zh-CN" w:bidi="ar-SA"/>
        </w:rPr>
      </w:pPr>
      <w:bookmarkStart w:id="1156" w:name="_Toc25539"/>
      <w:r>
        <w:rPr>
          <w:rFonts w:hint="eastAsia" w:cstheme="majorBidi"/>
          <w:b/>
          <w:bCs/>
          <w:color w:val="auto"/>
          <w:kern w:val="2"/>
          <w:sz w:val="28"/>
          <w:szCs w:val="28"/>
          <w:highlight w:val="none"/>
          <w:lang w:val="en-US" w:eastAsia="zh-CN" w:bidi="ar-SA"/>
        </w:rPr>
        <w:t>七</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1156"/>
    </w:p>
    <w:p w14:paraId="0C24F0AE">
      <w:pPr>
        <w:pStyle w:val="37"/>
        <w:rPr>
          <w:rFonts w:hint="eastAsia"/>
          <w:i w:val="0"/>
          <w:iCs w:val="0"/>
          <w:color w:val="auto"/>
          <w:highlight w:val="none"/>
        </w:rPr>
      </w:pPr>
      <w:r>
        <w:rPr>
          <w:rFonts w:hint="eastAsia" w:cs="Courier New"/>
          <w:i w:val="0"/>
          <w:iCs w:val="0"/>
          <w:color w:val="auto"/>
          <w:szCs w:val="24"/>
          <w:highlight w:val="none"/>
          <w:lang w:val="en-US" w:eastAsia="zh-CN"/>
        </w:rPr>
        <w:t>供应商</w:t>
      </w:r>
      <w:r>
        <w:rPr>
          <w:rFonts w:hint="eastAsia" w:cs="Courier New"/>
          <w:i w:val="0"/>
          <w:iCs w:val="0"/>
          <w:color w:val="auto"/>
          <w:szCs w:val="24"/>
          <w:highlight w:val="none"/>
        </w:rPr>
        <w:t>认为需提供的其它相关资格证明材料</w:t>
      </w:r>
    </w:p>
    <w:p w14:paraId="7C2C3E83">
      <w:pPr>
        <w:pStyle w:val="37"/>
        <w:rPr>
          <w:rFonts w:hint="eastAsia"/>
          <w:i w:val="0"/>
          <w:iCs w:val="0"/>
          <w:color w:val="auto"/>
          <w:highlight w:val="none"/>
        </w:rPr>
      </w:pPr>
    </w:p>
    <w:p w14:paraId="58A36194">
      <w:pPr>
        <w:pStyle w:val="37"/>
        <w:rPr>
          <w:rFonts w:hint="eastAsia"/>
          <w:i w:val="0"/>
          <w:iCs w:val="0"/>
          <w:color w:val="auto"/>
          <w:highlight w:val="none"/>
        </w:rPr>
      </w:pPr>
    </w:p>
    <w:p w14:paraId="3553B395">
      <w:pPr>
        <w:pStyle w:val="37"/>
        <w:rPr>
          <w:rFonts w:hint="eastAsia"/>
          <w:i w:val="0"/>
          <w:iCs w:val="0"/>
          <w:color w:val="auto"/>
          <w:highlight w:val="none"/>
        </w:rPr>
      </w:pPr>
    </w:p>
    <w:p w14:paraId="49D404FC">
      <w:pPr>
        <w:pStyle w:val="37"/>
        <w:rPr>
          <w:rFonts w:hint="eastAsia"/>
          <w:i w:val="0"/>
          <w:iCs w:val="0"/>
          <w:color w:val="auto"/>
          <w:highlight w:val="none"/>
        </w:rPr>
      </w:pPr>
    </w:p>
    <w:p w14:paraId="4B98E4B6">
      <w:pPr>
        <w:pStyle w:val="37"/>
        <w:rPr>
          <w:rFonts w:hint="eastAsia"/>
          <w:i w:val="0"/>
          <w:iCs w:val="0"/>
          <w:color w:val="auto"/>
          <w:highlight w:val="none"/>
        </w:rPr>
      </w:pPr>
    </w:p>
    <w:p w14:paraId="737FEDD3">
      <w:pPr>
        <w:pStyle w:val="37"/>
        <w:rPr>
          <w:rFonts w:hint="eastAsia"/>
          <w:i w:val="0"/>
          <w:iCs w:val="0"/>
          <w:color w:val="auto"/>
          <w:highlight w:val="none"/>
        </w:rPr>
      </w:pPr>
    </w:p>
    <w:p w14:paraId="1C876135">
      <w:pPr>
        <w:pStyle w:val="37"/>
        <w:rPr>
          <w:rFonts w:hint="eastAsia"/>
          <w:i w:val="0"/>
          <w:iCs w:val="0"/>
          <w:color w:val="auto"/>
          <w:highlight w:val="none"/>
        </w:rPr>
      </w:pPr>
    </w:p>
    <w:p w14:paraId="7E85C842">
      <w:pPr>
        <w:pStyle w:val="37"/>
        <w:rPr>
          <w:rFonts w:hint="eastAsia"/>
          <w:i w:val="0"/>
          <w:iCs w:val="0"/>
          <w:color w:val="auto"/>
          <w:highlight w:val="none"/>
        </w:rPr>
      </w:pPr>
    </w:p>
    <w:p w14:paraId="4CBE3B0D">
      <w:pPr>
        <w:pStyle w:val="37"/>
        <w:rPr>
          <w:rFonts w:hint="eastAsia"/>
          <w:i w:val="0"/>
          <w:iCs w:val="0"/>
          <w:color w:val="auto"/>
          <w:highlight w:val="none"/>
        </w:rPr>
      </w:pPr>
    </w:p>
    <w:p w14:paraId="2E6E451F">
      <w:pPr>
        <w:pStyle w:val="37"/>
        <w:rPr>
          <w:rFonts w:hint="eastAsia"/>
          <w:i w:val="0"/>
          <w:iCs w:val="0"/>
          <w:color w:val="auto"/>
          <w:highlight w:val="none"/>
        </w:rPr>
      </w:pPr>
    </w:p>
    <w:p w14:paraId="38DC2C55">
      <w:pPr>
        <w:pStyle w:val="37"/>
        <w:rPr>
          <w:rFonts w:hint="eastAsia"/>
          <w:i w:val="0"/>
          <w:iCs w:val="0"/>
          <w:color w:val="auto"/>
          <w:highlight w:val="none"/>
        </w:rPr>
      </w:pPr>
    </w:p>
    <w:p w14:paraId="04DAFD3C">
      <w:pPr>
        <w:pStyle w:val="37"/>
        <w:rPr>
          <w:rFonts w:hint="eastAsia"/>
          <w:i w:val="0"/>
          <w:iCs w:val="0"/>
          <w:color w:val="auto"/>
          <w:highlight w:val="none"/>
        </w:rPr>
      </w:pPr>
    </w:p>
    <w:p w14:paraId="51E24CDC">
      <w:pPr>
        <w:pStyle w:val="37"/>
        <w:rPr>
          <w:rFonts w:hint="eastAsia"/>
          <w:i w:val="0"/>
          <w:iCs w:val="0"/>
          <w:color w:val="auto"/>
          <w:highlight w:val="none"/>
        </w:rPr>
      </w:pPr>
    </w:p>
    <w:p w14:paraId="1AC1942E">
      <w:pPr>
        <w:pStyle w:val="37"/>
        <w:rPr>
          <w:rFonts w:hint="eastAsia"/>
          <w:i w:val="0"/>
          <w:iCs w:val="0"/>
          <w:color w:val="auto"/>
          <w:highlight w:val="none"/>
        </w:rPr>
      </w:pPr>
    </w:p>
    <w:p w14:paraId="4722E259">
      <w:pPr>
        <w:pStyle w:val="37"/>
        <w:rPr>
          <w:rFonts w:hint="eastAsia"/>
          <w:i w:val="0"/>
          <w:iCs w:val="0"/>
          <w:color w:val="auto"/>
          <w:highlight w:val="none"/>
        </w:rPr>
      </w:pPr>
    </w:p>
    <w:p w14:paraId="07033BD3">
      <w:pPr>
        <w:pStyle w:val="37"/>
        <w:rPr>
          <w:rFonts w:hint="eastAsia"/>
          <w:i w:val="0"/>
          <w:iCs w:val="0"/>
          <w:color w:val="auto"/>
          <w:highlight w:val="none"/>
        </w:rPr>
      </w:pPr>
    </w:p>
    <w:p w14:paraId="6E1D094D">
      <w:pPr>
        <w:pStyle w:val="37"/>
        <w:rPr>
          <w:rFonts w:hint="eastAsia"/>
          <w:i w:val="0"/>
          <w:iCs w:val="0"/>
          <w:color w:val="auto"/>
          <w:highlight w:val="none"/>
        </w:rPr>
      </w:pPr>
    </w:p>
    <w:p w14:paraId="23B0DB54">
      <w:pPr>
        <w:pStyle w:val="37"/>
        <w:rPr>
          <w:rFonts w:hint="eastAsia"/>
          <w:i w:val="0"/>
          <w:iCs w:val="0"/>
          <w:color w:val="auto"/>
          <w:highlight w:val="none"/>
        </w:rPr>
      </w:pPr>
    </w:p>
    <w:p w14:paraId="07159DF6">
      <w:pPr>
        <w:pStyle w:val="37"/>
        <w:rPr>
          <w:rFonts w:hint="eastAsia"/>
          <w:i w:val="0"/>
          <w:iCs w:val="0"/>
          <w:color w:val="auto"/>
          <w:highlight w:val="none"/>
        </w:rPr>
      </w:pPr>
    </w:p>
    <w:p w14:paraId="44B3A5AA">
      <w:pPr>
        <w:pStyle w:val="37"/>
        <w:rPr>
          <w:rFonts w:hint="eastAsia"/>
          <w:i w:val="0"/>
          <w:iCs w:val="0"/>
          <w:color w:val="auto"/>
          <w:highlight w:val="none"/>
        </w:rPr>
      </w:pPr>
    </w:p>
    <w:p w14:paraId="05BB178A">
      <w:pPr>
        <w:pStyle w:val="37"/>
        <w:rPr>
          <w:rFonts w:hint="eastAsia"/>
          <w:i w:val="0"/>
          <w:iCs w:val="0"/>
          <w:color w:val="auto"/>
          <w:highlight w:val="none"/>
        </w:rPr>
      </w:pPr>
    </w:p>
    <w:p w14:paraId="0E7980AB">
      <w:pPr>
        <w:pStyle w:val="37"/>
        <w:rPr>
          <w:rFonts w:hint="eastAsia"/>
          <w:i w:val="0"/>
          <w:iCs w:val="0"/>
          <w:color w:val="auto"/>
          <w:highlight w:val="none"/>
        </w:rPr>
      </w:pPr>
    </w:p>
    <w:p w14:paraId="5A09B930">
      <w:pPr>
        <w:pStyle w:val="37"/>
        <w:rPr>
          <w:rFonts w:hint="eastAsia"/>
          <w:i w:val="0"/>
          <w:iCs w:val="0"/>
          <w:color w:val="auto"/>
          <w:highlight w:val="none"/>
        </w:rPr>
      </w:pPr>
    </w:p>
    <w:p w14:paraId="3FB1F62E">
      <w:pPr>
        <w:pStyle w:val="37"/>
        <w:rPr>
          <w:rFonts w:hint="eastAsia"/>
          <w:i w:val="0"/>
          <w:iCs w:val="0"/>
          <w:color w:val="auto"/>
          <w:highlight w:val="none"/>
        </w:rPr>
      </w:pPr>
    </w:p>
    <w:p w14:paraId="674D4B47">
      <w:pPr>
        <w:pStyle w:val="37"/>
        <w:rPr>
          <w:rFonts w:hint="eastAsia"/>
          <w:i w:val="0"/>
          <w:iCs w:val="0"/>
          <w:color w:val="auto"/>
          <w:highlight w:val="none"/>
        </w:rPr>
      </w:pPr>
    </w:p>
    <w:p w14:paraId="04384634">
      <w:pPr>
        <w:pStyle w:val="9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047D3EE">
      <w:pPr>
        <w:pStyle w:val="9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FC23E9A">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579E32CA">
      <w:pPr>
        <w:autoSpaceDE w:val="0"/>
        <w:autoSpaceDN w:val="0"/>
        <w:adjustRightInd w:val="0"/>
        <w:rPr>
          <w:color w:val="auto"/>
          <w:sz w:val="21"/>
          <w:szCs w:val="24"/>
          <w:highlight w:val="none"/>
        </w:rPr>
      </w:pPr>
    </w:p>
    <w:p w14:paraId="2CC27B4B">
      <w:pPr>
        <w:autoSpaceDE w:val="0"/>
        <w:autoSpaceDN w:val="0"/>
        <w:adjustRightInd w:val="0"/>
        <w:rPr>
          <w:color w:val="auto"/>
          <w:sz w:val="21"/>
          <w:szCs w:val="24"/>
          <w:highlight w:val="none"/>
        </w:rPr>
      </w:pPr>
    </w:p>
    <w:p w14:paraId="63CA31F9">
      <w:pPr>
        <w:autoSpaceDE w:val="0"/>
        <w:autoSpaceDN w:val="0"/>
        <w:adjustRightInd w:val="0"/>
        <w:jc w:val="center"/>
        <w:rPr>
          <w:color w:val="auto"/>
          <w:sz w:val="21"/>
          <w:szCs w:val="24"/>
          <w:highlight w:val="none"/>
        </w:rPr>
      </w:pPr>
    </w:p>
    <w:p w14:paraId="0F2A8793">
      <w:pPr>
        <w:pStyle w:val="3"/>
        <w:bidi w:val="0"/>
        <w:jc w:val="center"/>
        <w:rPr>
          <w:color w:val="auto"/>
          <w:sz w:val="84"/>
          <w:szCs w:val="84"/>
          <w:highlight w:val="none"/>
        </w:rPr>
      </w:pPr>
      <w:bookmarkStart w:id="1157" w:name="_Toc138"/>
      <w:r>
        <w:rPr>
          <w:rFonts w:hint="eastAsia"/>
          <w:color w:val="auto"/>
          <w:sz w:val="84"/>
          <w:szCs w:val="84"/>
          <w:highlight w:val="none"/>
          <w:lang w:val="en-US" w:eastAsia="zh-CN"/>
        </w:rPr>
        <w:t>响 应</w:t>
      </w:r>
      <w:r>
        <w:rPr>
          <w:rFonts w:hint="eastAsia"/>
          <w:color w:val="auto"/>
          <w:sz w:val="84"/>
          <w:szCs w:val="84"/>
          <w:highlight w:val="none"/>
        </w:rPr>
        <w:t xml:space="preserve"> 文 件</w:t>
      </w:r>
      <w:bookmarkEnd w:id="1157"/>
    </w:p>
    <w:p w14:paraId="383861DE">
      <w:pPr>
        <w:pStyle w:val="3"/>
        <w:bidi w:val="0"/>
        <w:jc w:val="center"/>
        <w:rPr>
          <w:rFonts w:hint="eastAsia"/>
          <w:color w:val="auto"/>
          <w:sz w:val="56"/>
          <w:szCs w:val="56"/>
          <w:highlight w:val="none"/>
          <w:lang w:val="en-US" w:eastAsia="zh-CN"/>
        </w:rPr>
      </w:pPr>
      <w:bookmarkStart w:id="1158" w:name="_Toc24322"/>
      <w:r>
        <w:rPr>
          <w:rFonts w:hint="eastAsia"/>
          <w:color w:val="auto"/>
          <w:sz w:val="56"/>
          <w:szCs w:val="56"/>
          <w:highlight w:val="none"/>
          <w:lang w:val="en-US" w:eastAsia="zh-CN"/>
        </w:rPr>
        <w:t>报价文件</w:t>
      </w:r>
      <w:bookmarkEnd w:id="1158"/>
    </w:p>
    <w:p w14:paraId="798A956E">
      <w:pPr>
        <w:pStyle w:val="3"/>
        <w:rPr>
          <w:color w:val="auto"/>
          <w:sz w:val="21"/>
          <w:szCs w:val="21"/>
          <w:highlight w:val="none"/>
        </w:rPr>
      </w:pPr>
    </w:p>
    <w:p w14:paraId="24B6A268">
      <w:pPr>
        <w:rPr>
          <w:color w:val="auto"/>
          <w:sz w:val="21"/>
          <w:szCs w:val="21"/>
          <w:highlight w:val="none"/>
        </w:rPr>
      </w:pPr>
    </w:p>
    <w:p w14:paraId="3DC104B3">
      <w:pPr>
        <w:rPr>
          <w:color w:val="auto"/>
          <w:highlight w:val="none"/>
        </w:rPr>
      </w:pPr>
    </w:p>
    <w:p w14:paraId="74A7A117">
      <w:pPr>
        <w:autoSpaceDE w:val="0"/>
        <w:autoSpaceDN w:val="0"/>
        <w:adjustRightInd w:val="0"/>
        <w:rPr>
          <w:color w:val="auto"/>
          <w:sz w:val="21"/>
          <w:szCs w:val="21"/>
          <w:highlight w:val="none"/>
        </w:rPr>
      </w:pPr>
    </w:p>
    <w:p w14:paraId="6EE89269">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17D47AB2">
      <w:pPr>
        <w:ind w:left="840" w:firstLine="420"/>
        <w:rPr>
          <w:b/>
          <w:bCs/>
          <w:color w:val="auto"/>
          <w:sz w:val="28"/>
          <w:szCs w:val="28"/>
          <w:highlight w:val="none"/>
        </w:rPr>
      </w:pPr>
    </w:p>
    <w:p w14:paraId="0C84FB8A">
      <w:pPr>
        <w:jc w:val="center"/>
        <w:rPr>
          <w:rFonts w:ascii="黑体" w:hAnsi="黑体" w:eastAsia="黑体"/>
          <w:i w:val="0"/>
          <w:iCs w:val="0"/>
          <w:color w:val="auto"/>
          <w:sz w:val="32"/>
          <w:szCs w:val="32"/>
          <w:highlight w:val="none"/>
        </w:rPr>
      </w:pPr>
      <w:r>
        <w:rPr>
          <w:rFonts w:hint="eastAsia" w:ascii="宋体" w:hAnsi="宋体" w:eastAsia="宋体" w:cs="宋体"/>
          <w:color w:val="auto"/>
          <w:sz w:val="32"/>
          <w:szCs w:val="32"/>
          <w:highlight w:val="none"/>
        </w:rPr>
        <w:t>年   月    日</w:t>
      </w:r>
    </w:p>
    <w:p w14:paraId="2B025C97">
      <w:pPr>
        <w:rPr>
          <w:i w:val="0"/>
          <w:iCs w:val="0"/>
          <w:color w:val="auto"/>
          <w:highlight w:val="none"/>
          <w:lang w:val="zh-CN"/>
        </w:rPr>
      </w:pPr>
      <w:r>
        <w:rPr>
          <w:i w:val="0"/>
          <w:iCs w:val="0"/>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1159" w:name="_Toc15140"/>
      <w:r>
        <w:rPr>
          <w:rFonts w:hint="eastAsia" w:cstheme="majorBidi"/>
          <w:b/>
          <w:bCs/>
          <w:i w:val="0"/>
          <w:iCs w:val="0"/>
          <w:color w:val="auto"/>
          <w:kern w:val="2"/>
          <w:sz w:val="32"/>
          <w:szCs w:val="32"/>
          <w:highlight w:val="none"/>
          <w:lang w:val="en-US" w:eastAsia="zh-CN" w:bidi="ar-SA"/>
        </w:rPr>
        <w:t>一、报价一览表</w:t>
      </w:r>
      <w:bookmarkEnd w:id="1159"/>
    </w:p>
    <w:p w14:paraId="29B57BB7">
      <w:pPr>
        <w:snapToGrid w:val="0"/>
        <w:spacing w:line="360" w:lineRule="auto"/>
        <w:jc w:val="left"/>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项目名称：</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p w14:paraId="4FA16203">
      <w:pPr>
        <w:snapToGrid w:val="0"/>
        <w:spacing w:after="156" w:afterLines="50" w:line="360" w:lineRule="auto"/>
        <w:jc w:val="left"/>
        <w:rPr>
          <w:rFonts w:hint="eastAsia" w:ascii="宋体" w:hAnsi="宋体" w:eastAsia="宋体" w:cs="宋体"/>
          <w:b w:val="0"/>
          <w:bCs/>
          <w:i w:val="0"/>
          <w:iCs w:val="0"/>
          <w:color w:val="auto"/>
          <w:kern w:val="2"/>
          <w:sz w:val="24"/>
          <w:szCs w:val="24"/>
          <w:highlight w:val="none"/>
          <w:u w:val="single"/>
        </w:rPr>
      </w:pPr>
      <w:r>
        <w:rPr>
          <w:rFonts w:hint="eastAsia" w:ascii="宋体" w:hAnsi="宋体" w:eastAsia="宋体" w:cs="宋体"/>
          <w:b w:val="0"/>
          <w:bCs/>
          <w:i w:val="0"/>
          <w:iCs w:val="0"/>
          <w:color w:val="auto"/>
          <w:kern w:val="2"/>
          <w:sz w:val="24"/>
          <w:szCs w:val="24"/>
          <w:highlight w:val="none"/>
        </w:rPr>
        <w:t>项目编号：</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6062"/>
      </w:tblGrid>
      <w:tr w14:paraId="366A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78EDC1">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供应商名称</w:t>
            </w:r>
          </w:p>
        </w:tc>
        <w:tc>
          <w:tcPr>
            <w:tcW w:w="3556" w:type="pct"/>
            <w:tcBorders>
              <w:left w:val="single" w:color="auto" w:sz="4" w:space="0"/>
            </w:tcBorders>
            <w:vAlign w:val="center"/>
          </w:tcPr>
          <w:p w14:paraId="37CB85C6">
            <w:pPr>
              <w:spacing w:line="240" w:lineRule="auto"/>
              <w:jc w:val="both"/>
              <w:rPr>
                <w:rFonts w:hint="eastAsia" w:ascii="宋体" w:hAnsi="宋体" w:eastAsia="宋体" w:cs="宋体"/>
                <w:b w:val="0"/>
                <w:bCs/>
                <w:i w:val="0"/>
                <w:iCs w:val="0"/>
                <w:color w:val="auto"/>
                <w:kern w:val="2"/>
                <w:sz w:val="24"/>
                <w:szCs w:val="24"/>
                <w:highlight w:val="none"/>
              </w:rPr>
            </w:pPr>
          </w:p>
        </w:tc>
      </w:tr>
      <w:tr w14:paraId="24EB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EDE8CF">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磋商范围</w:t>
            </w:r>
          </w:p>
        </w:tc>
        <w:tc>
          <w:tcPr>
            <w:tcW w:w="3556" w:type="pct"/>
            <w:tcBorders>
              <w:left w:val="single" w:color="auto" w:sz="4" w:space="0"/>
            </w:tcBorders>
            <w:vAlign w:val="center"/>
          </w:tcPr>
          <w:p w14:paraId="78670A18">
            <w:pPr>
              <w:widowControl/>
              <w:spacing w:line="240" w:lineRule="auto"/>
              <w:jc w:val="both"/>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全部 / 第</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rPr>
              <w:t>包</w:t>
            </w:r>
          </w:p>
        </w:tc>
      </w:tr>
      <w:tr w14:paraId="603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16E7E9E">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报价</w:t>
            </w:r>
          </w:p>
          <w:p w14:paraId="5F388EDB">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（详见备注说明）</w:t>
            </w:r>
          </w:p>
        </w:tc>
        <w:tc>
          <w:tcPr>
            <w:tcW w:w="3556" w:type="pct"/>
            <w:vAlign w:val="center"/>
          </w:tcPr>
          <w:p w14:paraId="2F2F150D">
            <w:pPr>
              <w:snapToGrid w:val="0"/>
              <w:spacing w:line="240" w:lineRule="auto"/>
              <w:jc w:val="both"/>
              <w:rPr>
                <w:rFonts w:hint="eastAsia" w:ascii="宋体" w:hAnsi="宋体" w:eastAsia="宋体" w:cs="宋体"/>
                <w:b w:val="0"/>
                <w:bCs/>
                <w:i w:val="0"/>
                <w:iCs w:val="0"/>
                <w:color w:val="auto"/>
                <w:kern w:val="2"/>
                <w:sz w:val="24"/>
                <w:szCs w:val="24"/>
                <w:highlight w:val="none"/>
              </w:rPr>
            </w:pPr>
          </w:p>
          <w:p w14:paraId="3D4F3E9E">
            <w:pPr>
              <w:snapToGrid w:val="0"/>
              <w:spacing w:line="240" w:lineRule="auto"/>
              <w:jc w:val="both"/>
              <w:rPr>
                <w:rFonts w:hint="eastAsia" w:ascii="宋体" w:hAnsi="宋体" w:eastAsia="宋体" w:cs="宋体"/>
                <w:b w:val="0"/>
                <w:bCs/>
                <w:i w:val="0"/>
                <w:iCs w:val="0"/>
                <w:color w:val="auto"/>
                <w:sz w:val="24"/>
                <w:szCs w:val="24"/>
                <w:highlight w:val="none"/>
                <w:u w:val="single"/>
              </w:rPr>
            </w:pPr>
            <w:r>
              <w:rPr>
                <w:rFonts w:hint="eastAsia" w:ascii="宋体" w:hAnsi="宋体" w:eastAsia="宋体" w:cs="宋体"/>
                <w:b w:val="0"/>
                <w:bCs/>
                <w:i w:val="0"/>
                <w:iCs w:val="0"/>
                <w:color w:val="auto"/>
                <w:sz w:val="24"/>
                <w:szCs w:val="24"/>
                <w:highlight w:val="none"/>
              </w:rPr>
              <w:t>大写：</w:t>
            </w:r>
            <w:r>
              <w:rPr>
                <w:rFonts w:hint="eastAsia" w:ascii="宋体" w:hAnsi="宋体" w:eastAsia="宋体" w:cs="宋体"/>
                <w:b w:val="0"/>
                <w:bCs/>
                <w:i w:val="0"/>
                <w:iCs w:val="0"/>
                <w:color w:val="auto"/>
                <w:sz w:val="24"/>
                <w:szCs w:val="24"/>
                <w:highlight w:val="none"/>
                <w:u w:val="single"/>
              </w:rPr>
              <w:t xml:space="preserve">                     </w:t>
            </w:r>
          </w:p>
          <w:p w14:paraId="0CAE42C2">
            <w:pPr>
              <w:spacing w:line="240" w:lineRule="auto"/>
              <w:ind w:right="-670"/>
              <w:jc w:val="both"/>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小写：</w:t>
            </w:r>
            <w:r>
              <w:rPr>
                <w:rFonts w:hint="eastAsia" w:ascii="宋体" w:hAnsi="宋体" w:eastAsia="宋体" w:cs="宋体"/>
                <w:b w:val="0"/>
                <w:bCs/>
                <w:i w:val="0"/>
                <w:iCs w:val="0"/>
                <w:color w:val="auto"/>
                <w:sz w:val="24"/>
                <w:szCs w:val="24"/>
                <w:highlight w:val="none"/>
                <w:u w:val="single"/>
              </w:rPr>
              <w:t xml:space="preserve">                     </w:t>
            </w:r>
          </w:p>
          <w:p w14:paraId="3A1569B3">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37D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79A7373">
            <w:pPr>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质量标准</w:t>
            </w:r>
          </w:p>
        </w:tc>
        <w:tc>
          <w:tcPr>
            <w:tcW w:w="3556" w:type="pct"/>
            <w:vAlign w:val="center"/>
          </w:tcPr>
          <w:p w14:paraId="1E5D469E">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2222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E204255">
            <w:pPr>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工    期</w:t>
            </w:r>
          </w:p>
        </w:tc>
        <w:tc>
          <w:tcPr>
            <w:tcW w:w="3556" w:type="pct"/>
            <w:vAlign w:val="center"/>
          </w:tcPr>
          <w:p w14:paraId="78146B7E">
            <w:pPr>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080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1B51A75">
            <w:pPr>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备注</w:t>
            </w:r>
          </w:p>
        </w:tc>
        <w:tc>
          <w:tcPr>
            <w:tcW w:w="3556" w:type="pct"/>
            <w:vAlign w:val="center"/>
          </w:tcPr>
          <w:p w14:paraId="73BFA4FB">
            <w:pPr>
              <w:spacing w:line="240" w:lineRule="auto"/>
              <w:jc w:val="both"/>
              <w:rPr>
                <w:rFonts w:hint="eastAsia" w:ascii="宋体" w:hAnsi="宋体" w:eastAsia="宋体" w:cs="宋体"/>
                <w:b w:val="0"/>
                <w:bCs/>
                <w:i w:val="0"/>
                <w:iCs w:val="0"/>
                <w:color w:val="auto"/>
                <w:kern w:val="2"/>
                <w:sz w:val="24"/>
                <w:szCs w:val="24"/>
                <w:highlight w:val="none"/>
              </w:rPr>
            </w:pPr>
          </w:p>
        </w:tc>
      </w:tr>
    </w:tbl>
    <w:p w14:paraId="40B6EF5A">
      <w:pPr>
        <w:spacing w:line="440" w:lineRule="exact"/>
        <w:rPr>
          <w:rFonts w:cs="@仿宋_GB2312"/>
          <w:i w:val="0"/>
          <w:iCs w:val="0"/>
          <w:color w:val="auto"/>
          <w:kern w:val="2"/>
          <w:sz w:val="24"/>
          <w:szCs w:val="24"/>
          <w:highlight w:val="none"/>
          <w:u w:val="single"/>
        </w:rPr>
      </w:pPr>
      <w:r>
        <w:rPr>
          <w:rFonts w:hint="eastAsia" w:cs="@仿宋_GB2312"/>
          <w:i w:val="0"/>
          <w:iCs w:val="0"/>
          <w:color w:val="auto"/>
          <w:kern w:val="2"/>
          <w:sz w:val="24"/>
          <w:szCs w:val="24"/>
          <w:highlight w:val="none"/>
        </w:rPr>
        <w:t>供应商</w:t>
      </w:r>
      <w:r>
        <w:rPr>
          <w:rFonts w:ascii="Arial" w:hAnsi="Arial" w:cs="Arial"/>
          <w:i w:val="0"/>
          <w:iCs w:val="0"/>
          <w:color w:val="auto"/>
          <w:szCs w:val="21"/>
          <w:highlight w:val="none"/>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cs="@仿宋_GB2312"/>
          <w:i w:val="0"/>
          <w:iCs w:val="0"/>
          <w:color w:val="auto"/>
          <w:kern w:val="2"/>
          <w:sz w:val="24"/>
          <w:szCs w:val="24"/>
          <w:highlight w:val="none"/>
        </w:rPr>
        <w:t>：</w:t>
      </w:r>
      <w:r>
        <w:rPr>
          <w:rFonts w:hint="eastAsia" w:cs="@仿宋_GB2312"/>
          <w:i w:val="0"/>
          <w:iCs w:val="0"/>
          <w:color w:val="auto"/>
          <w:kern w:val="2"/>
          <w:sz w:val="24"/>
          <w:szCs w:val="24"/>
          <w:highlight w:val="none"/>
          <w:u w:val="single"/>
        </w:rPr>
        <w:t xml:space="preserve">     </w:t>
      </w:r>
      <w:r>
        <w:rPr>
          <w:rFonts w:cs="@仿宋_GB2312"/>
          <w:i w:val="0"/>
          <w:iCs w:val="0"/>
          <w:color w:val="auto"/>
          <w:kern w:val="2"/>
          <w:sz w:val="24"/>
          <w:szCs w:val="24"/>
          <w:highlight w:val="none"/>
          <w:u w:val="single"/>
        </w:rPr>
        <w:t xml:space="preserve">    </w:t>
      </w:r>
      <w:r>
        <w:rPr>
          <w:rFonts w:hint="eastAsia" w:cs="@仿宋_GB2312"/>
          <w:i w:val="0"/>
          <w:iCs w:val="0"/>
          <w:color w:val="auto"/>
          <w:kern w:val="2"/>
          <w:sz w:val="24"/>
          <w:szCs w:val="24"/>
          <w:highlight w:val="none"/>
          <w:u w:val="single"/>
        </w:rPr>
        <w:t xml:space="preserve">    </w:t>
      </w:r>
    </w:p>
    <w:p w14:paraId="3D468598">
      <w:pPr>
        <w:spacing w:line="440" w:lineRule="exact"/>
        <w:rPr>
          <w:rFonts w:cs="@仿宋_GB2312"/>
          <w:i w:val="0"/>
          <w:iCs w:val="0"/>
          <w:color w:val="auto"/>
          <w:kern w:val="2"/>
          <w:sz w:val="24"/>
          <w:szCs w:val="24"/>
          <w:highlight w:val="none"/>
          <w:u w:val="single"/>
        </w:rPr>
      </w:pPr>
      <w:r>
        <w:rPr>
          <w:rFonts w:hint="eastAsia" w:cs="@仿宋_GB2312"/>
          <w:i w:val="0"/>
          <w:iCs w:val="0"/>
          <w:color w:val="auto"/>
          <w:kern w:val="2"/>
          <w:sz w:val="24"/>
          <w:szCs w:val="24"/>
          <w:highlight w:val="none"/>
        </w:rPr>
        <w:t xml:space="preserve">日     </w:t>
      </w:r>
      <w:r>
        <w:rPr>
          <w:rFonts w:cs="@仿宋_GB2312"/>
          <w:i w:val="0"/>
          <w:iCs w:val="0"/>
          <w:color w:val="auto"/>
          <w:kern w:val="2"/>
          <w:sz w:val="24"/>
          <w:szCs w:val="24"/>
          <w:highlight w:val="none"/>
        </w:rPr>
        <w:t xml:space="preserve">    </w:t>
      </w:r>
      <w:r>
        <w:rPr>
          <w:rFonts w:hint="eastAsia" w:cs="@仿宋_GB2312"/>
          <w:i w:val="0"/>
          <w:iCs w:val="0"/>
          <w:color w:val="auto"/>
          <w:kern w:val="2"/>
          <w:sz w:val="24"/>
          <w:szCs w:val="24"/>
          <w:highlight w:val="none"/>
        </w:rPr>
        <w:t xml:space="preserve"> 期：</w:t>
      </w:r>
      <w:r>
        <w:rPr>
          <w:rFonts w:hint="eastAsia" w:cs="@仿宋_GB2312"/>
          <w:i w:val="0"/>
          <w:iCs w:val="0"/>
          <w:color w:val="auto"/>
          <w:kern w:val="2"/>
          <w:sz w:val="24"/>
          <w:szCs w:val="24"/>
          <w:highlight w:val="none"/>
          <w:u w:val="single"/>
        </w:rPr>
        <w:t xml:space="preserve">       </w:t>
      </w:r>
      <w:r>
        <w:rPr>
          <w:rFonts w:hint="eastAsia" w:cs="@仿宋_GB2312"/>
          <w:i w:val="0"/>
          <w:iCs w:val="0"/>
          <w:color w:val="auto"/>
          <w:kern w:val="2"/>
          <w:sz w:val="24"/>
          <w:szCs w:val="24"/>
          <w:highlight w:val="none"/>
          <w:u w:val="single"/>
          <w:lang w:val="en-US" w:eastAsia="zh-CN"/>
        </w:rPr>
        <w:t xml:space="preserve">    </w:t>
      </w:r>
      <w:r>
        <w:rPr>
          <w:rFonts w:hint="eastAsia" w:cs="@仿宋_GB2312"/>
          <w:i w:val="0"/>
          <w:iCs w:val="0"/>
          <w:color w:val="auto"/>
          <w:kern w:val="2"/>
          <w:sz w:val="24"/>
          <w:szCs w:val="24"/>
          <w:highlight w:val="none"/>
          <w:u w:val="single"/>
        </w:rPr>
        <w:t xml:space="preserve">      </w:t>
      </w:r>
    </w:p>
    <w:p w14:paraId="2461B1D2">
      <w:pPr>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442950C1">
      <w:pPr>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385FAD34">
      <w:pPr>
        <w:adjustRightInd w:val="0"/>
        <w:snapToGrid w:val="0"/>
        <w:spacing w:line="360" w:lineRule="auto"/>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bCs/>
          <w:i w:val="0"/>
          <w:iCs w:val="0"/>
          <w:color w:val="auto"/>
          <w:kern w:val="2"/>
          <w:sz w:val="21"/>
          <w:szCs w:val="21"/>
          <w:highlight w:val="none"/>
        </w:rPr>
        <w:t>注：</w:t>
      </w:r>
    </w:p>
    <w:p w14:paraId="7AC2D20F">
      <w:pPr>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1.本表内容根据磋商文件要求包括了磋商文件要求提供的全部内容的所有费用。</w:t>
      </w:r>
    </w:p>
    <w:p w14:paraId="25395212">
      <w:pPr>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2.特殊事项在备注中注明。</w:t>
      </w:r>
    </w:p>
    <w:p w14:paraId="59454300">
      <w:pPr>
        <w:adjustRightInd w:val="0"/>
        <w:snapToGrid w:val="0"/>
        <w:spacing w:line="360" w:lineRule="auto"/>
        <w:ind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rPr>
        <w:t>.表中大写与小写不一致的，以大写为准。</w:t>
      </w:r>
    </w:p>
    <w:p w14:paraId="4CFFB9C9">
      <w:pPr>
        <w:spacing w:line="300" w:lineRule="auto"/>
        <w:rPr>
          <w:rFonts w:hint="eastAsia" w:ascii="宋体" w:hAnsi="宋体" w:eastAsia="宋体" w:cs="宋体"/>
          <w:b w:val="0"/>
          <w:bCs w:val="0"/>
          <w:i w:val="0"/>
          <w:iCs w:val="0"/>
          <w:color w:val="auto"/>
          <w:szCs w:val="24"/>
          <w:highlight w:val="none"/>
        </w:rPr>
      </w:pPr>
    </w:p>
    <w:p w14:paraId="27C73E89">
      <w:pPr>
        <w:rPr>
          <w:rFonts w:hint="eastAsia"/>
          <w:b w:val="0"/>
          <w:bCs/>
          <w:i w:val="0"/>
          <w:iCs w:val="0"/>
          <w:color w:val="auto"/>
          <w:szCs w:val="21"/>
          <w:highlight w:val="none"/>
          <w:lang w:val="zh-CN"/>
        </w:rPr>
      </w:pPr>
    </w:p>
    <w:p w14:paraId="758FF18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1160" w:name="_Toc15952"/>
      <w:r>
        <w:rPr>
          <w:rFonts w:hint="eastAsia" w:cstheme="majorBidi"/>
          <w:b/>
          <w:bCs/>
          <w:i w:val="0"/>
          <w:iCs w:val="0"/>
          <w:color w:val="auto"/>
          <w:kern w:val="2"/>
          <w:sz w:val="32"/>
          <w:szCs w:val="32"/>
          <w:highlight w:val="none"/>
          <w:lang w:val="en-US" w:eastAsia="zh-CN" w:bidi="ar-SA"/>
        </w:rPr>
        <w:t>二、已标价工程量清单</w:t>
      </w:r>
      <w:bookmarkEnd w:id="1160"/>
    </w:p>
    <w:p w14:paraId="4565E7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i w:val="0"/>
          <w:iCs w:val="0"/>
          <w:color w:val="auto"/>
          <w:szCs w:val="21"/>
          <w:highlight w:val="none"/>
          <w:lang w:val="zh-CN"/>
        </w:rPr>
      </w:pPr>
      <w:r>
        <w:rPr>
          <w:rFonts w:hint="eastAsia" w:ascii="宋体" w:hAnsi="宋体" w:cs="宋体"/>
          <w:i w:val="0"/>
          <w:iCs w:val="0"/>
          <w:color w:val="auto"/>
          <w:szCs w:val="21"/>
          <w:highlight w:val="none"/>
        </w:rPr>
        <w:t>已标价工程量清单</w:t>
      </w:r>
    </w:p>
    <w:p w14:paraId="10F0B4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i w:val="0"/>
          <w:iCs w:val="0"/>
          <w:color w:val="auto"/>
          <w:szCs w:val="21"/>
          <w:highlight w:val="none"/>
          <w:lang w:val="zh-CN"/>
        </w:rPr>
      </w:pPr>
      <w:r>
        <w:rPr>
          <w:rFonts w:hint="eastAsia"/>
          <w:b w:val="0"/>
          <w:bCs/>
          <w:i w:val="0"/>
          <w:iCs w:val="0"/>
          <w:color w:val="auto"/>
          <w:szCs w:val="21"/>
          <w:highlight w:val="none"/>
          <w:lang w:val="zh-CN"/>
        </w:rPr>
        <w:t>（格式详见工程量清单）</w:t>
      </w:r>
    </w:p>
    <w:p w14:paraId="2F1CDA67">
      <w:pPr>
        <w:rPr>
          <w:rFonts w:hint="eastAsia"/>
          <w:b w:val="0"/>
          <w:bCs/>
          <w:i w:val="0"/>
          <w:iCs w:val="0"/>
          <w:color w:val="auto"/>
          <w:szCs w:val="21"/>
          <w:highlight w:val="none"/>
          <w:lang w:val="zh-CN"/>
        </w:rPr>
      </w:pPr>
      <w:r>
        <w:rPr>
          <w:rFonts w:hint="eastAsia"/>
          <w:b w:val="0"/>
          <w:bCs/>
          <w:i w:val="0"/>
          <w:iCs w:val="0"/>
          <w:color w:val="auto"/>
          <w:szCs w:val="21"/>
          <w:highlight w:val="none"/>
          <w:lang w:val="zh-CN"/>
        </w:rPr>
        <w:br w:type="page"/>
      </w:r>
    </w:p>
    <w:p w14:paraId="182ECC77">
      <w:pPr>
        <w:pStyle w:val="9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FEA1E8F">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138CF572">
      <w:pPr>
        <w:autoSpaceDE w:val="0"/>
        <w:autoSpaceDN w:val="0"/>
        <w:adjustRightInd w:val="0"/>
        <w:rPr>
          <w:color w:val="auto"/>
          <w:sz w:val="21"/>
          <w:szCs w:val="24"/>
          <w:highlight w:val="none"/>
        </w:rPr>
      </w:pPr>
    </w:p>
    <w:p w14:paraId="01DE1B7A">
      <w:pPr>
        <w:autoSpaceDE w:val="0"/>
        <w:autoSpaceDN w:val="0"/>
        <w:adjustRightInd w:val="0"/>
        <w:rPr>
          <w:color w:val="auto"/>
          <w:sz w:val="21"/>
          <w:szCs w:val="24"/>
          <w:highlight w:val="none"/>
        </w:rPr>
      </w:pPr>
    </w:p>
    <w:p w14:paraId="42EEFC45">
      <w:pPr>
        <w:autoSpaceDE w:val="0"/>
        <w:autoSpaceDN w:val="0"/>
        <w:adjustRightInd w:val="0"/>
        <w:jc w:val="center"/>
        <w:rPr>
          <w:color w:val="auto"/>
          <w:sz w:val="21"/>
          <w:szCs w:val="24"/>
          <w:highlight w:val="none"/>
        </w:rPr>
      </w:pPr>
    </w:p>
    <w:p w14:paraId="2985381A">
      <w:pPr>
        <w:pStyle w:val="3"/>
        <w:bidi w:val="0"/>
        <w:jc w:val="center"/>
        <w:rPr>
          <w:color w:val="auto"/>
          <w:sz w:val="84"/>
          <w:szCs w:val="84"/>
          <w:highlight w:val="none"/>
        </w:rPr>
      </w:pPr>
      <w:bookmarkStart w:id="1161" w:name="_Toc13188"/>
      <w:r>
        <w:rPr>
          <w:rFonts w:hint="eastAsia"/>
          <w:color w:val="auto"/>
          <w:sz w:val="84"/>
          <w:szCs w:val="84"/>
          <w:highlight w:val="none"/>
          <w:lang w:val="en-US" w:eastAsia="zh-CN"/>
        </w:rPr>
        <w:t>响 应</w:t>
      </w:r>
      <w:r>
        <w:rPr>
          <w:rFonts w:hint="eastAsia"/>
          <w:color w:val="auto"/>
          <w:sz w:val="84"/>
          <w:szCs w:val="84"/>
          <w:highlight w:val="none"/>
        </w:rPr>
        <w:t xml:space="preserve"> 文 件</w:t>
      </w:r>
      <w:bookmarkEnd w:id="1161"/>
    </w:p>
    <w:p w14:paraId="6117C88A">
      <w:pPr>
        <w:pStyle w:val="3"/>
        <w:bidi w:val="0"/>
        <w:jc w:val="center"/>
        <w:rPr>
          <w:rFonts w:hint="eastAsia"/>
          <w:color w:val="auto"/>
          <w:sz w:val="56"/>
          <w:szCs w:val="56"/>
          <w:highlight w:val="none"/>
          <w:lang w:val="en-US" w:eastAsia="zh-CN"/>
        </w:rPr>
      </w:pPr>
      <w:bookmarkStart w:id="1162" w:name="_Toc18288"/>
      <w:r>
        <w:rPr>
          <w:rFonts w:hint="eastAsia"/>
          <w:color w:val="auto"/>
          <w:sz w:val="56"/>
          <w:szCs w:val="56"/>
          <w:highlight w:val="none"/>
          <w:lang w:val="en-US" w:eastAsia="zh-CN"/>
        </w:rPr>
        <w:t>商务技术文件</w:t>
      </w:r>
      <w:bookmarkEnd w:id="1162"/>
    </w:p>
    <w:p w14:paraId="0E248DF9">
      <w:pPr>
        <w:pStyle w:val="3"/>
        <w:rPr>
          <w:color w:val="auto"/>
          <w:sz w:val="21"/>
          <w:szCs w:val="21"/>
          <w:highlight w:val="none"/>
        </w:rPr>
      </w:pPr>
    </w:p>
    <w:p w14:paraId="207E2924">
      <w:pPr>
        <w:rPr>
          <w:color w:val="auto"/>
          <w:sz w:val="21"/>
          <w:szCs w:val="21"/>
          <w:highlight w:val="none"/>
        </w:rPr>
      </w:pPr>
    </w:p>
    <w:p w14:paraId="15C28DB8">
      <w:pPr>
        <w:rPr>
          <w:color w:val="auto"/>
          <w:highlight w:val="none"/>
        </w:rPr>
      </w:pPr>
    </w:p>
    <w:p w14:paraId="3C33BDD9">
      <w:pPr>
        <w:autoSpaceDE w:val="0"/>
        <w:autoSpaceDN w:val="0"/>
        <w:adjustRightInd w:val="0"/>
        <w:rPr>
          <w:color w:val="auto"/>
          <w:sz w:val="21"/>
          <w:szCs w:val="21"/>
          <w:highlight w:val="none"/>
        </w:rPr>
      </w:pPr>
    </w:p>
    <w:p w14:paraId="2F863FAA">
      <w:pPr>
        <w:autoSpaceDE w:val="0"/>
        <w:autoSpaceDN w:val="0"/>
        <w:adjustRightInd w:val="0"/>
        <w:rPr>
          <w:color w:val="auto"/>
          <w:sz w:val="21"/>
          <w:szCs w:val="21"/>
          <w:highlight w:val="none"/>
        </w:rPr>
      </w:pPr>
    </w:p>
    <w:p w14:paraId="0798FBB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B1E4C1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C5E0224">
      <w:pPr>
        <w:jc w:val="center"/>
        <w:rPr>
          <w:rFonts w:ascii="黑体" w:hAnsi="黑体" w:eastAsia="黑体"/>
          <w:color w:val="auto"/>
          <w:sz w:val="32"/>
          <w:szCs w:val="32"/>
          <w:highlight w:val="none"/>
        </w:rPr>
      </w:pPr>
    </w:p>
    <w:p w14:paraId="23AF064E">
      <w:pPr>
        <w:jc w:val="center"/>
        <w:rPr>
          <w:rFonts w:ascii="黑体" w:hAnsi="黑体" w:eastAsia="黑体"/>
          <w:i w:val="0"/>
          <w:iCs w:val="0"/>
          <w:color w:val="auto"/>
          <w:sz w:val="32"/>
          <w:szCs w:val="32"/>
          <w:highlight w:val="none"/>
        </w:rPr>
      </w:pPr>
    </w:p>
    <w:p w14:paraId="5C2AEB63">
      <w:pPr>
        <w:rPr>
          <w:i w:val="0"/>
          <w:iCs w:val="0"/>
          <w:color w:val="auto"/>
          <w:highlight w:val="none"/>
          <w:lang w:val="zh-CN"/>
        </w:rPr>
      </w:pPr>
      <w:r>
        <w:rPr>
          <w:i w:val="0"/>
          <w:iCs w:val="0"/>
          <w:color w:val="auto"/>
          <w:highlight w:val="none"/>
          <w:lang w:val="zh-CN"/>
        </w:rPr>
        <w:br w:type="page"/>
      </w:r>
    </w:p>
    <w:p w14:paraId="374BEE8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63" w:name="_Toc3577"/>
      <w:bookmarkStart w:id="1164" w:name="_Toc8710"/>
      <w:bookmarkStart w:id="1165" w:name="_Toc155185921"/>
      <w:bookmarkStart w:id="1166" w:name="_Toc109899489"/>
      <w:bookmarkStart w:id="1167" w:name="_Toc140132831"/>
      <w:bookmarkStart w:id="1168" w:name="_Toc25402"/>
      <w:bookmarkStart w:id="1169" w:name="_Toc109900327"/>
      <w:bookmarkStart w:id="1170" w:name="_Toc109899908"/>
      <w:r>
        <w:rPr>
          <w:rFonts w:hint="eastAsia" w:eastAsia="宋体" w:asciiTheme="majorHAnsi" w:hAnsiTheme="majorHAnsi" w:cstheme="majorBidi"/>
          <w:b/>
          <w:bCs/>
          <w:i w:val="0"/>
          <w:iCs w:val="0"/>
          <w:color w:val="auto"/>
          <w:kern w:val="2"/>
          <w:sz w:val="32"/>
          <w:szCs w:val="32"/>
          <w:highlight w:val="none"/>
          <w:lang w:val="en-US" w:eastAsia="zh-CN" w:bidi="ar-SA"/>
        </w:rPr>
        <w:t>一、</w:t>
      </w:r>
      <w:r>
        <w:rPr>
          <w:rFonts w:hint="eastAsia" w:cstheme="majorBidi"/>
          <w:b/>
          <w:bCs/>
          <w:i w:val="0"/>
          <w:iCs w:val="0"/>
          <w:color w:val="auto"/>
          <w:kern w:val="2"/>
          <w:sz w:val="32"/>
          <w:szCs w:val="32"/>
          <w:highlight w:val="none"/>
          <w:lang w:val="en-US" w:eastAsia="zh-CN" w:bidi="ar-SA"/>
        </w:rPr>
        <w:t>响应</w:t>
      </w:r>
      <w:r>
        <w:rPr>
          <w:rFonts w:hint="eastAsia" w:eastAsia="宋体" w:asciiTheme="majorHAnsi" w:hAnsiTheme="majorHAnsi" w:cstheme="majorBidi"/>
          <w:b/>
          <w:bCs/>
          <w:i w:val="0"/>
          <w:iCs w:val="0"/>
          <w:color w:val="auto"/>
          <w:kern w:val="2"/>
          <w:sz w:val="32"/>
          <w:szCs w:val="32"/>
          <w:highlight w:val="none"/>
          <w:lang w:val="en-US" w:eastAsia="zh-CN" w:bidi="ar-SA"/>
        </w:rPr>
        <w:t>函</w:t>
      </w:r>
      <w:bookmarkEnd w:id="1163"/>
      <w:bookmarkEnd w:id="1164"/>
      <w:bookmarkEnd w:id="1165"/>
      <w:bookmarkEnd w:id="1166"/>
      <w:bookmarkEnd w:id="1167"/>
      <w:bookmarkEnd w:id="1168"/>
      <w:bookmarkEnd w:id="1169"/>
      <w:bookmarkEnd w:id="1170"/>
    </w:p>
    <w:p w14:paraId="0ABD9EA3">
      <w:pPr>
        <w:rPr>
          <w:i w:val="0"/>
          <w:iCs w:val="0"/>
          <w:color w:val="auto"/>
          <w:highlight w:val="none"/>
        </w:rPr>
      </w:pPr>
      <w:r>
        <w:rPr>
          <w:rFonts w:hint="eastAsia"/>
          <w:i w:val="0"/>
          <w:iCs w:val="0"/>
          <w:color w:val="auto"/>
          <w:highlight w:val="none"/>
        </w:rPr>
        <w:t>致：（采购人）</w:t>
      </w:r>
    </w:p>
    <w:p w14:paraId="35C4266A">
      <w:pPr>
        <w:ind w:firstLine="480" w:firstLineChars="200"/>
        <w:rPr>
          <w:rFonts w:cs="仿宋_GB2312"/>
          <w:b/>
          <w:bCs/>
          <w:i w:val="0"/>
          <w:iCs w:val="0"/>
          <w:color w:val="auto"/>
          <w:szCs w:val="24"/>
          <w:highlight w:val="none"/>
        </w:rPr>
      </w:pPr>
      <w:r>
        <w:rPr>
          <w:rFonts w:hint="eastAsia" w:cs="仿宋_GB2312"/>
          <w:i w:val="0"/>
          <w:iCs w:val="0"/>
          <w:color w:val="auto"/>
          <w:szCs w:val="24"/>
          <w:highlight w:val="none"/>
        </w:rPr>
        <w:t>根据贵方</w:t>
      </w:r>
      <w:r>
        <w:rPr>
          <w:rFonts w:hint="eastAsia" w:cs="仿宋_GB2312"/>
          <w:i w:val="0"/>
          <w:iCs w:val="0"/>
          <w:color w:val="auto"/>
          <w:szCs w:val="24"/>
          <w:highlight w:val="none"/>
          <w:u w:val="single"/>
        </w:rPr>
        <w:t>（项目名称）（项目编号）</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竞争性磋商公告</w:t>
      </w:r>
      <w:r>
        <w:rPr>
          <w:rFonts w:hint="eastAsia" w:cs="仿宋_GB2312"/>
          <w:i w:val="0"/>
          <w:iCs w:val="0"/>
          <w:color w:val="auto"/>
          <w:szCs w:val="24"/>
          <w:highlight w:val="none"/>
        </w:rPr>
        <w:t>，签字代表</w:t>
      </w:r>
      <w:r>
        <w:rPr>
          <w:rFonts w:hint="eastAsia" w:cs="仿宋_GB2312"/>
          <w:i w:val="0"/>
          <w:iCs w:val="0"/>
          <w:color w:val="auto"/>
          <w:szCs w:val="24"/>
          <w:highlight w:val="none"/>
          <w:u w:val="single"/>
        </w:rPr>
        <w:t>（姓名、职务）</w:t>
      </w:r>
      <w:r>
        <w:rPr>
          <w:rFonts w:hint="eastAsia" w:cs="仿宋_GB2312"/>
          <w:i w:val="0"/>
          <w:iCs w:val="0"/>
          <w:color w:val="auto"/>
          <w:szCs w:val="24"/>
          <w:highlight w:val="none"/>
        </w:rPr>
        <w:t>经正式授权并代表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u w:val="single"/>
        </w:rPr>
        <w:t>（</w:t>
      </w:r>
      <w:r>
        <w:rPr>
          <w:rFonts w:hint="eastAsia" w:cs="仿宋_GB2312"/>
          <w:i w:val="0"/>
          <w:iCs w:val="0"/>
          <w:color w:val="auto"/>
          <w:szCs w:val="24"/>
          <w:highlight w:val="none"/>
          <w:u w:val="single"/>
          <w:lang w:val="en-US" w:eastAsia="zh-CN"/>
        </w:rPr>
        <w:t>供应商</w:t>
      </w:r>
      <w:r>
        <w:rPr>
          <w:rFonts w:hint="eastAsia" w:cs="仿宋_GB2312"/>
          <w:i w:val="0"/>
          <w:iCs w:val="0"/>
          <w:color w:val="auto"/>
          <w:szCs w:val="24"/>
          <w:highlight w:val="none"/>
          <w:u w:val="single"/>
        </w:rPr>
        <w:t>名称、地址）</w:t>
      </w:r>
      <w:r>
        <w:rPr>
          <w:rFonts w:hint="eastAsia" w:cs="仿宋_GB2312"/>
          <w:i w:val="0"/>
          <w:iCs w:val="0"/>
          <w:color w:val="auto"/>
          <w:szCs w:val="24"/>
          <w:highlight w:val="none"/>
        </w:rPr>
        <w:t>提交下述文件</w:t>
      </w:r>
      <w:r>
        <w:rPr>
          <w:rFonts w:hint="eastAsia" w:cs="仿宋_GB2312"/>
          <w:b/>
          <w:bCs/>
          <w:i w:val="0"/>
          <w:iCs w:val="0"/>
          <w:color w:val="auto"/>
          <w:szCs w:val="24"/>
          <w:highlight w:val="none"/>
        </w:rPr>
        <w:t>：</w:t>
      </w:r>
    </w:p>
    <w:p w14:paraId="31DE4B23">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1.资格证明文件；</w:t>
      </w:r>
    </w:p>
    <w:p w14:paraId="7E086E9D">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cs="Arial"/>
          <w:i w:val="0"/>
          <w:iCs w:val="0"/>
          <w:color w:val="auto"/>
          <w:szCs w:val="24"/>
          <w:highlight w:val="none"/>
        </w:rPr>
      </w:pPr>
      <w:r>
        <w:rPr>
          <w:rFonts w:hint="eastAsia" w:cs="Arial"/>
          <w:i w:val="0"/>
          <w:iCs w:val="0"/>
          <w:color w:val="auto"/>
          <w:szCs w:val="24"/>
          <w:highlight w:val="none"/>
          <w:lang w:val="en-US" w:eastAsia="zh-CN"/>
        </w:rPr>
        <w:t>3.商务技术文件</w:t>
      </w:r>
      <w:r>
        <w:rPr>
          <w:rFonts w:cs="Arial"/>
          <w:i w:val="0"/>
          <w:iCs w:val="0"/>
          <w:color w:val="auto"/>
          <w:szCs w:val="24"/>
          <w:highlight w:val="none"/>
        </w:rPr>
        <w:t>。</w:t>
      </w:r>
    </w:p>
    <w:p w14:paraId="2038C573">
      <w:pPr>
        <w:spacing w:line="324" w:lineRule="auto"/>
        <w:ind w:firstLine="480" w:firstLineChars="200"/>
        <w:rPr>
          <w:rFonts w:cs="Arial"/>
          <w:i w:val="0"/>
          <w:iCs w:val="0"/>
          <w:color w:val="auto"/>
          <w:szCs w:val="24"/>
          <w:highlight w:val="none"/>
        </w:rPr>
      </w:pPr>
      <w:r>
        <w:rPr>
          <w:rFonts w:cs="Arial"/>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1.</w:t>
      </w:r>
      <w:r>
        <w:rPr>
          <w:rFonts w:cs="Arial"/>
          <w:i w:val="0"/>
          <w:iCs w:val="0"/>
          <w:color w:val="auto"/>
          <w:szCs w:val="24"/>
          <w:highlight w:val="none"/>
        </w:rPr>
        <w:t>所附</w:t>
      </w:r>
      <w:r>
        <w:rPr>
          <w:rFonts w:hint="eastAsia" w:cs="Arial"/>
          <w:i w:val="0"/>
          <w:iCs w:val="0"/>
          <w:color w:val="auto"/>
          <w:szCs w:val="24"/>
          <w:highlight w:val="none"/>
          <w:lang w:val="en-US" w:eastAsia="zh-CN"/>
        </w:rPr>
        <w:t>报价一览</w:t>
      </w:r>
      <w:r>
        <w:rPr>
          <w:rFonts w:cs="Arial"/>
          <w:i w:val="0"/>
          <w:iCs w:val="0"/>
          <w:color w:val="auto"/>
          <w:szCs w:val="24"/>
          <w:highlight w:val="none"/>
        </w:rPr>
        <w:t>表中规定的应提交和交付的</w:t>
      </w:r>
      <w:r>
        <w:rPr>
          <w:rFonts w:hint="eastAsia" w:cs="Arial"/>
          <w:i w:val="0"/>
          <w:iCs w:val="0"/>
          <w:color w:val="auto"/>
          <w:szCs w:val="24"/>
          <w:highlight w:val="none"/>
          <w:lang w:val="en-US" w:eastAsia="zh-CN"/>
        </w:rPr>
        <w:t>工程及相关的</w:t>
      </w:r>
      <w:r>
        <w:rPr>
          <w:rFonts w:hint="eastAsia" w:cs="Arial"/>
          <w:i w:val="0"/>
          <w:iCs w:val="0"/>
          <w:color w:val="auto"/>
          <w:szCs w:val="24"/>
          <w:highlight w:val="none"/>
        </w:rPr>
        <w:t>货物</w:t>
      </w:r>
      <w:r>
        <w:rPr>
          <w:rFonts w:cs="Arial"/>
          <w:i w:val="0"/>
          <w:iCs w:val="0"/>
          <w:color w:val="auto"/>
          <w:szCs w:val="24"/>
          <w:highlight w:val="none"/>
        </w:rPr>
        <w:t>和服务</w:t>
      </w:r>
      <w:r>
        <w:rPr>
          <w:rFonts w:hint="eastAsia" w:cs="Arial"/>
          <w:i w:val="0"/>
          <w:iCs w:val="0"/>
          <w:color w:val="auto"/>
          <w:szCs w:val="24"/>
          <w:highlight w:val="none"/>
        </w:rPr>
        <w:t>（如有）</w:t>
      </w:r>
      <w:r>
        <w:rPr>
          <w:rFonts w:cs="Arial"/>
          <w:i w:val="0"/>
          <w:iCs w:val="0"/>
          <w:color w:val="auto"/>
          <w:szCs w:val="24"/>
          <w:highlight w:val="none"/>
        </w:rPr>
        <w:t>的</w:t>
      </w:r>
      <w:r>
        <w:rPr>
          <w:rFonts w:hint="eastAsia" w:cs="Arial"/>
          <w:i w:val="0"/>
          <w:iCs w:val="0"/>
          <w:color w:val="auto"/>
          <w:szCs w:val="24"/>
          <w:highlight w:val="none"/>
        </w:rPr>
        <w:t>报价</w:t>
      </w:r>
      <w:r>
        <w:rPr>
          <w:rFonts w:cs="Arial"/>
          <w:i w:val="0"/>
          <w:iCs w:val="0"/>
          <w:color w:val="auto"/>
          <w:szCs w:val="24"/>
          <w:highlight w:val="none"/>
        </w:rPr>
        <w:t>为</w:t>
      </w:r>
      <w:r>
        <w:rPr>
          <w:rFonts w:hint="eastAsia" w:cs="Arial"/>
          <w:i w:val="0"/>
          <w:iCs w:val="0"/>
          <w:color w:val="auto"/>
          <w:szCs w:val="24"/>
          <w:highlight w:val="none"/>
        </w:rPr>
        <w:t xml:space="preserve"> </w:t>
      </w:r>
      <w:r>
        <w:rPr>
          <w:rFonts w:hint="eastAsia" w:cs="Arial"/>
          <w:i w:val="0"/>
          <w:iCs w:val="0"/>
          <w:color w:val="auto"/>
          <w:szCs w:val="24"/>
          <w:highlight w:val="none"/>
          <w:u w:val="single"/>
        </w:rPr>
        <w:t xml:space="preserve">                  </w:t>
      </w:r>
      <w:r>
        <w:rPr>
          <w:rFonts w:cs="Arial"/>
          <w:i w:val="0"/>
          <w:iCs w:val="0"/>
          <w:color w:val="auto"/>
          <w:szCs w:val="24"/>
          <w:highlight w:val="none"/>
        </w:rPr>
        <w:t>。</w:t>
      </w:r>
    </w:p>
    <w:p w14:paraId="3FF1B405">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2.</w:t>
      </w:r>
      <w:r>
        <w:rPr>
          <w:rFonts w:hint="eastAsia" w:cs="Arial"/>
          <w:i w:val="0"/>
          <w:iCs w:val="0"/>
          <w:color w:val="auto"/>
          <w:szCs w:val="24"/>
          <w:highlight w:val="none"/>
        </w:rPr>
        <w:t>我方</w:t>
      </w:r>
      <w:r>
        <w:rPr>
          <w:rFonts w:cs="Arial"/>
          <w:i w:val="0"/>
          <w:iCs w:val="0"/>
          <w:color w:val="auto"/>
          <w:szCs w:val="24"/>
          <w:highlight w:val="none"/>
        </w:rPr>
        <w:t>将按</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3.</w:t>
      </w:r>
      <w:r>
        <w:rPr>
          <w:rFonts w:hint="eastAsia" w:cs="Arial"/>
          <w:i w:val="0"/>
          <w:iCs w:val="0"/>
          <w:color w:val="auto"/>
          <w:szCs w:val="24"/>
          <w:highlight w:val="none"/>
        </w:rPr>
        <w:t>我方</w:t>
      </w:r>
      <w:r>
        <w:rPr>
          <w:rFonts w:cs="Arial"/>
          <w:i w:val="0"/>
          <w:iCs w:val="0"/>
          <w:color w:val="auto"/>
          <w:szCs w:val="24"/>
          <w:highlight w:val="none"/>
        </w:rPr>
        <w:t>已详细审查全部</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 xml:space="preserve"> （由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i w:val="0"/>
          <w:iCs w:val="0"/>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4）我方在本</w:t>
      </w:r>
      <w:r>
        <w:rPr>
          <w:rFonts w:hint="eastAsia"/>
          <w:i w:val="0"/>
          <w:iCs w:val="0"/>
          <w:color w:val="auto"/>
          <w:szCs w:val="24"/>
          <w:highlight w:val="none"/>
          <w:lang w:val="en-US" w:eastAsia="zh-CN"/>
        </w:rPr>
        <w:t>响应</w:t>
      </w:r>
      <w:r>
        <w:rPr>
          <w:rFonts w:hint="eastAsia"/>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5）我方承诺本《</w:t>
      </w:r>
      <w:r>
        <w:rPr>
          <w:rFonts w:hint="eastAsia"/>
          <w:i w:val="0"/>
          <w:iCs w:val="0"/>
          <w:color w:val="auto"/>
          <w:szCs w:val="24"/>
          <w:highlight w:val="none"/>
          <w:lang w:val="en-US" w:eastAsia="zh-CN"/>
        </w:rPr>
        <w:t>响应</w:t>
      </w:r>
      <w:r>
        <w:rPr>
          <w:rFonts w:hint="eastAsia"/>
          <w:i w:val="0"/>
          <w:iCs w:val="0"/>
          <w:color w:val="auto"/>
          <w:szCs w:val="24"/>
          <w:highlight w:val="none"/>
        </w:rPr>
        <w:t>函》的签章对本</w:t>
      </w:r>
      <w:r>
        <w:rPr>
          <w:rFonts w:hint="eastAsia"/>
          <w:i w:val="0"/>
          <w:iCs w:val="0"/>
          <w:color w:val="auto"/>
          <w:szCs w:val="24"/>
          <w:highlight w:val="none"/>
          <w:lang w:val="en-US" w:eastAsia="zh-CN"/>
        </w:rPr>
        <w:t>响应</w:t>
      </w:r>
      <w:r>
        <w:rPr>
          <w:rFonts w:hint="eastAsia"/>
          <w:i w:val="0"/>
          <w:iCs w:val="0"/>
          <w:color w:val="auto"/>
          <w:szCs w:val="24"/>
          <w:highlight w:val="none"/>
        </w:rPr>
        <w:t>文件全部内容具有约束力并承担法律责任。</w:t>
      </w:r>
    </w:p>
    <w:p w14:paraId="2A195747">
      <w:pPr>
        <w:spacing w:line="300" w:lineRule="auto"/>
        <w:rPr>
          <w:rFonts w:cs="Arial"/>
          <w:i w:val="0"/>
          <w:iCs w:val="0"/>
          <w:color w:val="auto"/>
          <w:szCs w:val="24"/>
          <w:highlight w:val="none"/>
        </w:rPr>
      </w:pPr>
    </w:p>
    <w:p w14:paraId="3F664789">
      <w:pPr>
        <w:spacing w:line="300" w:lineRule="auto"/>
        <w:rPr>
          <w:rFonts w:cs="Arial"/>
          <w:i w:val="0"/>
          <w:iCs w:val="0"/>
          <w:color w:val="auto"/>
          <w:szCs w:val="24"/>
          <w:highlight w:val="none"/>
        </w:rPr>
      </w:pPr>
    </w:p>
    <w:p w14:paraId="6C365FF0">
      <w:pPr>
        <w:spacing w:line="300" w:lineRule="auto"/>
        <w:rPr>
          <w:rFonts w:cs="Arial"/>
          <w:i w:val="0"/>
          <w:iCs w:val="0"/>
          <w:color w:val="auto"/>
          <w:szCs w:val="24"/>
          <w:highlight w:val="none"/>
        </w:rPr>
      </w:pPr>
    </w:p>
    <w:p w14:paraId="2DB608AC">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lang w:val="en-US" w:eastAsia="zh-CN"/>
        </w:rPr>
        <w:t>供    应    商</w:t>
      </w:r>
      <w:r>
        <w:rPr>
          <w:rFonts w:hint="eastAsia" w:cs="宋体"/>
          <w:i w:val="0"/>
          <w:iCs w:val="0"/>
          <w:color w:val="auto"/>
          <w:highlight w:val="none"/>
        </w:rPr>
        <w:t>：（公章）</w:t>
      </w:r>
    </w:p>
    <w:p w14:paraId="4CCC9D16">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通  讯  地  址：</w:t>
      </w:r>
    </w:p>
    <w:p w14:paraId="268281DA">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传       </w:t>
      </w:r>
      <w:r>
        <w:rPr>
          <w:rFonts w:cs="宋体"/>
          <w:i w:val="0"/>
          <w:iCs w:val="0"/>
          <w:color w:val="auto"/>
          <w:highlight w:val="none"/>
        </w:rPr>
        <w:t xml:space="preserve">   </w:t>
      </w:r>
      <w:r>
        <w:rPr>
          <w:rFonts w:hint="eastAsia" w:cs="宋体"/>
          <w:i w:val="0"/>
          <w:iCs w:val="0"/>
          <w:color w:val="auto"/>
          <w:highlight w:val="none"/>
        </w:rPr>
        <w:t>真：</w:t>
      </w:r>
    </w:p>
    <w:p w14:paraId="0A396883">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电          话：</w:t>
      </w:r>
    </w:p>
    <w:p w14:paraId="21203E4D">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授 </w:t>
      </w:r>
      <w:r>
        <w:rPr>
          <w:rFonts w:cs="宋体"/>
          <w:i w:val="0"/>
          <w:iCs w:val="0"/>
          <w:color w:val="auto"/>
          <w:highlight w:val="none"/>
        </w:rPr>
        <w:t xml:space="preserve"> </w:t>
      </w:r>
      <w:r>
        <w:rPr>
          <w:rFonts w:hint="eastAsia" w:cs="宋体"/>
          <w:i w:val="0"/>
          <w:iCs w:val="0"/>
          <w:color w:val="auto"/>
          <w:highlight w:val="none"/>
        </w:rPr>
        <w:t xml:space="preserve">权 </w:t>
      </w:r>
      <w:r>
        <w:rPr>
          <w:rFonts w:cs="宋体"/>
          <w:i w:val="0"/>
          <w:iCs w:val="0"/>
          <w:color w:val="auto"/>
          <w:highlight w:val="none"/>
        </w:rPr>
        <w:t xml:space="preserve"> </w:t>
      </w:r>
      <w:r>
        <w:rPr>
          <w:rFonts w:hint="eastAsia" w:cs="宋体"/>
          <w:i w:val="0"/>
          <w:iCs w:val="0"/>
          <w:color w:val="auto"/>
          <w:highlight w:val="none"/>
        </w:rPr>
        <w:t xml:space="preserve">代 </w:t>
      </w:r>
      <w:r>
        <w:rPr>
          <w:rFonts w:cs="宋体"/>
          <w:i w:val="0"/>
          <w:iCs w:val="0"/>
          <w:color w:val="auto"/>
          <w:highlight w:val="none"/>
        </w:rPr>
        <w:t xml:space="preserve"> </w:t>
      </w:r>
      <w:r>
        <w:rPr>
          <w:rFonts w:hint="eastAsia" w:cs="宋体"/>
          <w:i w:val="0"/>
          <w:iCs w:val="0"/>
          <w:color w:val="auto"/>
          <w:highlight w:val="none"/>
        </w:rPr>
        <w:t>表：</w:t>
      </w:r>
    </w:p>
    <w:p w14:paraId="63C92097">
      <w:pPr>
        <w:ind w:firstLine="480" w:firstLineChars="200"/>
        <w:rPr>
          <w:rFonts w:cs="Arial"/>
          <w:i w:val="0"/>
          <w:iCs w:val="0"/>
          <w:color w:val="auto"/>
          <w:szCs w:val="24"/>
          <w:highlight w:val="none"/>
        </w:rPr>
      </w:pPr>
      <w:r>
        <w:rPr>
          <w:rFonts w:hint="eastAsia" w:cs="宋体"/>
          <w:i w:val="0"/>
          <w:iCs w:val="0"/>
          <w:color w:val="auto"/>
          <w:highlight w:val="none"/>
        </w:rPr>
        <w:t xml:space="preserve">日     </w:t>
      </w:r>
      <w:r>
        <w:rPr>
          <w:rFonts w:cs="宋体"/>
          <w:i w:val="0"/>
          <w:iCs w:val="0"/>
          <w:color w:val="auto"/>
          <w:highlight w:val="none"/>
        </w:rPr>
        <w:t xml:space="preserve">  </w:t>
      </w:r>
      <w:r>
        <w:rPr>
          <w:rFonts w:hint="eastAsia" w:cs="宋体"/>
          <w:i w:val="0"/>
          <w:iCs w:val="0"/>
          <w:color w:val="auto"/>
          <w:highlight w:val="none"/>
        </w:rPr>
        <w:t xml:space="preserve">    期：</w:t>
      </w:r>
    </w:p>
    <w:p w14:paraId="6674502E">
      <w:pPr>
        <w:rPr>
          <w:rFonts w:cs="Arial"/>
          <w:i w:val="0"/>
          <w:iCs w:val="0"/>
          <w:color w:val="auto"/>
          <w:szCs w:val="24"/>
          <w:highlight w:val="none"/>
          <w:u w:val="single"/>
        </w:rPr>
      </w:pPr>
    </w:p>
    <w:p w14:paraId="478BFBB8">
      <w:pPr>
        <w:rPr>
          <w:rFonts w:cs="Arial"/>
          <w:i w:val="0"/>
          <w:iCs w:val="0"/>
          <w:color w:val="auto"/>
          <w:szCs w:val="24"/>
          <w:highlight w:val="none"/>
          <w:u w:val="single"/>
        </w:rPr>
      </w:pPr>
      <w:r>
        <w:rPr>
          <w:rFonts w:cs="Arial"/>
          <w:i w:val="0"/>
          <w:iCs w:val="0"/>
          <w:color w:val="auto"/>
          <w:szCs w:val="24"/>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71" w:name="_Toc15463"/>
      <w:bookmarkStart w:id="1172" w:name="_Toc155185924"/>
      <w:r>
        <w:rPr>
          <w:rFonts w:hint="eastAsia" w:cstheme="majorBidi"/>
          <w:b/>
          <w:bCs/>
          <w:i w:val="0"/>
          <w:iCs w:val="0"/>
          <w:color w:val="auto"/>
          <w:kern w:val="2"/>
          <w:sz w:val="32"/>
          <w:szCs w:val="32"/>
          <w:highlight w:val="none"/>
          <w:lang w:val="en-US" w:eastAsia="zh-CN" w:bidi="ar-SA"/>
        </w:rPr>
        <w:t>二</w:t>
      </w:r>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1171"/>
      <w:bookmarkEnd w:id="1172"/>
    </w:p>
    <w:p w14:paraId="46CF1AA3">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兹证明， </w:t>
      </w:r>
    </w:p>
    <w:p w14:paraId="1D36B9E0">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系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i w:val="0"/>
          <w:iCs w:val="0"/>
          <w:color w:val="auto"/>
          <w:szCs w:val="24"/>
          <w:highlight w:val="none"/>
        </w:rPr>
      </w:pPr>
    </w:p>
    <w:p w14:paraId="473563CD">
      <w:pPr>
        <w:rPr>
          <w:rFonts w:cs="Arial"/>
          <w:i w:val="0"/>
          <w:iCs w:val="0"/>
          <w:color w:val="auto"/>
          <w:sz w:val="21"/>
          <w:szCs w:val="21"/>
          <w:highlight w:val="none"/>
        </w:rPr>
      </w:pP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i w:val="0"/>
                <w:iCs w:val="0"/>
                <w:color w:val="auto"/>
                <w:highlight w:val="none"/>
              </w:rPr>
            </w:pPr>
          </w:p>
        </w:tc>
      </w:tr>
    </w:tbl>
    <w:p w14:paraId="76B5C725">
      <w:pPr>
        <w:ind w:firstLine="840" w:firstLineChars="350"/>
        <w:jc w:val="center"/>
        <w:rPr>
          <w:rFonts w:cs="Arial"/>
          <w:i w:val="0"/>
          <w:iCs w:val="0"/>
          <w:color w:val="auto"/>
          <w:highlight w:val="none"/>
        </w:rPr>
      </w:pPr>
    </w:p>
    <w:p w14:paraId="4AD74708">
      <w:pPr>
        <w:keepNext w:val="0"/>
        <w:keepLines w:val="0"/>
        <w:widowControl/>
        <w:suppressLineNumbers w:val="0"/>
        <w:jc w:val="left"/>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364A1245">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6948CD78">
      <w:pPr>
        <w:rPr>
          <w:b/>
          <w:i w:val="0"/>
          <w:iCs w:val="0"/>
          <w:color w:val="auto"/>
          <w:sz w:val="28"/>
          <w:szCs w:val="28"/>
          <w:highlight w:val="none"/>
        </w:rPr>
      </w:pPr>
    </w:p>
    <w:p w14:paraId="04FDD702">
      <w:pPr>
        <w:rPr>
          <w:b/>
          <w:i w:val="0"/>
          <w:iCs w:val="0"/>
          <w:color w:val="auto"/>
          <w:sz w:val="28"/>
          <w:szCs w:val="28"/>
          <w:highlight w:val="none"/>
        </w:rPr>
      </w:pPr>
      <w:r>
        <w:rPr>
          <w:b/>
          <w:i w:val="0"/>
          <w:iCs w:val="0"/>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73" w:name="_Toc155185925"/>
      <w:bookmarkStart w:id="1174" w:name="_Toc26442"/>
      <w:r>
        <w:rPr>
          <w:rFonts w:hint="eastAsia" w:cstheme="majorBidi"/>
          <w:b/>
          <w:bCs/>
          <w:i w:val="0"/>
          <w:iCs w:val="0"/>
          <w:color w:val="auto"/>
          <w:kern w:val="2"/>
          <w:sz w:val="32"/>
          <w:szCs w:val="32"/>
          <w:highlight w:val="none"/>
          <w:lang w:val="en-US" w:eastAsia="zh-CN" w:bidi="ar-SA"/>
        </w:rPr>
        <w:t>三</w:t>
      </w:r>
      <w:r>
        <w:rPr>
          <w:rFonts w:hint="eastAsia" w:eastAsia="宋体" w:asciiTheme="majorHAnsi" w:hAnsiTheme="majorHAnsi" w:cstheme="majorBidi"/>
          <w:b/>
          <w:bCs/>
          <w:i w:val="0"/>
          <w:iCs w:val="0"/>
          <w:color w:val="auto"/>
          <w:kern w:val="2"/>
          <w:sz w:val="32"/>
          <w:szCs w:val="32"/>
          <w:highlight w:val="none"/>
          <w:lang w:val="en-US" w:eastAsia="zh-CN" w:bidi="ar-SA"/>
        </w:rPr>
        <w:t>、授权委托书</w:t>
      </w:r>
      <w:bookmarkEnd w:id="1173"/>
      <w:bookmarkEnd w:id="1174"/>
    </w:p>
    <w:p w14:paraId="593F068D">
      <w:pPr>
        <w:ind w:firstLine="480" w:firstLineChars="200"/>
        <w:rPr>
          <w:rFonts w:cs="仿宋_GB2312"/>
          <w:i w:val="0"/>
          <w:iCs w:val="0"/>
          <w:color w:val="auto"/>
          <w:szCs w:val="24"/>
          <w:highlight w:val="none"/>
        </w:rPr>
      </w:pPr>
      <w:r>
        <w:rPr>
          <w:rFonts w:hint="eastAsia" w:cs="仿宋_GB2312"/>
          <w:i w:val="0"/>
          <w:iCs w:val="0"/>
          <w:color w:val="auto"/>
          <w:szCs w:val="24"/>
          <w:highlight w:val="none"/>
        </w:rPr>
        <w:t>本人</w:t>
      </w:r>
      <w:r>
        <w:rPr>
          <w:rFonts w:cs="仿宋_GB2312"/>
          <w:i w:val="0"/>
          <w:iCs w:val="0"/>
          <w:color w:val="auto"/>
          <w:szCs w:val="24"/>
          <w:highlight w:val="none"/>
          <w:u w:val="single"/>
        </w:rPr>
        <w:t xml:space="preserve">     </w:t>
      </w:r>
      <w:r>
        <w:rPr>
          <w:rFonts w:hint="eastAsia" w:cs="仿宋_GB2312"/>
          <w:i w:val="0"/>
          <w:iCs w:val="0"/>
          <w:color w:val="auto"/>
          <w:szCs w:val="24"/>
          <w:highlight w:val="none"/>
          <w:u w:val="none"/>
        </w:rPr>
        <w:t>（姓名）</w:t>
      </w:r>
      <w:r>
        <w:rPr>
          <w:rFonts w:hint="eastAsia" w:cs="仿宋_GB2312"/>
          <w:i w:val="0"/>
          <w:iCs w:val="0"/>
          <w:color w:val="auto"/>
          <w:szCs w:val="24"/>
          <w:highlight w:val="none"/>
        </w:rPr>
        <w:t>系</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none"/>
        </w:rPr>
        <w:t>（</w:t>
      </w:r>
      <w:r>
        <w:rPr>
          <w:rFonts w:hint="eastAsia" w:cs="仿宋_GB2312"/>
          <w:i w:val="0"/>
          <w:iCs w:val="0"/>
          <w:color w:val="auto"/>
          <w:szCs w:val="24"/>
          <w:highlight w:val="none"/>
          <w:u w:val="none"/>
          <w:lang w:val="en-US" w:eastAsia="zh-CN"/>
        </w:rPr>
        <w:t>供应商</w:t>
      </w:r>
      <w:r>
        <w:rPr>
          <w:rFonts w:hint="eastAsia" w:cs="仿宋_GB2312"/>
          <w:i w:val="0"/>
          <w:iCs w:val="0"/>
          <w:color w:val="auto"/>
          <w:szCs w:val="24"/>
          <w:highlight w:val="none"/>
          <w:u w:val="none"/>
        </w:rPr>
        <w:t>名称）</w:t>
      </w:r>
      <w:r>
        <w:rPr>
          <w:rFonts w:hint="eastAsia" w:cs="仿宋_GB2312"/>
          <w:i w:val="0"/>
          <w:iCs w:val="0"/>
          <w:color w:val="auto"/>
          <w:szCs w:val="24"/>
          <w:highlight w:val="none"/>
        </w:rPr>
        <w:t>的法定代表人</w:t>
      </w:r>
      <w:r>
        <w:rPr>
          <w:rFonts w:hint="eastAsia"/>
          <w:i w:val="0"/>
          <w:iCs w:val="0"/>
          <w:color w:val="auto"/>
          <w:highlight w:val="none"/>
        </w:rPr>
        <w:t>（</w:t>
      </w:r>
      <w:r>
        <w:rPr>
          <w:rFonts w:hint="eastAsia"/>
          <w:i w:val="0"/>
          <w:iCs w:val="0"/>
          <w:color w:val="auto"/>
          <w:highlight w:val="none"/>
          <w:lang w:val="en-US" w:eastAsia="zh-CN"/>
        </w:rPr>
        <w:t>单位</w:t>
      </w:r>
      <w:r>
        <w:rPr>
          <w:rFonts w:hint="eastAsia"/>
          <w:i w:val="0"/>
          <w:iCs w:val="0"/>
          <w:color w:val="auto"/>
          <w:highlight w:val="none"/>
        </w:rPr>
        <w:t>负责人）</w:t>
      </w:r>
      <w:r>
        <w:rPr>
          <w:rFonts w:hint="eastAsia" w:cs="仿宋_GB2312"/>
          <w:i w:val="0"/>
          <w:iCs w:val="0"/>
          <w:color w:val="auto"/>
          <w:szCs w:val="24"/>
          <w:highlight w:val="none"/>
        </w:rPr>
        <w:t>，现委托</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（姓名）为我方代理人。代理人根据授权，以我方名义签署、澄清</w:t>
      </w:r>
      <w:r>
        <w:rPr>
          <w:rFonts w:hint="eastAsia" w:cs="仿宋_GB2312"/>
          <w:i w:val="0"/>
          <w:iCs w:val="0"/>
          <w:color w:val="auto"/>
          <w:szCs w:val="24"/>
          <w:highlight w:val="none"/>
          <w:lang w:val="en-US" w:eastAsia="zh-CN"/>
        </w:rPr>
        <w:t>确认</w:t>
      </w:r>
      <w:r>
        <w:rPr>
          <w:rFonts w:hint="eastAsia" w:cs="仿宋_GB2312"/>
          <w:i w:val="0"/>
          <w:iCs w:val="0"/>
          <w:color w:val="auto"/>
          <w:szCs w:val="24"/>
          <w:highlight w:val="none"/>
        </w:rPr>
        <w:t>、说明、补正、递交、撤回、修改</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（项目名称）</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文件、签订合同和处理有关事宜，其法律后果由我方承担。</w:t>
      </w:r>
    </w:p>
    <w:p w14:paraId="56B80D1C">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rPr>
        <w:t>委托期限：</w:t>
      </w:r>
      <w:r>
        <w:rPr>
          <w:rFonts w:hint="eastAsia" w:cs="仿宋_GB2312"/>
          <w:i w:val="0"/>
          <w:iCs w:val="0"/>
          <w:color w:val="auto"/>
          <w:szCs w:val="24"/>
          <w:highlight w:val="none"/>
          <w:lang w:val="en-US" w:eastAsia="zh-CN"/>
        </w:rPr>
        <w:t>自本授权委托书签署之日起至响应文件有效期届满之日止。</w:t>
      </w:r>
    </w:p>
    <w:p w14:paraId="0A605ABE">
      <w:pPr>
        <w:ind w:firstLine="480" w:firstLineChars="200"/>
        <w:rPr>
          <w:rFonts w:cs="仿宋_GB2312"/>
          <w:i w:val="0"/>
          <w:iCs w:val="0"/>
          <w:color w:val="auto"/>
          <w:szCs w:val="24"/>
          <w:highlight w:val="none"/>
        </w:rPr>
      </w:pPr>
      <w:r>
        <w:rPr>
          <w:rFonts w:hint="eastAsia" w:cs="仿宋_GB2312"/>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委托代理人（签字或签章）：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r>
        <w:rPr>
          <w:rFonts w:hint="eastAsia" w:ascii="DejaVuSans" w:hAnsi="DejaVuSans" w:eastAsia="DejaVuSans" w:cs="DejaVuSans"/>
          <w:i w:val="0"/>
          <w:iCs w:val="0"/>
          <w:color w:val="auto"/>
          <w:kern w:val="0"/>
          <w:sz w:val="24"/>
          <w:szCs w:val="24"/>
          <w:highlight w:val="none"/>
          <w:lang w:val="en-US" w:eastAsia="zh-CN" w:bidi="ar"/>
        </w:rPr>
        <w:t xml:space="preserve">  联系电话：</w:t>
      </w:r>
      <w:r>
        <w:rPr>
          <w:rFonts w:hint="eastAsia" w:ascii="DejaVuSans" w:hAnsi="DejaVuSans" w:eastAsia="DejaVuSans" w:cs="DejaVuSans"/>
          <w:i w:val="0"/>
          <w:iCs w:val="0"/>
          <w:color w:val="auto"/>
          <w:kern w:val="0"/>
          <w:sz w:val="24"/>
          <w:szCs w:val="24"/>
          <w:highlight w:val="none"/>
          <w:u w:val="single"/>
          <w:lang w:val="en-US" w:eastAsia="zh-CN" w:bidi="ar"/>
        </w:rPr>
        <w:t xml:space="preserve">              </w:t>
      </w:r>
      <w:r>
        <w:rPr>
          <w:rFonts w:hint="default" w:ascii="DejaVuSans" w:hAnsi="DejaVuSans" w:eastAsia="DejaVuSans" w:cs="DejaVuSans"/>
          <w:i w:val="0"/>
          <w:iCs w:val="0"/>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i w:val="0"/>
                <w:iCs w:val="0"/>
                <w:color w:val="auto"/>
                <w:highlight w:val="none"/>
              </w:rPr>
            </w:pPr>
          </w:p>
        </w:tc>
      </w:tr>
    </w:tbl>
    <w:p w14:paraId="003FC2D7">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说明： </w:t>
      </w:r>
    </w:p>
    <w:p w14:paraId="6A6FAC65">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2.</w:t>
      </w:r>
      <w:r>
        <w:rPr>
          <w:rFonts w:hint="eastAsia" w:cs="仿宋_GB2312"/>
          <w:i w:val="0"/>
          <w:iCs w:val="0"/>
          <w:color w:val="auto"/>
          <w:szCs w:val="24"/>
          <w:highlight w:val="none"/>
          <w:lang w:val="en-US" w:eastAsia="zh-CN"/>
        </w:rPr>
        <w:t xml:space="preserve">若响应文件中签字之处均为法定代表人（单位负责人）本人签署，则可不提供本《授权委托书》，但须提供《法定代表人（单位负责人）身份证明》。 </w:t>
      </w:r>
    </w:p>
    <w:p w14:paraId="7D81952A">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3.</w:t>
      </w:r>
      <w:r>
        <w:rPr>
          <w:rFonts w:hint="eastAsia" w:cs="仿宋_GB2312"/>
          <w:i w:val="0"/>
          <w:iCs w:val="0"/>
          <w:color w:val="auto"/>
          <w:szCs w:val="24"/>
          <w:highlight w:val="none"/>
          <w:lang w:val="en-US" w:eastAsia="zh-CN"/>
        </w:rPr>
        <w:t xml:space="preserve">供应商为自然人的情形，可不提供本《授权委托书》。 </w:t>
      </w:r>
    </w:p>
    <w:p w14:paraId="16E91B57">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4.</w:t>
      </w:r>
      <w:r>
        <w:rPr>
          <w:rFonts w:hint="eastAsia" w:cs="仿宋_GB2312"/>
          <w:i w:val="0"/>
          <w:iCs w:val="0"/>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i w:val="0"/>
          <w:iCs w:val="0"/>
          <w:color w:val="auto"/>
          <w:szCs w:val="24"/>
          <w:highlight w:val="none"/>
          <w:lang w:val="en-US" w:eastAsia="zh-CN"/>
        </w:rPr>
        <w:t>双面</w:t>
      </w:r>
      <w:r>
        <w:rPr>
          <w:rFonts w:hint="eastAsia" w:cs="仿宋_GB2312"/>
          <w:i w:val="0"/>
          <w:iCs w:val="0"/>
          <w:color w:val="auto"/>
          <w:szCs w:val="24"/>
          <w:highlight w:val="none"/>
          <w:lang w:val="en-US" w:eastAsia="zh-CN"/>
        </w:rPr>
        <w:t>电子件。</w:t>
      </w:r>
    </w:p>
    <w:p w14:paraId="0B2EBA16">
      <w:pPr>
        <w:rPr>
          <w:i w:val="0"/>
          <w:iCs w:val="0"/>
          <w:color w:val="auto"/>
          <w:highlight w:val="none"/>
        </w:rPr>
      </w:pPr>
      <w:r>
        <w:rPr>
          <w:i w:val="0"/>
          <w:iCs w:val="0"/>
          <w:color w:val="auto"/>
          <w:highlight w:val="none"/>
        </w:rPr>
        <w:br w:type="page"/>
      </w:r>
    </w:p>
    <w:p w14:paraId="117D25C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75" w:name="_Toc163492928"/>
      <w:bookmarkStart w:id="1176" w:name="_Toc155185934"/>
      <w:bookmarkStart w:id="1177" w:name="_Toc20288"/>
      <w:r>
        <w:rPr>
          <w:rFonts w:hint="eastAsia" w:cstheme="majorBidi"/>
          <w:b/>
          <w:bCs/>
          <w:i w:val="0"/>
          <w:iCs w:val="0"/>
          <w:color w:val="auto"/>
          <w:kern w:val="2"/>
          <w:sz w:val="32"/>
          <w:szCs w:val="32"/>
          <w:highlight w:val="none"/>
          <w:lang w:val="en-US" w:eastAsia="zh-CN" w:bidi="ar-SA"/>
        </w:rPr>
        <w:t>四</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1175"/>
      <w:bookmarkEnd w:id="1176"/>
      <w:r>
        <w:rPr>
          <w:rFonts w:hint="eastAsia" w:eastAsia="宋体" w:asciiTheme="majorHAnsi" w:hAnsiTheme="majorHAnsi" w:cstheme="majorBidi"/>
          <w:b/>
          <w:bCs/>
          <w:i w:val="0"/>
          <w:iCs w:val="0"/>
          <w:color w:val="auto"/>
          <w:kern w:val="2"/>
          <w:sz w:val="32"/>
          <w:szCs w:val="32"/>
          <w:highlight w:val="none"/>
          <w:lang w:val="zh-CN" w:eastAsia="zh-CN" w:bidi="ar-SA"/>
        </w:rPr>
        <w:t>政府采购供应商廉洁自律承诺书</w:t>
      </w:r>
      <w:bookmarkEnd w:id="1177"/>
    </w:p>
    <w:p w14:paraId="2AB445CF">
      <w:pPr>
        <w:pStyle w:val="13"/>
        <w:rPr>
          <w:i w:val="0"/>
          <w:iCs w:val="0"/>
          <w:color w:val="auto"/>
          <w:highlight w:val="none"/>
        </w:rPr>
      </w:pPr>
    </w:p>
    <w:p w14:paraId="2CE177B4">
      <w:pPr>
        <w:snapToGrid w:val="0"/>
        <w:spacing w:line="360" w:lineRule="auto"/>
        <w:rPr>
          <w:rFonts w:ascii="宋体" w:hAnsi="宋体" w:cs="宋体"/>
          <w:i w:val="0"/>
          <w:iCs w:val="0"/>
          <w:color w:val="auto"/>
          <w:kern w:val="0"/>
          <w:sz w:val="24"/>
          <w:szCs w:val="24"/>
          <w:highlight w:val="none"/>
        </w:rPr>
      </w:pPr>
      <w:r>
        <w:rPr>
          <w:rFonts w:hint="eastAsia" w:ascii="宋体" w:hAnsi="宋体" w:cs="宋体"/>
          <w:i w:val="0"/>
          <w:iCs w:val="0"/>
          <w:color w:val="auto"/>
          <w:sz w:val="24"/>
          <w:szCs w:val="24"/>
          <w:highlight w:val="none"/>
        </w:rPr>
        <w:t>（采购人）、（采购代理机构）</w:t>
      </w:r>
      <w:r>
        <w:rPr>
          <w:rFonts w:hint="eastAsia" w:ascii="宋体" w:hAnsi="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我单位响应你</w:t>
      </w:r>
      <w:r>
        <w:rPr>
          <w:rFonts w:hint="eastAsia" w:ascii="宋体" w:hAnsi="宋体" w:cs="宋体"/>
          <w:i w:val="0"/>
          <w:iCs w:val="0"/>
          <w:color w:val="auto"/>
          <w:sz w:val="24"/>
          <w:szCs w:val="24"/>
          <w:highlight w:val="none"/>
        </w:rPr>
        <w:t>单位</w:t>
      </w:r>
      <w:r>
        <w:rPr>
          <w:rFonts w:hint="eastAsia" w:ascii="宋体" w:hAnsi="宋体" w:cs="宋体"/>
          <w:i w:val="0"/>
          <w:iCs w:val="0"/>
          <w:color w:val="auto"/>
          <w:kern w:val="0"/>
          <w:sz w:val="24"/>
          <w:szCs w:val="24"/>
          <w:highlight w:val="none"/>
          <w:lang w:val="zh-CN"/>
        </w:rPr>
        <w:t>项目</w:t>
      </w:r>
      <w:r>
        <w:rPr>
          <w:rFonts w:hint="eastAsia" w:cs="宋体"/>
          <w:i w:val="0"/>
          <w:iCs w:val="0"/>
          <w:color w:val="auto"/>
          <w:kern w:val="0"/>
          <w:sz w:val="24"/>
          <w:szCs w:val="24"/>
          <w:highlight w:val="none"/>
          <w:lang w:val="en-US" w:eastAsia="zh-CN"/>
        </w:rPr>
        <w:t>竞争性磋商</w:t>
      </w:r>
      <w:r>
        <w:rPr>
          <w:rFonts w:hint="eastAsia" w:ascii="宋体" w:hAnsi="宋体" w:cs="宋体"/>
          <w:i w:val="0"/>
          <w:iCs w:val="0"/>
          <w:color w:val="auto"/>
          <w:kern w:val="0"/>
          <w:sz w:val="24"/>
          <w:szCs w:val="24"/>
          <w:highlight w:val="none"/>
          <w:lang w:val="zh-CN"/>
        </w:rPr>
        <w:t>要求参加</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。在这次</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过程中和</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如违反上述承诺，你单位有权立即取消我单位</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或在建项目的建设资格，有权拒绝我单位在一定时期内进入你单位进行项目建设或其他经营活动，并通报</w:t>
      </w:r>
      <w:r>
        <w:rPr>
          <w:rFonts w:hint="eastAsia" w:ascii="宋体" w:hAnsi="宋体" w:cs="宋体"/>
          <w:i w:val="0"/>
          <w:iCs w:val="0"/>
          <w:color w:val="auto"/>
          <w:kern w:val="0"/>
          <w:sz w:val="24"/>
          <w:szCs w:val="24"/>
          <w:highlight w:val="none"/>
          <w:lang w:val="en-US" w:eastAsia="zh-CN"/>
        </w:rPr>
        <w:t>兵团</w:t>
      </w:r>
      <w:r>
        <w:rPr>
          <w:rFonts w:hint="eastAsia" w:ascii="宋体" w:hAnsi="宋体" w:cs="宋体"/>
          <w:i w:val="0"/>
          <w:iCs w:val="0"/>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914ACDE">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2E01AF0">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i w:val="0"/>
          <w:iCs w:val="0"/>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5AA40BF9">
      <w:pPr>
        <w:rPr>
          <w:rFonts w:hint="eastAsia" w:eastAsia="宋体" w:asciiTheme="majorHAnsi" w:hAnsiTheme="majorHAnsi" w:cstheme="majorBidi"/>
          <w:b/>
          <w:bCs/>
          <w:i w:val="0"/>
          <w:iCs w:val="0"/>
          <w:color w:val="auto"/>
          <w:kern w:val="2"/>
          <w:sz w:val="24"/>
          <w:szCs w:val="24"/>
          <w:highlight w:val="none"/>
          <w:lang w:val="en-US" w:eastAsia="zh-CN" w:bidi="ar-SA"/>
        </w:rPr>
      </w:pPr>
    </w:p>
    <w:p w14:paraId="2917743B">
      <w:pPr>
        <w:pStyle w:val="13"/>
        <w:rPr>
          <w:rFonts w:hint="eastAsia" w:eastAsia="宋体" w:asciiTheme="majorHAnsi" w:hAnsiTheme="majorHAnsi" w:cstheme="majorBidi"/>
          <w:b/>
          <w:bCs/>
          <w:i w:val="0"/>
          <w:iCs w:val="0"/>
          <w:color w:val="auto"/>
          <w:kern w:val="2"/>
          <w:sz w:val="24"/>
          <w:szCs w:val="24"/>
          <w:highlight w:val="none"/>
          <w:lang w:val="en-US" w:eastAsia="zh-CN" w:bidi="ar-SA"/>
        </w:rPr>
      </w:pPr>
    </w:p>
    <w:p w14:paraId="2CC927CA">
      <w:pPr>
        <w:pStyle w:val="13"/>
        <w:rPr>
          <w:rFonts w:hint="eastAsia" w:eastAsia="宋体" w:asciiTheme="majorHAnsi" w:hAnsiTheme="majorHAnsi" w:cstheme="majorBidi"/>
          <w:b/>
          <w:bCs/>
          <w:i w:val="0"/>
          <w:iCs w:val="0"/>
          <w:color w:val="auto"/>
          <w:kern w:val="2"/>
          <w:sz w:val="24"/>
          <w:szCs w:val="24"/>
          <w:highlight w:val="none"/>
          <w:lang w:val="en-US" w:eastAsia="zh-CN" w:bidi="ar-SA"/>
        </w:rPr>
      </w:pPr>
    </w:p>
    <w:p w14:paraId="18FDCDE0">
      <w:pPr>
        <w:pStyle w:val="13"/>
        <w:rPr>
          <w:rFonts w:hint="eastAsia" w:eastAsia="宋体" w:asciiTheme="majorHAnsi" w:hAnsiTheme="majorHAnsi" w:cstheme="majorBidi"/>
          <w:b/>
          <w:bCs/>
          <w:i w:val="0"/>
          <w:iCs w:val="0"/>
          <w:color w:val="auto"/>
          <w:kern w:val="2"/>
          <w:sz w:val="24"/>
          <w:szCs w:val="24"/>
          <w:highlight w:val="none"/>
          <w:lang w:val="en-US" w:eastAsia="zh-CN" w:bidi="ar-SA"/>
        </w:rPr>
      </w:pPr>
    </w:p>
    <w:p w14:paraId="380411C5">
      <w:pPr>
        <w:pStyle w:val="3"/>
        <w:bidi w:val="0"/>
        <w:jc w:val="center"/>
        <w:rPr>
          <w:rFonts w:hint="eastAsia"/>
          <w:color w:val="auto"/>
          <w:highlight w:val="none"/>
          <w:lang w:val="en-US" w:eastAsia="zh-CN"/>
        </w:rPr>
      </w:pPr>
      <w:bookmarkStart w:id="1178" w:name="_Toc6515"/>
      <w:r>
        <w:rPr>
          <w:rFonts w:hint="eastAsia"/>
          <w:color w:val="auto"/>
          <w:highlight w:val="none"/>
          <w:lang w:val="en-US" w:eastAsia="zh-CN"/>
        </w:rPr>
        <w:t>五、实质性响应一览表</w:t>
      </w:r>
      <w:r>
        <w:rPr>
          <w:rFonts w:hint="eastAsia"/>
          <w:color w:val="auto"/>
          <w:highlight w:val="none"/>
          <w:lang w:val="zh-CN" w:eastAsia="zh-CN"/>
        </w:rPr>
        <w:t>【</w:t>
      </w:r>
      <w:r>
        <w:rPr>
          <w:rFonts w:hint="eastAsia"/>
          <w:color w:val="auto"/>
          <w:highlight w:val="none"/>
          <w:lang w:val="en-US" w:eastAsia="zh-CN"/>
        </w:rPr>
        <w:t>本表须与第四章的一致】</w:t>
      </w:r>
      <w:bookmarkEnd w:id="1178"/>
    </w:p>
    <w:p w14:paraId="48C7EA86">
      <w:pPr>
        <w:keepNext w:val="0"/>
        <w:keepLines w:val="0"/>
        <w:pageBreakBefore w:val="0"/>
        <w:widowControl w:val="0"/>
        <w:shd w:val="clear" w:color="auto" w:fill="FFFFFF"/>
        <w:tabs>
          <w:tab w:val="left" w:pos="3045"/>
        </w:tabs>
        <w:kinsoku/>
        <w:wordWrap/>
        <w:overflowPunct/>
        <w:topLinePunct w:val="0"/>
        <w:autoSpaceDE w:val="0"/>
        <w:autoSpaceDN w:val="0"/>
        <w:bidi w:val="0"/>
        <w:adjustRightInd w:val="0"/>
        <w:snapToGrid w:val="0"/>
        <w:spacing w:before="157" w:beforeLines="50" w:after="80" w:line="360" w:lineRule="exact"/>
        <w:jc w:val="center"/>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（供应商须对本附表所有内容逐条响应且无负偏离，否则</w:t>
      </w:r>
      <w:r>
        <w:rPr>
          <w:rFonts w:hint="eastAsia" w:cs="宋体"/>
          <w:b w:val="0"/>
          <w:bCs/>
          <w:color w:val="auto"/>
          <w:sz w:val="24"/>
          <w:highlight w:val="none"/>
          <w:lang w:val="en-US" w:eastAsia="zh-CN"/>
        </w:rPr>
        <w:t>其</w:t>
      </w:r>
      <w:r>
        <w:rPr>
          <w:rFonts w:hint="eastAsia" w:cs="宋体"/>
          <w:b/>
          <w:color w:val="auto"/>
          <w:sz w:val="24"/>
          <w:highlight w:val="none"/>
          <w:lang w:val="en-US" w:eastAsia="zh-CN"/>
        </w:rPr>
        <w:t>响应</w:t>
      </w:r>
      <w:r>
        <w:rPr>
          <w:rFonts w:hint="eastAsia" w:ascii="宋体" w:hAnsi="宋体" w:cs="宋体"/>
          <w:b/>
          <w:color w:val="auto"/>
          <w:sz w:val="24"/>
          <w:highlight w:val="none"/>
        </w:rPr>
        <w:t>无效</w:t>
      </w:r>
      <w:r>
        <w:rPr>
          <w:rFonts w:hint="eastAsia" w:ascii="宋体" w:hAnsi="宋体" w:cs="宋体"/>
          <w:b w:val="0"/>
          <w:bCs/>
          <w:color w:val="auto"/>
          <w:sz w:val="24"/>
          <w:highlight w:val="none"/>
        </w:rPr>
        <w:t>）</w:t>
      </w:r>
    </w:p>
    <w:p w14:paraId="23C37A41">
      <w:pPr>
        <w:pStyle w:val="24"/>
        <w:rPr>
          <w:rFonts w:hint="eastAsia" w:ascii="宋体" w:hAnsi="宋体" w:cs="宋体"/>
          <w:b w:val="0"/>
          <w:bCs/>
          <w:color w:val="auto"/>
          <w:sz w:val="24"/>
          <w:highlight w:val="none"/>
        </w:rPr>
      </w:pPr>
    </w:p>
    <w:tbl>
      <w:tblPr>
        <w:tblStyle w:val="31"/>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1"/>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磋商</w:t>
            </w:r>
            <w:r>
              <w:rPr>
                <w:rFonts w:hint="eastAsia" w:ascii="宋体" w:hAnsi="宋体" w:cs="宋体"/>
                <w:i w:val="0"/>
                <w:iCs w:val="0"/>
                <w:color w:val="auto"/>
                <w:sz w:val="24"/>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cs="宋体"/>
                <w:i w:val="0"/>
                <w:iCs w:val="0"/>
                <w:color w:val="auto"/>
                <w:sz w:val="24"/>
                <w:highlight w:val="none"/>
                <w:lang w:eastAsia="zh-CN"/>
              </w:rPr>
              <w:t>响应</w:t>
            </w:r>
            <w:r>
              <w:rPr>
                <w:rFonts w:hint="eastAsia" w:ascii="宋体" w:hAnsi="宋体" w:cs="宋体"/>
                <w:i w:val="0"/>
                <w:iCs w:val="0"/>
                <w:color w:val="auto"/>
                <w:sz w:val="24"/>
                <w:highlight w:val="none"/>
              </w:rPr>
              <w:t>文件具体</w:t>
            </w:r>
            <w:r>
              <w:rPr>
                <w:rFonts w:hint="eastAsia" w:cs="宋体"/>
                <w:i w:val="0"/>
                <w:iCs w:val="0"/>
                <w:color w:val="auto"/>
                <w:sz w:val="24"/>
                <w:highlight w:val="none"/>
                <w:lang w:val="en-US" w:eastAsia="zh-CN"/>
              </w:rPr>
              <w:t>的</w:t>
            </w:r>
            <w:r>
              <w:rPr>
                <w:rFonts w:hint="eastAsia" w:ascii="宋体" w:hAnsi="宋体" w:cs="宋体"/>
                <w:i w:val="0"/>
                <w:iCs w:val="0"/>
                <w:color w:val="auto"/>
                <w:sz w:val="24"/>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i w:val="0"/>
                <w:iCs w:val="0"/>
                <w:color w:val="auto"/>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cs="宋体"/>
                <w:i w:val="0"/>
                <w:iCs w:val="0"/>
                <w:color w:val="auto"/>
                <w:sz w:val="24"/>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62EC5B93">
            <w:pPr>
              <w:pStyle w:val="101"/>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仿宋_GB2312" w:hAnsi="宋体" w:eastAsia="宋体"/>
                <w:i w:val="0"/>
                <w:iCs w:val="0"/>
                <w:color w:val="auto"/>
                <w:kern w:val="0"/>
                <w:sz w:val="31"/>
                <w:szCs w:val="20"/>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5</w:t>
            </w:r>
          </w:p>
        </w:tc>
        <w:tc>
          <w:tcPr>
            <w:tcW w:w="1309" w:type="pct"/>
            <w:noWrap w:val="0"/>
            <w:vAlign w:val="center"/>
          </w:tcPr>
          <w:p w14:paraId="6450B6FD">
            <w:pPr>
              <w:pStyle w:val="101"/>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eastAsia="宋体" w:cs="宋体"/>
                <w:i w:val="0"/>
                <w:iCs w:val="0"/>
                <w:color w:val="auto"/>
                <w:sz w:val="24"/>
                <w:szCs w:val="24"/>
                <w:highlight w:val="none"/>
                <w:lang w:val="en-US" w:eastAsia="zh-CN"/>
              </w:rPr>
            </w:pP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4"/>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16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E2F1659">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7</w:t>
            </w:r>
          </w:p>
        </w:tc>
        <w:tc>
          <w:tcPr>
            <w:tcW w:w="1309" w:type="pct"/>
            <w:noWrap w:val="0"/>
            <w:vAlign w:val="center"/>
          </w:tcPr>
          <w:p w14:paraId="317CE50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78C19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63C11E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68EE7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501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3" w:type="pct"/>
            <w:noWrap w:val="0"/>
            <w:vAlign w:val="center"/>
          </w:tcPr>
          <w:p w14:paraId="65574B3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val="en-US" w:eastAsia="zh-CN"/>
              </w:rPr>
            </w:pPr>
          </w:p>
        </w:tc>
        <w:tc>
          <w:tcPr>
            <w:tcW w:w="1309" w:type="pct"/>
            <w:shd w:val="clear" w:color="auto" w:fill="auto"/>
            <w:noWrap w:val="0"/>
            <w:vAlign w:val="center"/>
          </w:tcPr>
          <w:p w14:paraId="4892F810">
            <w:pPr>
              <w:pStyle w:val="48"/>
              <w:rPr>
                <w:rFonts w:hint="eastAsia" w:ascii="宋体" w:hAnsi="宋体" w:eastAsia="宋体" w:cstheme="minorBidi"/>
                <w:i w:val="0"/>
                <w:iCs w:val="0"/>
                <w:color w:val="auto"/>
                <w:kern w:val="2"/>
                <w:sz w:val="24"/>
                <w:szCs w:val="22"/>
                <w:highlight w:val="none"/>
                <w:lang w:val="zh-CN" w:eastAsia="zh-CN" w:bidi="ar-SA"/>
              </w:rPr>
            </w:pPr>
            <w:r>
              <w:rPr>
                <w:rFonts w:hint="default" w:ascii="Arial" w:hAnsi="Arial" w:cs="Arial"/>
                <w:i w:val="0"/>
                <w:iCs w:val="0"/>
                <w:color w:val="auto"/>
                <w:highlight w:val="none"/>
                <w:lang w:val="zh-CN"/>
              </w:rPr>
              <w:t>……</w:t>
            </w:r>
          </w:p>
        </w:tc>
        <w:tc>
          <w:tcPr>
            <w:tcW w:w="1926" w:type="pct"/>
            <w:noWrap w:val="0"/>
            <w:vAlign w:val="center"/>
          </w:tcPr>
          <w:p w14:paraId="6EE49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lang w:eastAsia="zh-CN"/>
              </w:rPr>
            </w:pPr>
          </w:p>
        </w:tc>
        <w:tc>
          <w:tcPr>
            <w:tcW w:w="1026" w:type="pct"/>
            <w:noWrap w:val="0"/>
            <w:vAlign w:val="center"/>
          </w:tcPr>
          <w:p w14:paraId="5A390DA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639F59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bl>
    <w:p w14:paraId="4758525D">
      <w:pPr>
        <w:rPr>
          <w:rFonts w:hint="eastAsia" w:cstheme="majorBidi"/>
          <w:b/>
          <w:bCs/>
          <w:i w:val="0"/>
          <w:iCs w:val="0"/>
          <w:color w:val="auto"/>
          <w:kern w:val="2"/>
          <w:sz w:val="32"/>
          <w:szCs w:val="32"/>
          <w:highlight w:val="none"/>
          <w:lang w:val="en-US" w:eastAsia="zh-CN" w:bidi="ar-SA"/>
        </w:rPr>
      </w:pPr>
    </w:p>
    <w:p w14:paraId="2AF49F9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3A7F3E88">
      <w:pPr>
        <w:rPr>
          <w:rFonts w:hint="eastAsia"/>
          <w:i w:val="0"/>
          <w:iCs w:val="0"/>
          <w:color w:val="auto"/>
          <w:highlight w:val="none"/>
          <w:lang w:val="en-US" w:eastAsia="zh-CN"/>
        </w:rPr>
      </w:pPr>
    </w:p>
    <w:p w14:paraId="626EF50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79" w:name="_Toc16585"/>
      <w:r>
        <w:rPr>
          <w:rFonts w:hint="eastAsia" w:cstheme="majorBidi"/>
          <w:b/>
          <w:bCs/>
          <w:i w:val="0"/>
          <w:iCs w:val="0"/>
          <w:color w:val="auto"/>
          <w:kern w:val="2"/>
          <w:sz w:val="32"/>
          <w:szCs w:val="32"/>
          <w:highlight w:val="none"/>
          <w:lang w:val="en-US" w:eastAsia="zh-CN" w:bidi="ar-SA"/>
        </w:rPr>
        <w:t>六</w:t>
      </w:r>
      <w:r>
        <w:rPr>
          <w:rFonts w:hint="eastAsia" w:eastAsia="宋体" w:asciiTheme="majorHAnsi" w:hAnsiTheme="majorHAnsi" w:cstheme="majorBidi"/>
          <w:b/>
          <w:bCs/>
          <w:i w:val="0"/>
          <w:iCs w:val="0"/>
          <w:color w:val="auto"/>
          <w:kern w:val="2"/>
          <w:sz w:val="32"/>
          <w:szCs w:val="32"/>
          <w:highlight w:val="none"/>
          <w:lang w:val="en-US" w:eastAsia="zh-CN" w:bidi="ar-SA"/>
        </w:rPr>
        <w:t>、商务响应偏离表</w:t>
      </w:r>
      <w:bookmarkEnd w:id="1179"/>
    </w:p>
    <w:p w14:paraId="21AF32D6">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0424C095">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i w:val="0"/>
          <w:iCs w:val="0"/>
          <w:color w:val="auto"/>
          <w:szCs w:val="24"/>
          <w:highlight w:val="none"/>
        </w:rPr>
        <w:t xml:space="preserve">：        </w:t>
      </w:r>
    </w:p>
    <w:tbl>
      <w:tblPr>
        <w:tblStyle w:val="31"/>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8"/>
              <w:jc w:val="center"/>
              <w:rPr>
                <w:i w:val="0"/>
                <w:iCs w:val="0"/>
                <w:color w:val="auto"/>
                <w:highlight w:val="none"/>
              </w:rPr>
            </w:pPr>
            <w:r>
              <w:rPr>
                <w:rFonts w:hint="eastAsia"/>
                <w:i w:val="0"/>
                <w:iCs w:val="0"/>
                <w:color w:val="auto"/>
                <w:highlight w:val="none"/>
              </w:rPr>
              <w:t>序号</w:t>
            </w:r>
          </w:p>
        </w:tc>
        <w:tc>
          <w:tcPr>
            <w:tcW w:w="1395" w:type="pct"/>
            <w:vAlign w:val="center"/>
          </w:tcPr>
          <w:p w14:paraId="7CB83CD6">
            <w:pPr>
              <w:pStyle w:val="48"/>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文件的商务条款</w:t>
            </w:r>
          </w:p>
        </w:tc>
        <w:tc>
          <w:tcPr>
            <w:tcW w:w="1002" w:type="pct"/>
            <w:vAlign w:val="center"/>
          </w:tcPr>
          <w:p w14:paraId="55A47B57">
            <w:pPr>
              <w:pStyle w:val="48"/>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文件的响应内容</w:t>
            </w:r>
          </w:p>
        </w:tc>
        <w:tc>
          <w:tcPr>
            <w:tcW w:w="1090" w:type="pct"/>
            <w:vAlign w:val="center"/>
          </w:tcPr>
          <w:p w14:paraId="2572E859">
            <w:pPr>
              <w:pStyle w:val="48"/>
              <w:jc w:val="center"/>
              <w:rPr>
                <w:i w:val="0"/>
                <w:iCs w:val="0"/>
                <w:color w:val="auto"/>
                <w:highlight w:val="none"/>
              </w:rPr>
            </w:pPr>
            <w:r>
              <w:rPr>
                <w:rFonts w:hint="eastAsia"/>
                <w:i w:val="0"/>
                <w:iCs w:val="0"/>
                <w:color w:val="auto"/>
                <w:highlight w:val="none"/>
              </w:rPr>
              <w:t>响应情况</w:t>
            </w:r>
          </w:p>
        </w:tc>
        <w:tc>
          <w:tcPr>
            <w:tcW w:w="1090" w:type="pct"/>
            <w:vAlign w:val="center"/>
          </w:tcPr>
          <w:p w14:paraId="7884F206">
            <w:pPr>
              <w:pStyle w:val="48"/>
              <w:jc w:val="center"/>
              <w:rPr>
                <w:i w:val="0"/>
                <w:iCs w:val="0"/>
                <w:color w:val="auto"/>
                <w:highlight w:val="none"/>
              </w:rPr>
            </w:pPr>
            <w:r>
              <w:rPr>
                <w:rFonts w:hint="eastAsia"/>
                <w:i w:val="0"/>
                <w:iCs w:val="0"/>
                <w:color w:val="auto"/>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8"/>
              <w:jc w:val="center"/>
              <w:rPr>
                <w:i w:val="0"/>
                <w:iCs w:val="0"/>
                <w:color w:val="auto"/>
                <w:highlight w:val="none"/>
              </w:rPr>
            </w:pPr>
            <w:r>
              <w:rPr>
                <w:rFonts w:hint="eastAsia"/>
                <w:i w:val="0"/>
                <w:iCs w:val="0"/>
                <w:color w:val="auto"/>
                <w:highlight w:val="none"/>
              </w:rPr>
              <w:t>1</w:t>
            </w:r>
          </w:p>
        </w:tc>
        <w:tc>
          <w:tcPr>
            <w:tcW w:w="1395" w:type="pct"/>
            <w:vAlign w:val="center"/>
          </w:tcPr>
          <w:p w14:paraId="34566CA0">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1C6482B4">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1BBD0417">
            <w:pPr>
              <w:pStyle w:val="48"/>
              <w:jc w:val="center"/>
              <w:rPr>
                <w:i w:val="0"/>
                <w:iCs w:val="0"/>
                <w:color w:val="auto"/>
                <w:highlight w:val="none"/>
              </w:rPr>
            </w:pPr>
            <w:r>
              <w:rPr>
                <w:rFonts w:hint="eastAsia"/>
                <w:i w:val="0"/>
                <w:iCs w:val="0"/>
                <w:color w:val="auto"/>
                <w:highlight w:val="none"/>
              </w:rPr>
              <w:t>响应</w:t>
            </w:r>
            <w:r>
              <w:rPr>
                <w:i w:val="0"/>
                <w:iCs w:val="0"/>
                <w:color w:val="auto"/>
                <w:highlight w:val="none"/>
              </w:rPr>
              <w:t>/偏离</w:t>
            </w:r>
          </w:p>
        </w:tc>
        <w:tc>
          <w:tcPr>
            <w:tcW w:w="1090" w:type="pct"/>
            <w:vAlign w:val="center"/>
          </w:tcPr>
          <w:p w14:paraId="1A90E39C">
            <w:pPr>
              <w:pStyle w:val="48"/>
              <w:jc w:val="center"/>
              <w:rPr>
                <w:i w:val="0"/>
                <w:iCs w:val="0"/>
                <w:color w:val="auto"/>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8"/>
              <w:jc w:val="center"/>
              <w:rPr>
                <w:i w:val="0"/>
                <w:iCs w:val="0"/>
                <w:color w:val="auto"/>
                <w:highlight w:val="none"/>
              </w:rPr>
            </w:pPr>
            <w:r>
              <w:rPr>
                <w:rFonts w:hint="eastAsia"/>
                <w:i w:val="0"/>
                <w:iCs w:val="0"/>
                <w:color w:val="auto"/>
                <w:highlight w:val="none"/>
              </w:rPr>
              <w:t>2</w:t>
            </w:r>
          </w:p>
        </w:tc>
        <w:tc>
          <w:tcPr>
            <w:tcW w:w="1395" w:type="pct"/>
            <w:vAlign w:val="center"/>
          </w:tcPr>
          <w:p w14:paraId="2A717A55">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20EC7575">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923E58D">
            <w:pPr>
              <w:pStyle w:val="48"/>
              <w:jc w:val="center"/>
              <w:rPr>
                <w:i w:val="0"/>
                <w:iCs w:val="0"/>
                <w:color w:val="auto"/>
                <w:highlight w:val="none"/>
              </w:rPr>
            </w:pPr>
          </w:p>
        </w:tc>
        <w:tc>
          <w:tcPr>
            <w:tcW w:w="1090" w:type="pct"/>
            <w:vAlign w:val="center"/>
          </w:tcPr>
          <w:p w14:paraId="59C2C317">
            <w:pPr>
              <w:pStyle w:val="48"/>
              <w:jc w:val="center"/>
              <w:rPr>
                <w:i w:val="0"/>
                <w:iCs w:val="0"/>
                <w:color w:val="auto"/>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8"/>
              <w:jc w:val="center"/>
              <w:rPr>
                <w:i w:val="0"/>
                <w:iCs w:val="0"/>
                <w:color w:val="auto"/>
                <w:highlight w:val="none"/>
              </w:rPr>
            </w:pPr>
            <w:r>
              <w:rPr>
                <w:rFonts w:hint="eastAsia"/>
                <w:i w:val="0"/>
                <w:iCs w:val="0"/>
                <w:color w:val="auto"/>
                <w:highlight w:val="none"/>
              </w:rPr>
              <w:t>3</w:t>
            </w:r>
          </w:p>
        </w:tc>
        <w:tc>
          <w:tcPr>
            <w:tcW w:w="1395" w:type="pct"/>
            <w:vAlign w:val="center"/>
          </w:tcPr>
          <w:p w14:paraId="595245DB">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0A16B4B6">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8535F72">
            <w:pPr>
              <w:pStyle w:val="48"/>
              <w:jc w:val="center"/>
              <w:rPr>
                <w:i w:val="0"/>
                <w:iCs w:val="0"/>
                <w:color w:val="auto"/>
                <w:highlight w:val="none"/>
              </w:rPr>
            </w:pPr>
          </w:p>
        </w:tc>
        <w:tc>
          <w:tcPr>
            <w:tcW w:w="1090" w:type="pct"/>
            <w:vAlign w:val="center"/>
          </w:tcPr>
          <w:p w14:paraId="50AB520B">
            <w:pPr>
              <w:pStyle w:val="48"/>
              <w:jc w:val="center"/>
              <w:rPr>
                <w:i w:val="0"/>
                <w:iCs w:val="0"/>
                <w:color w:val="auto"/>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8"/>
              <w:jc w:val="center"/>
              <w:rPr>
                <w:i w:val="0"/>
                <w:iCs w:val="0"/>
                <w:color w:val="auto"/>
                <w:highlight w:val="none"/>
              </w:rPr>
            </w:pPr>
          </w:p>
        </w:tc>
        <w:tc>
          <w:tcPr>
            <w:tcW w:w="1395" w:type="pct"/>
            <w:vAlign w:val="center"/>
          </w:tcPr>
          <w:p w14:paraId="14968038">
            <w:pPr>
              <w:pStyle w:val="48"/>
              <w:jc w:val="center"/>
              <w:rPr>
                <w:i w:val="0"/>
                <w:iCs w:val="0"/>
                <w:color w:val="auto"/>
                <w:highlight w:val="none"/>
              </w:rPr>
            </w:pPr>
          </w:p>
        </w:tc>
        <w:tc>
          <w:tcPr>
            <w:tcW w:w="1002" w:type="pct"/>
            <w:vAlign w:val="center"/>
          </w:tcPr>
          <w:p w14:paraId="10A6B59E">
            <w:pPr>
              <w:pStyle w:val="48"/>
              <w:jc w:val="center"/>
              <w:rPr>
                <w:i w:val="0"/>
                <w:iCs w:val="0"/>
                <w:color w:val="auto"/>
                <w:highlight w:val="none"/>
              </w:rPr>
            </w:pPr>
          </w:p>
        </w:tc>
        <w:tc>
          <w:tcPr>
            <w:tcW w:w="1090" w:type="pct"/>
            <w:vAlign w:val="center"/>
          </w:tcPr>
          <w:p w14:paraId="61702DF6">
            <w:pPr>
              <w:pStyle w:val="48"/>
              <w:jc w:val="center"/>
              <w:rPr>
                <w:i w:val="0"/>
                <w:iCs w:val="0"/>
                <w:color w:val="auto"/>
                <w:highlight w:val="none"/>
              </w:rPr>
            </w:pPr>
          </w:p>
        </w:tc>
        <w:tc>
          <w:tcPr>
            <w:tcW w:w="1090" w:type="pct"/>
            <w:vAlign w:val="center"/>
          </w:tcPr>
          <w:p w14:paraId="0CC18FC2">
            <w:pPr>
              <w:pStyle w:val="48"/>
              <w:jc w:val="center"/>
              <w:rPr>
                <w:i w:val="0"/>
                <w:iCs w:val="0"/>
                <w:color w:val="auto"/>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8"/>
              <w:jc w:val="center"/>
              <w:rPr>
                <w:i w:val="0"/>
                <w:iCs w:val="0"/>
                <w:color w:val="auto"/>
                <w:highlight w:val="none"/>
              </w:rPr>
            </w:pPr>
          </w:p>
        </w:tc>
        <w:tc>
          <w:tcPr>
            <w:tcW w:w="1395" w:type="pct"/>
            <w:vAlign w:val="center"/>
          </w:tcPr>
          <w:p w14:paraId="5DDD9937">
            <w:pPr>
              <w:pStyle w:val="48"/>
              <w:jc w:val="center"/>
              <w:rPr>
                <w:i w:val="0"/>
                <w:iCs w:val="0"/>
                <w:color w:val="auto"/>
                <w:highlight w:val="none"/>
              </w:rPr>
            </w:pPr>
          </w:p>
        </w:tc>
        <w:tc>
          <w:tcPr>
            <w:tcW w:w="1002" w:type="pct"/>
            <w:vAlign w:val="center"/>
          </w:tcPr>
          <w:p w14:paraId="0B29A018">
            <w:pPr>
              <w:pStyle w:val="48"/>
              <w:jc w:val="center"/>
              <w:rPr>
                <w:i w:val="0"/>
                <w:iCs w:val="0"/>
                <w:color w:val="auto"/>
                <w:highlight w:val="none"/>
              </w:rPr>
            </w:pPr>
          </w:p>
        </w:tc>
        <w:tc>
          <w:tcPr>
            <w:tcW w:w="1090" w:type="pct"/>
            <w:vAlign w:val="center"/>
          </w:tcPr>
          <w:p w14:paraId="1FA693DE">
            <w:pPr>
              <w:pStyle w:val="48"/>
              <w:jc w:val="center"/>
              <w:rPr>
                <w:i w:val="0"/>
                <w:iCs w:val="0"/>
                <w:color w:val="auto"/>
                <w:highlight w:val="none"/>
              </w:rPr>
            </w:pPr>
          </w:p>
        </w:tc>
        <w:tc>
          <w:tcPr>
            <w:tcW w:w="1090" w:type="pct"/>
            <w:vAlign w:val="center"/>
          </w:tcPr>
          <w:p w14:paraId="3D633AB6">
            <w:pPr>
              <w:pStyle w:val="48"/>
              <w:jc w:val="center"/>
              <w:rPr>
                <w:i w:val="0"/>
                <w:iCs w:val="0"/>
                <w:color w:val="auto"/>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8"/>
              <w:jc w:val="center"/>
              <w:rPr>
                <w:i w:val="0"/>
                <w:iCs w:val="0"/>
                <w:color w:val="auto"/>
                <w:highlight w:val="none"/>
              </w:rPr>
            </w:pPr>
          </w:p>
        </w:tc>
        <w:tc>
          <w:tcPr>
            <w:tcW w:w="1395" w:type="pct"/>
            <w:vAlign w:val="center"/>
          </w:tcPr>
          <w:p w14:paraId="014A297F">
            <w:pPr>
              <w:pStyle w:val="48"/>
              <w:jc w:val="center"/>
              <w:rPr>
                <w:i w:val="0"/>
                <w:iCs w:val="0"/>
                <w:color w:val="auto"/>
                <w:highlight w:val="none"/>
              </w:rPr>
            </w:pPr>
          </w:p>
        </w:tc>
        <w:tc>
          <w:tcPr>
            <w:tcW w:w="1002" w:type="pct"/>
            <w:vAlign w:val="center"/>
          </w:tcPr>
          <w:p w14:paraId="51467013">
            <w:pPr>
              <w:pStyle w:val="48"/>
              <w:jc w:val="center"/>
              <w:rPr>
                <w:i w:val="0"/>
                <w:iCs w:val="0"/>
                <w:color w:val="auto"/>
                <w:highlight w:val="none"/>
              </w:rPr>
            </w:pPr>
          </w:p>
        </w:tc>
        <w:tc>
          <w:tcPr>
            <w:tcW w:w="1090" w:type="pct"/>
            <w:vAlign w:val="center"/>
          </w:tcPr>
          <w:p w14:paraId="011E40CA">
            <w:pPr>
              <w:pStyle w:val="48"/>
              <w:jc w:val="center"/>
              <w:rPr>
                <w:i w:val="0"/>
                <w:iCs w:val="0"/>
                <w:color w:val="auto"/>
                <w:highlight w:val="none"/>
              </w:rPr>
            </w:pPr>
          </w:p>
        </w:tc>
        <w:tc>
          <w:tcPr>
            <w:tcW w:w="1090" w:type="pct"/>
            <w:vAlign w:val="center"/>
          </w:tcPr>
          <w:p w14:paraId="7062C313">
            <w:pPr>
              <w:pStyle w:val="48"/>
              <w:jc w:val="center"/>
              <w:rPr>
                <w:i w:val="0"/>
                <w:iCs w:val="0"/>
                <w:color w:val="auto"/>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8"/>
              <w:jc w:val="center"/>
              <w:rPr>
                <w:i w:val="0"/>
                <w:iCs w:val="0"/>
                <w:color w:val="auto"/>
                <w:highlight w:val="none"/>
              </w:rPr>
            </w:pPr>
          </w:p>
        </w:tc>
        <w:tc>
          <w:tcPr>
            <w:tcW w:w="1395" w:type="pct"/>
            <w:vAlign w:val="center"/>
          </w:tcPr>
          <w:p w14:paraId="010A1BB0">
            <w:pPr>
              <w:pStyle w:val="48"/>
              <w:jc w:val="center"/>
              <w:rPr>
                <w:i w:val="0"/>
                <w:iCs w:val="0"/>
                <w:color w:val="auto"/>
                <w:highlight w:val="none"/>
              </w:rPr>
            </w:pPr>
          </w:p>
        </w:tc>
        <w:tc>
          <w:tcPr>
            <w:tcW w:w="1002" w:type="pct"/>
            <w:vAlign w:val="center"/>
          </w:tcPr>
          <w:p w14:paraId="1EE22C75">
            <w:pPr>
              <w:pStyle w:val="48"/>
              <w:jc w:val="center"/>
              <w:rPr>
                <w:i w:val="0"/>
                <w:iCs w:val="0"/>
                <w:color w:val="auto"/>
                <w:highlight w:val="none"/>
              </w:rPr>
            </w:pPr>
          </w:p>
        </w:tc>
        <w:tc>
          <w:tcPr>
            <w:tcW w:w="1090" w:type="pct"/>
            <w:vAlign w:val="center"/>
          </w:tcPr>
          <w:p w14:paraId="3C86F2CC">
            <w:pPr>
              <w:pStyle w:val="48"/>
              <w:jc w:val="center"/>
              <w:rPr>
                <w:i w:val="0"/>
                <w:iCs w:val="0"/>
                <w:color w:val="auto"/>
                <w:highlight w:val="none"/>
              </w:rPr>
            </w:pPr>
          </w:p>
        </w:tc>
        <w:tc>
          <w:tcPr>
            <w:tcW w:w="1090" w:type="pct"/>
            <w:vAlign w:val="center"/>
          </w:tcPr>
          <w:p w14:paraId="515EA04E">
            <w:pPr>
              <w:pStyle w:val="48"/>
              <w:jc w:val="center"/>
              <w:rPr>
                <w:i w:val="0"/>
                <w:iCs w:val="0"/>
                <w:color w:val="auto"/>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8"/>
              <w:jc w:val="center"/>
              <w:rPr>
                <w:i w:val="0"/>
                <w:iCs w:val="0"/>
                <w:color w:val="auto"/>
                <w:highlight w:val="none"/>
              </w:rPr>
            </w:pPr>
          </w:p>
        </w:tc>
        <w:tc>
          <w:tcPr>
            <w:tcW w:w="1395" w:type="pct"/>
            <w:vAlign w:val="center"/>
          </w:tcPr>
          <w:p w14:paraId="1C7A6406">
            <w:pPr>
              <w:pStyle w:val="48"/>
              <w:jc w:val="center"/>
              <w:rPr>
                <w:i w:val="0"/>
                <w:iCs w:val="0"/>
                <w:color w:val="auto"/>
                <w:highlight w:val="none"/>
              </w:rPr>
            </w:pPr>
          </w:p>
        </w:tc>
        <w:tc>
          <w:tcPr>
            <w:tcW w:w="1002" w:type="pct"/>
            <w:vAlign w:val="center"/>
          </w:tcPr>
          <w:p w14:paraId="7F774DAF">
            <w:pPr>
              <w:pStyle w:val="48"/>
              <w:jc w:val="center"/>
              <w:rPr>
                <w:i w:val="0"/>
                <w:iCs w:val="0"/>
                <w:color w:val="auto"/>
                <w:highlight w:val="none"/>
              </w:rPr>
            </w:pPr>
          </w:p>
        </w:tc>
        <w:tc>
          <w:tcPr>
            <w:tcW w:w="1090" w:type="pct"/>
            <w:vAlign w:val="center"/>
          </w:tcPr>
          <w:p w14:paraId="66A55C54">
            <w:pPr>
              <w:pStyle w:val="48"/>
              <w:jc w:val="center"/>
              <w:rPr>
                <w:i w:val="0"/>
                <w:iCs w:val="0"/>
                <w:color w:val="auto"/>
                <w:highlight w:val="none"/>
              </w:rPr>
            </w:pPr>
          </w:p>
        </w:tc>
        <w:tc>
          <w:tcPr>
            <w:tcW w:w="1090" w:type="pct"/>
            <w:vAlign w:val="center"/>
          </w:tcPr>
          <w:p w14:paraId="6FC3A7DB">
            <w:pPr>
              <w:pStyle w:val="48"/>
              <w:jc w:val="center"/>
              <w:rPr>
                <w:i w:val="0"/>
                <w:iCs w:val="0"/>
                <w:color w:val="auto"/>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8"/>
              <w:jc w:val="center"/>
              <w:rPr>
                <w:i w:val="0"/>
                <w:iCs w:val="0"/>
                <w:color w:val="auto"/>
                <w:highlight w:val="none"/>
              </w:rPr>
            </w:pPr>
          </w:p>
        </w:tc>
        <w:tc>
          <w:tcPr>
            <w:tcW w:w="1395" w:type="pct"/>
            <w:vAlign w:val="center"/>
          </w:tcPr>
          <w:p w14:paraId="5A1690B5">
            <w:pPr>
              <w:pStyle w:val="48"/>
              <w:jc w:val="center"/>
              <w:rPr>
                <w:i w:val="0"/>
                <w:iCs w:val="0"/>
                <w:color w:val="auto"/>
                <w:highlight w:val="none"/>
              </w:rPr>
            </w:pPr>
          </w:p>
        </w:tc>
        <w:tc>
          <w:tcPr>
            <w:tcW w:w="1002" w:type="pct"/>
            <w:vAlign w:val="center"/>
          </w:tcPr>
          <w:p w14:paraId="735418C2">
            <w:pPr>
              <w:pStyle w:val="48"/>
              <w:jc w:val="center"/>
              <w:rPr>
                <w:i w:val="0"/>
                <w:iCs w:val="0"/>
                <w:color w:val="auto"/>
                <w:highlight w:val="none"/>
              </w:rPr>
            </w:pPr>
          </w:p>
        </w:tc>
        <w:tc>
          <w:tcPr>
            <w:tcW w:w="1090" w:type="pct"/>
            <w:vAlign w:val="center"/>
          </w:tcPr>
          <w:p w14:paraId="13F6671D">
            <w:pPr>
              <w:pStyle w:val="48"/>
              <w:jc w:val="center"/>
              <w:rPr>
                <w:i w:val="0"/>
                <w:iCs w:val="0"/>
                <w:color w:val="auto"/>
                <w:highlight w:val="none"/>
              </w:rPr>
            </w:pPr>
          </w:p>
        </w:tc>
        <w:tc>
          <w:tcPr>
            <w:tcW w:w="1090" w:type="pct"/>
            <w:vAlign w:val="center"/>
          </w:tcPr>
          <w:p w14:paraId="3DC0B3BB">
            <w:pPr>
              <w:pStyle w:val="48"/>
              <w:jc w:val="center"/>
              <w:rPr>
                <w:i w:val="0"/>
                <w:iCs w:val="0"/>
                <w:color w:val="auto"/>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8"/>
              <w:jc w:val="center"/>
              <w:rPr>
                <w:i w:val="0"/>
                <w:iCs w:val="0"/>
                <w:color w:val="auto"/>
                <w:highlight w:val="none"/>
              </w:rPr>
            </w:pPr>
          </w:p>
        </w:tc>
        <w:tc>
          <w:tcPr>
            <w:tcW w:w="1395" w:type="pct"/>
            <w:vAlign w:val="center"/>
          </w:tcPr>
          <w:p w14:paraId="4E1F25E0">
            <w:pPr>
              <w:pStyle w:val="48"/>
              <w:jc w:val="center"/>
              <w:rPr>
                <w:i w:val="0"/>
                <w:iCs w:val="0"/>
                <w:color w:val="auto"/>
                <w:highlight w:val="none"/>
              </w:rPr>
            </w:pPr>
          </w:p>
        </w:tc>
        <w:tc>
          <w:tcPr>
            <w:tcW w:w="1002" w:type="pct"/>
            <w:vAlign w:val="center"/>
          </w:tcPr>
          <w:p w14:paraId="4F1707F4">
            <w:pPr>
              <w:pStyle w:val="48"/>
              <w:jc w:val="center"/>
              <w:rPr>
                <w:i w:val="0"/>
                <w:iCs w:val="0"/>
                <w:color w:val="auto"/>
                <w:highlight w:val="none"/>
              </w:rPr>
            </w:pPr>
          </w:p>
        </w:tc>
        <w:tc>
          <w:tcPr>
            <w:tcW w:w="1090" w:type="pct"/>
            <w:vAlign w:val="center"/>
          </w:tcPr>
          <w:p w14:paraId="59E61A3B">
            <w:pPr>
              <w:pStyle w:val="48"/>
              <w:jc w:val="center"/>
              <w:rPr>
                <w:i w:val="0"/>
                <w:iCs w:val="0"/>
                <w:color w:val="auto"/>
                <w:highlight w:val="none"/>
              </w:rPr>
            </w:pPr>
          </w:p>
        </w:tc>
        <w:tc>
          <w:tcPr>
            <w:tcW w:w="1090" w:type="pct"/>
            <w:vAlign w:val="center"/>
          </w:tcPr>
          <w:p w14:paraId="33E07ECA">
            <w:pPr>
              <w:pStyle w:val="48"/>
              <w:jc w:val="center"/>
              <w:rPr>
                <w:i w:val="0"/>
                <w:iCs w:val="0"/>
                <w:color w:val="auto"/>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8"/>
              <w:jc w:val="center"/>
              <w:rPr>
                <w:i w:val="0"/>
                <w:iCs w:val="0"/>
                <w:color w:val="auto"/>
                <w:highlight w:val="none"/>
              </w:rPr>
            </w:pPr>
          </w:p>
        </w:tc>
        <w:tc>
          <w:tcPr>
            <w:tcW w:w="1395" w:type="pct"/>
            <w:vAlign w:val="center"/>
          </w:tcPr>
          <w:p w14:paraId="494F1780">
            <w:pPr>
              <w:pStyle w:val="48"/>
              <w:jc w:val="center"/>
              <w:rPr>
                <w:i w:val="0"/>
                <w:iCs w:val="0"/>
                <w:color w:val="auto"/>
                <w:highlight w:val="none"/>
              </w:rPr>
            </w:pPr>
          </w:p>
        </w:tc>
        <w:tc>
          <w:tcPr>
            <w:tcW w:w="1002" w:type="pct"/>
            <w:vAlign w:val="center"/>
          </w:tcPr>
          <w:p w14:paraId="02E24AFD">
            <w:pPr>
              <w:pStyle w:val="48"/>
              <w:jc w:val="center"/>
              <w:rPr>
                <w:i w:val="0"/>
                <w:iCs w:val="0"/>
                <w:color w:val="auto"/>
                <w:highlight w:val="none"/>
              </w:rPr>
            </w:pPr>
          </w:p>
        </w:tc>
        <w:tc>
          <w:tcPr>
            <w:tcW w:w="1090" w:type="pct"/>
            <w:vAlign w:val="center"/>
          </w:tcPr>
          <w:p w14:paraId="15C952B3">
            <w:pPr>
              <w:pStyle w:val="48"/>
              <w:jc w:val="center"/>
              <w:rPr>
                <w:i w:val="0"/>
                <w:iCs w:val="0"/>
                <w:color w:val="auto"/>
                <w:highlight w:val="none"/>
              </w:rPr>
            </w:pPr>
          </w:p>
        </w:tc>
        <w:tc>
          <w:tcPr>
            <w:tcW w:w="1090" w:type="pct"/>
            <w:vAlign w:val="center"/>
          </w:tcPr>
          <w:p w14:paraId="042480C5">
            <w:pPr>
              <w:pStyle w:val="48"/>
              <w:jc w:val="center"/>
              <w:rPr>
                <w:i w:val="0"/>
                <w:iCs w:val="0"/>
                <w:color w:val="auto"/>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8"/>
              <w:jc w:val="center"/>
              <w:rPr>
                <w:i w:val="0"/>
                <w:iCs w:val="0"/>
                <w:color w:val="auto"/>
                <w:highlight w:val="none"/>
              </w:rPr>
            </w:pPr>
          </w:p>
        </w:tc>
        <w:tc>
          <w:tcPr>
            <w:tcW w:w="1395" w:type="pct"/>
            <w:vAlign w:val="center"/>
          </w:tcPr>
          <w:p w14:paraId="3FA50495">
            <w:pPr>
              <w:pStyle w:val="48"/>
              <w:jc w:val="center"/>
              <w:rPr>
                <w:i w:val="0"/>
                <w:iCs w:val="0"/>
                <w:color w:val="auto"/>
                <w:highlight w:val="none"/>
              </w:rPr>
            </w:pPr>
          </w:p>
        </w:tc>
        <w:tc>
          <w:tcPr>
            <w:tcW w:w="1002" w:type="pct"/>
            <w:vAlign w:val="center"/>
          </w:tcPr>
          <w:p w14:paraId="65521973">
            <w:pPr>
              <w:pStyle w:val="48"/>
              <w:jc w:val="center"/>
              <w:rPr>
                <w:i w:val="0"/>
                <w:iCs w:val="0"/>
                <w:color w:val="auto"/>
                <w:highlight w:val="none"/>
              </w:rPr>
            </w:pPr>
          </w:p>
        </w:tc>
        <w:tc>
          <w:tcPr>
            <w:tcW w:w="1090" w:type="pct"/>
            <w:vAlign w:val="center"/>
          </w:tcPr>
          <w:p w14:paraId="505486BC">
            <w:pPr>
              <w:pStyle w:val="48"/>
              <w:jc w:val="center"/>
              <w:rPr>
                <w:i w:val="0"/>
                <w:iCs w:val="0"/>
                <w:color w:val="auto"/>
                <w:highlight w:val="none"/>
              </w:rPr>
            </w:pPr>
          </w:p>
        </w:tc>
        <w:tc>
          <w:tcPr>
            <w:tcW w:w="1090" w:type="pct"/>
            <w:vAlign w:val="center"/>
          </w:tcPr>
          <w:p w14:paraId="40E41834">
            <w:pPr>
              <w:pStyle w:val="48"/>
              <w:jc w:val="center"/>
              <w:rPr>
                <w:i w:val="0"/>
                <w:iCs w:val="0"/>
                <w:color w:val="auto"/>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8"/>
              <w:jc w:val="center"/>
              <w:rPr>
                <w:i w:val="0"/>
                <w:iCs w:val="0"/>
                <w:color w:val="auto"/>
                <w:highlight w:val="none"/>
              </w:rPr>
            </w:pPr>
          </w:p>
        </w:tc>
        <w:tc>
          <w:tcPr>
            <w:tcW w:w="1395" w:type="pct"/>
            <w:vAlign w:val="center"/>
          </w:tcPr>
          <w:p w14:paraId="199507E1">
            <w:pPr>
              <w:pStyle w:val="48"/>
              <w:jc w:val="center"/>
              <w:rPr>
                <w:i w:val="0"/>
                <w:iCs w:val="0"/>
                <w:color w:val="auto"/>
                <w:highlight w:val="none"/>
              </w:rPr>
            </w:pPr>
          </w:p>
        </w:tc>
        <w:tc>
          <w:tcPr>
            <w:tcW w:w="1002" w:type="pct"/>
            <w:vAlign w:val="center"/>
          </w:tcPr>
          <w:p w14:paraId="6691FD82">
            <w:pPr>
              <w:pStyle w:val="48"/>
              <w:jc w:val="center"/>
              <w:rPr>
                <w:i w:val="0"/>
                <w:iCs w:val="0"/>
                <w:color w:val="auto"/>
                <w:highlight w:val="none"/>
              </w:rPr>
            </w:pPr>
          </w:p>
        </w:tc>
        <w:tc>
          <w:tcPr>
            <w:tcW w:w="1090" w:type="pct"/>
            <w:vAlign w:val="center"/>
          </w:tcPr>
          <w:p w14:paraId="6E35002B">
            <w:pPr>
              <w:pStyle w:val="48"/>
              <w:jc w:val="center"/>
              <w:rPr>
                <w:i w:val="0"/>
                <w:iCs w:val="0"/>
                <w:color w:val="auto"/>
                <w:highlight w:val="none"/>
              </w:rPr>
            </w:pPr>
          </w:p>
        </w:tc>
        <w:tc>
          <w:tcPr>
            <w:tcW w:w="1090" w:type="pct"/>
            <w:vAlign w:val="center"/>
          </w:tcPr>
          <w:p w14:paraId="69818ED1">
            <w:pPr>
              <w:pStyle w:val="48"/>
              <w:jc w:val="center"/>
              <w:rPr>
                <w:i w:val="0"/>
                <w:iCs w:val="0"/>
                <w:color w:val="auto"/>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8"/>
              <w:jc w:val="center"/>
              <w:rPr>
                <w:i w:val="0"/>
                <w:iCs w:val="0"/>
                <w:color w:val="auto"/>
                <w:highlight w:val="none"/>
              </w:rPr>
            </w:pPr>
            <w:r>
              <w:rPr>
                <w:rFonts w:hint="eastAsia"/>
                <w:i w:val="0"/>
                <w:iCs w:val="0"/>
                <w:color w:val="auto"/>
                <w:highlight w:val="none"/>
              </w:rPr>
              <w:t>……</w:t>
            </w:r>
          </w:p>
        </w:tc>
        <w:tc>
          <w:tcPr>
            <w:tcW w:w="1395" w:type="pct"/>
            <w:vAlign w:val="center"/>
          </w:tcPr>
          <w:p w14:paraId="6324A49D">
            <w:pPr>
              <w:pStyle w:val="48"/>
              <w:jc w:val="center"/>
              <w:rPr>
                <w:i w:val="0"/>
                <w:iCs w:val="0"/>
                <w:color w:val="auto"/>
                <w:highlight w:val="none"/>
              </w:rPr>
            </w:pPr>
            <w:r>
              <w:rPr>
                <w:rFonts w:hint="eastAsia"/>
                <w:i w:val="0"/>
                <w:iCs w:val="0"/>
                <w:color w:val="auto"/>
                <w:highlight w:val="none"/>
              </w:rPr>
              <w:t>…………</w:t>
            </w:r>
          </w:p>
        </w:tc>
        <w:tc>
          <w:tcPr>
            <w:tcW w:w="1002" w:type="pct"/>
            <w:vAlign w:val="center"/>
          </w:tcPr>
          <w:p w14:paraId="0EE83785">
            <w:pPr>
              <w:pStyle w:val="48"/>
              <w:jc w:val="center"/>
              <w:rPr>
                <w:i w:val="0"/>
                <w:iCs w:val="0"/>
                <w:color w:val="auto"/>
                <w:highlight w:val="none"/>
              </w:rPr>
            </w:pPr>
            <w:r>
              <w:rPr>
                <w:rFonts w:hint="eastAsia"/>
                <w:i w:val="0"/>
                <w:iCs w:val="0"/>
                <w:color w:val="auto"/>
                <w:highlight w:val="none"/>
              </w:rPr>
              <w:t>…………</w:t>
            </w:r>
          </w:p>
        </w:tc>
        <w:tc>
          <w:tcPr>
            <w:tcW w:w="1090" w:type="pct"/>
            <w:vAlign w:val="center"/>
          </w:tcPr>
          <w:p w14:paraId="7A24BB2D">
            <w:pPr>
              <w:pStyle w:val="48"/>
              <w:jc w:val="center"/>
              <w:rPr>
                <w:i w:val="0"/>
                <w:iCs w:val="0"/>
                <w:color w:val="auto"/>
                <w:highlight w:val="none"/>
              </w:rPr>
            </w:pPr>
            <w:r>
              <w:rPr>
                <w:rFonts w:hint="eastAsia"/>
                <w:i w:val="0"/>
                <w:iCs w:val="0"/>
                <w:color w:val="auto"/>
                <w:highlight w:val="none"/>
              </w:rPr>
              <w:t>……</w:t>
            </w:r>
          </w:p>
        </w:tc>
        <w:tc>
          <w:tcPr>
            <w:tcW w:w="1090" w:type="pct"/>
            <w:vAlign w:val="center"/>
          </w:tcPr>
          <w:p w14:paraId="7CC08218">
            <w:pPr>
              <w:pStyle w:val="48"/>
              <w:jc w:val="center"/>
              <w:rPr>
                <w:i w:val="0"/>
                <w:iCs w:val="0"/>
                <w:color w:val="auto"/>
                <w:highlight w:val="none"/>
              </w:rPr>
            </w:pPr>
          </w:p>
        </w:tc>
      </w:tr>
    </w:tbl>
    <w:p w14:paraId="51EF5BE9">
      <w:pPr>
        <w:ind w:firstLine="480" w:firstLineChars="200"/>
        <w:rPr>
          <w:rFonts w:hint="eastAsia" w:cs="仿宋_GB2312"/>
          <w:i w:val="0"/>
          <w:iCs w:val="0"/>
          <w:color w:val="auto"/>
          <w:szCs w:val="24"/>
          <w:highlight w:val="none"/>
        </w:rPr>
      </w:pPr>
    </w:p>
    <w:p w14:paraId="79243E57">
      <w:pPr>
        <w:ind w:firstLine="42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应按照</w:t>
      </w:r>
      <w:r>
        <w:rPr>
          <w:rFonts w:hint="eastAsia" w:ascii="宋体" w:hAnsi="宋体" w:eastAsia="宋体" w:cs="宋体"/>
          <w:i w:val="0"/>
          <w:iCs w:val="0"/>
          <w:color w:val="auto"/>
          <w:sz w:val="21"/>
          <w:szCs w:val="21"/>
          <w:highlight w:val="none"/>
          <w:lang w:val="en-US" w:eastAsia="zh-CN"/>
        </w:rPr>
        <w:t>竞争性磋商</w:t>
      </w:r>
      <w:r>
        <w:rPr>
          <w:rFonts w:hint="eastAsia" w:ascii="宋体" w:hAnsi="宋体" w:eastAsia="宋体" w:cs="宋体"/>
          <w:i w:val="0"/>
          <w:iCs w:val="0"/>
          <w:color w:val="auto"/>
          <w:sz w:val="21"/>
          <w:szCs w:val="21"/>
          <w:highlight w:val="none"/>
        </w:rPr>
        <w:t>文件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第三章 </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中的商务要求</w:t>
      </w:r>
      <w:r>
        <w:rPr>
          <w:rFonts w:hint="eastAsia" w:ascii="宋体" w:hAnsi="宋体" w:eastAsia="宋体" w:cs="宋体"/>
          <w:i w:val="0"/>
          <w:iCs w:val="0"/>
          <w:color w:val="auto"/>
          <w:sz w:val="21"/>
          <w:szCs w:val="21"/>
          <w:highlight w:val="none"/>
        </w:rPr>
        <w:t>填写</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“响应/偏离”应据实填写“响应”、“正偏离”或“负偏离”</w:t>
      </w:r>
      <w:r>
        <w:rPr>
          <w:rFonts w:hint="eastAsia" w:ascii="宋体" w:hAnsi="宋体" w:eastAsia="宋体" w:cs="宋体"/>
          <w:i w:val="0"/>
          <w:iCs w:val="0"/>
          <w:color w:val="auto"/>
          <w:sz w:val="21"/>
          <w:szCs w:val="21"/>
          <w:highlight w:val="none"/>
        </w:rPr>
        <w:t>。</w:t>
      </w:r>
    </w:p>
    <w:p w14:paraId="1A3EAC71">
      <w:pPr>
        <w:rPr>
          <w:rFonts w:cs="仿宋_GB2312"/>
          <w:i w:val="0"/>
          <w:iCs w:val="0"/>
          <w:color w:val="auto"/>
          <w:szCs w:val="24"/>
          <w:highlight w:val="none"/>
        </w:rPr>
      </w:pPr>
    </w:p>
    <w:p w14:paraId="5CB06622">
      <w:pPr>
        <w:ind w:firstLine="480" w:firstLineChars="200"/>
        <w:rPr>
          <w:rFonts w:cs="仿宋_GB2312"/>
          <w:i w:val="0"/>
          <w:iCs w:val="0"/>
          <w:color w:val="auto"/>
          <w:szCs w:val="24"/>
          <w:highlight w:val="none"/>
        </w:rPr>
      </w:pPr>
    </w:p>
    <w:p w14:paraId="2E8083B6">
      <w:pPr>
        <w:ind w:firstLine="480" w:firstLineChars="200"/>
        <w:rPr>
          <w:rFonts w:cs="仿宋_GB2312"/>
          <w:i w:val="0"/>
          <w:iCs w:val="0"/>
          <w:color w:val="auto"/>
          <w:szCs w:val="24"/>
          <w:highlight w:val="none"/>
        </w:rPr>
      </w:pP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名称</w:t>
      </w:r>
      <w:r>
        <w:rPr>
          <w:rFonts w:hint="eastAsia" w:ascii="宋体" w:hAnsi="宋体" w:cs="宋体"/>
          <w:i w:val="0"/>
          <w:iCs w:val="0"/>
          <w:color w:val="auto"/>
          <w:kern w:val="0"/>
          <w:sz w:val="24"/>
          <w:szCs w:val="24"/>
          <w:highlight w:val="none"/>
          <w:lang w:val="zh-CN"/>
        </w:rPr>
        <w:t>（</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w:t>
      </w:r>
      <w:r>
        <w:rPr>
          <w:rFonts w:hint="eastAsia" w:cs="仿宋_GB2312"/>
          <w:i w:val="0"/>
          <w:iCs w:val="0"/>
          <w:color w:val="auto"/>
          <w:szCs w:val="24"/>
          <w:highlight w:val="none"/>
        </w:rPr>
        <w:t>：</w:t>
      </w:r>
      <w:r>
        <w:rPr>
          <w:rFonts w:cs="仿宋_GB2312"/>
          <w:i w:val="0"/>
          <w:iCs w:val="0"/>
          <w:color w:val="auto"/>
          <w:szCs w:val="24"/>
          <w:highlight w:val="none"/>
        </w:rPr>
        <w:t xml:space="preserve"> </w:t>
      </w:r>
    </w:p>
    <w:p w14:paraId="77655944">
      <w:pPr>
        <w:ind w:firstLine="420"/>
        <w:rPr>
          <w:rFonts w:cs="仿宋_GB2312"/>
          <w:i w:val="0"/>
          <w:iCs w:val="0"/>
          <w:color w:val="auto"/>
          <w:szCs w:val="24"/>
          <w:highlight w:val="none"/>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598C43A6">
      <w:pPr>
        <w:ind w:firstLine="420"/>
        <w:rPr>
          <w:rFonts w:cs="仿宋_GB2312"/>
          <w:i w:val="0"/>
          <w:iCs w:val="0"/>
          <w:color w:val="auto"/>
          <w:szCs w:val="24"/>
          <w:highlight w:val="none"/>
        </w:rPr>
      </w:pPr>
      <w:r>
        <w:rPr>
          <w:rFonts w:cs="仿宋_GB2312"/>
          <w:i w:val="0"/>
          <w:iCs w:val="0"/>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p>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80" w:name="_Toc21605"/>
      <w:r>
        <w:rPr>
          <w:rFonts w:hint="eastAsia" w:cstheme="majorBidi"/>
          <w:b/>
          <w:bCs/>
          <w:i w:val="0"/>
          <w:iCs w:val="0"/>
          <w:color w:val="auto"/>
          <w:kern w:val="2"/>
          <w:sz w:val="32"/>
          <w:szCs w:val="32"/>
          <w:highlight w:val="none"/>
          <w:lang w:val="en-US" w:eastAsia="zh-CN" w:bidi="ar-SA"/>
        </w:rPr>
        <w:t>七</w:t>
      </w:r>
      <w:r>
        <w:rPr>
          <w:rFonts w:hint="eastAsia" w:eastAsia="宋体" w:asciiTheme="majorHAnsi" w:hAnsiTheme="majorHAnsi" w:cstheme="majorBidi"/>
          <w:b/>
          <w:bCs/>
          <w:i w:val="0"/>
          <w:iCs w:val="0"/>
          <w:color w:val="auto"/>
          <w:kern w:val="2"/>
          <w:sz w:val="32"/>
          <w:szCs w:val="32"/>
          <w:highlight w:val="none"/>
          <w:lang w:val="en-US" w:eastAsia="zh-CN" w:bidi="ar-SA"/>
        </w:rPr>
        <w:t>、业绩证明文件</w:t>
      </w:r>
      <w:bookmarkEnd w:id="1180"/>
    </w:p>
    <w:p w14:paraId="4541380C">
      <w:pPr>
        <w:rPr>
          <w:rFonts w:cs="仿宋_GB2312"/>
          <w:i w:val="0"/>
          <w:iCs w:val="0"/>
          <w:color w:val="auto"/>
          <w:szCs w:val="24"/>
          <w:highlight w:val="none"/>
        </w:rPr>
      </w:pPr>
      <w:r>
        <w:rPr>
          <w:rFonts w:cs="Arial"/>
          <w:bCs/>
          <w:i w:val="0"/>
          <w:iCs w:val="0"/>
          <w:color w:val="auto"/>
          <w:szCs w:val="21"/>
          <w:highlight w:val="none"/>
        </w:rPr>
        <w:fldChar w:fldCharType="begin"/>
      </w:r>
      <w:r>
        <w:rPr>
          <w:rFonts w:cs="Arial"/>
          <w:bCs/>
          <w:i w:val="0"/>
          <w:iCs w:val="0"/>
          <w:color w:val="auto"/>
          <w:szCs w:val="21"/>
          <w:highlight w:val="none"/>
        </w:rPr>
        <w:instrText xml:space="preserve"> LINK Word.Document.8 "D:\\音乐厅\\4通用设备\\招标文件\\音乐厅空调设备招标文件v1.0.doc" "OLE_LINK8" \r  \* MERGEFORMAT </w:instrText>
      </w:r>
      <w:r>
        <w:rPr>
          <w:rFonts w:cs="Arial"/>
          <w:bCs/>
          <w:i w:val="0"/>
          <w:iCs w:val="0"/>
          <w:color w:val="auto"/>
          <w:szCs w:val="21"/>
          <w:highlight w:val="none"/>
        </w:rPr>
        <w:fldChar w:fldCharType="separate"/>
      </w:r>
      <w:r>
        <w:rPr>
          <w:rFonts w:hint="eastAsia" w:cs="仿宋_GB2312"/>
          <w:i w:val="0"/>
          <w:iCs w:val="0"/>
          <w:color w:val="auto"/>
          <w:szCs w:val="24"/>
          <w:highlight w:val="none"/>
        </w:rPr>
        <w:t xml:space="preserve">项目名称：                                         </w:t>
      </w:r>
    </w:p>
    <w:p w14:paraId="159B24BA">
      <w:pPr>
        <w:rPr>
          <w:rFonts w:cs="Arial"/>
          <w:bCs/>
          <w:i w:val="0"/>
          <w:iCs w:val="0"/>
          <w:color w:val="auto"/>
          <w:szCs w:val="21"/>
          <w:highlight w:val="none"/>
        </w:rPr>
      </w:pPr>
      <w:r>
        <w:rPr>
          <w:rFonts w:hint="eastAsia" w:cs="仿宋_GB2312"/>
          <w:i w:val="0"/>
          <w:iCs w:val="0"/>
          <w:color w:val="auto"/>
          <w:szCs w:val="24"/>
          <w:highlight w:val="none"/>
        </w:rPr>
        <w:t xml:space="preserve">项目编号：      </w:t>
      </w:r>
      <w:r>
        <w:rPr>
          <w:rFonts w:cs="Arial"/>
          <w:bCs/>
          <w:i w:val="0"/>
          <w:iCs w:val="0"/>
          <w:color w:val="auto"/>
          <w:szCs w:val="21"/>
          <w:highlight w:val="none"/>
        </w:rPr>
        <w:fldChar w:fldCharType="end"/>
      </w:r>
    </w:p>
    <w:tbl>
      <w:tblPr>
        <w:tblStyle w:val="31"/>
        <w:tblW w:w="985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40"/>
        <w:gridCol w:w="1416"/>
        <w:gridCol w:w="1560"/>
        <w:gridCol w:w="1068"/>
        <w:gridCol w:w="1197"/>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i w:val="0"/>
                <w:iCs w:val="0"/>
                <w:color w:val="auto"/>
                <w:sz w:val="24"/>
                <w:szCs w:val="24"/>
                <w:highlight w:val="none"/>
              </w:rPr>
            </w:pPr>
            <w:bookmarkStart w:id="1181" w:name="_Hlk46779239"/>
            <w:r>
              <w:rPr>
                <w:rFonts w:hint="eastAsia" w:cs="仿宋_GB2312"/>
                <w:i w:val="0"/>
                <w:iCs w:val="0"/>
                <w:color w:val="auto"/>
                <w:sz w:val="24"/>
                <w:szCs w:val="24"/>
                <w:highlight w:val="none"/>
              </w:rPr>
              <w:t>序号</w:t>
            </w:r>
          </w:p>
        </w:tc>
        <w:tc>
          <w:tcPr>
            <w:tcW w:w="1295" w:type="dxa"/>
            <w:vAlign w:val="center"/>
          </w:tcPr>
          <w:p w14:paraId="51F55A40">
            <w:pPr>
              <w:rPr>
                <w:rFonts w:cs="仿宋_GB2312"/>
                <w:i w:val="0"/>
                <w:iCs w:val="0"/>
                <w:color w:val="auto"/>
                <w:sz w:val="24"/>
                <w:szCs w:val="24"/>
                <w:highlight w:val="none"/>
              </w:rPr>
            </w:pPr>
            <w:r>
              <w:rPr>
                <w:rFonts w:hint="eastAsia" w:cs="仿宋_GB2312"/>
                <w:i w:val="0"/>
                <w:iCs w:val="0"/>
                <w:color w:val="auto"/>
                <w:sz w:val="24"/>
                <w:szCs w:val="24"/>
                <w:highlight w:val="none"/>
              </w:rPr>
              <w:t>完成时间</w:t>
            </w:r>
          </w:p>
        </w:tc>
        <w:tc>
          <w:tcPr>
            <w:tcW w:w="1295" w:type="dxa"/>
            <w:vAlign w:val="center"/>
          </w:tcPr>
          <w:p w14:paraId="4D5C38D5">
            <w:pPr>
              <w:jc w:val="center"/>
              <w:rPr>
                <w:rFonts w:cs="仿宋_GB2312"/>
                <w:i w:val="0"/>
                <w:iCs w:val="0"/>
                <w:color w:val="auto"/>
                <w:sz w:val="24"/>
                <w:szCs w:val="24"/>
                <w:highlight w:val="none"/>
              </w:rPr>
            </w:pPr>
            <w:r>
              <w:rPr>
                <w:rFonts w:hint="eastAsia" w:cs="仿宋_GB2312"/>
                <w:i w:val="0"/>
                <w:iCs w:val="0"/>
                <w:color w:val="auto"/>
                <w:sz w:val="24"/>
                <w:szCs w:val="24"/>
                <w:highlight w:val="none"/>
              </w:rPr>
              <w:t>项目名称</w:t>
            </w:r>
          </w:p>
        </w:tc>
        <w:tc>
          <w:tcPr>
            <w:tcW w:w="1240" w:type="dxa"/>
            <w:vAlign w:val="center"/>
          </w:tcPr>
          <w:p w14:paraId="69717F2A">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标的</w:t>
            </w:r>
            <w:r>
              <w:rPr>
                <w:rFonts w:hint="eastAsia" w:cs="仿宋_GB2312"/>
                <w:i w:val="0"/>
                <w:iCs w:val="0"/>
                <w:color w:val="auto"/>
                <w:sz w:val="24"/>
                <w:szCs w:val="24"/>
                <w:highlight w:val="none"/>
              </w:rPr>
              <w:t>内容</w:t>
            </w:r>
          </w:p>
        </w:tc>
        <w:tc>
          <w:tcPr>
            <w:tcW w:w="1416" w:type="dxa"/>
            <w:vAlign w:val="center"/>
          </w:tcPr>
          <w:p w14:paraId="57C35070">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采购人</w:t>
            </w:r>
            <w:r>
              <w:rPr>
                <w:rFonts w:hint="eastAsia" w:cs="仿宋_GB2312"/>
                <w:i w:val="0"/>
                <w:iCs w:val="0"/>
                <w:color w:val="auto"/>
                <w:sz w:val="24"/>
                <w:szCs w:val="24"/>
                <w:highlight w:val="none"/>
              </w:rPr>
              <w:t>名称</w:t>
            </w:r>
          </w:p>
        </w:tc>
        <w:tc>
          <w:tcPr>
            <w:tcW w:w="1560" w:type="dxa"/>
            <w:vAlign w:val="center"/>
          </w:tcPr>
          <w:p w14:paraId="0236C23C">
            <w:pPr>
              <w:jc w:val="center"/>
              <w:rPr>
                <w:rFonts w:hint="eastAsia" w:cs="仿宋_GB2312"/>
                <w:i w:val="0"/>
                <w:iCs w:val="0"/>
                <w:color w:val="auto"/>
                <w:sz w:val="24"/>
                <w:szCs w:val="24"/>
                <w:highlight w:val="none"/>
              </w:rPr>
            </w:pPr>
            <w:r>
              <w:rPr>
                <w:rFonts w:hint="eastAsia" w:cs="仿宋_GB2312"/>
                <w:i w:val="0"/>
                <w:iCs w:val="0"/>
                <w:color w:val="auto"/>
                <w:sz w:val="24"/>
                <w:szCs w:val="24"/>
                <w:highlight w:val="none"/>
                <w:lang w:val="en-US" w:eastAsia="zh-CN"/>
              </w:rPr>
              <w:t>中标（成交）金额</w:t>
            </w:r>
          </w:p>
        </w:tc>
        <w:tc>
          <w:tcPr>
            <w:tcW w:w="1068" w:type="dxa"/>
            <w:vAlign w:val="center"/>
          </w:tcPr>
          <w:p w14:paraId="01352CB9">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联系人</w:t>
            </w:r>
          </w:p>
        </w:tc>
        <w:tc>
          <w:tcPr>
            <w:tcW w:w="1197" w:type="dxa"/>
            <w:vAlign w:val="center"/>
          </w:tcPr>
          <w:p w14:paraId="2DA424BF">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i w:val="0"/>
                <w:iCs w:val="0"/>
                <w:color w:val="auto"/>
                <w:sz w:val="24"/>
                <w:szCs w:val="24"/>
                <w:highlight w:val="none"/>
              </w:rPr>
            </w:pPr>
            <w:r>
              <w:rPr>
                <w:rFonts w:hint="eastAsia" w:cs="仿宋_GB2312"/>
                <w:i w:val="0"/>
                <w:iCs w:val="0"/>
                <w:color w:val="auto"/>
                <w:sz w:val="24"/>
                <w:szCs w:val="24"/>
                <w:highlight w:val="none"/>
              </w:rPr>
              <w:t>1</w:t>
            </w:r>
          </w:p>
        </w:tc>
        <w:tc>
          <w:tcPr>
            <w:tcW w:w="1295" w:type="dxa"/>
            <w:vAlign w:val="center"/>
          </w:tcPr>
          <w:p w14:paraId="27562AF7">
            <w:pPr>
              <w:rPr>
                <w:rFonts w:cs="仿宋_GB2312"/>
                <w:i w:val="0"/>
                <w:iCs w:val="0"/>
                <w:color w:val="auto"/>
                <w:sz w:val="24"/>
                <w:szCs w:val="24"/>
                <w:highlight w:val="none"/>
              </w:rPr>
            </w:pPr>
          </w:p>
        </w:tc>
        <w:tc>
          <w:tcPr>
            <w:tcW w:w="1295" w:type="dxa"/>
            <w:vAlign w:val="center"/>
          </w:tcPr>
          <w:p w14:paraId="02799269">
            <w:pPr>
              <w:rPr>
                <w:rFonts w:cs="仿宋_GB2312"/>
                <w:i w:val="0"/>
                <w:iCs w:val="0"/>
                <w:color w:val="auto"/>
                <w:sz w:val="24"/>
                <w:szCs w:val="24"/>
                <w:highlight w:val="none"/>
              </w:rPr>
            </w:pPr>
          </w:p>
        </w:tc>
        <w:tc>
          <w:tcPr>
            <w:tcW w:w="1240" w:type="dxa"/>
            <w:vAlign w:val="center"/>
          </w:tcPr>
          <w:p w14:paraId="6449ADDF">
            <w:pPr>
              <w:rPr>
                <w:rFonts w:cs="仿宋_GB2312"/>
                <w:i w:val="0"/>
                <w:iCs w:val="0"/>
                <w:color w:val="auto"/>
                <w:sz w:val="24"/>
                <w:szCs w:val="24"/>
                <w:highlight w:val="none"/>
              </w:rPr>
            </w:pPr>
          </w:p>
        </w:tc>
        <w:tc>
          <w:tcPr>
            <w:tcW w:w="1416" w:type="dxa"/>
            <w:vAlign w:val="center"/>
          </w:tcPr>
          <w:p w14:paraId="183C0714">
            <w:pPr>
              <w:rPr>
                <w:rFonts w:cs="仿宋_GB2312"/>
                <w:i w:val="0"/>
                <w:iCs w:val="0"/>
                <w:color w:val="auto"/>
                <w:sz w:val="24"/>
                <w:szCs w:val="24"/>
                <w:highlight w:val="none"/>
              </w:rPr>
            </w:pPr>
          </w:p>
        </w:tc>
        <w:tc>
          <w:tcPr>
            <w:tcW w:w="1560" w:type="dxa"/>
            <w:vAlign w:val="center"/>
          </w:tcPr>
          <w:p w14:paraId="4F169081">
            <w:pPr>
              <w:rPr>
                <w:rFonts w:cs="仿宋_GB2312"/>
                <w:i w:val="0"/>
                <w:iCs w:val="0"/>
                <w:color w:val="auto"/>
                <w:sz w:val="24"/>
                <w:szCs w:val="24"/>
                <w:highlight w:val="none"/>
              </w:rPr>
            </w:pPr>
          </w:p>
        </w:tc>
        <w:tc>
          <w:tcPr>
            <w:tcW w:w="1068" w:type="dxa"/>
            <w:vAlign w:val="center"/>
          </w:tcPr>
          <w:p w14:paraId="14FB4C57">
            <w:pPr>
              <w:rPr>
                <w:rFonts w:cs="仿宋_GB2312"/>
                <w:i w:val="0"/>
                <w:iCs w:val="0"/>
                <w:color w:val="auto"/>
                <w:sz w:val="24"/>
                <w:szCs w:val="24"/>
                <w:highlight w:val="none"/>
              </w:rPr>
            </w:pPr>
          </w:p>
        </w:tc>
        <w:tc>
          <w:tcPr>
            <w:tcW w:w="1197" w:type="dxa"/>
            <w:vAlign w:val="center"/>
          </w:tcPr>
          <w:p w14:paraId="09D0936A">
            <w:pPr>
              <w:rPr>
                <w:rFonts w:cs="仿宋_GB2312"/>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i w:val="0"/>
                <w:iCs w:val="0"/>
                <w:color w:val="auto"/>
                <w:sz w:val="24"/>
                <w:szCs w:val="24"/>
                <w:highlight w:val="none"/>
              </w:rPr>
            </w:pPr>
            <w:r>
              <w:rPr>
                <w:rFonts w:hint="eastAsia" w:cs="仿宋_GB2312"/>
                <w:i w:val="0"/>
                <w:iCs w:val="0"/>
                <w:color w:val="auto"/>
                <w:sz w:val="24"/>
                <w:szCs w:val="24"/>
                <w:highlight w:val="none"/>
              </w:rPr>
              <w:t>2</w:t>
            </w:r>
          </w:p>
        </w:tc>
        <w:tc>
          <w:tcPr>
            <w:tcW w:w="1295" w:type="dxa"/>
            <w:vAlign w:val="center"/>
          </w:tcPr>
          <w:p w14:paraId="7CA4B3F3">
            <w:pPr>
              <w:rPr>
                <w:rFonts w:cs="仿宋_GB2312"/>
                <w:i w:val="0"/>
                <w:iCs w:val="0"/>
                <w:color w:val="auto"/>
                <w:sz w:val="24"/>
                <w:szCs w:val="24"/>
                <w:highlight w:val="none"/>
              </w:rPr>
            </w:pPr>
          </w:p>
        </w:tc>
        <w:tc>
          <w:tcPr>
            <w:tcW w:w="1295" w:type="dxa"/>
            <w:vAlign w:val="center"/>
          </w:tcPr>
          <w:p w14:paraId="59CCECB1">
            <w:pPr>
              <w:rPr>
                <w:rFonts w:cs="仿宋_GB2312"/>
                <w:i w:val="0"/>
                <w:iCs w:val="0"/>
                <w:color w:val="auto"/>
                <w:sz w:val="24"/>
                <w:szCs w:val="24"/>
                <w:highlight w:val="none"/>
              </w:rPr>
            </w:pPr>
          </w:p>
        </w:tc>
        <w:tc>
          <w:tcPr>
            <w:tcW w:w="1240" w:type="dxa"/>
            <w:vAlign w:val="center"/>
          </w:tcPr>
          <w:p w14:paraId="4E8043C4">
            <w:pPr>
              <w:rPr>
                <w:rFonts w:cs="仿宋_GB2312"/>
                <w:i w:val="0"/>
                <w:iCs w:val="0"/>
                <w:color w:val="auto"/>
                <w:sz w:val="24"/>
                <w:szCs w:val="24"/>
                <w:highlight w:val="none"/>
              </w:rPr>
            </w:pPr>
          </w:p>
        </w:tc>
        <w:tc>
          <w:tcPr>
            <w:tcW w:w="1416" w:type="dxa"/>
            <w:vAlign w:val="center"/>
          </w:tcPr>
          <w:p w14:paraId="2E195778">
            <w:pPr>
              <w:rPr>
                <w:rFonts w:cs="仿宋_GB2312"/>
                <w:i w:val="0"/>
                <w:iCs w:val="0"/>
                <w:color w:val="auto"/>
                <w:sz w:val="24"/>
                <w:szCs w:val="24"/>
                <w:highlight w:val="none"/>
              </w:rPr>
            </w:pPr>
          </w:p>
        </w:tc>
        <w:tc>
          <w:tcPr>
            <w:tcW w:w="1560" w:type="dxa"/>
            <w:vAlign w:val="center"/>
          </w:tcPr>
          <w:p w14:paraId="49A8CC13">
            <w:pPr>
              <w:rPr>
                <w:rFonts w:cs="仿宋_GB2312"/>
                <w:i w:val="0"/>
                <w:iCs w:val="0"/>
                <w:color w:val="auto"/>
                <w:sz w:val="24"/>
                <w:szCs w:val="24"/>
                <w:highlight w:val="none"/>
              </w:rPr>
            </w:pPr>
          </w:p>
        </w:tc>
        <w:tc>
          <w:tcPr>
            <w:tcW w:w="1068" w:type="dxa"/>
            <w:vAlign w:val="center"/>
          </w:tcPr>
          <w:p w14:paraId="2B509829">
            <w:pPr>
              <w:rPr>
                <w:rFonts w:cs="仿宋_GB2312"/>
                <w:i w:val="0"/>
                <w:iCs w:val="0"/>
                <w:color w:val="auto"/>
                <w:sz w:val="24"/>
                <w:szCs w:val="24"/>
                <w:highlight w:val="none"/>
              </w:rPr>
            </w:pPr>
          </w:p>
        </w:tc>
        <w:tc>
          <w:tcPr>
            <w:tcW w:w="1197" w:type="dxa"/>
            <w:vAlign w:val="center"/>
          </w:tcPr>
          <w:p w14:paraId="185645D3">
            <w:pPr>
              <w:rPr>
                <w:rFonts w:cs="仿宋_GB2312"/>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i w:val="0"/>
                <w:iCs w:val="0"/>
                <w:color w:val="auto"/>
                <w:sz w:val="24"/>
                <w:szCs w:val="24"/>
                <w:highlight w:val="none"/>
              </w:rPr>
            </w:pPr>
            <w:r>
              <w:rPr>
                <w:rFonts w:hint="eastAsia" w:cs="仿宋_GB2312"/>
                <w:i w:val="0"/>
                <w:iCs w:val="0"/>
                <w:color w:val="auto"/>
                <w:sz w:val="24"/>
                <w:szCs w:val="24"/>
                <w:highlight w:val="none"/>
              </w:rPr>
              <w:t>3</w:t>
            </w:r>
          </w:p>
        </w:tc>
        <w:tc>
          <w:tcPr>
            <w:tcW w:w="1295" w:type="dxa"/>
            <w:vAlign w:val="center"/>
          </w:tcPr>
          <w:p w14:paraId="46AEF6AC">
            <w:pPr>
              <w:rPr>
                <w:rFonts w:cs="仿宋_GB2312"/>
                <w:i w:val="0"/>
                <w:iCs w:val="0"/>
                <w:color w:val="auto"/>
                <w:sz w:val="24"/>
                <w:szCs w:val="24"/>
                <w:highlight w:val="none"/>
              </w:rPr>
            </w:pPr>
          </w:p>
        </w:tc>
        <w:tc>
          <w:tcPr>
            <w:tcW w:w="1295" w:type="dxa"/>
            <w:vAlign w:val="center"/>
          </w:tcPr>
          <w:p w14:paraId="601B0208">
            <w:pPr>
              <w:rPr>
                <w:rFonts w:cs="仿宋_GB2312"/>
                <w:i w:val="0"/>
                <w:iCs w:val="0"/>
                <w:color w:val="auto"/>
                <w:sz w:val="24"/>
                <w:szCs w:val="24"/>
                <w:highlight w:val="none"/>
              </w:rPr>
            </w:pPr>
          </w:p>
        </w:tc>
        <w:tc>
          <w:tcPr>
            <w:tcW w:w="1240" w:type="dxa"/>
            <w:vAlign w:val="center"/>
          </w:tcPr>
          <w:p w14:paraId="56885EE6">
            <w:pPr>
              <w:rPr>
                <w:rFonts w:cs="仿宋_GB2312"/>
                <w:i w:val="0"/>
                <w:iCs w:val="0"/>
                <w:color w:val="auto"/>
                <w:sz w:val="24"/>
                <w:szCs w:val="24"/>
                <w:highlight w:val="none"/>
              </w:rPr>
            </w:pPr>
          </w:p>
        </w:tc>
        <w:tc>
          <w:tcPr>
            <w:tcW w:w="1416" w:type="dxa"/>
            <w:vAlign w:val="center"/>
          </w:tcPr>
          <w:p w14:paraId="00552B19">
            <w:pPr>
              <w:rPr>
                <w:rFonts w:cs="仿宋_GB2312"/>
                <w:i w:val="0"/>
                <w:iCs w:val="0"/>
                <w:color w:val="auto"/>
                <w:sz w:val="24"/>
                <w:szCs w:val="24"/>
                <w:highlight w:val="none"/>
              </w:rPr>
            </w:pPr>
          </w:p>
        </w:tc>
        <w:tc>
          <w:tcPr>
            <w:tcW w:w="1560" w:type="dxa"/>
            <w:vAlign w:val="center"/>
          </w:tcPr>
          <w:p w14:paraId="77BC6128">
            <w:pPr>
              <w:rPr>
                <w:rFonts w:cs="仿宋_GB2312"/>
                <w:i w:val="0"/>
                <w:iCs w:val="0"/>
                <w:color w:val="auto"/>
                <w:sz w:val="24"/>
                <w:szCs w:val="24"/>
                <w:highlight w:val="none"/>
              </w:rPr>
            </w:pPr>
          </w:p>
        </w:tc>
        <w:tc>
          <w:tcPr>
            <w:tcW w:w="1068" w:type="dxa"/>
            <w:vAlign w:val="center"/>
          </w:tcPr>
          <w:p w14:paraId="143DFC44">
            <w:pPr>
              <w:rPr>
                <w:rFonts w:cs="仿宋_GB2312"/>
                <w:i w:val="0"/>
                <w:iCs w:val="0"/>
                <w:color w:val="auto"/>
                <w:sz w:val="24"/>
                <w:szCs w:val="24"/>
                <w:highlight w:val="none"/>
              </w:rPr>
            </w:pPr>
          </w:p>
        </w:tc>
        <w:tc>
          <w:tcPr>
            <w:tcW w:w="1197" w:type="dxa"/>
            <w:vAlign w:val="center"/>
          </w:tcPr>
          <w:p w14:paraId="20173386">
            <w:pPr>
              <w:rPr>
                <w:rFonts w:cs="仿宋_GB2312"/>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i w:val="0"/>
                <w:iCs w:val="0"/>
                <w:color w:val="auto"/>
                <w:sz w:val="24"/>
                <w:szCs w:val="24"/>
                <w:highlight w:val="none"/>
              </w:rPr>
            </w:pPr>
            <w:r>
              <w:rPr>
                <w:rFonts w:hint="eastAsia" w:cs="仿宋_GB2312"/>
                <w:i w:val="0"/>
                <w:iCs w:val="0"/>
                <w:color w:val="auto"/>
                <w:sz w:val="24"/>
                <w:szCs w:val="24"/>
                <w:highlight w:val="none"/>
              </w:rPr>
              <w:t>…</w:t>
            </w:r>
          </w:p>
        </w:tc>
        <w:tc>
          <w:tcPr>
            <w:tcW w:w="1295" w:type="dxa"/>
            <w:vAlign w:val="center"/>
          </w:tcPr>
          <w:p w14:paraId="5D94CAA1">
            <w:pPr>
              <w:rPr>
                <w:rFonts w:cs="仿宋_GB2312"/>
                <w:i w:val="0"/>
                <w:iCs w:val="0"/>
                <w:color w:val="auto"/>
                <w:sz w:val="24"/>
                <w:szCs w:val="24"/>
                <w:highlight w:val="none"/>
              </w:rPr>
            </w:pPr>
          </w:p>
        </w:tc>
        <w:tc>
          <w:tcPr>
            <w:tcW w:w="1295" w:type="dxa"/>
            <w:vAlign w:val="center"/>
          </w:tcPr>
          <w:p w14:paraId="48AC7386">
            <w:pPr>
              <w:rPr>
                <w:rFonts w:cs="仿宋_GB2312"/>
                <w:i w:val="0"/>
                <w:iCs w:val="0"/>
                <w:color w:val="auto"/>
                <w:sz w:val="24"/>
                <w:szCs w:val="24"/>
                <w:highlight w:val="none"/>
              </w:rPr>
            </w:pPr>
          </w:p>
        </w:tc>
        <w:tc>
          <w:tcPr>
            <w:tcW w:w="1240" w:type="dxa"/>
            <w:vAlign w:val="center"/>
          </w:tcPr>
          <w:p w14:paraId="20172F35">
            <w:pPr>
              <w:rPr>
                <w:rFonts w:cs="仿宋_GB2312"/>
                <w:i w:val="0"/>
                <w:iCs w:val="0"/>
                <w:color w:val="auto"/>
                <w:sz w:val="24"/>
                <w:szCs w:val="24"/>
                <w:highlight w:val="none"/>
              </w:rPr>
            </w:pPr>
          </w:p>
        </w:tc>
        <w:tc>
          <w:tcPr>
            <w:tcW w:w="1416" w:type="dxa"/>
            <w:vAlign w:val="center"/>
          </w:tcPr>
          <w:p w14:paraId="75CF74D1">
            <w:pPr>
              <w:rPr>
                <w:rFonts w:cs="仿宋_GB2312"/>
                <w:i w:val="0"/>
                <w:iCs w:val="0"/>
                <w:color w:val="auto"/>
                <w:sz w:val="24"/>
                <w:szCs w:val="24"/>
                <w:highlight w:val="none"/>
              </w:rPr>
            </w:pPr>
          </w:p>
        </w:tc>
        <w:tc>
          <w:tcPr>
            <w:tcW w:w="1560" w:type="dxa"/>
            <w:vAlign w:val="center"/>
          </w:tcPr>
          <w:p w14:paraId="52CF4BF0">
            <w:pPr>
              <w:rPr>
                <w:rFonts w:cs="仿宋_GB2312"/>
                <w:i w:val="0"/>
                <w:iCs w:val="0"/>
                <w:color w:val="auto"/>
                <w:sz w:val="24"/>
                <w:szCs w:val="24"/>
                <w:highlight w:val="none"/>
              </w:rPr>
            </w:pPr>
          </w:p>
        </w:tc>
        <w:tc>
          <w:tcPr>
            <w:tcW w:w="1068" w:type="dxa"/>
            <w:vAlign w:val="center"/>
          </w:tcPr>
          <w:p w14:paraId="13901816">
            <w:pPr>
              <w:rPr>
                <w:rFonts w:cs="仿宋_GB2312"/>
                <w:i w:val="0"/>
                <w:iCs w:val="0"/>
                <w:color w:val="auto"/>
                <w:sz w:val="24"/>
                <w:szCs w:val="24"/>
                <w:highlight w:val="none"/>
              </w:rPr>
            </w:pPr>
          </w:p>
        </w:tc>
        <w:tc>
          <w:tcPr>
            <w:tcW w:w="1197" w:type="dxa"/>
            <w:vAlign w:val="center"/>
          </w:tcPr>
          <w:p w14:paraId="52BCFD5F">
            <w:pPr>
              <w:rPr>
                <w:rFonts w:cs="仿宋_GB2312"/>
                <w:i w:val="0"/>
                <w:iCs w:val="0"/>
                <w:color w:val="auto"/>
                <w:sz w:val="24"/>
                <w:szCs w:val="24"/>
                <w:highlight w:val="none"/>
              </w:rPr>
            </w:pPr>
          </w:p>
        </w:tc>
      </w:tr>
      <w:bookmarkEnd w:id="1181"/>
    </w:tbl>
    <w:p w14:paraId="434280D6">
      <w:pPr>
        <w:rPr>
          <w:rFonts w:hint="eastAsia" w:cs="仿宋_GB2312"/>
          <w:i w:val="0"/>
          <w:iCs w:val="0"/>
          <w:color w:val="auto"/>
          <w:szCs w:val="24"/>
          <w:highlight w:val="none"/>
        </w:rPr>
      </w:pPr>
    </w:p>
    <w:p w14:paraId="58FF379C">
      <w:pPr>
        <w:rPr>
          <w:rFonts w:cs="仿宋_GB2312"/>
          <w:i w:val="0"/>
          <w:iCs w:val="0"/>
          <w:color w:val="auto"/>
          <w:sz w:val="21"/>
          <w:szCs w:val="21"/>
          <w:highlight w:val="none"/>
        </w:rPr>
      </w:pPr>
      <w:r>
        <w:rPr>
          <w:rFonts w:hint="eastAsia" w:cs="仿宋_GB2312"/>
          <w:i w:val="0"/>
          <w:iCs w:val="0"/>
          <w:color w:val="auto"/>
          <w:sz w:val="21"/>
          <w:szCs w:val="21"/>
          <w:highlight w:val="none"/>
        </w:rPr>
        <w:t>注：</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须按上表提供相应的</w:t>
      </w:r>
      <w:r>
        <w:rPr>
          <w:rFonts w:hint="eastAsia" w:cs="仿宋_GB2312"/>
          <w:i w:val="0"/>
          <w:iCs w:val="0"/>
          <w:color w:val="auto"/>
          <w:sz w:val="21"/>
          <w:szCs w:val="21"/>
          <w:highlight w:val="none"/>
          <w:lang w:val="en-US" w:eastAsia="zh-CN"/>
        </w:rPr>
        <w:t>中标（成交）通知书、采购合同等</w:t>
      </w:r>
      <w:r>
        <w:rPr>
          <w:rFonts w:hint="eastAsia" w:cs="仿宋_GB2312"/>
          <w:i w:val="0"/>
          <w:iCs w:val="0"/>
          <w:color w:val="auto"/>
          <w:sz w:val="21"/>
          <w:szCs w:val="21"/>
          <w:highlight w:val="none"/>
        </w:rPr>
        <w:t>业绩证明资料。</w:t>
      </w:r>
    </w:p>
    <w:p w14:paraId="5DB99613">
      <w:pPr>
        <w:widowControl/>
        <w:spacing w:before="100" w:beforeAutospacing="1" w:after="100" w:afterAutospacing="1"/>
        <w:rPr>
          <w:rFonts w:cs="Arial"/>
          <w:i w:val="0"/>
          <w:iCs w:val="0"/>
          <w:color w:val="auto"/>
          <w:szCs w:val="21"/>
          <w:highlight w:val="none"/>
        </w:rPr>
      </w:pPr>
    </w:p>
    <w:p w14:paraId="24086818">
      <w:pPr>
        <w:autoSpaceDE w:val="0"/>
        <w:autoSpaceDN w:val="0"/>
        <w:spacing w:line="360" w:lineRule="auto"/>
        <w:ind w:right="1120" w:firstLine="480" w:firstLineChars="2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 xml:space="preserve">）：                                                                                                                                                                                                               </w:t>
      </w:r>
    </w:p>
    <w:p w14:paraId="0C8E7138">
      <w:pPr>
        <w:ind w:firstLine="420"/>
        <w:rPr>
          <w:rFonts w:cs="仿宋_GB2312"/>
          <w:i w:val="0"/>
          <w:iCs w:val="0"/>
          <w:color w:val="auto"/>
          <w:szCs w:val="24"/>
          <w:highlight w:val="none"/>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095105C8">
      <w:pPr>
        <w:ind w:firstLine="420"/>
        <w:rPr>
          <w:rFonts w:cs="仿宋_GB2312"/>
          <w:i w:val="0"/>
          <w:iCs w:val="0"/>
          <w:color w:val="auto"/>
          <w:szCs w:val="24"/>
          <w:highlight w:val="none"/>
        </w:rPr>
      </w:pPr>
      <w:r>
        <w:rPr>
          <w:rFonts w:cs="仿宋_GB2312"/>
          <w:i w:val="0"/>
          <w:iCs w:val="0"/>
          <w:color w:val="auto"/>
          <w:szCs w:val="24"/>
          <w:highlight w:val="none"/>
        </w:rPr>
        <w:br w:type="page"/>
      </w:r>
    </w:p>
    <w:p w14:paraId="4E924C8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82" w:name="_Toc27235"/>
      <w:r>
        <w:rPr>
          <w:rFonts w:hint="eastAsia" w:cstheme="majorBidi"/>
          <w:b/>
          <w:bCs/>
          <w:i w:val="0"/>
          <w:iCs w:val="0"/>
          <w:color w:val="auto"/>
          <w:kern w:val="2"/>
          <w:sz w:val="32"/>
          <w:szCs w:val="32"/>
          <w:highlight w:val="none"/>
          <w:lang w:val="en-US" w:eastAsia="zh-CN" w:bidi="ar-SA"/>
        </w:rPr>
        <w:t>八</w:t>
      </w:r>
      <w:r>
        <w:rPr>
          <w:rFonts w:hint="eastAsia" w:eastAsia="宋体" w:asciiTheme="majorHAnsi" w:hAnsiTheme="majorHAnsi" w:cstheme="majorBidi"/>
          <w:b/>
          <w:bCs/>
          <w:i w:val="0"/>
          <w:iCs w:val="0"/>
          <w:color w:val="auto"/>
          <w:kern w:val="2"/>
          <w:sz w:val="32"/>
          <w:szCs w:val="32"/>
          <w:highlight w:val="none"/>
          <w:lang w:val="en-US" w:eastAsia="zh-CN" w:bidi="ar-SA"/>
        </w:rPr>
        <w:t>、拟派项目团队</w:t>
      </w:r>
      <w:bookmarkEnd w:id="1182"/>
    </w:p>
    <w:tbl>
      <w:tblPr>
        <w:tblStyle w:val="31"/>
        <w:tblW w:w="894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4"/>
        <w:gridCol w:w="1140"/>
        <w:gridCol w:w="756"/>
        <w:gridCol w:w="1836"/>
        <w:gridCol w:w="1277"/>
        <w:gridCol w:w="816"/>
      </w:tblGrid>
      <w:tr w14:paraId="23B29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4A1D47D">
            <w:pPr>
              <w:pStyle w:val="48"/>
              <w:jc w:val="center"/>
              <w:rPr>
                <w:i w:val="0"/>
                <w:iCs w:val="0"/>
                <w:color w:val="auto"/>
                <w:highlight w:val="none"/>
              </w:rPr>
            </w:pPr>
            <w:r>
              <w:rPr>
                <w:rFonts w:hint="eastAsia"/>
                <w:i w:val="0"/>
                <w:iCs w:val="0"/>
                <w:color w:val="auto"/>
                <w:highlight w:val="none"/>
              </w:rPr>
              <w:t>序号</w:t>
            </w:r>
          </w:p>
        </w:tc>
        <w:tc>
          <w:tcPr>
            <w:tcW w:w="1143" w:type="dxa"/>
            <w:vAlign w:val="center"/>
          </w:tcPr>
          <w:p w14:paraId="06896F70">
            <w:pPr>
              <w:pStyle w:val="48"/>
              <w:jc w:val="center"/>
              <w:rPr>
                <w:i w:val="0"/>
                <w:iCs w:val="0"/>
                <w:color w:val="auto"/>
                <w:highlight w:val="none"/>
              </w:rPr>
            </w:pPr>
            <w:r>
              <w:rPr>
                <w:rFonts w:hint="eastAsia"/>
                <w:i w:val="0"/>
                <w:iCs w:val="0"/>
                <w:color w:val="auto"/>
                <w:highlight w:val="none"/>
                <w:lang w:val="en-US" w:eastAsia="zh-CN"/>
              </w:rPr>
              <w:t>团队成员</w:t>
            </w:r>
          </w:p>
          <w:p w14:paraId="4131E775">
            <w:pPr>
              <w:pStyle w:val="48"/>
              <w:jc w:val="center"/>
              <w:rPr>
                <w:i w:val="0"/>
                <w:iCs w:val="0"/>
                <w:color w:val="auto"/>
                <w:highlight w:val="none"/>
              </w:rPr>
            </w:pPr>
            <w:r>
              <w:rPr>
                <w:rFonts w:hint="eastAsia"/>
                <w:i w:val="0"/>
                <w:iCs w:val="0"/>
                <w:color w:val="auto"/>
                <w:highlight w:val="none"/>
              </w:rPr>
              <w:t>姓名</w:t>
            </w:r>
          </w:p>
        </w:tc>
        <w:tc>
          <w:tcPr>
            <w:tcW w:w="1204" w:type="dxa"/>
            <w:tcBorders>
              <w:right w:val="single" w:color="auto" w:sz="4" w:space="0"/>
            </w:tcBorders>
            <w:vAlign w:val="center"/>
          </w:tcPr>
          <w:p w14:paraId="7A003668">
            <w:pPr>
              <w:pStyle w:val="48"/>
              <w:jc w:val="center"/>
              <w:rPr>
                <w:i w:val="0"/>
                <w:iCs w:val="0"/>
                <w:color w:val="auto"/>
                <w:highlight w:val="none"/>
              </w:rPr>
            </w:pPr>
            <w:r>
              <w:rPr>
                <w:rFonts w:hint="eastAsia"/>
                <w:i w:val="0"/>
                <w:iCs w:val="0"/>
                <w:color w:val="auto"/>
                <w:highlight w:val="none"/>
              </w:rPr>
              <w:t>工作单位</w:t>
            </w:r>
          </w:p>
        </w:tc>
        <w:tc>
          <w:tcPr>
            <w:tcW w:w="1140" w:type="dxa"/>
            <w:tcBorders>
              <w:left w:val="single" w:color="auto" w:sz="4" w:space="0"/>
            </w:tcBorders>
            <w:vAlign w:val="center"/>
          </w:tcPr>
          <w:p w14:paraId="1E2760FF">
            <w:pPr>
              <w:pStyle w:val="48"/>
              <w:jc w:val="center"/>
              <w:rPr>
                <w:i w:val="0"/>
                <w:iCs w:val="0"/>
                <w:color w:val="auto"/>
                <w:highlight w:val="none"/>
              </w:rPr>
            </w:pPr>
            <w:r>
              <w:rPr>
                <w:rFonts w:hint="eastAsia"/>
                <w:i w:val="0"/>
                <w:iCs w:val="0"/>
                <w:color w:val="auto"/>
                <w:highlight w:val="none"/>
              </w:rPr>
              <w:t>身份证号</w:t>
            </w:r>
          </w:p>
        </w:tc>
        <w:tc>
          <w:tcPr>
            <w:tcW w:w="756" w:type="dxa"/>
            <w:tcBorders>
              <w:left w:val="single" w:color="auto" w:sz="4" w:space="0"/>
            </w:tcBorders>
            <w:vAlign w:val="center"/>
          </w:tcPr>
          <w:p w14:paraId="1955E989">
            <w:pPr>
              <w:pStyle w:val="48"/>
              <w:jc w:val="center"/>
              <w:rPr>
                <w:i w:val="0"/>
                <w:iCs w:val="0"/>
                <w:color w:val="auto"/>
                <w:highlight w:val="none"/>
              </w:rPr>
            </w:pPr>
            <w:r>
              <w:rPr>
                <w:rFonts w:hint="eastAsia"/>
                <w:i w:val="0"/>
                <w:iCs w:val="0"/>
                <w:color w:val="auto"/>
                <w:highlight w:val="none"/>
              </w:rPr>
              <w:t>职称</w:t>
            </w:r>
          </w:p>
        </w:tc>
        <w:tc>
          <w:tcPr>
            <w:tcW w:w="1836" w:type="dxa"/>
            <w:vAlign w:val="center"/>
          </w:tcPr>
          <w:p w14:paraId="57503923">
            <w:pPr>
              <w:pStyle w:val="48"/>
              <w:jc w:val="center"/>
              <w:rPr>
                <w:rFonts w:hint="default" w:eastAsia="宋体"/>
                <w:i w:val="0"/>
                <w:iCs w:val="0"/>
                <w:color w:val="auto"/>
                <w:highlight w:val="none"/>
                <w:lang w:val="en-US" w:eastAsia="zh-CN"/>
              </w:rPr>
            </w:pPr>
            <w:r>
              <w:rPr>
                <w:rFonts w:hint="eastAsia"/>
                <w:i w:val="0"/>
                <w:iCs w:val="0"/>
                <w:color w:val="auto"/>
                <w:highlight w:val="none"/>
                <w:lang w:val="en-US" w:eastAsia="zh-CN"/>
              </w:rPr>
              <w:t>注册证书（岗位证书）名称及编号</w:t>
            </w:r>
          </w:p>
        </w:tc>
        <w:tc>
          <w:tcPr>
            <w:tcW w:w="1277" w:type="dxa"/>
            <w:vAlign w:val="center"/>
          </w:tcPr>
          <w:p w14:paraId="7D2284E1">
            <w:pPr>
              <w:pStyle w:val="48"/>
              <w:jc w:val="center"/>
              <w:rPr>
                <w:i w:val="0"/>
                <w:iCs w:val="0"/>
                <w:color w:val="auto"/>
                <w:highlight w:val="none"/>
              </w:rPr>
            </w:pPr>
            <w:r>
              <w:rPr>
                <w:rFonts w:hint="eastAsia" w:eastAsia="宋体"/>
                <w:i w:val="0"/>
                <w:iCs w:val="0"/>
                <w:color w:val="auto"/>
                <w:highlight w:val="none"/>
                <w:lang w:val="en-US" w:eastAsia="zh-CN"/>
              </w:rPr>
              <w:t>在团队中职务（岗位）</w:t>
            </w:r>
          </w:p>
        </w:tc>
        <w:tc>
          <w:tcPr>
            <w:tcW w:w="816" w:type="dxa"/>
            <w:vAlign w:val="center"/>
          </w:tcPr>
          <w:p w14:paraId="626902B6">
            <w:pPr>
              <w:pStyle w:val="48"/>
              <w:jc w:val="center"/>
              <w:rPr>
                <w:i w:val="0"/>
                <w:iCs w:val="0"/>
                <w:color w:val="auto"/>
                <w:highlight w:val="none"/>
              </w:rPr>
            </w:pPr>
            <w:r>
              <w:rPr>
                <w:rFonts w:hint="eastAsia"/>
                <w:i w:val="0"/>
                <w:iCs w:val="0"/>
                <w:color w:val="auto"/>
                <w:highlight w:val="none"/>
              </w:rPr>
              <w:t>自有</w:t>
            </w:r>
            <w:r>
              <w:rPr>
                <w:i w:val="0"/>
                <w:iCs w:val="0"/>
                <w:color w:val="auto"/>
                <w:highlight w:val="none"/>
              </w:rPr>
              <w:t>/外聘</w:t>
            </w:r>
          </w:p>
        </w:tc>
      </w:tr>
      <w:tr w14:paraId="0920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5DBB5AA">
            <w:pPr>
              <w:pStyle w:val="48"/>
              <w:jc w:val="center"/>
              <w:rPr>
                <w:i w:val="0"/>
                <w:iCs w:val="0"/>
                <w:color w:val="auto"/>
                <w:highlight w:val="none"/>
              </w:rPr>
            </w:pPr>
            <w:bookmarkStart w:id="1183" w:name="_Toc99533292"/>
            <w:bookmarkStart w:id="1184" w:name="_Toc100090784"/>
            <w:r>
              <w:rPr>
                <w:rFonts w:hint="eastAsia"/>
                <w:i w:val="0"/>
                <w:iCs w:val="0"/>
                <w:color w:val="auto"/>
                <w:highlight w:val="none"/>
              </w:rPr>
              <w:t>1</w:t>
            </w:r>
            <w:bookmarkEnd w:id="1183"/>
            <w:bookmarkEnd w:id="1184"/>
          </w:p>
        </w:tc>
        <w:tc>
          <w:tcPr>
            <w:tcW w:w="1143" w:type="dxa"/>
            <w:vAlign w:val="center"/>
          </w:tcPr>
          <w:p w14:paraId="0D3CEC33">
            <w:pPr>
              <w:pStyle w:val="48"/>
              <w:jc w:val="center"/>
              <w:rPr>
                <w:i w:val="0"/>
                <w:iCs w:val="0"/>
                <w:color w:val="auto"/>
                <w:highlight w:val="none"/>
              </w:rPr>
            </w:pPr>
          </w:p>
        </w:tc>
        <w:tc>
          <w:tcPr>
            <w:tcW w:w="1204" w:type="dxa"/>
            <w:tcBorders>
              <w:right w:val="single" w:color="auto" w:sz="4" w:space="0"/>
            </w:tcBorders>
            <w:vAlign w:val="center"/>
          </w:tcPr>
          <w:p w14:paraId="12684669">
            <w:pPr>
              <w:pStyle w:val="48"/>
              <w:jc w:val="center"/>
              <w:rPr>
                <w:i w:val="0"/>
                <w:iCs w:val="0"/>
                <w:color w:val="auto"/>
                <w:highlight w:val="none"/>
              </w:rPr>
            </w:pPr>
          </w:p>
        </w:tc>
        <w:tc>
          <w:tcPr>
            <w:tcW w:w="1140" w:type="dxa"/>
            <w:tcBorders>
              <w:left w:val="single" w:color="auto" w:sz="4" w:space="0"/>
            </w:tcBorders>
            <w:vAlign w:val="center"/>
          </w:tcPr>
          <w:p w14:paraId="3952353B">
            <w:pPr>
              <w:pStyle w:val="48"/>
              <w:jc w:val="center"/>
              <w:rPr>
                <w:i w:val="0"/>
                <w:iCs w:val="0"/>
                <w:color w:val="auto"/>
                <w:highlight w:val="none"/>
              </w:rPr>
            </w:pPr>
          </w:p>
        </w:tc>
        <w:tc>
          <w:tcPr>
            <w:tcW w:w="756" w:type="dxa"/>
            <w:tcBorders>
              <w:left w:val="single" w:color="auto" w:sz="4" w:space="0"/>
            </w:tcBorders>
            <w:vAlign w:val="center"/>
          </w:tcPr>
          <w:p w14:paraId="36890BC1">
            <w:pPr>
              <w:pStyle w:val="48"/>
              <w:jc w:val="center"/>
              <w:rPr>
                <w:i w:val="0"/>
                <w:iCs w:val="0"/>
                <w:color w:val="auto"/>
                <w:highlight w:val="none"/>
              </w:rPr>
            </w:pPr>
          </w:p>
        </w:tc>
        <w:tc>
          <w:tcPr>
            <w:tcW w:w="1836" w:type="dxa"/>
            <w:vAlign w:val="center"/>
          </w:tcPr>
          <w:p w14:paraId="66425032">
            <w:pPr>
              <w:pStyle w:val="48"/>
              <w:jc w:val="center"/>
              <w:rPr>
                <w:i w:val="0"/>
                <w:iCs w:val="0"/>
                <w:color w:val="auto"/>
                <w:highlight w:val="none"/>
              </w:rPr>
            </w:pPr>
          </w:p>
        </w:tc>
        <w:tc>
          <w:tcPr>
            <w:tcW w:w="1277" w:type="dxa"/>
            <w:vAlign w:val="center"/>
          </w:tcPr>
          <w:p w14:paraId="2148FD62">
            <w:pPr>
              <w:pStyle w:val="48"/>
              <w:jc w:val="center"/>
              <w:rPr>
                <w:i w:val="0"/>
                <w:iCs w:val="0"/>
                <w:color w:val="auto"/>
                <w:highlight w:val="none"/>
              </w:rPr>
            </w:pPr>
          </w:p>
        </w:tc>
        <w:tc>
          <w:tcPr>
            <w:tcW w:w="816" w:type="dxa"/>
            <w:vAlign w:val="center"/>
          </w:tcPr>
          <w:p w14:paraId="69E0652E">
            <w:pPr>
              <w:pStyle w:val="48"/>
              <w:jc w:val="center"/>
              <w:rPr>
                <w:i w:val="0"/>
                <w:iCs w:val="0"/>
                <w:color w:val="auto"/>
                <w:highlight w:val="none"/>
              </w:rPr>
            </w:pPr>
          </w:p>
        </w:tc>
      </w:tr>
      <w:tr w14:paraId="0C38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A0B7EE5">
            <w:pPr>
              <w:pStyle w:val="48"/>
              <w:jc w:val="center"/>
              <w:rPr>
                <w:i w:val="0"/>
                <w:iCs w:val="0"/>
                <w:color w:val="auto"/>
                <w:highlight w:val="none"/>
              </w:rPr>
            </w:pPr>
            <w:bookmarkStart w:id="1185" w:name="_Toc100090785"/>
            <w:bookmarkStart w:id="1186" w:name="_Toc99533293"/>
            <w:r>
              <w:rPr>
                <w:rFonts w:hint="eastAsia"/>
                <w:i w:val="0"/>
                <w:iCs w:val="0"/>
                <w:color w:val="auto"/>
                <w:highlight w:val="none"/>
              </w:rPr>
              <w:t>2</w:t>
            </w:r>
            <w:bookmarkEnd w:id="1185"/>
            <w:bookmarkEnd w:id="1186"/>
          </w:p>
        </w:tc>
        <w:tc>
          <w:tcPr>
            <w:tcW w:w="1143" w:type="dxa"/>
            <w:vAlign w:val="center"/>
          </w:tcPr>
          <w:p w14:paraId="0DE2AA09">
            <w:pPr>
              <w:pStyle w:val="48"/>
              <w:jc w:val="center"/>
              <w:rPr>
                <w:i w:val="0"/>
                <w:iCs w:val="0"/>
                <w:color w:val="auto"/>
                <w:highlight w:val="none"/>
              </w:rPr>
            </w:pPr>
          </w:p>
        </w:tc>
        <w:tc>
          <w:tcPr>
            <w:tcW w:w="1204" w:type="dxa"/>
            <w:tcBorders>
              <w:right w:val="single" w:color="auto" w:sz="4" w:space="0"/>
            </w:tcBorders>
            <w:vAlign w:val="center"/>
          </w:tcPr>
          <w:p w14:paraId="65B29372">
            <w:pPr>
              <w:pStyle w:val="48"/>
              <w:jc w:val="center"/>
              <w:rPr>
                <w:i w:val="0"/>
                <w:iCs w:val="0"/>
                <w:color w:val="auto"/>
                <w:highlight w:val="none"/>
              </w:rPr>
            </w:pPr>
          </w:p>
        </w:tc>
        <w:tc>
          <w:tcPr>
            <w:tcW w:w="1140" w:type="dxa"/>
            <w:tcBorders>
              <w:left w:val="single" w:color="auto" w:sz="4" w:space="0"/>
            </w:tcBorders>
            <w:vAlign w:val="center"/>
          </w:tcPr>
          <w:p w14:paraId="32395576">
            <w:pPr>
              <w:pStyle w:val="48"/>
              <w:jc w:val="center"/>
              <w:rPr>
                <w:i w:val="0"/>
                <w:iCs w:val="0"/>
                <w:color w:val="auto"/>
                <w:highlight w:val="none"/>
              </w:rPr>
            </w:pPr>
          </w:p>
        </w:tc>
        <w:tc>
          <w:tcPr>
            <w:tcW w:w="756" w:type="dxa"/>
            <w:tcBorders>
              <w:left w:val="single" w:color="auto" w:sz="4" w:space="0"/>
            </w:tcBorders>
            <w:vAlign w:val="center"/>
          </w:tcPr>
          <w:p w14:paraId="79F4FDA7">
            <w:pPr>
              <w:pStyle w:val="48"/>
              <w:jc w:val="center"/>
              <w:rPr>
                <w:i w:val="0"/>
                <w:iCs w:val="0"/>
                <w:color w:val="auto"/>
                <w:highlight w:val="none"/>
              </w:rPr>
            </w:pPr>
          </w:p>
        </w:tc>
        <w:tc>
          <w:tcPr>
            <w:tcW w:w="1836" w:type="dxa"/>
            <w:vAlign w:val="center"/>
          </w:tcPr>
          <w:p w14:paraId="7C034AB7">
            <w:pPr>
              <w:pStyle w:val="48"/>
              <w:jc w:val="center"/>
              <w:rPr>
                <w:i w:val="0"/>
                <w:iCs w:val="0"/>
                <w:color w:val="auto"/>
                <w:highlight w:val="none"/>
              </w:rPr>
            </w:pPr>
          </w:p>
        </w:tc>
        <w:tc>
          <w:tcPr>
            <w:tcW w:w="1277" w:type="dxa"/>
            <w:vAlign w:val="center"/>
          </w:tcPr>
          <w:p w14:paraId="77E48E09">
            <w:pPr>
              <w:pStyle w:val="48"/>
              <w:jc w:val="center"/>
              <w:rPr>
                <w:i w:val="0"/>
                <w:iCs w:val="0"/>
                <w:color w:val="auto"/>
                <w:highlight w:val="none"/>
              </w:rPr>
            </w:pPr>
          </w:p>
        </w:tc>
        <w:tc>
          <w:tcPr>
            <w:tcW w:w="816" w:type="dxa"/>
            <w:vAlign w:val="center"/>
          </w:tcPr>
          <w:p w14:paraId="5F5A41B2">
            <w:pPr>
              <w:pStyle w:val="48"/>
              <w:jc w:val="center"/>
              <w:rPr>
                <w:i w:val="0"/>
                <w:iCs w:val="0"/>
                <w:color w:val="auto"/>
                <w:highlight w:val="none"/>
              </w:rPr>
            </w:pPr>
          </w:p>
        </w:tc>
      </w:tr>
      <w:tr w14:paraId="364D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1098136">
            <w:pPr>
              <w:pStyle w:val="48"/>
              <w:jc w:val="center"/>
              <w:rPr>
                <w:i w:val="0"/>
                <w:iCs w:val="0"/>
                <w:color w:val="auto"/>
                <w:highlight w:val="none"/>
              </w:rPr>
            </w:pPr>
            <w:bookmarkStart w:id="1187" w:name="_Toc99533294"/>
            <w:bookmarkStart w:id="1188" w:name="_Toc100090786"/>
            <w:r>
              <w:rPr>
                <w:rFonts w:hint="eastAsia"/>
                <w:i w:val="0"/>
                <w:iCs w:val="0"/>
                <w:color w:val="auto"/>
                <w:highlight w:val="none"/>
              </w:rPr>
              <w:t>3</w:t>
            </w:r>
            <w:bookmarkEnd w:id="1187"/>
            <w:bookmarkEnd w:id="1188"/>
          </w:p>
        </w:tc>
        <w:tc>
          <w:tcPr>
            <w:tcW w:w="1143" w:type="dxa"/>
            <w:vAlign w:val="center"/>
          </w:tcPr>
          <w:p w14:paraId="65BF25AF">
            <w:pPr>
              <w:pStyle w:val="48"/>
              <w:jc w:val="center"/>
              <w:rPr>
                <w:i w:val="0"/>
                <w:iCs w:val="0"/>
                <w:color w:val="auto"/>
                <w:highlight w:val="none"/>
              </w:rPr>
            </w:pPr>
          </w:p>
        </w:tc>
        <w:tc>
          <w:tcPr>
            <w:tcW w:w="1204" w:type="dxa"/>
            <w:tcBorders>
              <w:right w:val="single" w:color="auto" w:sz="4" w:space="0"/>
            </w:tcBorders>
            <w:vAlign w:val="center"/>
          </w:tcPr>
          <w:p w14:paraId="4557A193">
            <w:pPr>
              <w:pStyle w:val="48"/>
              <w:jc w:val="center"/>
              <w:rPr>
                <w:i w:val="0"/>
                <w:iCs w:val="0"/>
                <w:color w:val="auto"/>
                <w:highlight w:val="none"/>
              </w:rPr>
            </w:pPr>
          </w:p>
        </w:tc>
        <w:tc>
          <w:tcPr>
            <w:tcW w:w="1140" w:type="dxa"/>
            <w:tcBorders>
              <w:left w:val="single" w:color="auto" w:sz="4" w:space="0"/>
            </w:tcBorders>
            <w:vAlign w:val="center"/>
          </w:tcPr>
          <w:p w14:paraId="2409DFBA">
            <w:pPr>
              <w:pStyle w:val="48"/>
              <w:jc w:val="center"/>
              <w:rPr>
                <w:i w:val="0"/>
                <w:iCs w:val="0"/>
                <w:color w:val="auto"/>
                <w:highlight w:val="none"/>
              </w:rPr>
            </w:pPr>
          </w:p>
        </w:tc>
        <w:tc>
          <w:tcPr>
            <w:tcW w:w="756" w:type="dxa"/>
            <w:tcBorders>
              <w:left w:val="single" w:color="auto" w:sz="4" w:space="0"/>
            </w:tcBorders>
            <w:vAlign w:val="center"/>
          </w:tcPr>
          <w:p w14:paraId="069AB07B">
            <w:pPr>
              <w:pStyle w:val="48"/>
              <w:jc w:val="center"/>
              <w:rPr>
                <w:i w:val="0"/>
                <w:iCs w:val="0"/>
                <w:color w:val="auto"/>
                <w:highlight w:val="none"/>
              </w:rPr>
            </w:pPr>
          </w:p>
        </w:tc>
        <w:tc>
          <w:tcPr>
            <w:tcW w:w="1836" w:type="dxa"/>
            <w:vAlign w:val="center"/>
          </w:tcPr>
          <w:p w14:paraId="68C1087B">
            <w:pPr>
              <w:pStyle w:val="48"/>
              <w:jc w:val="center"/>
              <w:rPr>
                <w:i w:val="0"/>
                <w:iCs w:val="0"/>
                <w:color w:val="auto"/>
                <w:highlight w:val="none"/>
              </w:rPr>
            </w:pPr>
          </w:p>
        </w:tc>
        <w:tc>
          <w:tcPr>
            <w:tcW w:w="1277" w:type="dxa"/>
            <w:vAlign w:val="center"/>
          </w:tcPr>
          <w:p w14:paraId="107FDE9E">
            <w:pPr>
              <w:pStyle w:val="48"/>
              <w:jc w:val="center"/>
              <w:rPr>
                <w:i w:val="0"/>
                <w:iCs w:val="0"/>
                <w:color w:val="auto"/>
                <w:highlight w:val="none"/>
              </w:rPr>
            </w:pPr>
          </w:p>
        </w:tc>
        <w:tc>
          <w:tcPr>
            <w:tcW w:w="816" w:type="dxa"/>
            <w:vAlign w:val="center"/>
          </w:tcPr>
          <w:p w14:paraId="35A7CF6F">
            <w:pPr>
              <w:pStyle w:val="48"/>
              <w:jc w:val="center"/>
              <w:rPr>
                <w:i w:val="0"/>
                <w:iCs w:val="0"/>
                <w:color w:val="auto"/>
                <w:highlight w:val="none"/>
              </w:rPr>
            </w:pPr>
          </w:p>
        </w:tc>
      </w:tr>
      <w:tr w14:paraId="74F5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B655AF">
            <w:pPr>
              <w:pStyle w:val="48"/>
              <w:jc w:val="center"/>
              <w:rPr>
                <w:i w:val="0"/>
                <w:iCs w:val="0"/>
                <w:color w:val="auto"/>
                <w:highlight w:val="none"/>
              </w:rPr>
            </w:pPr>
            <w:bookmarkStart w:id="1189" w:name="_Toc99533295"/>
            <w:bookmarkStart w:id="1190" w:name="_Toc100090787"/>
            <w:r>
              <w:rPr>
                <w:rFonts w:hint="eastAsia"/>
                <w:i w:val="0"/>
                <w:iCs w:val="0"/>
                <w:color w:val="auto"/>
                <w:highlight w:val="none"/>
              </w:rPr>
              <w:t>4</w:t>
            </w:r>
            <w:bookmarkEnd w:id="1189"/>
            <w:bookmarkEnd w:id="1190"/>
          </w:p>
        </w:tc>
        <w:tc>
          <w:tcPr>
            <w:tcW w:w="1143" w:type="dxa"/>
            <w:vAlign w:val="center"/>
          </w:tcPr>
          <w:p w14:paraId="4FD9BC22">
            <w:pPr>
              <w:pStyle w:val="48"/>
              <w:jc w:val="center"/>
              <w:rPr>
                <w:i w:val="0"/>
                <w:iCs w:val="0"/>
                <w:color w:val="auto"/>
                <w:highlight w:val="none"/>
              </w:rPr>
            </w:pPr>
          </w:p>
        </w:tc>
        <w:tc>
          <w:tcPr>
            <w:tcW w:w="1204" w:type="dxa"/>
            <w:tcBorders>
              <w:right w:val="single" w:color="auto" w:sz="4" w:space="0"/>
            </w:tcBorders>
            <w:vAlign w:val="center"/>
          </w:tcPr>
          <w:p w14:paraId="3072B13C">
            <w:pPr>
              <w:pStyle w:val="48"/>
              <w:jc w:val="center"/>
              <w:rPr>
                <w:i w:val="0"/>
                <w:iCs w:val="0"/>
                <w:color w:val="auto"/>
                <w:highlight w:val="none"/>
              </w:rPr>
            </w:pPr>
          </w:p>
        </w:tc>
        <w:tc>
          <w:tcPr>
            <w:tcW w:w="1140" w:type="dxa"/>
            <w:tcBorders>
              <w:left w:val="single" w:color="auto" w:sz="4" w:space="0"/>
            </w:tcBorders>
            <w:vAlign w:val="center"/>
          </w:tcPr>
          <w:p w14:paraId="7CF007DD">
            <w:pPr>
              <w:pStyle w:val="48"/>
              <w:jc w:val="center"/>
              <w:rPr>
                <w:i w:val="0"/>
                <w:iCs w:val="0"/>
                <w:color w:val="auto"/>
                <w:highlight w:val="none"/>
              </w:rPr>
            </w:pPr>
          </w:p>
        </w:tc>
        <w:tc>
          <w:tcPr>
            <w:tcW w:w="756" w:type="dxa"/>
            <w:tcBorders>
              <w:left w:val="single" w:color="auto" w:sz="4" w:space="0"/>
            </w:tcBorders>
            <w:vAlign w:val="center"/>
          </w:tcPr>
          <w:p w14:paraId="1ECAB603">
            <w:pPr>
              <w:pStyle w:val="48"/>
              <w:jc w:val="center"/>
              <w:rPr>
                <w:i w:val="0"/>
                <w:iCs w:val="0"/>
                <w:color w:val="auto"/>
                <w:highlight w:val="none"/>
              </w:rPr>
            </w:pPr>
          </w:p>
        </w:tc>
        <w:tc>
          <w:tcPr>
            <w:tcW w:w="1836" w:type="dxa"/>
            <w:vAlign w:val="center"/>
          </w:tcPr>
          <w:p w14:paraId="3A3079A1">
            <w:pPr>
              <w:pStyle w:val="48"/>
              <w:jc w:val="center"/>
              <w:rPr>
                <w:i w:val="0"/>
                <w:iCs w:val="0"/>
                <w:color w:val="auto"/>
                <w:highlight w:val="none"/>
              </w:rPr>
            </w:pPr>
          </w:p>
        </w:tc>
        <w:tc>
          <w:tcPr>
            <w:tcW w:w="1277" w:type="dxa"/>
            <w:vAlign w:val="center"/>
          </w:tcPr>
          <w:p w14:paraId="7A6D63FA">
            <w:pPr>
              <w:pStyle w:val="48"/>
              <w:jc w:val="center"/>
              <w:rPr>
                <w:i w:val="0"/>
                <w:iCs w:val="0"/>
                <w:color w:val="auto"/>
                <w:highlight w:val="none"/>
              </w:rPr>
            </w:pPr>
          </w:p>
        </w:tc>
        <w:tc>
          <w:tcPr>
            <w:tcW w:w="816" w:type="dxa"/>
            <w:vAlign w:val="center"/>
          </w:tcPr>
          <w:p w14:paraId="0BEC0EB5">
            <w:pPr>
              <w:pStyle w:val="48"/>
              <w:jc w:val="center"/>
              <w:rPr>
                <w:i w:val="0"/>
                <w:iCs w:val="0"/>
                <w:color w:val="auto"/>
                <w:highlight w:val="none"/>
              </w:rPr>
            </w:pPr>
          </w:p>
        </w:tc>
      </w:tr>
      <w:tr w14:paraId="7DC6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B75283">
            <w:pPr>
              <w:pStyle w:val="48"/>
              <w:jc w:val="center"/>
              <w:rPr>
                <w:i w:val="0"/>
                <w:iCs w:val="0"/>
                <w:color w:val="auto"/>
                <w:highlight w:val="none"/>
              </w:rPr>
            </w:pPr>
            <w:bookmarkStart w:id="1191" w:name="_Toc99533296"/>
            <w:bookmarkStart w:id="1192" w:name="_Toc100090788"/>
            <w:r>
              <w:rPr>
                <w:rFonts w:hint="eastAsia"/>
                <w:i w:val="0"/>
                <w:iCs w:val="0"/>
                <w:color w:val="auto"/>
                <w:highlight w:val="none"/>
              </w:rPr>
              <w:t>5</w:t>
            </w:r>
            <w:bookmarkEnd w:id="1191"/>
            <w:bookmarkEnd w:id="1192"/>
          </w:p>
        </w:tc>
        <w:tc>
          <w:tcPr>
            <w:tcW w:w="1143" w:type="dxa"/>
            <w:vAlign w:val="center"/>
          </w:tcPr>
          <w:p w14:paraId="7571DCBB">
            <w:pPr>
              <w:pStyle w:val="48"/>
              <w:jc w:val="center"/>
              <w:rPr>
                <w:i w:val="0"/>
                <w:iCs w:val="0"/>
                <w:color w:val="auto"/>
                <w:highlight w:val="none"/>
              </w:rPr>
            </w:pPr>
          </w:p>
        </w:tc>
        <w:tc>
          <w:tcPr>
            <w:tcW w:w="1204" w:type="dxa"/>
            <w:tcBorders>
              <w:right w:val="single" w:color="auto" w:sz="4" w:space="0"/>
            </w:tcBorders>
            <w:vAlign w:val="center"/>
          </w:tcPr>
          <w:p w14:paraId="3AEFCEE4">
            <w:pPr>
              <w:pStyle w:val="48"/>
              <w:jc w:val="center"/>
              <w:rPr>
                <w:i w:val="0"/>
                <w:iCs w:val="0"/>
                <w:color w:val="auto"/>
                <w:highlight w:val="none"/>
              </w:rPr>
            </w:pPr>
          </w:p>
        </w:tc>
        <w:tc>
          <w:tcPr>
            <w:tcW w:w="1140" w:type="dxa"/>
            <w:tcBorders>
              <w:left w:val="single" w:color="auto" w:sz="4" w:space="0"/>
            </w:tcBorders>
            <w:vAlign w:val="center"/>
          </w:tcPr>
          <w:p w14:paraId="0DE56CC6">
            <w:pPr>
              <w:pStyle w:val="48"/>
              <w:jc w:val="center"/>
              <w:rPr>
                <w:i w:val="0"/>
                <w:iCs w:val="0"/>
                <w:color w:val="auto"/>
                <w:highlight w:val="none"/>
              </w:rPr>
            </w:pPr>
          </w:p>
        </w:tc>
        <w:tc>
          <w:tcPr>
            <w:tcW w:w="756" w:type="dxa"/>
            <w:tcBorders>
              <w:left w:val="single" w:color="auto" w:sz="4" w:space="0"/>
            </w:tcBorders>
            <w:vAlign w:val="center"/>
          </w:tcPr>
          <w:p w14:paraId="719499C3">
            <w:pPr>
              <w:pStyle w:val="48"/>
              <w:jc w:val="center"/>
              <w:rPr>
                <w:i w:val="0"/>
                <w:iCs w:val="0"/>
                <w:color w:val="auto"/>
                <w:highlight w:val="none"/>
              </w:rPr>
            </w:pPr>
          </w:p>
        </w:tc>
        <w:tc>
          <w:tcPr>
            <w:tcW w:w="1836" w:type="dxa"/>
            <w:vAlign w:val="center"/>
          </w:tcPr>
          <w:p w14:paraId="2D71EF98">
            <w:pPr>
              <w:pStyle w:val="48"/>
              <w:jc w:val="center"/>
              <w:rPr>
                <w:i w:val="0"/>
                <w:iCs w:val="0"/>
                <w:color w:val="auto"/>
                <w:highlight w:val="none"/>
              </w:rPr>
            </w:pPr>
          </w:p>
        </w:tc>
        <w:tc>
          <w:tcPr>
            <w:tcW w:w="1277" w:type="dxa"/>
            <w:vAlign w:val="center"/>
          </w:tcPr>
          <w:p w14:paraId="3943C72A">
            <w:pPr>
              <w:pStyle w:val="48"/>
              <w:jc w:val="center"/>
              <w:rPr>
                <w:i w:val="0"/>
                <w:iCs w:val="0"/>
                <w:color w:val="auto"/>
                <w:highlight w:val="none"/>
              </w:rPr>
            </w:pPr>
          </w:p>
        </w:tc>
        <w:tc>
          <w:tcPr>
            <w:tcW w:w="816" w:type="dxa"/>
            <w:vAlign w:val="center"/>
          </w:tcPr>
          <w:p w14:paraId="736CF79C">
            <w:pPr>
              <w:pStyle w:val="48"/>
              <w:jc w:val="center"/>
              <w:rPr>
                <w:i w:val="0"/>
                <w:iCs w:val="0"/>
                <w:color w:val="auto"/>
                <w:highlight w:val="none"/>
              </w:rPr>
            </w:pPr>
          </w:p>
        </w:tc>
      </w:tr>
      <w:tr w14:paraId="517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D6C5DEB">
            <w:pPr>
              <w:pStyle w:val="48"/>
              <w:jc w:val="center"/>
              <w:rPr>
                <w:i w:val="0"/>
                <w:iCs w:val="0"/>
                <w:color w:val="auto"/>
                <w:highlight w:val="none"/>
              </w:rPr>
            </w:pPr>
            <w:bookmarkStart w:id="1193" w:name="_Toc100090789"/>
            <w:bookmarkStart w:id="1194" w:name="_Toc99533297"/>
            <w:r>
              <w:rPr>
                <w:rFonts w:hint="eastAsia"/>
                <w:i w:val="0"/>
                <w:iCs w:val="0"/>
                <w:color w:val="auto"/>
                <w:highlight w:val="none"/>
              </w:rPr>
              <w:t>6</w:t>
            </w:r>
            <w:bookmarkEnd w:id="1193"/>
            <w:bookmarkEnd w:id="1194"/>
          </w:p>
        </w:tc>
        <w:tc>
          <w:tcPr>
            <w:tcW w:w="1143" w:type="dxa"/>
            <w:vAlign w:val="center"/>
          </w:tcPr>
          <w:p w14:paraId="3ACC18A2">
            <w:pPr>
              <w:pStyle w:val="48"/>
              <w:jc w:val="center"/>
              <w:rPr>
                <w:i w:val="0"/>
                <w:iCs w:val="0"/>
                <w:color w:val="auto"/>
                <w:highlight w:val="none"/>
              </w:rPr>
            </w:pPr>
          </w:p>
        </w:tc>
        <w:tc>
          <w:tcPr>
            <w:tcW w:w="1204" w:type="dxa"/>
            <w:tcBorders>
              <w:right w:val="single" w:color="auto" w:sz="4" w:space="0"/>
            </w:tcBorders>
            <w:vAlign w:val="center"/>
          </w:tcPr>
          <w:p w14:paraId="68D4F678">
            <w:pPr>
              <w:pStyle w:val="48"/>
              <w:jc w:val="center"/>
              <w:rPr>
                <w:i w:val="0"/>
                <w:iCs w:val="0"/>
                <w:color w:val="auto"/>
                <w:highlight w:val="none"/>
              </w:rPr>
            </w:pPr>
          </w:p>
        </w:tc>
        <w:tc>
          <w:tcPr>
            <w:tcW w:w="1140" w:type="dxa"/>
            <w:tcBorders>
              <w:left w:val="single" w:color="auto" w:sz="4" w:space="0"/>
            </w:tcBorders>
            <w:vAlign w:val="center"/>
          </w:tcPr>
          <w:p w14:paraId="4C384F48">
            <w:pPr>
              <w:pStyle w:val="48"/>
              <w:jc w:val="center"/>
              <w:rPr>
                <w:i w:val="0"/>
                <w:iCs w:val="0"/>
                <w:color w:val="auto"/>
                <w:highlight w:val="none"/>
              </w:rPr>
            </w:pPr>
          </w:p>
        </w:tc>
        <w:tc>
          <w:tcPr>
            <w:tcW w:w="756" w:type="dxa"/>
            <w:tcBorders>
              <w:left w:val="single" w:color="auto" w:sz="4" w:space="0"/>
            </w:tcBorders>
            <w:vAlign w:val="center"/>
          </w:tcPr>
          <w:p w14:paraId="1D0C7379">
            <w:pPr>
              <w:pStyle w:val="48"/>
              <w:jc w:val="center"/>
              <w:rPr>
                <w:i w:val="0"/>
                <w:iCs w:val="0"/>
                <w:color w:val="auto"/>
                <w:highlight w:val="none"/>
              </w:rPr>
            </w:pPr>
          </w:p>
        </w:tc>
        <w:tc>
          <w:tcPr>
            <w:tcW w:w="1836" w:type="dxa"/>
            <w:vAlign w:val="center"/>
          </w:tcPr>
          <w:p w14:paraId="51660AF8">
            <w:pPr>
              <w:pStyle w:val="48"/>
              <w:jc w:val="center"/>
              <w:rPr>
                <w:i w:val="0"/>
                <w:iCs w:val="0"/>
                <w:color w:val="auto"/>
                <w:highlight w:val="none"/>
              </w:rPr>
            </w:pPr>
          </w:p>
        </w:tc>
        <w:tc>
          <w:tcPr>
            <w:tcW w:w="1277" w:type="dxa"/>
            <w:vAlign w:val="center"/>
          </w:tcPr>
          <w:p w14:paraId="6FF03D95">
            <w:pPr>
              <w:pStyle w:val="48"/>
              <w:jc w:val="center"/>
              <w:rPr>
                <w:i w:val="0"/>
                <w:iCs w:val="0"/>
                <w:color w:val="auto"/>
                <w:highlight w:val="none"/>
              </w:rPr>
            </w:pPr>
          </w:p>
        </w:tc>
        <w:tc>
          <w:tcPr>
            <w:tcW w:w="816" w:type="dxa"/>
            <w:vAlign w:val="center"/>
          </w:tcPr>
          <w:p w14:paraId="2CE761E9">
            <w:pPr>
              <w:pStyle w:val="48"/>
              <w:jc w:val="center"/>
              <w:rPr>
                <w:i w:val="0"/>
                <w:iCs w:val="0"/>
                <w:color w:val="auto"/>
                <w:highlight w:val="none"/>
              </w:rPr>
            </w:pPr>
          </w:p>
        </w:tc>
      </w:tr>
      <w:tr w14:paraId="0B45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B4D2698">
            <w:pPr>
              <w:pStyle w:val="48"/>
              <w:jc w:val="center"/>
              <w:rPr>
                <w:i w:val="0"/>
                <w:iCs w:val="0"/>
                <w:color w:val="auto"/>
                <w:highlight w:val="none"/>
              </w:rPr>
            </w:pPr>
            <w:bookmarkStart w:id="1195" w:name="_Toc99533298"/>
            <w:bookmarkStart w:id="1196" w:name="_Toc100090790"/>
            <w:r>
              <w:rPr>
                <w:rFonts w:hint="eastAsia"/>
                <w:i w:val="0"/>
                <w:iCs w:val="0"/>
                <w:color w:val="auto"/>
                <w:highlight w:val="none"/>
              </w:rPr>
              <w:t>7</w:t>
            </w:r>
            <w:bookmarkEnd w:id="1195"/>
            <w:bookmarkEnd w:id="1196"/>
          </w:p>
        </w:tc>
        <w:tc>
          <w:tcPr>
            <w:tcW w:w="1143" w:type="dxa"/>
            <w:vAlign w:val="center"/>
          </w:tcPr>
          <w:p w14:paraId="67876EF6">
            <w:pPr>
              <w:pStyle w:val="48"/>
              <w:jc w:val="center"/>
              <w:rPr>
                <w:i w:val="0"/>
                <w:iCs w:val="0"/>
                <w:color w:val="auto"/>
                <w:highlight w:val="none"/>
              </w:rPr>
            </w:pPr>
          </w:p>
        </w:tc>
        <w:tc>
          <w:tcPr>
            <w:tcW w:w="1204" w:type="dxa"/>
            <w:tcBorders>
              <w:right w:val="single" w:color="auto" w:sz="4" w:space="0"/>
            </w:tcBorders>
            <w:vAlign w:val="center"/>
          </w:tcPr>
          <w:p w14:paraId="547BE1BD">
            <w:pPr>
              <w:pStyle w:val="48"/>
              <w:jc w:val="center"/>
              <w:rPr>
                <w:i w:val="0"/>
                <w:iCs w:val="0"/>
                <w:color w:val="auto"/>
                <w:highlight w:val="none"/>
              </w:rPr>
            </w:pPr>
          </w:p>
        </w:tc>
        <w:tc>
          <w:tcPr>
            <w:tcW w:w="1140" w:type="dxa"/>
            <w:tcBorders>
              <w:left w:val="single" w:color="auto" w:sz="4" w:space="0"/>
            </w:tcBorders>
            <w:vAlign w:val="center"/>
          </w:tcPr>
          <w:p w14:paraId="77C6C698">
            <w:pPr>
              <w:pStyle w:val="48"/>
              <w:jc w:val="center"/>
              <w:rPr>
                <w:i w:val="0"/>
                <w:iCs w:val="0"/>
                <w:color w:val="auto"/>
                <w:highlight w:val="none"/>
              </w:rPr>
            </w:pPr>
          </w:p>
        </w:tc>
        <w:tc>
          <w:tcPr>
            <w:tcW w:w="756" w:type="dxa"/>
            <w:tcBorders>
              <w:left w:val="single" w:color="auto" w:sz="4" w:space="0"/>
            </w:tcBorders>
            <w:vAlign w:val="center"/>
          </w:tcPr>
          <w:p w14:paraId="0D9D0032">
            <w:pPr>
              <w:pStyle w:val="48"/>
              <w:jc w:val="center"/>
              <w:rPr>
                <w:i w:val="0"/>
                <w:iCs w:val="0"/>
                <w:color w:val="auto"/>
                <w:highlight w:val="none"/>
              </w:rPr>
            </w:pPr>
          </w:p>
        </w:tc>
        <w:tc>
          <w:tcPr>
            <w:tcW w:w="1836" w:type="dxa"/>
            <w:vAlign w:val="center"/>
          </w:tcPr>
          <w:p w14:paraId="7CC4B080">
            <w:pPr>
              <w:pStyle w:val="48"/>
              <w:jc w:val="center"/>
              <w:rPr>
                <w:i w:val="0"/>
                <w:iCs w:val="0"/>
                <w:color w:val="auto"/>
                <w:highlight w:val="none"/>
              </w:rPr>
            </w:pPr>
          </w:p>
        </w:tc>
        <w:tc>
          <w:tcPr>
            <w:tcW w:w="1277" w:type="dxa"/>
            <w:vAlign w:val="center"/>
          </w:tcPr>
          <w:p w14:paraId="5FBF328E">
            <w:pPr>
              <w:pStyle w:val="48"/>
              <w:jc w:val="center"/>
              <w:rPr>
                <w:i w:val="0"/>
                <w:iCs w:val="0"/>
                <w:color w:val="auto"/>
                <w:highlight w:val="none"/>
              </w:rPr>
            </w:pPr>
          </w:p>
        </w:tc>
        <w:tc>
          <w:tcPr>
            <w:tcW w:w="816" w:type="dxa"/>
            <w:vAlign w:val="center"/>
          </w:tcPr>
          <w:p w14:paraId="4CC06498">
            <w:pPr>
              <w:pStyle w:val="48"/>
              <w:jc w:val="center"/>
              <w:rPr>
                <w:i w:val="0"/>
                <w:iCs w:val="0"/>
                <w:color w:val="auto"/>
                <w:highlight w:val="none"/>
              </w:rPr>
            </w:pPr>
          </w:p>
        </w:tc>
      </w:tr>
      <w:tr w14:paraId="2BAB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F7A2FA1">
            <w:pPr>
              <w:pStyle w:val="48"/>
              <w:jc w:val="center"/>
              <w:rPr>
                <w:i w:val="0"/>
                <w:iCs w:val="0"/>
                <w:color w:val="auto"/>
                <w:highlight w:val="none"/>
              </w:rPr>
            </w:pPr>
            <w:bookmarkStart w:id="1197" w:name="_Toc100090791"/>
            <w:bookmarkStart w:id="1198" w:name="_Toc99533299"/>
            <w:r>
              <w:rPr>
                <w:rFonts w:hint="eastAsia"/>
                <w:i w:val="0"/>
                <w:iCs w:val="0"/>
                <w:color w:val="auto"/>
                <w:highlight w:val="none"/>
              </w:rPr>
              <w:t>8</w:t>
            </w:r>
            <w:bookmarkEnd w:id="1197"/>
            <w:bookmarkEnd w:id="1198"/>
          </w:p>
        </w:tc>
        <w:tc>
          <w:tcPr>
            <w:tcW w:w="1143" w:type="dxa"/>
            <w:vAlign w:val="center"/>
          </w:tcPr>
          <w:p w14:paraId="783E8C54">
            <w:pPr>
              <w:pStyle w:val="48"/>
              <w:jc w:val="center"/>
              <w:rPr>
                <w:i w:val="0"/>
                <w:iCs w:val="0"/>
                <w:color w:val="auto"/>
                <w:highlight w:val="none"/>
              </w:rPr>
            </w:pPr>
          </w:p>
        </w:tc>
        <w:tc>
          <w:tcPr>
            <w:tcW w:w="1204" w:type="dxa"/>
            <w:tcBorders>
              <w:right w:val="single" w:color="auto" w:sz="4" w:space="0"/>
            </w:tcBorders>
            <w:vAlign w:val="center"/>
          </w:tcPr>
          <w:p w14:paraId="16080438">
            <w:pPr>
              <w:pStyle w:val="48"/>
              <w:jc w:val="center"/>
              <w:rPr>
                <w:i w:val="0"/>
                <w:iCs w:val="0"/>
                <w:color w:val="auto"/>
                <w:highlight w:val="none"/>
              </w:rPr>
            </w:pPr>
          </w:p>
        </w:tc>
        <w:tc>
          <w:tcPr>
            <w:tcW w:w="1140" w:type="dxa"/>
            <w:tcBorders>
              <w:left w:val="single" w:color="auto" w:sz="4" w:space="0"/>
            </w:tcBorders>
            <w:vAlign w:val="center"/>
          </w:tcPr>
          <w:p w14:paraId="4608C235">
            <w:pPr>
              <w:pStyle w:val="48"/>
              <w:jc w:val="center"/>
              <w:rPr>
                <w:i w:val="0"/>
                <w:iCs w:val="0"/>
                <w:color w:val="auto"/>
                <w:highlight w:val="none"/>
              </w:rPr>
            </w:pPr>
          </w:p>
        </w:tc>
        <w:tc>
          <w:tcPr>
            <w:tcW w:w="756" w:type="dxa"/>
            <w:tcBorders>
              <w:left w:val="single" w:color="auto" w:sz="4" w:space="0"/>
            </w:tcBorders>
            <w:vAlign w:val="center"/>
          </w:tcPr>
          <w:p w14:paraId="4082BDDF">
            <w:pPr>
              <w:pStyle w:val="48"/>
              <w:jc w:val="center"/>
              <w:rPr>
                <w:i w:val="0"/>
                <w:iCs w:val="0"/>
                <w:color w:val="auto"/>
                <w:highlight w:val="none"/>
              </w:rPr>
            </w:pPr>
          </w:p>
        </w:tc>
        <w:tc>
          <w:tcPr>
            <w:tcW w:w="1836" w:type="dxa"/>
            <w:vAlign w:val="center"/>
          </w:tcPr>
          <w:p w14:paraId="65185B57">
            <w:pPr>
              <w:pStyle w:val="48"/>
              <w:jc w:val="center"/>
              <w:rPr>
                <w:i w:val="0"/>
                <w:iCs w:val="0"/>
                <w:color w:val="auto"/>
                <w:highlight w:val="none"/>
              </w:rPr>
            </w:pPr>
          </w:p>
        </w:tc>
        <w:tc>
          <w:tcPr>
            <w:tcW w:w="1277" w:type="dxa"/>
            <w:vAlign w:val="center"/>
          </w:tcPr>
          <w:p w14:paraId="7107F6B0">
            <w:pPr>
              <w:pStyle w:val="48"/>
              <w:jc w:val="center"/>
              <w:rPr>
                <w:i w:val="0"/>
                <w:iCs w:val="0"/>
                <w:color w:val="auto"/>
                <w:highlight w:val="none"/>
              </w:rPr>
            </w:pPr>
          </w:p>
        </w:tc>
        <w:tc>
          <w:tcPr>
            <w:tcW w:w="816" w:type="dxa"/>
            <w:vAlign w:val="center"/>
          </w:tcPr>
          <w:p w14:paraId="2A255265">
            <w:pPr>
              <w:pStyle w:val="48"/>
              <w:jc w:val="center"/>
              <w:rPr>
                <w:i w:val="0"/>
                <w:iCs w:val="0"/>
                <w:color w:val="auto"/>
                <w:highlight w:val="none"/>
              </w:rPr>
            </w:pPr>
          </w:p>
        </w:tc>
      </w:tr>
      <w:tr w14:paraId="5B1C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F66056B">
            <w:pPr>
              <w:pStyle w:val="48"/>
              <w:jc w:val="center"/>
              <w:rPr>
                <w:i w:val="0"/>
                <w:iCs w:val="0"/>
                <w:color w:val="auto"/>
                <w:highlight w:val="none"/>
              </w:rPr>
            </w:pPr>
            <w:bookmarkStart w:id="1199" w:name="_Toc100090792"/>
            <w:bookmarkStart w:id="1200" w:name="_Toc99533300"/>
            <w:r>
              <w:rPr>
                <w:rFonts w:hint="eastAsia"/>
                <w:i w:val="0"/>
                <w:iCs w:val="0"/>
                <w:color w:val="auto"/>
                <w:highlight w:val="none"/>
              </w:rPr>
              <w:t>9</w:t>
            </w:r>
            <w:bookmarkEnd w:id="1199"/>
            <w:bookmarkEnd w:id="1200"/>
          </w:p>
        </w:tc>
        <w:tc>
          <w:tcPr>
            <w:tcW w:w="1143" w:type="dxa"/>
            <w:vAlign w:val="center"/>
          </w:tcPr>
          <w:p w14:paraId="1EAC117F">
            <w:pPr>
              <w:pStyle w:val="48"/>
              <w:jc w:val="center"/>
              <w:rPr>
                <w:i w:val="0"/>
                <w:iCs w:val="0"/>
                <w:color w:val="auto"/>
                <w:highlight w:val="none"/>
              </w:rPr>
            </w:pPr>
          </w:p>
        </w:tc>
        <w:tc>
          <w:tcPr>
            <w:tcW w:w="1204" w:type="dxa"/>
            <w:tcBorders>
              <w:right w:val="single" w:color="auto" w:sz="4" w:space="0"/>
            </w:tcBorders>
            <w:vAlign w:val="center"/>
          </w:tcPr>
          <w:p w14:paraId="0C56C72E">
            <w:pPr>
              <w:pStyle w:val="48"/>
              <w:jc w:val="center"/>
              <w:rPr>
                <w:i w:val="0"/>
                <w:iCs w:val="0"/>
                <w:color w:val="auto"/>
                <w:highlight w:val="none"/>
              </w:rPr>
            </w:pPr>
          </w:p>
        </w:tc>
        <w:tc>
          <w:tcPr>
            <w:tcW w:w="1140" w:type="dxa"/>
            <w:tcBorders>
              <w:left w:val="single" w:color="auto" w:sz="4" w:space="0"/>
            </w:tcBorders>
            <w:vAlign w:val="center"/>
          </w:tcPr>
          <w:p w14:paraId="53D85840">
            <w:pPr>
              <w:pStyle w:val="48"/>
              <w:jc w:val="center"/>
              <w:rPr>
                <w:i w:val="0"/>
                <w:iCs w:val="0"/>
                <w:color w:val="auto"/>
                <w:highlight w:val="none"/>
              </w:rPr>
            </w:pPr>
          </w:p>
        </w:tc>
        <w:tc>
          <w:tcPr>
            <w:tcW w:w="756" w:type="dxa"/>
            <w:tcBorders>
              <w:left w:val="single" w:color="auto" w:sz="4" w:space="0"/>
            </w:tcBorders>
            <w:vAlign w:val="center"/>
          </w:tcPr>
          <w:p w14:paraId="6C7CE02A">
            <w:pPr>
              <w:pStyle w:val="48"/>
              <w:jc w:val="center"/>
              <w:rPr>
                <w:i w:val="0"/>
                <w:iCs w:val="0"/>
                <w:color w:val="auto"/>
                <w:highlight w:val="none"/>
              </w:rPr>
            </w:pPr>
          </w:p>
        </w:tc>
        <w:tc>
          <w:tcPr>
            <w:tcW w:w="1836" w:type="dxa"/>
            <w:vAlign w:val="center"/>
          </w:tcPr>
          <w:p w14:paraId="2AB0E034">
            <w:pPr>
              <w:pStyle w:val="48"/>
              <w:jc w:val="center"/>
              <w:rPr>
                <w:i w:val="0"/>
                <w:iCs w:val="0"/>
                <w:color w:val="auto"/>
                <w:highlight w:val="none"/>
              </w:rPr>
            </w:pPr>
          </w:p>
        </w:tc>
        <w:tc>
          <w:tcPr>
            <w:tcW w:w="1277" w:type="dxa"/>
            <w:vAlign w:val="center"/>
          </w:tcPr>
          <w:p w14:paraId="6968EA5F">
            <w:pPr>
              <w:pStyle w:val="48"/>
              <w:jc w:val="center"/>
              <w:rPr>
                <w:i w:val="0"/>
                <w:iCs w:val="0"/>
                <w:color w:val="auto"/>
                <w:highlight w:val="none"/>
              </w:rPr>
            </w:pPr>
          </w:p>
        </w:tc>
        <w:tc>
          <w:tcPr>
            <w:tcW w:w="816" w:type="dxa"/>
            <w:vAlign w:val="center"/>
          </w:tcPr>
          <w:p w14:paraId="7D8C1BDF">
            <w:pPr>
              <w:pStyle w:val="48"/>
              <w:jc w:val="center"/>
              <w:rPr>
                <w:i w:val="0"/>
                <w:iCs w:val="0"/>
                <w:color w:val="auto"/>
                <w:highlight w:val="none"/>
              </w:rPr>
            </w:pPr>
          </w:p>
        </w:tc>
      </w:tr>
      <w:tr w14:paraId="0D50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216F2C57">
            <w:pPr>
              <w:pStyle w:val="48"/>
              <w:jc w:val="center"/>
              <w:rPr>
                <w:i w:val="0"/>
                <w:iCs w:val="0"/>
                <w:color w:val="auto"/>
                <w:highlight w:val="none"/>
              </w:rPr>
            </w:pPr>
            <w:bookmarkStart w:id="1201" w:name="_Toc99533301"/>
            <w:bookmarkStart w:id="1202" w:name="_Toc100090793"/>
            <w:r>
              <w:rPr>
                <w:rFonts w:hint="eastAsia"/>
                <w:i w:val="0"/>
                <w:iCs w:val="0"/>
                <w:color w:val="auto"/>
                <w:highlight w:val="none"/>
              </w:rPr>
              <w:t>10</w:t>
            </w:r>
            <w:bookmarkEnd w:id="1201"/>
            <w:bookmarkEnd w:id="1202"/>
          </w:p>
        </w:tc>
        <w:tc>
          <w:tcPr>
            <w:tcW w:w="1143" w:type="dxa"/>
            <w:vAlign w:val="center"/>
          </w:tcPr>
          <w:p w14:paraId="7811E0AD">
            <w:pPr>
              <w:pStyle w:val="48"/>
              <w:jc w:val="center"/>
              <w:rPr>
                <w:i w:val="0"/>
                <w:iCs w:val="0"/>
                <w:color w:val="auto"/>
                <w:highlight w:val="none"/>
              </w:rPr>
            </w:pPr>
          </w:p>
        </w:tc>
        <w:tc>
          <w:tcPr>
            <w:tcW w:w="1204" w:type="dxa"/>
            <w:tcBorders>
              <w:right w:val="single" w:color="auto" w:sz="4" w:space="0"/>
            </w:tcBorders>
            <w:vAlign w:val="center"/>
          </w:tcPr>
          <w:p w14:paraId="62E7AF22">
            <w:pPr>
              <w:pStyle w:val="48"/>
              <w:jc w:val="center"/>
              <w:rPr>
                <w:i w:val="0"/>
                <w:iCs w:val="0"/>
                <w:color w:val="auto"/>
                <w:highlight w:val="none"/>
              </w:rPr>
            </w:pPr>
          </w:p>
        </w:tc>
        <w:tc>
          <w:tcPr>
            <w:tcW w:w="1140" w:type="dxa"/>
            <w:tcBorders>
              <w:left w:val="single" w:color="auto" w:sz="4" w:space="0"/>
            </w:tcBorders>
            <w:vAlign w:val="center"/>
          </w:tcPr>
          <w:p w14:paraId="34B04CA5">
            <w:pPr>
              <w:pStyle w:val="48"/>
              <w:jc w:val="center"/>
              <w:rPr>
                <w:i w:val="0"/>
                <w:iCs w:val="0"/>
                <w:color w:val="auto"/>
                <w:highlight w:val="none"/>
              </w:rPr>
            </w:pPr>
          </w:p>
        </w:tc>
        <w:tc>
          <w:tcPr>
            <w:tcW w:w="756" w:type="dxa"/>
            <w:tcBorders>
              <w:left w:val="single" w:color="auto" w:sz="4" w:space="0"/>
            </w:tcBorders>
            <w:vAlign w:val="center"/>
          </w:tcPr>
          <w:p w14:paraId="05EAA54E">
            <w:pPr>
              <w:pStyle w:val="48"/>
              <w:jc w:val="center"/>
              <w:rPr>
                <w:i w:val="0"/>
                <w:iCs w:val="0"/>
                <w:color w:val="auto"/>
                <w:highlight w:val="none"/>
              </w:rPr>
            </w:pPr>
          </w:p>
        </w:tc>
        <w:tc>
          <w:tcPr>
            <w:tcW w:w="1836" w:type="dxa"/>
            <w:vAlign w:val="center"/>
          </w:tcPr>
          <w:p w14:paraId="55197B5F">
            <w:pPr>
              <w:pStyle w:val="48"/>
              <w:jc w:val="center"/>
              <w:rPr>
                <w:i w:val="0"/>
                <w:iCs w:val="0"/>
                <w:color w:val="auto"/>
                <w:highlight w:val="none"/>
              </w:rPr>
            </w:pPr>
          </w:p>
        </w:tc>
        <w:tc>
          <w:tcPr>
            <w:tcW w:w="1277" w:type="dxa"/>
            <w:vAlign w:val="center"/>
          </w:tcPr>
          <w:p w14:paraId="292E64B7">
            <w:pPr>
              <w:pStyle w:val="48"/>
              <w:jc w:val="center"/>
              <w:rPr>
                <w:i w:val="0"/>
                <w:iCs w:val="0"/>
                <w:color w:val="auto"/>
                <w:highlight w:val="none"/>
              </w:rPr>
            </w:pPr>
          </w:p>
        </w:tc>
        <w:tc>
          <w:tcPr>
            <w:tcW w:w="816" w:type="dxa"/>
            <w:vAlign w:val="center"/>
          </w:tcPr>
          <w:p w14:paraId="6F333150">
            <w:pPr>
              <w:pStyle w:val="48"/>
              <w:jc w:val="center"/>
              <w:rPr>
                <w:i w:val="0"/>
                <w:iCs w:val="0"/>
                <w:color w:val="auto"/>
                <w:highlight w:val="none"/>
              </w:rPr>
            </w:pPr>
          </w:p>
        </w:tc>
      </w:tr>
    </w:tbl>
    <w:p w14:paraId="51ED7B0D">
      <w:pPr>
        <w:rPr>
          <w:i w:val="0"/>
          <w:iCs w:val="0"/>
          <w:color w:val="auto"/>
          <w:highlight w:val="none"/>
        </w:rPr>
      </w:pPr>
      <w:r>
        <w:rPr>
          <w:i w:val="0"/>
          <w:iCs w:val="0"/>
          <w:color w:val="auto"/>
          <w:highlight w:val="none"/>
        </w:rPr>
        <w:br w:type="page"/>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203" w:name="_Toc11494"/>
      <w:r>
        <w:rPr>
          <w:rFonts w:hint="eastAsia" w:cstheme="majorBidi"/>
          <w:b/>
          <w:bCs/>
          <w:i w:val="0"/>
          <w:iCs w:val="0"/>
          <w:color w:val="auto"/>
          <w:kern w:val="2"/>
          <w:sz w:val="32"/>
          <w:szCs w:val="32"/>
          <w:highlight w:val="none"/>
          <w:lang w:val="en-US" w:eastAsia="zh-CN" w:bidi="ar-SA"/>
        </w:rPr>
        <w:t>九</w:t>
      </w:r>
      <w:r>
        <w:rPr>
          <w:rFonts w:hint="eastAsia" w:eastAsia="宋体" w:asciiTheme="majorHAnsi" w:hAnsiTheme="majorHAnsi" w:cstheme="majorBidi"/>
          <w:b/>
          <w:bCs/>
          <w:i w:val="0"/>
          <w:iCs w:val="0"/>
          <w:color w:val="auto"/>
          <w:kern w:val="2"/>
          <w:sz w:val="32"/>
          <w:szCs w:val="32"/>
          <w:highlight w:val="none"/>
          <w:lang w:val="en-US" w:eastAsia="zh-CN" w:bidi="ar-SA"/>
        </w:rPr>
        <w:t>、技术响应偏离表</w:t>
      </w:r>
      <w:bookmarkEnd w:id="1203"/>
    </w:p>
    <w:p w14:paraId="7EE50E6A">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10CF1BE4">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i w:val="0"/>
          <w:iCs w:val="0"/>
          <w:color w:val="auto"/>
          <w:szCs w:val="24"/>
          <w:highlight w:val="none"/>
        </w:rPr>
        <w:t xml:space="preserve">：         </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8"/>
              <w:jc w:val="center"/>
              <w:rPr>
                <w:i w:val="0"/>
                <w:iCs w:val="0"/>
                <w:color w:val="auto"/>
                <w:highlight w:val="none"/>
              </w:rPr>
            </w:pPr>
            <w:r>
              <w:rPr>
                <w:rFonts w:hint="eastAsia"/>
                <w:i w:val="0"/>
                <w:iCs w:val="0"/>
                <w:color w:val="auto"/>
                <w:highlight w:val="none"/>
              </w:rPr>
              <w:t>序号</w:t>
            </w:r>
          </w:p>
        </w:tc>
        <w:tc>
          <w:tcPr>
            <w:tcW w:w="1277" w:type="pct"/>
            <w:vAlign w:val="center"/>
          </w:tcPr>
          <w:p w14:paraId="0C5608DB">
            <w:pPr>
              <w:pStyle w:val="48"/>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文件技术要求条款</w:t>
            </w:r>
          </w:p>
        </w:tc>
        <w:tc>
          <w:tcPr>
            <w:tcW w:w="913" w:type="pct"/>
            <w:vAlign w:val="center"/>
          </w:tcPr>
          <w:p w14:paraId="0B845CF1">
            <w:pPr>
              <w:pStyle w:val="48"/>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文件内容</w:t>
            </w:r>
          </w:p>
          <w:p w14:paraId="4F79E073">
            <w:pPr>
              <w:pStyle w:val="48"/>
              <w:jc w:val="center"/>
              <w:rPr>
                <w:i w:val="0"/>
                <w:iCs w:val="0"/>
                <w:color w:val="auto"/>
                <w:highlight w:val="none"/>
              </w:rPr>
            </w:pPr>
            <w:r>
              <w:rPr>
                <w:rFonts w:hint="eastAsia"/>
                <w:i w:val="0"/>
                <w:iCs w:val="0"/>
                <w:color w:val="auto"/>
                <w:highlight w:val="none"/>
              </w:rPr>
              <w:t>对应简述</w:t>
            </w:r>
          </w:p>
        </w:tc>
        <w:tc>
          <w:tcPr>
            <w:tcW w:w="1200" w:type="pct"/>
            <w:vAlign w:val="center"/>
          </w:tcPr>
          <w:p w14:paraId="4AB4E9C3">
            <w:pPr>
              <w:pStyle w:val="48"/>
              <w:jc w:val="center"/>
              <w:rPr>
                <w:i w:val="0"/>
                <w:iCs w:val="0"/>
                <w:color w:val="auto"/>
                <w:highlight w:val="none"/>
              </w:rPr>
            </w:pPr>
            <w:r>
              <w:rPr>
                <w:rFonts w:hint="eastAsia"/>
                <w:i w:val="0"/>
                <w:iCs w:val="0"/>
                <w:color w:val="auto"/>
                <w:highlight w:val="none"/>
              </w:rPr>
              <w:t>响应情况</w:t>
            </w:r>
          </w:p>
        </w:tc>
        <w:tc>
          <w:tcPr>
            <w:tcW w:w="1200" w:type="pct"/>
            <w:vAlign w:val="center"/>
          </w:tcPr>
          <w:p w14:paraId="09D725B9">
            <w:pPr>
              <w:pStyle w:val="48"/>
              <w:jc w:val="center"/>
              <w:rPr>
                <w:i w:val="0"/>
                <w:iCs w:val="0"/>
                <w:color w:val="auto"/>
                <w:highlight w:val="none"/>
              </w:rPr>
            </w:pPr>
            <w:r>
              <w:rPr>
                <w:rFonts w:hint="eastAsia"/>
                <w:i w:val="0"/>
                <w:iCs w:val="0"/>
                <w:color w:val="auto"/>
                <w:highlight w:val="none"/>
                <w:lang w:val="en-US" w:eastAsia="zh-CN"/>
              </w:rPr>
              <w:t>证明资料</w:t>
            </w:r>
            <w:r>
              <w:rPr>
                <w:rFonts w:hint="eastAsia"/>
                <w:i w:val="0"/>
                <w:iCs w:val="0"/>
                <w:color w:val="auto"/>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8"/>
              <w:jc w:val="center"/>
              <w:rPr>
                <w:i w:val="0"/>
                <w:iCs w:val="0"/>
                <w:color w:val="auto"/>
                <w:highlight w:val="none"/>
              </w:rPr>
            </w:pPr>
            <w:r>
              <w:rPr>
                <w:rFonts w:hint="eastAsia"/>
                <w:i w:val="0"/>
                <w:iCs w:val="0"/>
                <w:color w:val="auto"/>
                <w:highlight w:val="none"/>
              </w:rPr>
              <w:t>1</w:t>
            </w:r>
          </w:p>
        </w:tc>
        <w:tc>
          <w:tcPr>
            <w:tcW w:w="1277" w:type="pct"/>
            <w:vAlign w:val="center"/>
          </w:tcPr>
          <w:p w14:paraId="69B288A0">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0E04AD72">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85AEA1C">
            <w:pPr>
              <w:pStyle w:val="48"/>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02D97874">
            <w:pPr>
              <w:pStyle w:val="48"/>
              <w:jc w:val="center"/>
              <w:rPr>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8"/>
              <w:jc w:val="center"/>
              <w:rPr>
                <w:i w:val="0"/>
                <w:iCs w:val="0"/>
                <w:color w:val="auto"/>
                <w:highlight w:val="none"/>
              </w:rPr>
            </w:pPr>
            <w:r>
              <w:rPr>
                <w:rFonts w:hint="eastAsia"/>
                <w:i w:val="0"/>
                <w:iCs w:val="0"/>
                <w:color w:val="auto"/>
                <w:highlight w:val="none"/>
              </w:rPr>
              <w:t>2</w:t>
            </w:r>
          </w:p>
        </w:tc>
        <w:tc>
          <w:tcPr>
            <w:tcW w:w="1277" w:type="pct"/>
            <w:vAlign w:val="center"/>
          </w:tcPr>
          <w:p w14:paraId="30E52A7F">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29A6C1E1">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D92E460">
            <w:pPr>
              <w:pStyle w:val="48"/>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63E16449">
            <w:pPr>
              <w:pStyle w:val="48"/>
              <w:jc w:val="center"/>
              <w:rPr>
                <w:i w:val="0"/>
                <w:iCs w:val="0"/>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8"/>
              <w:jc w:val="center"/>
              <w:rPr>
                <w:i w:val="0"/>
                <w:iCs w:val="0"/>
                <w:color w:val="auto"/>
                <w:highlight w:val="none"/>
              </w:rPr>
            </w:pPr>
          </w:p>
        </w:tc>
        <w:tc>
          <w:tcPr>
            <w:tcW w:w="1277" w:type="pct"/>
            <w:vAlign w:val="center"/>
          </w:tcPr>
          <w:p w14:paraId="6D1DD644">
            <w:pPr>
              <w:pStyle w:val="48"/>
              <w:jc w:val="center"/>
              <w:rPr>
                <w:i w:val="0"/>
                <w:iCs w:val="0"/>
                <w:color w:val="auto"/>
                <w:highlight w:val="none"/>
              </w:rPr>
            </w:pPr>
          </w:p>
        </w:tc>
        <w:tc>
          <w:tcPr>
            <w:tcW w:w="913" w:type="pct"/>
            <w:vAlign w:val="center"/>
          </w:tcPr>
          <w:p w14:paraId="2982168B">
            <w:pPr>
              <w:pStyle w:val="48"/>
              <w:jc w:val="center"/>
              <w:rPr>
                <w:i w:val="0"/>
                <w:iCs w:val="0"/>
                <w:color w:val="auto"/>
                <w:highlight w:val="none"/>
              </w:rPr>
            </w:pPr>
          </w:p>
        </w:tc>
        <w:tc>
          <w:tcPr>
            <w:tcW w:w="1200" w:type="pct"/>
            <w:vAlign w:val="center"/>
          </w:tcPr>
          <w:p w14:paraId="78EC7D09">
            <w:pPr>
              <w:pStyle w:val="48"/>
              <w:jc w:val="center"/>
              <w:rPr>
                <w:i w:val="0"/>
                <w:iCs w:val="0"/>
                <w:color w:val="auto"/>
                <w:highlight w:val="none"/>
              </w:rPr>
            </w:pPr>
          </w:p>
        </w:tc>
        <w:tc>
          <w:tcPr>
            <w:tcW w:w="1200" w:type="pct"/>
            <w:vAlign w:val="center"/>
          </w:tcPr>
          <w:p w14:paraId="46369488">
            <w:pPr>
              <w:pStyle w:val="48"/>
              <w:jc w:val="center"/>
              <w:rPr>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8"/>
              <w:jc w:val="center"/>
              <w:rPr>
                <w:i w:val="0"/>
                <w:iCs w:val="0"/>
                <w:color w:val="auto"/>
                <w:highlight w:val="none"/>
              </w:rPr>
            </w:pPr>
          </w:p>
        </w:tc>
        <w:tc>
          <w:tcPr>
            <w:tcW w:w="1277" w:type="pct"/>
            <w:vAlign w:val="center"/>
          </w:tcPr>
          <w:p w14:paraId="529041E2">
            <w:pPr>
              <w:pStyle w:val="48"/>
              <w:jc w:val="center"/>
              <w:rPr>
                <w:i w:val="0"/>
                <w:iCs w:val="0"/>
                <w:color w:val="auto"/>
                <w:highlight w:val="none"/>
              </w:rPr>
            </w:pPr>
          </w:p>
        </w:tc>
        <w:tc>
          <w:tcPr>
            <w:tcW w:w="913" w:type="pct"/>
            <w:vAlign w:val="center"/>
          </w:tcPr>
          <w:p w14:paraId="301E476D">
            <w:pPr>
              <w:pStyle w:val="48"/>
              <w:jc w:val="center"/>
              <w:rPr>
                <w:i w:val="0"/>
                <w:iCs w:val="0"/>
                <w:color w:val="auto"/>
                <w:highlight w:val="none"/>
              </w:rPr>
            </w:pPr>
          </w:p>
        </w:tc>
        <w:tc>
          <w:tcPr>
            <w:tcW w:w="1200" w:type="pct"/>
            <w:vAlign w:val="center"/>
          </w:tcPr>
          <w:p w14:paraId="06F8AED7">
            <w:pPr>
              <w:pStyle w:val="48"/>
              <w:jc w:val="center"/>
              <w:rPr>
                <w:i w:val="0"/>
                <w:iCs w:val="0"/>
                <w:color w:val="auto"/>
                <w:highlight w:val="none"/>
              </w:rPr>
            </w:pPr>
          </w:p>
        </w:tc>
        <w:tc>
          <w:tcPr>
            <w:tcW w:w="1200" w:type="pct"/>
            <w:vAlign w:val="center"/>
          </w:tcPr>
          <w:p w14:paraId="0CE9DF45">
            <w:pPr>
              <w:pStyle w:val="48"/>
              <w:jc w:val="center"/>
              <w:rPr>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8"/>
              <w:jc w:val="center"/>
              <w:rPr>
                <w:i w:val="0"/>
                <w:iCs w:val="0"/>
                <w:color w:val="auto"/>
                <w:highlight w:val="none"/>
              </w:rPr>
            </w:pPr>
          </w:p>
        </w:tc>
        <w:tc>
          <w:tcPr>
            <w:tcW w:w="1277" w:type="pct"/>
            <w:vAlign w:val="center"/>
          </w:tcPr>
          <w:p w14:paraId="77107295">
            <w:pPr>
              <w:pStyle w:val="48"/>
              <w:jc w:val="center"/>
              <w:rPr>
                <w:i w:val="0"/>
                <w:iCs w:val="0"/>
                <w:color w:val="auto"/>
                <w:highlight w:val="none"/>
              </w:rPr>
            </w:pPr>
          </w:p>
        </w:tc>
        <w:tc>
          <w:tcPr>
            <w:tcW w:w="913" w:type="pct"/>
            <w:vAlign w:val="center"/>
          </w:tcPr>
          <w:p w14:paraId="4D01D78E">
            <w:pPr>
              <w:pStyle w:val="48"/>
              <w:jc w:val="center"/>
              <w:rPr>
                <w:i w:val="0"/>
                <w:iCs w:val="0"/>
                <w:color w:val="auto"/>
                <w:highlight w:val="none"/>
              </w:rPr>
            </w:pPr>
          </w:p>
        </w:tc>
        <w:tc>
          <w:tcPr>
            <w:tcW w:w="1200" w:type="pct"/>
            <w:vAlign w:val="center"/>
          </w:tcPr>
          <w:p w14:paraId="6D546857">
            <w:pPr>
              <w:pStyle w:val="48"/>
              <w:jc w:val="center"/>
              <w:rPr>
                <w:i w:val="0"/>
                <w:iCs w:val="0"/>
                <w:color w:val="auto"/>
                <w:highlight w:val="none"/>
              </w:rPr>
            </w:pPr>
          </w:p>
        </w:tc>
        <w:tc>
          <w:tcPr>
            <w:tcW w:w="1200" w:type="pct"/>
            <w:vAlign w:val="center"/>
          </w:tcPr>
          <w:p w14:paraId="2E1B7D0B">
            <w:pPr>
              <w:pStyle w:val="48"/>
              <w:jc w:val="center"/>
              <w:rPr>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8"/>
              <w:jc w:val="center"/>
              <w:rPr>
                <w:i w:val="0"/>
                <w:iCs w:val="0"/>
                <w:color w:val="auto"/>
                <w:highlight w:val="none"/>
              </w:rPr>
            </w:pPr>
          </w:p>
        </w:tc>
        <w:tc>
          <w:tcPr>
            <w:tcW w:w="1277" w:type="pct"/>
            <w:vAlign w:val="center"/>
          </w:tcPr>
          <w:p w14:paraId="5C7E043B">
            <w:pPr>
              <w:pStyle w:val="48"/>
              <w:jc w:val="center"/>
              <w:rPr>
                <w:i w:val="0"/>
                <w:iCs w:val="0"/>
                <w:color w:val="auto"/>
                <w:highlight w:val="none"/>
              </w:rPr>
            </w:pPr>
          </w:p>
        </w:tc>
        <w:tc>
          <w:tcPr>
            <w:tcW w:w="913" w:type="pct"/>
            <w:vAlign w:val="center"/>
          </w:tcPr>
          <w:p w14:paraId="64166C7A">
            <w:pPr>
              <w:pStyle w:val="48"/>
              <w:jc w:val="center"/>
              <w:rPr>
                <w:i w:val="0"/>
                <w:iCs w:val="0"/>
                <w:color w:val="auto"/>
                <w:highlight w:val="none"/>
              </w:rPr>
            </w:pPr>
          </w:p>
        </w:tc>
        <w:tc>
          <w:tcPr>
            <w:tcW w:w="1200" w:type="pct"/>
            <w:vAlign w:val="center"/>
          </w:tcPr>
          <w:p w14:paraId="2817CCE5">
            <w:pPr>
              <w:pStyle w:val="48"/>
              <w:jc w:val="center"/>
              <w:rPr>
                <w:i w:val="0"/>
                <w:iCs w:val="0"/>
                <w:color w:val="auto"/>
                <w:highlight w:val="none"/>
              </w:rPr>
            </w:pPr>
          </w:p>
        </w:tc>
        <w:tc>
          <w:tcPr>
            <w:tcW w:w="1200" w:type="pct"/>
            <w:vAlign w:val="center"/>
          </w:tcPr>
          <w:p w14:paraId="184E3F96">
            <w:pPr>
              <w:pStyle w:val="48"/>
              <w:jc w:val="center"/>
              <w:rPr>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8"/>
              <w:jc w:val="center"/>
              <w:rPr>
                <w:i w:val="0"/>
                <w:iCs w:val="0"/>
                <w:color w:val="auto"/>
                <w:highlight w:val="none"/>
              </w:rPr>
            </w:pPr>
          </w:p>
        </w:tc>
        <w:tc>
          <w:tcPr>
            <w:tcW w:w="1277" w:type="pct"/>
            <w:vAlign w:val="center"/>
          </w:tcPr>
          <w:p w14:paraId="565EC642">
            <w:pPr>
              <w:pStyle w:val="48"/>
              <w:jc w:val="center"/>
              <w:rPr>
                <w:i w:val="0"/>
                <w:iCs w:val="0"/>
                <w:color w:val="auto"/>
                <w:highlight w:val="none"/>
              </w:rPr>
            </w:pPr>
          </w:p>
        </w:tc>
        <w:tc>
          <w:tcPr>
            <w:tcW w:w="913" w:type="pct"/>
            <w:vAlign w:val="center"/>
          </w:tcPr>
          <w:p w14:paraId="4813DEC4">
            <w:pPr>
              <w:pStyle w:val="48"/>
              <w:jc w:val="center"/>
              <w:rPr>
                <w:i w:val="0"/>
                <w:iCs w:val="0"/>
                <w:color w:val="auto"/>
                <w:highlight w:val="none"/>
              </w:rPr>
            </w:pPr>
          </w:p>
        </w:tc>
        <w:tc>
          <w:tcPr>
            <w:tcW w:w="1200" w:type="pct"/>
            <w:vAlign w:val="center"/>
          </w:tcPr>
          <w:p w14:paraId="6FC99520">
            <w:pPr>
              <w:pStyle w:val="48"/>
              <w:jc w:val="center"/>
              <w:rPr>
                <w:i w:val="0"/>
                <w:iCs w:val="0"/>
                <w:color w:val="auto"/>
                <w:highlight w:val="none"/>
              </w:rPr>
            </w:pPr>
          </w:p>
        </w:tc>
        <w:tc>
          <w:tcPr>
            <w:tcW w:w="1200" w:type="pct"/>
            <w:vAlign w:val="center"/>
          </w:tcPr>
          <w:p w14:paraId="6C388A43">
            <w:pPr>
              <w:pStyle w:val="48"/>
              <w:jc w:val="center"/>
              <w:rPr>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8"/>
              <w:jc w:val="center"/>
              <w:rPr>
                <w:i w:val="0"/>
                <w:iCs w:val="0"/>
                <w:color w:val="auto"/>
                <w:highlight w:val="none"/>
              </w:rPr>
            </w:pPr>
          </w:p>
        </w:tc>
        <w:tc>
          <w:tcPr>
            <w:tcW w:w="1277" w:type="pct"/>
            <w:vAlign w:val="center"/>
          </w:tcPr>
          <w:p w14:paraId="7E5C6D21">
            <w:pPr>
              <w:pStyle w:val="48"/>
              <w:jc w:val="center"/>
              <w:rPr>
                <w:i w:val="0"/>
                <w:iCs w:val="0"/>
                <w:color w:val="auto"/>
                <w:highlight w:val="none"/>
              </w:rPr>
            </w:pPr>
          </w:p>
        </w:tc>
        <w:tc>
          <w:tcPr>
            <w:tcW w:w="913" w:type="pct"/>
            <w:vAlign w:val="center"/>
          </w:tcPr>
          <w:p w14:paraId="449C5534">
            <w:pPr>
              <w:pStyle w:val="48"/>
              <w:jc w:val="center"/>
              <w:rPr>
                <w:i w:val="0"/>
                <w:iCs w:val="0"/>
                <w:color w:val="auto"/>
                <w:highlight w:val="none"/>
              </w:rPr>
            </w:pPr>
          </w:p>
        </w:tc>
        <w:tc>
          <w:tcPr>
            <w:tcW w:w="1200" w:type="pct"/>
            <w:vAlign w:val="center"/>
          </w:tcPr>
          <w:p w14:paraId="43936EF1">
            <w:pPr>
              <w:pStyle w:val="48"/>
              <w:jc w:val="center"/>
              <w:rPr>
                <w:i w:val="0"/>
                <w:iCs w:val="0"/>
                <w:color w:val="auto"/>
                <w:highlight w:val="none"/>
              </w:rPr>
            </w:pPr>
          </w:p>
        </w:tc>
        <w:tc>
          <w:tcPr>
            <w:tcW w:w="1200" w:type="pct"/>
            <w:vAlign w:val="center"/>
          </w:tcPr>
          <w:p w14:paraId="015081ED">
            <w:pPr>
              <w:pStyle w:val="48"/>
              <w:jc w:val="center"/>
              <w:rPr>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8"/>
              <w:jc w:val="center"/>
              <w:rPr>
                <w:i w:val="0"/>
                <w:iCs w:val="0"/>
                <w:color w:val="auto"/>
                <w:highlight w:val="none"/>
              </w:rPr>
            </w:pPr>
          </w:p>
        </w:tc>
        <w:tc>
          <w:tcPr>
            <w:tcW w:w="1277" w:type="pct"/>
            <w:vAlign w:val="center"/>
          </w:tcPr>
          <w:p w14:paraId="4E7FED0B">
            <w:pPr>
              <w:pStyle w:val="48"/>
              <w:jc w:val="center"/>
              <w:rPr>
                <w:i w:val="0"/>
                <w:iCs w:val="0"/>
                <w:color w:val="auto"/>
                <w:highlight w:val="none"/>
              </w:rPr>
            </w:pPr>
          </w:p>
        </w:tc>
        <w:tc>
          <w:tcPr>
            <w:tcW w:w="913" w:type="pct"/>
            <w:vAlign w:val="center"/>
          </w:tcPr>
          <w:p w14:paraId="07398BD3">
            <w:pPr>
              <w:pStyle w:val="48"/>
              <w:jc w:val="center"/>
              <w:rPr>
                <w:i w:val="0"/>
                <w:iCs w:val="0"/>
                <w:color w:val="auto"/>
                <w:highlight w:val="none"/>
              </w:rPr>
            </w:pPr>
          </w:p>
        </w:tc>
        <w:tc>
          <w:tcPr>
            <w:tcW w:w="1200" w:type="pct"/>
            <w:vAlign w:val="center"/>
          </w:tcPr>
          <w:p w14:paraId="085E5102">
            <w:pPr>
              <w:pStyle w:val="48"/>
              <w:jc w:val="center"/>
              <w:rPr>
                <w:i w:val="0"/>
                <w:iCs w:val="0"/>
                <w:color w:val="auto"/>
                <w:highlight w:val="none"/>
              </w:rPr>
            </w:pPr>
          </w:p>
        </w:tc>
        <w:tc>
          <w:tcPr>
            <w:tcW w:w="1200" w:type="pct"/>
            <w:vAlign w:val="center"/>
          </w:tcPr>
          <w:p w14:paraId="74B87043">
            <w:pPr>
              <w:pStyle w:val="48"/>
              <w:jc w:val="center"/>
              <w:rPr>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8"/>
              <w:jc w:val="center"/>
              <w:rPr>
                <w:i w:val="0"/>
                <w:iCs w:val="0"/>
                <w:color w:val="auto"/>
                <w:highlight w:val="none"/>
              </w:rPr>
            </w:pPr>
          </w:p>
        </w:tc>
        <w:tc>
          <w:tcPr>
            <w:tcW w:w="1277" w:type="pct"/>
            <w:vAlign w:val="center"/>
          </w:tcPr>
          <w:p w14:paraId="1F11A7BE">
            <w:pPr>
              <w:pStyle w:val="48"/>
              <w:jc w:val="center"/>
              <w:rPr>
                <w:i w:val="0"/>
                <w:iCs w:val="0"/>
                <w:color w:val="auto"/>
                <w:highlight w:val="none"/>
              </w:rPr>
            </w:pPr>
          </w:p>
        </w:tc>
        <w:tc>
          <w:tcPr>
            <w:tcW w:w="913" w:type="pct"/>
            <w:vAlign w:val="center"/>
          </w:tcPr>
          <w:p w14:paraId="09342B6E">
            <w:pPr>
              <w:pStyle w:val="48"/>
              <w:jc w:val="center"/>
              <w:rPr>
                <w:i w:val="0"/>
                <w:iCs w:val="0"/>
                <w:color w:val="auto"/>
                <w:highlight w:val="none"/>
              </w:rPr>
            </w:pPr>
          </w:p>
        </w:tc>
        <w:tc>
          <w:tcPr>
            <w:tcW w:w="1200" w:type="pct"/>
            <w:vAlign w:val="center"/>
          </w:tcPr>
          <w:p w14:paraId="6742B646">
            <w:pPr>
              <w:pStyle w:val="48"/>
              <w:jc w:val="center"/>
              <w:rPr>
                <w:i w:val="0"/>
                <w:iCs w:val="0"/>
                <w:color w:val="auto"/>
                <w:highlight w:val="none"/>
              </w:rPr>
            </w:pPr>
          </w:p>
        </w:tc>
        <w:tc>
          <w:tcPr>
            <w:tcW w:w="1200" w:type="pct"/>
            <w:vAlign w:val="center"/>
          </w:tcPr>
          <w:p w14:paraId="4C72FCC2">
            <w:pPr>
              <w:pStyle w:val="48"/>
              <w:jc w:val="center"/>
              <w:rPr>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8"/>
              <w:jc w:val="center"/>
              <w:rPr>
                <w:i w:val="0"/>
                <w:iCs w:val="0"/>
                <w:color w:val="auto"/>
                <w:highlight w:val="none"/>
              </w:rPr>
            </w:pPr>
            <w:r>
              <w:rPr>
                <w:rFonts w:hint="eastAsia"/>
                <w:i w:val="0"/>
                <w:iCs w:val="0"/>
                <w:color w:val="auto"/>
                <w:highlight w:val="none"/>
              </w:rPr>
              <w:t>……</w:t>
            </w:r>
          </w:p>
        </w:tc>
        <w:tc>
          <w:tcPr>
            <w:tcW w:w="1277" w:type="pct"/>
            <w:vAlign w:val="center"/>
          </w:tcPr>
          <w:p w14:paraId="7D0AF02A">
            <w:pPr>
              <w:pStyle w:val="48"/>
              <w:jc w:val="center"/>
              <w:rPr>
                <w:i w:val="0"/>
                <w:iCs w:val="0"/>
                <w:color w:val="auto"/>
                <w:highlight w:val="none"/>
              </w:rPr>
            </w:pPr>
            <w:r>
              <w:rPr>
                <w:rFonts w:hint="eastAsia"/>
                <w:i w:val="0"/>
                <w:iCs w:val="0"/>
                <w:color w:val="auto"/>
                <w:highlight w:val="none"/>
              </w:rPr>
              <w:t>…………</w:t>
            </w:r>
          </w:p>
        </w:tc>
        <w:tc>
          <w:tcPr>
            <w:tcW w:w="913" w:type="pct"/>
            <w:vAlign w:val="center"/>
          </w:tcPr>
          <w:p w14:paraId="6EC8C4F3">
            <w:pPr>
              <w:pStyle w:val="48"/>
              <w:jc w:val="center"/>
              <w:rPr>
                <w:i w:val="0"/>
                <w:iCs w:val="0"/>
                <w:color w:val="auto"/>
                <w:highlight w:val="none"/>
              </w:rPr>
            </w:pPr>
            <w:r>
              <w:rPr>
                <w:rFonts w:hint="eastAsia"/>
                <w:i w:val="0"/>
                <w:iCs w:val="0"/>
                <w:color w:val="auto"/>
                <w:highlight w:val="none"/>
              </w:rPr>
              <w:t>………………</w:t>
            </w:r>
          </w:p>
        </w:tc>
        <w:tc>
          <w:tcPr>
            <w:tcW w:w="1200" w:type="pct"/>
            <w:vAlign w:val="center"/>
          </w:tcPr>
          <w:p w14:paraId="59EB3DF9">
            <w:pPr>
              <w:pStyle w:val="48"/>
              <w:jc w:val="center"/>
              <w:rPr>
                <w:i w:val="0"/>
                <w:iCs w:val="0"/>
                <w:color w:val="auto"/>
                <w:highlight w:val="none"/>
              </w:rPr>
            </w:pPr>
            <w:r>
              <w:rPr>
                <w:rFonts w:hint="eastAsia"/>
                <w:i w:val="0"/>
                <w:iCs w:val="0"/>
                <w:color w:val="auto"/>
                <w:highlight w:val="none"/>
              </w:rPr>
              <w:t>…………</w:t>
            </w:r>
          </w:p>
        </w:tc>
        <w:tc>
          <w:tcPr>
            <w:tcW w:w="1200" w:type="pct"/>
            <w:vAlign w:val="center"/>
          </w:tcPr>
          <w:p w14:paraId="1BF96619">
            <w:pPr>
              <w:pStyle w:val="48"/>
              <w:jc w:val="center"/>
              <w:rPr>
                <w:i w:val="0"/>
                <w:iCs w:val="0"/>
                <w:color w:val="auto"/>
                <w:highlight w:val="none"/>
              </w:rPr>
            </w:pPr>
          </w:p>
        </w:tc>
      </w:tr>
    </w:tbl>
    <w:p w14:paraId="48CF14C4">
      <w:pPr>
        <w:ind w:firstLine="480" w:firstLineChars="200"/>
        <w:rPr>
          <w:rFonts w:hint="eastAsia" w:cs="仿宋_GB2312"/>
          <w:i w:val="0"/>
          <w:iCs w:val="0"/>
          <w:color w:val="auto"/>
          <w:szCs w:val="24"/>
          <w:highlight w:val="none"/>
        </w:rPr>
      </w:pPr>
    </w:p>
    <w:p w14:paraId="2B5EBACC">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说明：</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i w:val="0"/>
          <w:iCs w:val="0"/>
          <w:color w:val="auto"/>
          <w:sz w:val="21"/>
          <w:szCs w:val="21"/>
          <w:highlight w:val="none"/>
          <w:lang w:val="en-US" w:eastAsia="zh-CN"/>
        </w:rPr>
        <w:t>竞争性磋商</w:t>
      </w:r>
      <w:r>
        <w:rPr>
          <w:rFonts w:hint="eastAsia" w:cs="仿宋_GB2312"/>
          <w:i w:val="0"/>
          <w:iCs w:val="0"/>
          <w:color w:val="auto"/>
          <w:sz w:val="21"/>
          <w:szCs w:val="21"/>
          <w:highlight w:val="none"/>
        </w:rPr>
        <w:t xml:space="preserve">文件“第三章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w:t>
      </w:r>
      <w:r>
        <w:rPr>
          <w:rFonts w:hint="eastAsia" w:cs="仿宋_GB2312"/>
          <w:i w:val="0"/>
          <w:iCs w:val="0"/>
          <w:color w:val="auto"/>
          <w:sz w:val="21"/>
          <w:szCs w:val="21"/>
          <w:highlight w:val="none"/>
        </w:rPr>
        <w:t>技术要求填写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“响应/正偏离/负偏离”应据实填写“响应”、“正偏离”或“负偏离”</w:t>
      </w:r>
      <w:r>
        <w:rPr>
          <w:rFonts w:hint="eastAsia" w:cs="仿宋_GB2312"/>
          <w:i w:val="0"/>
          <w:iCs w:val="0"/>
          <w:color w:val="auto"/>
          <w:sz w:val="21"/>
          <w:szCs w:val="21"/>
          <w:highlight w:val="none"/>
        </w:rPr>
        <w:t>。</w:t>
      </w:r>
    </w:p>
    <w:p w14:paraId="12AEBD40">
      <w:pPr>
        <w:ind w:firstLine="480" w:firstLineChars="200"/>
        <w:rPr>
          <w:rFonts w:cs="仿宋_GB2312"/>
          <w:i w:val="0"/>
          <w:iCs w:val="0"/>
          <w:color w:val="auto"/>
          <w:szCs w:val="24"/>
          <w:highlight w:val="none"/>
        </w:rPr>
      </w:pPr>
    </w:p>
    <w:p w14:paraId="53059121">
      <w:pPr>
        <w:ind w:firstLine="480" w:firstLineChars="200"/>
        <w:rPr>
          <w:rFonts w:cs="仿宋_GB2312"/>
          <w:i w:val="0"/>
          <w:iCs w:val="0"/>
          <w:color w:val="auto"/>
          <w:szCs w:val="24"/>
          <w:highlight w:val="none"/>
        </w:rPr>
      </w:pP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rPr>
        <w:t>名称：</w:t>
      </w:r>
    </w:p>
    <w:p w14:paraId="27EF6D84">
      <w:pPr>
        <w:ind w:firstLine="420"/>
        <w:rPr>
          <w:rFonts w:cs="仿宋_GB2312"/>
          <w:i w:val="0"/>
          <w:iCs w:val="0"/>
          <w:color w:val="auto"/>
          <w:szCs w:val="24"/>
          <w:highlight w:val="none"/>
        </w:rPr>
      </w:pPr>
      <w:r>
        <w:rPr>
          <w:rFonts w:hint="eastAsia" w:cs="仿宋_GB2312"/>
          <w:i w:val="0"/>
          <w:iCs w:val="0"/>
          <w:color w:val="auto"/>
          <w:szCs w:val="24"/>
          <w:highlight w:val="none"/>
        </w:rPr>
        <w:t>日      期：</w:t>
      </w:r>
    </w:p>
    <w:p w14:paraId="57D8F886">
      <w:pPr>
        <w:ind w:firstLine="420"/>
        <w:rPr>
          <w:rFonts w:cs="仿宋_GB2312"/>
          <w:i w:val="0"/>
          <w:iCs w:val="0"/>
          <w:color w:val="auto"/>
          <w:szCs w:val="24"/>
          <w:highlight w:val="none"/>
        </w:rPr>
      </w:pPr>
    </w:p>
    <w:p w14:paraId="4F204CD5">
      <w:pPr>
        <w:ind w:firstLine="420"/>
        <w:rPr>
          <w:rFonts w:cs="仿宋_GB2312"/>
          <w:i w:val="0"/>
          <w:iCs w:val="0"/>
          <w:color w:val="auto"/>
          <w:szCs w:val="24"/>
          <w:highlight w:val="none"/>
        </w:rPr>
      </w:pPr>
    </w:p>
    <w:p w14:paraId="49A1A5E5">
      <w:pPr>
        <w:ind w:firstLine="420"/>
        <w:rPr>
          <w:rFonts w:cs="仿宋_GB2312"/>
          <w:i w:val="0"/>
          <w:iCs w:val="0"/>
          <w:color w:val="auto"/>
          <w:szCs w:val="24"/>
          <w:highlight w:val="none"/>
        </w:rPr>
      </w:pPr>
      <w:r>
        <w:rPr>
          <w:rFonts w:cs="仿宋_GB2312"/>
          <w:i w:val="0"/>
          <w:iCs w:val="0"/>
          <w:color w:val="auto"/>
          <w:szCs w:val="24"/>
          <w:highlight w:val="none"/>
        </w:rPr>
        <w:br w:type="page"/>
      </w: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204" w:name="_Toc13078"/>
      <w:r>
        <w:rPr>
          <w:rFonts w:hint="eastAsia" w:cstheme="majorBidi"/>
          <w:b/>
          <w:bCs/>
          <w:i w:val="0"/>
          <w:iCs w:val="0"/>
          <w:color w:val="auto"/>
          <w:kern w:val="2"/>
          <w:sz w:val="32"/>
          <w:szCs w:val="32"/>
          <w:highlight w:val="none"/>
          <w:lang w:val="en-US" w:eastAsia="zh-CN" w:bidi="ar-SA"/>
        </w:rPr>
        <w:t>十</w:t>
      </w:r>
      <w:r>
        <w:rPr>
          <w:rFonts w:hint="eastAsia" w:eastAsia="宋体" w:asciiTheme="majorHAnsi" w:hAnsiTheme="majorHAnsi" w:cstheme="majorBidi"/>
          <w:b/>
          <w:bCs/>
          <w:i w:val="0"/>
          <w:iCs w:val="0"/>
          <w:color w:val="auto"/>
          <w:kern w:val="2"/>
          <w:sz w:val="32"/>
          <w:szCs w:val="32"/>
          <w:highlight w:val="none"/>
          <w:lang w:val="en-US" w:eastAsia="zh-CN" w:bidi="ar-SA"/>
        </w:rPr>
        <w:t>、技术方案</w:t>
      </w:r>
      <w:bookmarkEnd w:id="1204"/>
    </w:p>
    <w:p w14:paraId="3878D3F5">
      <w:pPr>
        <w:pStyle w:val="37"/>
        <w:rPr>
          <w:i w:val="0"/>
          <w:iCs w:val="0"/>
          <w:color w:val="auto"/>
          <w:highlight w:val="none"/>
        </w:rPr>
      </w:pPr>
      <w:r>
        <w:rPr>
          <w:rFonts w:hint="eastAsia"/>
          <w:i w:val="0"/>
          <w:iCs w:val="0"/>
          <w:color w:val="auto"/>
          <w:highlight w:val="none"/>
          <w:lang w:val="en-US" w:eastAsia="zh-CN"/>
        </w:rPr>
        <w:t>供应商</w:t>
      </w:r>
      <w:r>
        <w:rPr>
          <w:rFonts w:hint="eastAsia"/>
          <w:i w:val="0"/>
          <w:iCs w:val="0"/>
          <w:color w:val="auto"/>
          <w:highlight w:val="none"/>
        </w:rPr>
        <w:t>应按照</w:t>
      </w:r>
      <w:r>
        <w:rPr>
          <w:rFonts w:hint="eastAsia"/>
          <w:i w:val="0"/>
          <w:iCs w:val="0"/>
          <w:color w:val="auto"/>
          <w:highlight w:val="none"/>
          <w:lang w:val="en-US" w:eastAsia="zh-CN"/>
        </w:rPr>
        <w:t>竞争性磋商</w:t>
      </w:r>
      <w:r>
        <w:rPr>
          <w:rFonts w:hint="eastAsia"/>
          <w:i w:val="0"/>
          <w:iCs w:val="0"/>
          <w:color w:val="auto"/>
          <w:highlight w:val="none"/>
        </w:rPr>
        <w:t>文件的要求，提供详细的</w:t>
      </w:r>
      <w:r>
        <w:rPr>
          <w:rFonts w:hint="eastAsia"/>
          <w:i w:val="0"/>
          <w:iCs w:val="0"/>
          <w:color w:val="auto"/>
          <w:highlight w:val="none"/>
          <w:lang w:val="en-US" w:eastAsia="zh-CN"/>
        </w:rPr>
        <w:t>工程实施及相关</w:t>
      </w:r>
      <w:r>
        <w:rPr>
          <w:rFonts w:hint="eastAsia"/>
          <w:i w:val="0"/>
          <w:iCs w:val="0"/>
          <w:color w:val="auto"/>
          <w:highlight w:val="none"/>
        </w:rPr>
        <w:t>服务方案，包括文字描述或图表显示。格式自拟。</w:t>
      </w:r>
    </w:p>
    <w:p w14:paraId="7EE77353">
      <w:pPr>
        <w:pStyle w:val="37"/>
        <w:rPr>
          <w:i w:val="0"/>
          <w:iCs w:val="0"/>
          <w:color w:val="auto"/>
          <w:highlight w:val="none"/>
        </w:rPr>
      </w:pPr>
      <w:r>
        <w:rPr>
          <w:i w:val="0"/>
          <w:iCs w:val="0"/>
          <w:color w:val="auto"/>
          <w:highlight w:val="none"/>
        </w:rPr>
        <w:br w:type="page"/>
      </w:r>
    </w:p>
    <w:p w14:paraId="68D392B1">
      <w:pPr>
        <w:pStyle w:val="3"/>
        <w:keepNext/>
        <w:keepLines/>
        <w:pageBreakBefore w:val="0"/>
        <w:widowControl w:val="0"/>
        <w:numPr>
          <w:ilvl w:val="0"/>
          <w:numId w:val="17"/>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205" w:name="_Toc26060"/>
      <w:r>
        <w:rPr>
          <w:rFonts w:hint="eastAsia" w:eastAsia="宋体" w:asciiTheme="majorHAnsi" w:hAnsiTheme="majorHAnsi" w:cstheme="majorBidi"/>
          <w:b/>
          <w:bCs/>
          <w:i w:val="0"/>
          <w:iCs w:val="0"/>
          <w:color w:val="auto"/>
          <w:kern w:val="2"/>
          <w:sz w:val="32"/>
          <w:szCs w:val="32"/>
          <w:highlight w:val="none"/>
          <w:lang w:val="en-US" w:eastAsia="zh-CN" w:bidi="ar-SA"/>
        </w:rPr>
        <w:t>其他文件</w:t>
      </w:r>
      <w:bookmarkEnd w:id="1205"/>
    </w:p>
    <w:p w14:paraId="7847B898">
      <w:pPr>
        <w:numPr>
          <w:ilvl w:val="0"/>
          <w:numId w:val="0"/>
        </w:numPr>
        <w:rPr>
          <w:rFonts w:hint="eastAsia"/>
          <w:color w:val="auto"/>
          <w:highlight w:val="none"/>
          <w:lang w:val="en-US" w:eastAsia="zh-CN"/>
        </w:rPr>
      </w:pPr>
    </w:p>
    <w:p w14:paraId="6EF40482">
      <w:pPr>
        <w:pStyle w:val="37"/>
        <w:ind w:left="0" w:leftChars="0" w:firstLine="0" w:firstLineChars="0"/>
        <w:rPr>
          <w:rFonts w:hint="eastAsia"/>
          <w:b/>
          <w:bCs/>
          <w:iCs/>
          <w:color w:val="auto"/>
          <w:sz w:val="24"/>
          <w:szCs w:val="24"/>
          <w:highlight w:val="none"/>
          <w:shd w:val="clear" w:color="auto" w:fill="FFFFFF" w:themeFill="background1"/>
          <w:lang w:val="zh-CN" w:eastAsia="zh-CN"/>
        </w:rPr>
      </w:pPr>
      <w:r>
        <w:rPr>
          <w:rFonts w:hint="eastAsia"/>
          <w:b/>
          <w:bCs/>
          <w:iCs/>
          <w:color w:val="auto"/>
          <w:sz w:val="24"/>
          <w:szCs w:val="24"/>
          <w:highlight w:val="none"/>
          <w:shd w:val="clear" w:color="auto" w:fill="FFFFFF" w:themeFill="background1"/>
          <w:lang w:val="en-US" w:eastAsia="zh-CN"/>
        </w:rPr>
        <w:t>（一）竞争性磋商</w:t>
      </w:r>
      <w:r>
        <w:rPr>
          <w:rFonts w:hint="eastAsia"/>
          <w:b/>
          <w:bCs/>
          <w:iCs/>
          <w:color w:val="auto"/>
          <w:sz w:val="24"/>
          <w:szCs w:val="24"/>
          <w:highlight w:val="none"/>
          <w:shd w:val="clear" w:color="auto" w:fill="FFFFFF" w:themeFill="background1"/>
          <w:lang w:val="zh-CN" w:eastAsia="zh-CN"/>
        </w:rPr>
        <w:t>文件要求提供的其它商务、技术资料和证明材料；</w:t>
      </w:r>
    </w:p>
    <w:p w14:paraId="48C74519">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1.1供应商信息采集表</w:t>
      </w:r>
    </w:p>
    <w:tbl>
      <w:tblPr>
        <w:tblStyle w:val="32"/>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95F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29648684">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9089373">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5F046EF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134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7DE14BE8">
            <w:pPr>
              <w:pStyle w:val="37"/>
              <w:rPr>
                <w:rFonts w:hint="eastAsia" w:ascii="宋体" w:hAnsi="宋体" w:eastAsia="宋体" w:cs="宋体"/>
                <w:color w:val="auto"/>
                <w:sz w:val="24"/>
                <w:szCs w:val="24"/>
                <w:highlight w:val="none"/>
                <w:vertAlign w:val="baseline"/>
                <w:lang w:val="en-US" w:eastAsia="zh-CN"/>
              </w:rPr>
            </w:pPr>
          </w:p>
        </w:tc>
        <w:tc>
          <w:tcPr>
            <w:tcW w:w="2841" w:type="dxa"/>
          </w:tcPr>
          <w:p w14:paraId="2128E8D2">
            <w:pPr>
              <w:pStyle w:val="37"/>
              <w:rPr>
                <w:rFonts w:hint="eastAsia" w:ascii="宋体" w:hAnsi="宋体" w:eastAsia="宋体" w:cs="宋体"/>
                <w:color w:val="auto"/>
                <w:sz w:val="24"/>
                <w:szCs w:val="24"/>
                <w:highlight w:val="none"/>
                <w:vertAlign w:val="baseline"/>
                <w:lang w:val="en-US" w:eastAsia="zh-CN"/>
              </w:rPr>
            </w:pPr>
          </w:p>
        </w:tc>
        <w:tc>
          <w:tcPr>
            <w:tcW w:w="2743" w:type="dxa"/>
          </w:tcPr>
          <w:p w14:paraId="2062793F">
            <w:pPr>
              <w:pStyle w:val="37"/>
              <w:rPr>
                <w:rFonts w:hint="eastAsia" w:ascii="宋体" w:hAnsi="宋体" w:eastAsia="宋体" w:cs="宋体"/>
                <w:color w:val="auto"/>
                <w:sz w:val="24"/>
                <w:szCs w:val="24"/>
                <w:highlight w:val="none"/>
                <w:vertAlign w:val="baseline"/>
                <w:lang w:val="en-US" w:eastAsia="zh-CN"/>
              </w:rPr>
            </w:pPr>
          </w:p>
        </w:tc>
      </w:tr>
      <w:tr w14:paraId="211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3E7A68A">
            <w:pPr>
              <w:pStyle w:val="37"/>
              <w:rPr>
                <w:rFonts w:hint="eastAsia" w:ascii="宋体" w:hAnsi="宋体" w:eastAsia="宋体" w:cs="宋体"/>
                <w:color w:val="auto"/>
                <w:sz w:val="24"/>
                <w:szCs w:val="24"/>
                <w:highlight w:val="none"/>
                <w:vertAlign w:val="baseline"/>
                <w:lang w:val="en-US" w:eastAsia="zh-CN"/>
              </w:rPr>
            </w:pPr>
          </w:p>
        </w:tc>
        <w:tc>
          <w:tcPr>
            <w:tcW w:w="2841" w:type="dxa"/>
          </w:tcPr>
          <w:p w14:paraId="1C079DA0">
            <w:pPr>
              <w:pStyle w:val="37"/>
              <w:rPr>
                <w:rFonts w:hint="eastAsia" w:ascii="宋体" w:hAnsi="宋体" w:eastAsia="宋体" w:cs="宋体"/>
                <w:color w:val="auto"/>
                <w:sz w:val="24"/>
                <w:szCs w:val="24"/>
                <w:highlight w:val="none"/>
                <w:vertAlign w:val="baseline"/>
                <w:lang w:val="en-US" w:eastAsia="zh-CN"/>
              </w:rPr>
            </w:pPr>
          </w:p>
        </w:tc>
        <w:tc>
          <w:tcPr>
            <w:tcW w:w="2743" w:type="dxa"/>
          </w:tcPr>
          <w:p w14:paraId="299E6465">
            <w:pPr>
              <w:pStyle w:val="37"/>
              <w:rPr>
                <w:rFonts w:hint="eastAsia" w:ascii="宋体" w:hAnsi="宋体" w:eastAsia="宋体" w:cs="宋体"/>
                <w:color w:val="auto"/>
                <w:sz w:val="24"/>
                <w:szCs w:val="24"/>
                <w:highlight w:val="none"/>
                <w:vertAlign w:val="baseline"/>
                <w:lang w:val="en-US" w:eastAsia="zh-CN"/>
              </w:rPr>
            </w:pPr>
          </w:p>
        </w:tc>
      </w:tr>
      <w:tr w14:paraId="4E8F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46698E8">
            <w:pPr>
              <w:pStyle w:val="37"/>
              <w:rPr>
                <w:rFonts w:hint="eastAsia" w:ascii="宋体" w:hAnsi="宋体" w:eastAsia="宋体" w:cs="宋体"/>
                <w:color w:val="auto"/>
                <w:sz w:val="24"/>
                <w:szCs w:val="24"/>
                <w:highlight w:val="none"/>
                <w:vertAlign w:val="baseline"/>
                <w:lang w:val="en-US" w:eastAsia="zh-CN"/>
              </w:rPr>
            </w:pPr>
          </w:p>
        </w:tc>
        <w:tc>
          <w:tcPr>
            <w:tcW w:w="2841" w:type="dxa"/>
          </w:tcPr>
          <w:p w14:paraId="5DE31D06">
            <w:pPr>
              <w:pStyle w:val="37"/>
              <w:rPr>
                <w:rFonts w:hint="eastAsia" w:ascii="宋体" w:hAnsi="宋体" w:eastAsia="宋体" w:cs="宋体"/>
                <w:color w:val="auto"/>
                <w:sz w:val="24"/>
                <w:szCs w:val="24"/>
                <w:highlight w:val="none"/>
                <w:vertAlign w:val="baseline"/>
                <w:lang w:val="en-US" w:eastAsia="zh-CN"/>
              </w:rPr>
            </w:pPr>
          </w:p>
        </w:tc>
        <w:tc>
          <w:tcPr>
            <w:tcW w:w="2743" w:type="dxa"/>
          </w:tcPr>
          <w:p w14:paraId="2EBF2A2E">
            <w:pPr>
              <w:pStyle w:val="37"/>
              <w:rPr>
                <w:rFonts w:hint="eastAsia" w:ascii="宋体" w:hAnsi="宋体" w:eastAsia="宋体" w:cs="宋体"/>
                <w:color w:val="auto"/>
                <w:sz w:val="24"/>
                <w:szCs w:val="24"/>
                <w:highlight w:val="none"/>
                <w:vertAlign w:val="baseline"/>
                <w:lang w:val="en-US" w:eastAsia="zh-CN"/>
              </w:rPr>
            </w:pPr>
          </w:p>
        </w:tc>
      </w:tr>
      <w:tr w14:paraId="1F66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C8B53D">
            <w:pPr>
              <w:pStyle w:val="37"/>
              <w:rPr>
                <w:rFonts w:hint="eastAsia" w:ascii="宋体" w:hAnsi="宋体" w:eastAsia="宋体" w:cs="宋体"/>
                <w:color w:val="auto"/>
                <w:sz w:val="24"/>
                <w:szCs w:val="24"/>
                <w:highlight w:val="none"/>
                <w:vertAlign w:val="baseline"/>
                <w:lang w:val="en-US" w:eastAsia="zh-CN"/>
              </w:rPr>
            </w:pPr>
          </w:p>
        </w:tc>
        <w:tc>
          <w:tcPr>
            <w:tcW w:w="2841" w:type="dxa"/>
          </w:tcPr>
          <w:p w14:paraId="0AB8EE25">
            <w:pPr>
              <w:pStyle w:val="37"/>
              <w:rPr>
                <w:rFonts w:hint="eastAsia" w:ascii="宋体" w:hAnsi="宋体" w:eastAsia="宋体" w:cs="宋体"/>
                <w:color w:val="auto"/>
                <w:sz w:val="24"/>
                <w:szCs w:val="24"/>
                <w:highlight w:val="none"/>
                <w:vertAlign w:val="baseline"/>
                <w:lang w:val="en-US" w:eastAsia="zh-CN"/>
              </w:rPr>
            </w:pPr>
          </w:p>
        </w:tc>
        <w:tc>
          <w:tcPr>
            <w:tcW w:w="2743" w:type="dxa"/>
          </w:tcPr>
          <w:p w14:paraId="17F71402">
            <w:pPr>
              <w:pStyle w:val="37"/>
              <w:rPr>
                <w:rFonts w:hint="eastAsia" w:ascii="宋体" w:hAnsi="宋体" w:eastAsia="宋体" w:cs="宋体"/>
                <w:color w:val="auto"/>
                <w:sz w:val="24"/>
                <w:szCs w:val="24"/>
                <w:highlight w:val="none"/>
                <w:vertAlign w:val="baseline"/>
                <w:lang w:val="en-US" w:eastAsia="zh-CN"/>
              </w:rPr>
            </w:pPr>
          </w:p>
        </w:tc>
      </w:tr>
    </w:tbl>
    <w:p w14:paraId="181C01D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7"/>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3.“外商投资类型”请填写“外商单独投资”、“外商部分投资”或“内资”。</w:t>
      </w:r>
    </w:p>
    <w:p w14:paraId="55FB009A">
      <w:pPr>
        <w:pStyle w:val="37"/>
        <w:rPr>
          <w:rFonts w:hint="eastAsia" w:ascii="宋体" w:hAnsi="宋体" w:eastAsia="宋体" w:cs="宋体"/>
          <w:color w:val="auto"/>
          <w:sz w:val="24"/>
          <w:szCs w:val="24"/>
          <w:highlight w:val="none"/>
          <w:lang w:val="en-US" w:eastAsia="zh-CN"/>
        </w:rPr>
      </w:pPr>
    </w:p>
    <w:p w14:paraId="70E3FED5">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1.2其它商务、技术资料和证明材料</w:t>
      </w:r>
    </w:p>
    <w:p w14:paraId="1C94AC88">
      <w:pPr>
        <w:pStyle w:val="37"/>
        <w:rPr>
          <w:rFonts w:hint="default"/>
          <w:color w:val="auto"/>
          <w:sz w:val="28"/>
          <w:szCs w:val="28"/>
          <w:highlight w:val="none"/>
          <w:lang w:val="en-US" w:eastAsia="zh-CN"/>
        </w:rPr>
      </w:pPr>
    </w:p>
    <w:p w14:paraId="786C6365">
      <w:pPr>
        <w:pStyle w:val="37"/>
        <w:ind w:left="0" w:leftChars="0" w:firstLine="0" w:firstLineChars="0"/>
        <w:rPr>
          <w:rFonts w:hint="eastAsia"/>
          <w:b/>
          <w:bCs/>
          <w:iCs/>
          <w:color w:val="auto"/>
          <w:sz w:val="24"/>
          <w:szCs w:val="24"/>
          <w:highlight w:val="none"/>
          <w:shd w:val="clear" w:color="auto" w:fill="FFFFFF" w:themeFill="background1"/>
          <w:lang w:val="en-US" w:eastAsia="zh-CN"/>
        </w:rPr>
      </w:pPr>
      <w:r>
        <w:rPr>
          <w:rFonts w:hint="eastAsia"/>
          <w:b/>
          <w:bCs/>
          <w:iCs/>
          <w:color w:val="auto"/>
          <w:sz w:val="24"/>
          <w:szCs w:val="24"/>
          <w:highlight w:val="none"/>
          <w:shd w:val="clear" w:color="auto" w:fill="FFFFFF" w:themeFill="background1"/>
          <w:lang w:val="en-US" w:eastAsia="zh-CN"/>
        </w:rPr>
        <w:t>（二）供应商认为需要提供的其它商务、技术资料和说明。</w:t>
      </w:r>
    </w:p>
    <w:p w14:paraId="53038BD4">
      <w:pPr>
        <w:pStyle w:val="37"/>
        <w:rPr>
          <w:rFonts w:hint="eastAsia"/>
          <w:i w:val="0"/>
          <w:iCs w:val="0"/>
          <w:color w:val="auto"/>
          <w:highlight w:val="none"/>
        </w:rPr>
      </w:pPr>
    </w:p>
    <w:bookmarkEnd w:id="1121"/>
    <w:p w14:paraId="7CB0AFFA">
      <w:pPr>
        <w:rPr>
          <w:i w:val="0"/>
          <w:iCs w:val="0"/>
          <w:color w:val="auto"/>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0D62">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C15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6CC15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DABD">
    <w:pPr>
      <w:pStyle w:val="20"/>
      <w:tabs>
        <w:tab w:val="left" w:pos="3032"/>
        <w:tab w:val="clear" w:pos="4153"/>
      </w:tabs>
      <w:rPr>
        <w:rFonts w:hint="default" w:eastAsia="宋体"/>
        <w:lang w:val="en-US" w:eastAsia="zh-CN"/>
      </w:rPr>
    </w:pPr>
    <w:r>
      <w:rPr>
        <w:rFonts w:hint="eastAsia"/>
        <w:lang w:eastAsia="zh-CN"/>
      </w:rPr>
      <w:tab/>
    </w:r>
    <w:r>
      <w:rPr>
        <w:rFonts w:hint="eastAsia"/>
        <w:lang w:val="en-US" w:eastAsia="zh-CN"/>
      </w:rPr>
      <w:t xml:space="preserve">            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846CD">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0846CD">
                    <w:pPr>
                      <w:pStyle w:val="20"/>
                    </w:pPr>
                    <w:r>
                      <w:fldChar w:fldCharType="begin"/>
                    </w:r>
                    <w:r>
                      <w:instrText xml:space="preserve"> PAGE  \* MERGEFORMAT </w:instrText>
                    </w:r>
                    <w:r>
                      <w:fldChar w:fldCharType="separate"/>
                    </w:r>
                    <w:r>
                      <w:t>- 1 -</w:t>
                    </w:r>
                    <w:r>
                      <w:fldChar w:fldCharType="end"/>
                    </w:r>
                  </w:p>
                </w:txbxContent>
              </v:textbox>
            </v:shape>
          </w:pict>
        </mc:Fallback>
      </mc:AlternateContent>
    </w:r>
  </w:p>
  <w:p w14:paraId="239752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8EF8">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DC5E9">
                          <w:pPr>
                            <w:pStyle w:val="20"/>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5DC5E9">
                    <w:pPr>
                      <w:pStyle w:val="20"/>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79F1">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F9BBC">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DF9BBC">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5F3D">
    <w:pPr>
      <w:rPr>
        <w:rFonts w:hint="default" w:eastAsia="宋体"/>
        <w:u w:val="non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AEA04">
                          <w:pPr>
                            <w:pStyle w:val="20"/>
                          </w:pPr>
                          <w:r>
                            <w:fldChar w:fldCharType="begin"/>
                          </w:r>
                          <w:r>
                            <w:instrText xml:space="preserve"> PAGE  \* MERGEFORMAT </w:instrText>
                          </w:r>
                          <w:r>
                            <w:fldChar w:fldCharType="separate"/>
                          </w:r>
                          <w:r>
                            <w:t>- 159 -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8AEA04">
                    <w:pPr>
                      <w:pStyle w:val="20"/>
                    </w:pPr>
                    <w:r>
                      <w:fldChar w:fldCharType="begin"/>
                    </w:r>
                    <w:r>
                      <w:instrText xml:space="preserve"> PAGE  \* MERGEFORMAT </w:instrText>
                    </w:r>
                    <w:r>
                      <w:fldChar w:fldCharType="separate"/>
                    </w:r>
                    <w:r>
                      <w:t>- 159 -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99B9E">
                          <w:pPr>
                            <w:pStyle w:val="20"/>
                          </w:pPr>
                          <w:r>
                            <w:fldChar w:fldCharType="begin"/>
                          </w:r>
                          <w:r>
                            <w:instrText xml:space="preserve"> PAGE  \* MERGEFORMAT </w:instrText>
                          </w:r>
                          <w:r>
                            <w:fldChar w:fldCharType="separate"/>
                          </w:r>
                          <w:r>
                            <w:t>- 160 -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B99B9E">
                    <w:pPr>
                      <w:pStyle w:val="20"/>
                    </w:pPr>
                    <w:r>
                      <w:fldChar w:fldCharType="begin"/>
                    </w:r>
                    <w:r>
                      <w:instrText xml:space="preserve"> PAGE  \* MERGEFORMAT </w:instrText>
                    </w:r>
                    <w:r>
                      <w:fldChar w:fldCharType="separate"/>
                    </w:r>
                    <w:r>
                      <w:t>- 160 -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21"/>
      <w:tabs>
        <w:tab w:val="left" w:pos="3120"/>
      </w:tabs>
      <w:spacing w:line="240" w:lineRule="auto"/>
      <w:jc w:val="center"/>
      <w:rPr>
        <w:sz w:val="21"/>
        <w:szCs w:val="21"/>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竞争性磋商文件</w:t>
    </w:r>
    <w:r>
      <w:rPr>
        <w:rFonts w:hint="eastAsia" w:ascii="宋体" w:hAnsi="宋体" w:eastAsia="宋体" w:cs="宋体"/>
        <w:sz w:val="18"/>
        <w:szCs w:val="18"/>
        <w:lang w:val="en-US" w:eastAsia="zh-CN"/>
      </w:rPr>
      <w:t>示范文本（工程）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1"/>
      <w:spacing w:line="240" w:lineRule="auto"/>
    </w:pPr>
    <w:r>
      <w:rPr>
        <w:rFonts w:hint="eastAsia"/>
        <w:sz w:val="24"/>
        <w:szCs w:val="24"/>
        <w:lang w:val="en-US" w:eastAsia="zh-CN"/>
      </w:rPr>
      <w:t xml:space="preserve">                                  </w:t>
    </w:r>
    <w:r>
      <w:rPr>
        <w:rFonts w:hint="eastAsia" w:ascii="宋体" w:hAnsi="宋体" w:eastAsia="宋体" w:cs="宋体"/>
        <w:sz w:val="18"/>
        <w:szCs w:val="18"/>
        <w:lang w:val="en-US" w:eastAsia="zh-CN"/>
      </w:rPr>
      <w:t>兵团政府采购项目竞争性磋商</w:t>
    </w:r>
    <w:r>
      <w:rPr>
        <w:rFonts w:hint="eastAsia" w:ascii="宋体" w:hAnsi="宋体" w:eastAsia="宋体" w:cs="宋体"/>
        <w:sz w:val="18"/>
        <w:szCs w:val="18"/>
      </w:rPr>
      <w:t>文件</w:t>
    </w:r>
    <w:r>
      <w:rPr>
        <w:rFonts w:hint="eastAsia" w:ascii="宋体" w:hAnsi="宋体" w:eastAsia="宋体" w:cs="宋体"/>
        <w:sz w:val="18"/>
        <w:szCs w:val="18"/>
        <w:lang w:val="en-US" w:eastAsia="zh-CN"/>
      </w:rPr>
      <w:t>示范文本（工程）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CBCC9"/>
    <w:multiLevelType w:val="singleLevel"/>
    <w:tmpl w:val="99FCBCC9"/>
    <w:lvl w:ilvl="0" w:tentative="0">
      <w:start w:val="3"/>
      <w:numFmt w:val="decimal"/>
      <w:lvlText w:val="%1."/>
      <w:lvlJc w:val="left"/>
      <w:pPr>
        <w:tabs>
          <w:tab w:val="left" w:pos="312"/>
        </w:tabs>
      </w:pPr>
    </w:lvl>
  </w:abstractNum>
  <w:abstractNum w:abstractNumId="1">
    <w:nsid w:val="9ED9A109"/>
    <w:multiLevelType w:val="singleLevel"/>
    <w:tmpl w:val="9ED9A109"/>
    <w:lvl w:ilvl="0" w:tentative="0">
      <w:start w:val="1"/>
      <w:numFmt w:val="decimal"/>
      <w:lvlText w:val="%1."/>
      <w:lvlJc w:val="left"/>
      <w:pPr>
        <w:tabs>
          <w:tab w:val="left" w:pos="312"/>
        </w:tabs>
      </w:pPr>
    </w:lvl>
  </w:abstractNum>
  <w:abstractNum w:abstractNumId="2">
    <w:nsid w:val="AA432114"/>
    <w:multiLevelType w:val="singleLevel"/>
    <w:tmpl w:val="AA432114"/>
    <w:lvl w:ilvl="0" w:tentative="0">
      <w:start w:val="1"/>
      <w:numFmt w:val="decimal"/>
      <w:lvlText w:val="%1."/>
      <w:lvlJc w:val="left"/>
      <w:pPr>
        <w:tabs>
          <w:tab w:val="left" w:pos="312"/>
        </w:tabs>
      </w:pPr>
    </w:lvl>
  </w:abstractNum>
  <w:abstractNum w:abstractNumId="3">
    <w:nsid w:val="C885F446"/>
    <w:multiLevelType w:val="singleLevel"/>
    <w:tmpl w:val="C885F446"/>
    <w:lvl w:ilvl="0" w:tentative="0">
      <w:start w:val="1"/>
      <w:numFmt w:val="decimal"/>
      <w:lvlText w:val="%1."/>
      <w:lvlJc w:val="left"/>
      <w:pPr>
        <w:tabs>
          <w:tab w:val="left" w:pos="312"/>
        </w:tabs>
      </w:pPr>
    </w:lvl>
  </w:abstractNum>
  <w:abstractNum w:abstractNumId="4">
    <w:nsid w:val="D313CDB7"/>
    <w:multiLevelType w:val="singleLevel"/>
    <w:tmpl w:val="D313CDB7"/>
    <w:lvl w:ilvl="0" w:tentative="0">
      <w:start w:val="5"/>
      <w:numFmt w:val="chineseCounting"/>
      <w:suff w:val="nothing"/>
      <w:lvlText w:val="%1、"/>
      <w:lvlJc w:val="left"/>
      <w:rPr>
        <w:rFonts w:hint="eastAsia"/>
        <w:b/>
        <w:bCs/>
      </w:rPr>
    </w:lvl>
  </w:abstractNum>
  <w:abstractNum w:abstractNumId="5">
    <w:nsid w:val="EFBADB59"/>
    <w:multiLevelType w:val="singleLevel"/>
    <w:tmpl w:val="EFBADB59"/>
    <w:lvl w:ilvl="0" w:tentative="0">
      <w:start w:val="1"/>
      <w:numFmt w:val="decimal"/>
      <w:suff w:val="nothing"/>
      <w:lvlText w:val="%1、"/>
      <w:lvlJc w:val="left"/>
    </w:lvl>
  </w:abstractNum>
  <w:abstractNum w:abstractNumId="6">
    <w:nsid w:val="F1AD32DB"/>
    <w:multiLevelType w:val="singleLevel"/>
    <w:tmpl w:val="F1AD32DB"/>
    <w:lvl w:ilvl="0" w:tentative="0">
      <w:start w:val="1"/>
      <w:numFmt w:val="decimal"/>
      <w:suff w:val="nothing"/>
      <w:lvlText w:val="%1、"/>
      <w:lvlJc w:val="left"/>
    </w:lvl>
  </w:abstractNum>
  <w:abstractNum w:abstractNumId="7">
    <w:nsid w:val="11B74067"/>
    <w:multiLevelType w:val="singleLevel"/>
    <w:tmpl w:val="11B74067"/>
    <w:lvl w:ilvl="0" w:tentative="0">
      <w:start w:val="10"/>
      <w:numFmt w:val="decimal"/>
      <w:suff w:val="nothing"/>
      <w:lvlText w:val="（%1）"/>
      <w:lvlJc w:val="left"/>
    </w:lvl>
  </w:abstractNum>
  <w:abstractNum w:abstractNumId="8">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BA896C"/>
    <w:multiLevelType w:val="singleLevel"/>
    <w:tmpl w:val="2DBA896C"/>
    <w:lvl w:ilvl="0" w:tentative="0">
      <w:start w:val="1"/>
      <w:numFmt w:val="decimal"/>
      <w:suff w:val="nothing"/>
      <w:lvlText w:val="%1、"/>
      <w:lvlJc w:val="left"/>
    </w:lvl>
  </w:abstractNum>
  <w:abstractNum w:abstractNumId="10">
    <w:nsid w:val="399C1263"/>
    <w:multiLevelType w:val="singleLevel"/>
    <w:tmpl w:val="399C1263"/>
    <w:lvl w:ilvl="0" w:tentative="0">
      <w:start w:val="1"/>
      <w:numFmt w:val="decimal"/>
      <w:lvlText w:val="%1."/>
      <w:lvlJc w:val="left"/>
      <w:pPr>
        <w:tabs>
          <w:tab w:val="left" w:pos="312"/>
        </w:tabs>
      </w:pPr>
    </w:lvl>
  </w:abstractNum>
  <w:abstractNum w:abstractNumId="11">
    <w:nsid w:val="42DB6D4B"/>
    <w:multiLevelType w:val="singleLevel"/>
    <w:tmpl w:val="42DB6D4B"/>
    <w:lvl w:ilvl="0" w:tentative="0">
      <w:start w:val="11"/>
      <w:numFmt w:val="chineseCounting"/>
      <w:suff w:val="nothing"/>
      <w:lvlText w:val="%1、"/>
      <w:lvlJc w:val="left"/>
      <w:rPr>
        <w:rFonts w:hint="eastAsia"/>
      </w:rPr>
    </w:lvl>
  </w:abstractNum>
  <w:abstractNum w:abstractNumId="12">
    <w:nsid w:val="574BC170"/>
    <w:multiLevelType w:val="singleLevel"/>
    <w:tmpl w:val="574BC170"/>
    <w:lvl w:ilvl="0" w:tentative="0">
      <w:start w:val="21"/>
      <w:numFmt w:val="decimal"/>
      <w:suff w:val="nothing"/>
      <w:lvlText w:val="%1."/>
      <w:lvlJc w:val="left"/>
    </w:lvl>
  </w:abstractNum>
  <w:abstractNum w:abstractNumId="13">
    <w:nsid w:val="578708E2"/>
    <w:multiLevelType w:val="singleLevel"/>
    <w:tmpl w:val="578708E2"/>
    <w:lvl w:ilvl="0" w:tentative="0">
      <w:start w:val="2"/>
      <w:numFmt w:val="decimal"/>
      <w:suff w:val="nothing"/>
      <w:lvlText w:val="%1."/>
      <w:lvlJc w:val="left"/>
    </w:lvl>
  </w:abstractNum>
  <w:abstractNum w:abstractNumId="14">
    <w:nsid w:val="58D13D66"/>
    <w:multiLevelType w:val="singleLevel"/>
    <w:tmpl w:val="58D13D66"/>
    <w:lvl w:ilvl="0" w:tentative="0">
      <w:start w:val="2"/>
      <w:numFmt w:val="decimal"/>
      <w:suff w:val="nothing"/>
      <w:lvlText w:val="%1、"/>
      <w:lvlJc w:val="left"/>
    </w:lvl>
  </w:abstractNum>
  <w:abstractNum w:abstractNumId="15">
    <w:nsid w:val="59AE6976"/>
    <w:multiLevelType w:val="singleLevel"/>
    <w:tmpl w:val="59AE6976"/>
    <w:lvl w:ilvl="0" w:tentative="0">
      <w:start w:val="1"/>
      <w:numFmt w:val="decimal"/>
      <w:suff w:val="nothing"/>
      <w:lvlText w:val="%1."/>
      <w:lvlJc w:val="left"/>
    </w:lvl>
  </w:abstractNum>
  <w:abstractNum w:abstractNumId="1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14"/>
  </w:num>
  <w:num w:numId="5">
    <w:abstractNumId w:val="1"/>
  </w:num>
  <w:num w:numId="6">
    <w:abstractNumId w:val="10"/>
  </w:num>
  <w:num w:numId="7">
    <w:abstractNumId w:val="9"/>
  </w:num>
  <w:num w:numId="8">
    <w:abstractNumId w:val="6"/>
  </w:num>
  <w:num w:numId="9">
    <w:abstractNumId w:val="15"/>
  </w:num>
  <w:num w:numId="10">
    <w:abstractNumId w:val="13"/>
  </w:num>
  <w:num w:numId="11">
    <w:abstractNumId w:val="0"/>
  </w:num>
  <w:num w:numId="12">
    <w:abstractNumId w:val="7"/>
  </w:num>
  <w:num w:numId="13">
    <w:abstractNumId w:val="12"/>
  </w:num>
  <w:num w:numId="14">
    <w:abstractNumId w:val="3"/>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30BB"/>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4F5579"/>
    <w:rsid w:val="005001D8"/>
    <w:rsid w:val="00512CBB"/>
    <w:rsid w:val="00523D61"/>
    <w:rsid w:val="00535A35"/>
    <w:rsid w:val="00543B0C"/>
    <w:rsid w:val="00552FD8"/>
    <w:rsid w:val="00555F96"/>
    <w:rsid w:val="0055725A"/>
    <w:rsid w:val="00557310"/>
    <w:rsid w:val="00561A07"/>
    <w:rsid w:val="00562895"/>
    <w:rsid w:val="005714C6"/>
    <w:rsid w:val="00574A51"/>
    <w:rsid w:val="00582A20"/>
    <w:rsid w:val="00590283"/>
    <w:rsid w:val="00594A14"/>
    <w:rsid w:val="005A3570"/>
    <w:rsid w:val="005A7750"/>
    <w:rsid w:val="005B55AC"/>
    <w:rsid w:val="005B7E2F"/>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7DE1"/>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240"/>
    <w:rsid w:val="008E1419"/>
    <w:rsid w:val="008F3D10"/>
    <w:rsid w:val="008F4F88"/>
    <w:rsid w:val="009166DF"/>
    <w:rsid w:val="009312E6"/>
    <w:rsid w:val="0093260C"/>
    <w:rsid w:val="00937503"/>
    <w:rsid w:val="00942B9F"/>
    <w:rsid w:val="00943319"/>
    <w:rsid w:val="0094346F"/>
    <w:rsid w:val="00947447"/>
    <w:rsid w:val="009613A1"/>
    <w:rsid w:val="00973FB8"/>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08EB"/>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07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0147E2"/>
    <w:rsid w:val="01161381"/>
    <w:rsid w:val="011A5E25"/>
    <w:rsid w:val="012A118F"/>
    <w:rsid w:val="012A6BDB"/>
    <w:rsid w:val="014F6641"/>
    <w:rsid w:val="01521C8D"/>
    <w:rsid w:val="01610122"/>
    <w:rsid w:val="01672E07"/>
    <w:rsid w:val="0168325F"/>
    <w:rsid w:val="01A544B3"/>
    <w:rsid w:val="01AE3368"/>
    <w:rsid w:val="01BA61B0"/>
    <w:rsid w:val="01C06EC1"/>
    <w:rsid w:val="01D17056"/>
    <w:rsid w:val="01F86CD9"/>
    <w:rsid w:val="021D673F"/>
    <w:rsid w:val="02256686"/>
    <w:rsid w:val="02322072"/>
    <w:rsid w:val="024E4B4B"/>
    <w:rsid w:val="02581525"/>
    <w:rsid w:val="025B2DC4"/>
    <w:rsid w:val="02C72207"/>
    <w:rsid w:val="02ED6112"/>
    <w:rsid w:val="02F94AB6"/>
    <w:rsid w:val="0317318F"/>
    <w:rsid w:val="035937A7"/>
    <w:rsid w:val="0363688D"/>
    <w:rsid w:val="0387014A"/>
    <w:rsid w:val="03BB6210"/>
    <w:rsid w:val="03D64DF8"/>
    <w:rsid w:val="03D66BA6"/>
    <w:rsid w:val="040556DD"/>
    <w:rsid w:val="04212517"/>
    <w:rsid w:val="043320FE"/>
    <w:rsid w:val="04563144"/>
    <w:rsid w:val="04730898"/>
    <w:rsid w:val="047A1C27"/>
    <w:rsid w:val="04842AA6"/>
    <w:rsid w:val="04851627"/>
    <w:rsid w:val="048C3708"/>
    <w:rsid w:val="048D195A"/>
    <w:rsid w:val="049802FF"/>
    <w:rsid w:val="04A3117E"/>
    <w:rsid w:val="04B0389B"/>
    <w:rsid w:val="04BF588C"/>
    <w:rsid w:val="04DA4474"/>
    <w:rsid w:val="04F76DD4"/>
    <w:rsid w:val="05114316"/>
    <w:rsid w:val="05214D81"/>
    <w:rsid w:val="053B7608"/>
    <w:rsid w:val="054B2562"/>
    <w:rsid w:val="056805A2"/>
    <w:rsid w:val="056F2E0E"/>
    <w:rsid w:val="057743B8"/>
    <w:rsid w:val="05810D93"/>
    <w:rsid w:val="059565ED"/>
    <w:rsid w:val="05B44CC5"/>
    <w:rsid w:val="05DB04A3"/>
    <w:rsid w:val="05E530D0"/>
    <w:rsid w:val="05FC53C3"/>
    <w:rsid w:val="06140B37"/>
    <w:rsid w:val="06500E91"/>
    <w:rsid w:val="068177FD"/>
    <w:rsid w:val="068E3E81"/>
    <w:rsid w:val="069C40D7"/>
    <w:rsid w:val="06A15634"/>
    <w:rsid w:val="06A411DD"/>
    <w:rsid w:val="06B74FBC"/>
    <w:rsid w:val="06C07699"/>
    <w:rsid w:val="06F37A6F"/>
    <w:rsid w:val="070E75E1"/>
    <w:rsid w:val="07577FFE"/>
    <w:rsid w:val="075B4E21"/>
    <w:rsid w:val="076B1CFB"/>
    <w:rsid w:val="07B0770E"/>
    <w:rsid w:val="07C531B9"/>
    <w:rsid w:val="07CA07CF"/>
    <w:rsid w:val="07CF5DE6"/>
    <w:rsid w:val="07ED2710"/>
    <w:rsid w:val="07F41F16"/>
    <w:rsid w:val="08027530"/>
    <w:rsid w:val="08145258"/>
    <w:rsid w:val="08337FE2"/>
    <w:rsid w:val="086230FE"/>
    <w:rsid w:val="08691E27"/>
    <w:rsid w:val="08736DF0"/>
    <w:rsid w:val="08766BA9"/>
    <w:rsid w:val="088272FC"/>
    <w:rsid w:val="08872B64"/>
    <w:rsid w:val="088C3CD7"/>
    <w:rsid w:val="08907C6B"/>
    <w:rsid w:val="089542AE"/>
    <w:rsid w:val="08BA08C0"/>
    <w:rsid w:val="08BC0A60"/>
    <w:rsid w:val="08CA0E35"/>
    <w:rsid w:val="08E81CF0"/>
    <w:rsid w:val="092403B3"/>
    <w:rsid w:val="09246605"/>
    <w:rsid w:val="09372351"/>
    <w:rsid w:val="09414AC1"/>
    <w:rsid w:val="094C3466"/>
    <w:rsid w:val="097924AD"/>
    <w:rsid w:val="09B07E99"/>
    <w:rsid w:val="09BD6E87"/>
    <w:rsid w:val="09C46F5F"/>
    <w:rsid w:val="09FC4E8C"/>
    <w:rsid w:val="0A314B36"/>
    <w:rsid w:val="0A346831"/>
    <w:rsid w:val="0A73514E"/>
    <w:rsid w:val="0A7F7F97"/>
    <w:rsid w:val="0A8F4AFE"/>
    <w:rsid w:val="0A944663"/>
    <w:rsid w:val="0AA479FE"/>
    <w:rsid w:val="0ABF65E6"/>
    <w:rsid w:val="0ACC485F"/>
    <w:rsid w:val="0AD97CBD"/>
    <w:rsid w:val="0ADA3F4C"/>
    <w:rsid w:val="0B057D70"/>
    <w:rsid w:val="0B0B7C2A"/>
    <w:rsid w:val="0B0E131B"/>
    <w:rsid w:val="0B116715"/>
    <w:rsid w:val="0B48482D"/>
    <w:rsid w:val="0B5A00BC"/>
    <w:rsid w:val="0B732363"/>
    <w:rsid w:val="0B7F5D75"/>
    <w:rsid w:val="0B9C6927"/>
    <w:rsid w:val="0BBF61BC"/>
    <w:rsid w:val="0BCB5C52"/>
    <w:rsid w:val="0BE300B2"/>
    <w:rsid w:val="0BE629C1"/>
    <w:rsid w:val="0BEF6A57"/>
    <w:rsid w:val="0BF71DAF"/>
    <w:rsid w:val="0C01678A"/>
    <w:rsid w:val="0C085D6A"/>
    <w:rsid w:val="0C142961"/>
    <w:rsid w:val="0C193AD3"/>
    <w:rsid w:val="0C475EF7"/>
    <w:rsid w:val="0C590374"/>
    <w:rsid w:val="0C7B29E0"/>
    <w:rsid w:val="0C7D22B4"/>
    <w:rsid w:val="0C913FB2"/>
    <w:rsid w:val="0CA80F95"/>
    <w:rsid w:val="0CC31C91"/>
    <w:rsid w:val="0D1424ED"/>
    <w:rsid w:val="0D5D3E94"/>
    <w:rsid w:val="0D8238FA"/>
    <w:rsid w:val="0D8C18C1"/>
    <w:rsid w:val="0E0013EF"/>
    <w:rsid w:val="0E0D58BA"/>
    <w:rsid w:val="0E2B3F92"/>
    <w:rsid w:val="0E6354DA"/>
    <w:rsid w:val="0E75278D"/>
    <w:rsid w:val="0E8611C8"/>
    <w:rsid w:val="0E8B67DF"/>
    <w:rsid w:val="0E90419B"/>
    <w:rsid w:val="0E9B1118"/>
    <w:rsid w:val="0EB75826"/>
    <w:rsid w:val="0EC37B54"/>
    <w:rsid w:val="0ED10695"/>
    <w:rsid w:val="0ED32660"/>
    <w:rsid w:val="0EDB7766"/>
    <w:rsid w:val="0EEA79A9"/>
    <w:rsid w:val="0EEF3211"/>
    <w:rsid w:val="0EF3685E"/>
    <w:rsid w:val="0EFB1BB6"/>
    <w:rsid w:val="0F113188"/>
    <w:rsid w:val="0F29227F"/>
    <w:rsid w:val="0F3F7CF5"/>
    <w:rsid w:val="0F4F5A5E"/>
    <w:rsid w:val="0F6634D4"/>
    <w:rsid w:val="0F670FFA"/>
    <w:rsid w:val="0F694D72"/>
    <w:rsid w:val="0F6C4862"/>
    <w:rsid w:val="0F7200CA"/>
    <w:rsid w:val="0F760751"/>
    <w:rsid w:val="0F7F4595"/>
    <w:rsid w:val="0F9E0AE4"/>
    <w:rsid w:val="0FB35FED"/>
    <w:rsid w:val="0FDD19F6"/>
    <w:rsid w:val="0FF07241"/>
    <w:rsid w:val="101E3DAE"/>
    <w:rsid w:val="10390BE8"/>
    <w:rsid w:val="10637A13"/>
    <w:rsid w:val="106612B1"/>
    <w:rsid w:val="108979E3"/>
    <w:rsid w:val="10A2678D"/>
    <w:rsid w:val="10A36062"/>
    <w:rsid w:val="10A5627E"/>
    <w:rsid w:val="10B93AD7"/>
    <w:rsid w:val="10BD35C7"/>
    <w:rsid w:val="1160463D"/>
    <w:rsid w:val="11CE5360"/>
    <w:rsid w:val="11E626AA"/>
    <w:rsid w:val="1218364A"/>
    <w:rsid w:val="12241424"/>
    <w:rsid w:val="122F22A3"/>
    <w:rsid w:val="12404081"/>
    <w:rsid w:val="12505D75"/>
    <w:rsid w:val="126A32DB"/>
    <w:rsid w:val="12745F08"/>
    <w:rsid w:val="12AA36D7"/>
    <w:rsid w:val="12B16E0A"/>
    <w:rsid w:val="12BB58E4"/>
    <w:rsid w:val="12C0739F"/>
    <w:rsid w:val="12F9465F"/>
    <w:rsid w:val="12FC7CAB"/>
    <w:rsid w:val="130F79DE"/>
    <w:rsid w:val="1319085D"/>
    <w:rsid w:val="136602E1"/>
    <w:rsid w:val="13931986"/>
    <w:rsid w:val="13A73607"/>
    <w:rsid w:val="13AC7923"/>
    <w:rsid w:val="13D03611"/>
    <w:rsid w:val="13F54E26"/>
    <w:rsid w:val="13FB7F63"/>
    <w:rsid w:val="14221993"/>
    <w:rsid w:val="1422618B"/>
    <w:rsid w:val="14733F9D"/>
    <w:rsid w:val="147C10A3"/>
    <w:rsid w:val="14C447F8"/>
    <w:rsid w:val="15115C90"/>
    <w:rsid w:val="151B4D60"/>
    <w:rsid w:val="152523E3"/>
    <w:rsid w:val="152534E9"/>
    <w:rsid w:val="153C0833"/>
    <w:rsid w:val="15657B9D"/>
    <w:rsid w:val="15853E70"/>
    <w:rsid w:val="15862B82"/>
    <w:rsid w:val="15A1569C"/>
    <w:rsid w:val="15AF7257"/>
    <w:rsid w:val="15B63F5E"/>
    <w:rsid w:val="15E52C78"/>
    <w:rsid w:val="162E0AC3"/>
    <w:rsid w:val="163C5D9C"/>
    <w:rsid w:val="163D4862"/>
    <w:rsid w:val="164E4CC1"/>
    <w:rsid w:val="165247B2"/>
    <w:rsid w:val="16556050"/>
    <w:rsid w:val="168C1346"/>
    <w:rsid w:val="169923E1"/>
    <w:rsid w:val="16994D22"/>
    <w:rsid w:val="169D3553"/>
    <w:rsid w:val="16A6065A"/>
    <w:rsid w:val="16AC04CA"/>
    <w:rsid w:val="16B84207"/>
    <w:rsid w:val="16BC7E7D"/>
    <w:rsid w:val="16EB2510"/>
    <w:rsid w:val="17081314"/>
    <w:rsid w:val="170F1E76"/>
    <w:rsid w:val="17163A31"/>
    <w:rsid w:val="171C3957"/>
    <w:rsid w:val="171F0A7F"/>
    <w:rsid w:val="172024A5"/>
    <w:rsid w:val="172D30C4"/>
    <w:rsid w:val="17326391"/>
    <w:rsid w:val="17416ECA"/>
    <w:rsid w:val="175C6F6A"/>
    <w:rsid w:val="1780534F"/>
    <w:rsid w:val="17AF1790"/>
    <w:rsid w:val="17B2302E"/>
    <w:rsid w:val="17F83137"/>
    <w:rsid w:val="17FF44C5"/>
    <w:rsid w:val="183D6D9C"/>
    <w:rsid w:val="183F0D66"/>
    <w:rsid w:val="18422604"/>
    <w:rsid w:val="184D2180"/>
    <w:rsid w:val="186407CC"/>
    <w:rsid w:val="18644328"/>
    <w:rsid w:val="18934C0E"/>
    <w:rsid w:val="189B3AC2"/>
    <w:rsid w:val="18A707E9"/>
    <w:rsid w:val="18B21538"/>
    <w:rsid w:val="18D70F9E"/>
    <w:rsid w:val="18E67433"/>
    <w:rsid w:val="190478B9"/>
    <w:rsid w:val="19063631"/>
    <w:rsid w:val="191775ED"/>
    <w:rsid w:val="19392391"/>
    <w:rsid w:val="194523AC"/>
    <w:rsid w:val="196934AD"/>
    <w:rsid w:val="197762DD"/>
    <w:rsid w:val="197E58BE"/>
    <w:rsid w:val="199D21E8"/>
    <w:rsid w:val="19A277FE"/>
    <w:rsid w:val="19E45129"/>
    <w:rsid w:val="1A172451"/>
    <w:rsid w:val="1A184CDB"/>
    <w:rsid w:val="1A240213"/>
    <w:rsid w:val="1A5B175B"/>
    <w:rsid w:val="1A6721C5"/>
    <w:rsid w:val="1A705206"/>
    <w:rsid w:val="1A8D2B13"/>
    <w:rsid w:val="1AC92B69"/>
    <w:rsid w:val="1ADF238C"/>
    <w:rsid w:val="1AEB0D31"/>
    <w:rsid w:val="1AF92BB3"/>
    <w:rsid w:val="1B0E4A1F"/>
    <w:rsid w:val="1B3C158C"/>
    <w:rsid w:val="1B574618"/>
    <w:rsid w:val="1B684130"/>
    <w:rsid w:val="1B697EA8"/>
    <w:rsid w:val="1BB83309"/>
    <w:rsid w:val="1BC7354C"/>
    <w:rsid w:val="1BCA303C"/>
    <w:rsid w:val="1C033E58"/>
    <w:rsid w:val="1C071B9A"/>
    <w:rsid w:val="1C0C0F5F"/>
    <w:rsid w:val="1C0E7FA7"/>
    <w:rsid w:val="1C0F6CA1"/>
    <w:rsid w:val="1C387FA6"/>
    <w:rsid w:val="1C4C3A51"/>
    <w:rsid w:val="1C5C073D"/>
    <w:rsid w:val="1C766D20"/>
    <w:rsid w:val="1C9D24FF"/>
    <w:rsid w:val="1CA05B4B"/>
    <w:rsid w:val="1CAB69CA"/>
    <w:rsid w:val="1CBC0BD7"/>
    <w:rsid w:val="1CEE68B6"/>
    <w:rsid w:val="1D320E99"/>
    <w:rsid w:val="1D4E55A7"/>
    <w:rsid w:val="1D6628F1"/>
    <w:rsid w:val="1DAB47A7"/>
    <w:rsid w:val="1DB72157"/>
    <w:rsid w:val="1DBE44DB"/>
    <w:rsid w:val="1DDC5D1E"/>
    <w:rsid w:val="1DE008F5"/>
    <w:rsid w:val="1DF95513"/>
    <w:rsid w:val="1DFB74DD"/>
    <w:rsid w:val="1E0839A8"/>
    <w:rsid w:val="1E0C793C"/>
    <w:rsid w:val="1E252D30"/>
    <w:rsid w:val="1E293FBC"/>
    <w:rsid w:val="1E2A6014"/>
    <w:rsid w:val="1E311151"/>
    <w:rsid w:val="1E3D3153"/>
    <w:rsid w:val="1E5866DD"/>
    <w:rsid w:val="1E5E7A6C"/>
    <w:rsid w:val="1E914811"/>
    <w:rsid w:val="1EC04283"/>
    <w:rsid w:val="1EE77A61"/>
    <w:rsid w:val="1EEE7042"/>
    <w:rsid w:val="1EF328AA"/>
    <w:rsid w:val="1EF53F2C"/>
    <w:rsid w:val="1F2111C5"/>
    <w:rsid w:val="1F4C5B16"/>
    <w:rsid w:val="1F501AAA"/>
    <w:rsid w:val="1F9A4AD4"/>
    <w:rsid w:val="1FA63478"/>
    <w:rsid w:val="1FB042F7"/>
    <w:rsid w:val="1FB45B95"/>
    <w:rsid w:val="1FBF278C"/>
    <w:rsid w:val="1FEA5A5B"/>
    <w:rsid w:val="1FFE5062"/>
    <w:rsid w:val="20126D60"/>
    <w:rsid w:val="20311090"/>
    <w:rsid w:val="20346E0E"/>
    <w:rsid w:val="204F3443"/>
    <w:rsid w:val="205E01F7"/>
    <w:rsid w:val="20B9542D"/>
    <w:rsid w:val="20D02EA3"/>
    <w:rsid w:val="20F65D1B"/>
    <w:rsid w:val="211014F1"/>
    <w:rsid w:val="21254871"/>
    <w:rsid w:val="212C5BFF"/>
    <w:rsid w:val="213056EF"/>
    <w:rsid w:val="215A09BE"/>
    <w:rsid w:val="216B497A"/>
    <w:rsid w:val="21937A2C"/>
    <w:rsid w:val="21992A01"/>
    <w:rsid w:val="21A8155E"/>
    <w:rsid w:val="21C85928"/>
    <w:rsid w:val="21E40288"/>
    <w:rsid w:val="21F71674"/>
    <w:rsid w:val="220426D8"/>
    <w:rsid w:val="22124DF5"/>
    <w:rsid w:val="222608A0"/>
    <w:rsid w:val="224F1BA5"/>
    <w:rsid w:val="228D1E28"/>
    <w:rsid w:val="228D6B72"/>
    <w:rsid w:val="229323DA"/>
    <w:rsid w:val="22AF168F"/>
    <w:rsid w:val="22B20386"/>
    <w:rsid w:val="22CE1AC1"/>
    <w:rsid w:val="22F547E2"/>
    <w:rsid w:val="230E1A60"/>
    <w:rsid w:val="23377209"/>
    <w:rsid w:val="233D2B25"/>
    <w:rsid w:val="2355143D"/>
    <w:rsid w:val="235A6A54"/>
    <w:rsid w:val="23800221"/>
    <w:rsid w:val="238E0DF3"/>
    <w:rsid w:val="239F090A"/>
    <w:rsid w:val="23B56380"/>
    <w:rsid w:val="23C6058D"/>
    <w:rsid w:val="23C72304"/>
    <w:rsid w:val="23F46EA8"/>
    <w:rsid w:val="241F37F9"/>
    <w:rsid w:val="245E4322"/>
    <w:rsid w:val="24653902"/>
    <w:rsid w:val="247D50F0"/>
    <w:rsid w:val="248E2729"/>
    <w:rsid w:val="249005AE"/>
    <w:rsid w:val="24AF254A"/>
    <w:rsid w:val="24AF7273"/>
    <w:rsid w:val="24C525F3"/>
    <w:rsid w:val="24C90335"/>
    <w:rsid w:val="24CA19B7"/>
    <w:rsid w:val="25096983"/>
    <w:rsid w:val="25270BB7"/>
    <w:rsid w:val="255B6AB3"/>
    <w:rsid w:val="25853B30"/>
    <w:rsid w:val="25950217"/>
    <w:rsid w:val="25A20B86"/>
    <w:rsid w:val="25B74631"/>
    <w:rsid w:val="25BD32CA"/>
    <w:rsid w:val="25C40AFC"/>
    <w:rsid w:val="25CE197B"/>
    <w:rsid w:val="25D725DE"/>
    <w:rsid w:val="25E847EB"/>
    <w:rsid w:val="25EE7927"/>
    <w:rsid w:val="25EF3DCB"/>
    <w:rsid w:val="25F50834"/>
    <w:rsid w:val="2628108B"/>
    <w:rsid w:val="26526108"/>
    <w:rsid w:val="26667E05"/>
    <w:rsid w:val="26771661"/>
    <w:rsid w:val="2688797B"/>
    <w:rsid w:val="268F4C66"/>
    <w:rsid w:val="26976211"/>
    <w:rsid w:val="269765EA"/>
    <w:rsid w:val="26B4291F"/>
    <w:rsid w:val="26EE6B91"/>
    <w:rsid w:val="27157820"/>
    <w:rsid w:val="271B0BF0"/>
    <w:rsid w:val="271C2272"/>
    <w:rsid w:val="272F1FA5"/>
    <w:rsid w:val="273A72C8"/>
    <w:rsid w:val="2767173F"/>
    <w:rsid w:val="27AE55C0"/>
    <w:rsid w:val="27BB320F"/>
    <w:rsid w:val="27C13D12"/>
    <w:rsid w:val="27C43F9E"/>
    <w:rsid w:val="27D8263D"/>
    <w:rsid w:val="27E40FE2"/>
    <w:rsid w:val="27EB6814"/>
    <w:rsid w:val="27F06E9B"/>
    <w:rsid w:val="27FD0DC1"/>
    <w:rsid w:val="28177609"/>
    <w:rsid w:val="281C2BC6"/>
    <w:rsid w:val="281C4C20"/>
    <w:rsid w:val="28235FAE"/>
    <w:rsid w:val="282F32ED"/>
    <w:rsid w:val="28327F9F"/>
    <w:rsid w:val="283C2BCC"/>
    <w:rsid w:val="283E4BF7"/>
    <w:rsid w:val="285F4B0C"/>
    <w:rsid w:val="28757E8C"/>
    <w:rsid w:val="28893D9B"/>
    <w:rsid w:val="28AD1D1C"/>
    <w:rsid w:val="28B22E8E"/>
    <w:rsid w:val="28C02B57"/>
    <w:rsid w:val="28D41056"/>
    <w:rsid w:val="28DC7F0B"/>
    <w:rsid w:val="28F416F8"/>
    <w:rsid w:val="28F811E9"/>
    <w:rsid w:val="29001E4B"/>
    <w:rsid w:val="293D6BFB"/>
    <w:rsid w:val="294F19D0"/>
    <w:rsid w:val="295978DD"/>
    <w:rsid w:val="298F1421"/>
    <w:rsid w:val="29AE5EC4"/>
    <w:rsid w:val="29B7714B"/>
    <w:rsid w:val="29BF3AB4"/>
    <w:rsid w:val="29C91AA7"/>
    <w:rsid w:val="29CE019B"/>
    <w:rsid w:val="29D11A3A"/>
    <w:rsid w:val="29D62BAC"/>
    <w:rsid w:val="2A1262DA"/>
    <w:rsid w:val="2A1439E1"/>
    <w:rsid w:val="2A32072A"/>
    <w:rsid w:val="2A391AB9"/>
    <w:rsid w:val="2A4B359A"/>
    <w:rsid w:val="2A7725E1"/>
    <w:rsid w:val="2ABB0720"/>
    <w:rsid w:val="2ACA0377"/>
    <w:rsid w:val="2ADE440E"/>
    <w:rsid w:val="2AFB4FC0"/>
    <w:rsid w:val="2B147E30"/>
    <w:rsid w:val="2B232E93"/>
    <w:rsid w:val="2B5A2C10"/>
    <w:rsid w:val="2B6F32B8"/>
    <w:rsid w:val="2B786611"/>
    <w:rsid w:val="2B9601FE"/>
    <w:rsid w:val="2BD25682"/>
    <w:rsid w:val="2BE27F2E"/>
    <w:rsid w:val="2C155C0E"/>
    <w:rsid w:val="2C414C55"/>
    <w:rsid w:val="2C475FE3"/>
    <w:rsid w:val="2C4C5A92"/>
    <w:rsid w:val="2C83526D"/>
    <w:rsid w:val="2CA13945"/>
    <w:rsid w:val="2CAB47C4"/>
    <w:rsid w:val="2CC33AC9"/>
    <w:rsid w:val="2CC633AC"/>
    <w:rsid w:val="2CD05FD9"/>
    <w:rsid w:val="2CD23AFF"/>
    <w:rsid w:val="2CDE6947"/>
    <w:rsid w:val="2CEF7A50"/>
    <w:rsid w:val="2D055901"/>
    <w:rsid w:val="2D3227EF"/>
    <w:rsid w:val="2D3E2F42"/>
    <w:rsid w:val="2D71156A"/>
    <w:rsid w:val="2D7A6F99"/>
    <w:rsid w:val="2DA51213"/>
    <w:rsid w:val="2DC518B5"/>
    <w:rsid w:val="2DE27D71"/>
    <w:rsid w:val="2DEE4968"/>
    <w:rsid w:val="2E1A39AF"/>
    <w:rsid w:val="2E310CF9"/>
    <w:rsid w:val="2E3F6F72"/>
    <w:rsid w:val="2E6764C9"/>
    <w:rsid w:val="2E7555D3"/>
    <w:rsid w:val="2E9623C0"/>
    <w:rsid w:val="2EB536D8"/>
    <w:rsid w:val="2EB712DA"/>
    <w:rsid w:val="2ECA005F"/>
    <w:rsid w:val="2ECB2EFB"/>
    <w:rsid w:val="2ECD316E"/>
    <w:rsid w:val="2EDA313F"/>
    <w:rsid w:val="2F065CE2"/>
    <w:rsid w:val="2F0E760F"/>
    <w:rsid w:val="2F1C6FCF"/>
    <w:rsid w:val="2F430CE4"/>
    <w:rsid w:val="2F5C3519"/>
    <w:rsid w:val="2F5C7FF7"/>
    <w:rsid w:val="2F5E167A"/>
    <w:rsid w:val="2F7B2FF4"/>
    <w:rsid w:val="2F880DEC"/>
    <w:rsid w:val="2F886E61"/>
    <w:rsid w:val="300F6E18"/>
    <w:rsid w:val="3034062C"/>
    <w:rsid w:val="30536D05"/>
    <w:rsid w:val="305B3E0B"/>
    <w:rsid w:val="305F1B4D"/>
    <w:rsid w:val="30705B08"/>
    <w:rsid w:val="30AC639E"/>
    <w:rsid w:val="30AF3584"/>
    <w:rsid w:val="30E56588"/>
    <w:rsid w:val="30E91417"/>
    <w:rsid w:val="30F65D53"/>
    <w:rsid w:val="31293F09"/>
    <w:rsid w:val="31350B00"/>
    <w:rsid w:val="3159659D"/>
    <w:rsid w:val="315C608D"/>
    <w:rsid w:val="3194582D"/>
    <w:rsid w:val="31A83080"/>
    <w:rsid w:val="31AF2660"/>
    <w:rsid w:val="31B41A25"/>
    <w:rsid w:val="31BC6B2B"/>
    <w:rsid w:val="320504D2"/>
    <w:rsid w:val="32377E90"/>
    <w:rsid w:val="32513718"/>
    <w:rsid w:val="326A47D9"/>
    <w:rsid w:val="32B048E2"/>
    <w:rsid w:val="32B1065A"/>
    <w:rsid w:val="32E4458C"/>
    <w:rsid w:val="33174961"/>
    <w:rsid w:val="33242BDA"/>
    <w:rsid w:val="332D26D2"/>
    <w:rsid w:val="33443C83"/>
    <w:rsid w:val="33705E1F"/>
    <w:rsid w:val="33745910"/>
    <w:rsid w:val="33953AD8"/>
    <w:rsid w:val="33997124"/>
    <w:rsid w:val="33CC574C"/>
    <w:rsid w:val="33CD5020"/>
    <w:rsid w:val="33F9299F"/>
    <w:rsid w:val="34256C0A"/>
    <w:rsid w:val="345968B4"/>
    <w:rsid w:val="345D465C"/>
    <w:rsid w:val="348D41C6"/>
    <w:rsid w:val="34D2328A"/>
    <w:rsid w:val="35156C7E"/>
    <w:rsid w:val="35352E7D"/>
    <w:rsid w:val="3538471B"/>
    <w:rsid w:val="355F614C"/>
    <w:rsid w:val="3566572C"/>
    <w:rsid w:val="3571636E"/>
    <w:rsid w:val="357F5834"/>
    <w:rsid w:val="358362DE"/>
    <w:rsid w:val="35843E04"/>
    <w:rsid w:val="3589141A"/>
    <w:rsid w:val="358F4AB7"/>
    <w:rsid w:val="35AF114F"/>
    <w:rsid w:val="35BE10C4"/>
    <w:rsid w:val="35C506A4"/>
    <w:rsid w:val="35C8047F"/>
    <w:rsid w:val="35F04FF6"/>
    <w:rsid w:val="36021D61"/>
    <w:rsid w:val="36213401"/>
    <w:rsid w:val="36343F7C"/>
    <w:rsid w:val="36350803"/>
    <w:rsid w:val="36392E40"/>
    <w:rsid w:val="36580019"/>
    <w:rsid w:val="36794FEB"/>
    <w:rsid w:val="3687595A"/>
    <w:rsid w:val="368816D2"/>
    <w:rsid w:val="368D6CE8"/>
    <w:rsid w:val="36957C51"/>
    <w:rsid w:val="369E0EF6"/>
    <w:rsid w:val="36AC716F"/>
    <w:rsid w:val="36AF6C5F"/>
    <w:rsid w:val="36B83D65"/>
    <w:rsid w:val="36D6243D"/>
    <w:rsid w:val="36D87F64"/>
    <w:rsid w:val="36E42DAC"/>
    <w:rsid w:val="36F32FEF"/>
    <w:rsid w:val="371A057C"/>
    <w:rsid w:val="373B4810"/>
    <w:rsid w:val="373B6744"/>
    <w:rsid w:val="373D24BC"/>
    <w:rsid w:val="37444515"/>
    <w:rsid w:val="37490E61"/>
    <w:rsid w:val="37695060"/>
    <w:rsid w:val="377D0B0B"/>
    <w:rsid w:val="37991DE9"/>
    <w:rsid w:val="37A662B4"/>
    <w:rsid w:val="37A83DDA"/>
    <w:rsid w:val="37B24C58"/>
    <w:rsid w:val="37BE35FD"/>
    <w:rsid w:val="37C14E9C"/>
    <w:rsid w:val="37D72911"/>
    <w:rsid w:val="37DF17C6"/>
    <w:rsid w:val="381D3A0B"/>
    <w:rsid w:val="3825542A"/>
    <w:rsid w:val="38264151"/>
    <w:rsid w:val="38451629"/>
    <w:rsid w:val="38AF451F"/>
    <w:rsid w:val="38C5276A"/>
    <w:rsid w:val="38DE382B"/>
    <w:rsid w:val="39203E44"/>
    <w:rsid w:val="392C27E9"/>
    <w:rsid w:val="394C69E7"/>
    <w:rsid w:val="39F41558"/>
    <w:rsid w:val="3A030F15"/>
    <w:rsid w:val="3A1C0AAF"/>
    <w:rsid w:val="3A2636DC"/>
    <w:rsid w:val="3A3E4582"/>
    <w:rsid w:val="3A916DA7"/>
    <w:rsid w:val="3AA36ADA"/>
    <w:rsid w:val="3AC32CD9"/>
    <w:rsid w:val="3AFA2D64"/>
    <w:rsid w:val="3B0F23C2"/>
    <w:rsid w:val="3B2000A5"/>
    <w:rsid w:val="3B60677A"/>
    <w:rsid w:val="3B862684"/>
    <w:rsid w:val="3B885D5C"/>
    <w:rsid w:val="3B8B7C9A"/>
    <w:rsid w:val="3B8E4123"/>
    <w:rsid w:val="3B970CAC"/>
    <w:rsid w:val="3BAC19BF"/>
    <w:rsid w:val="3BD038FF"/>
    <w:rsid w:val="3BD11425"/>
    <w:rsid w:val="3BDD7DCA"/>
    <w:rsid w:val="3BEB698B"/>
    <w:rsid w:val="3BF55114"/>
    <w:rsid w:val="3C0B1F9A"/>
    <w:rsid w:val="3C214740"/>
    <w:rsid w:val="3C371BD0"/>
    <w:rsid w:val="3C81109D"/>
    <w:rsid w:val="3CA8662A"/>
    <w:rsid w:val="3CAA23A2"/>
    <w:rsid w:val="3CB72D11"/>
    <w:rsid w:val="3CBA010B"/>
    <w:rsid w:val="3CE533DA"/>
    <w:rsid w:val="3D0870C9"/>
    <w:rsid w:val="3D390965"/>
    <w:rsid w:val="3D4A5E08"/>
    <w:rsid w:val="3D5B019B"/>
    <w:rsid w:val="3D69400B"/>
    <w:rsid w:val="3D7724B9"/>
    <w:rsid w:val="3D8C7CFA"/>
    <w:rsid w:val="3DC56D68"/>
    <w:rsid w:val="3DE924E3"/>
    <w:rsid w:val="3DEC6510"/>
    <w:rsid w:val="3DF44EE5"/>
    <w:rsid w:val="3E10092B"/>
    <w:rsid w:val="3E18333B"/>
    <w:rsid w:val="3E261EFC"/>
    <w:rsid w:val="3E3E7246"/>
    <w:rsid w:val="3E4B1963"/>
    <w:rsid w:val="3E75253C"/>
    <w:rsid w:val="3E774506"/>
    <w:rsid w:val="3E7C7D6E"/>
    <w:rsid w:val="3E8135D7"/>
    <w:rsid w:val="3E8978EB"/>
    <w:rsid w:val="3EB94B1E"/>
    <w:rsid w:val="3ECD05CA"/>
    <w:rsid w:val="3EE26BC7"/>
    <w:rsid w:val="3EEC127F"/>
    <w:rsid w:val="3EFE4C27"/>
    <w:rsid w:val="3F0C0417"/>
    <w:rsid w:val="3F830C89"/>
    <w:rsid w:val="3F9133A5"/>
    <w:rsid w:val="3F991855"/>
    <w:rsid w:val="3FA806EF"/>
    <w:rsid w:val="3FB11C9A"/>
    <w:rsid w:val="3FCE0156"/>
    <w:rsid w:val="3FE54EAF"/>
    <w:rsid w:val="3FEA0D08"/>
    <w:rsid w:val="401B1A9A"/>
    <w:rsid w:val="4037219F"/>
    <w:rsid w:val="40580367"/>
    <w:rsid w:val="405A7C3B"/>
    <w:rsid w:val="406B009A"/>
    <w:rsid w:val="40833636"/>
    <w:rsid w:val="40890521"/>
    <w:rsid w:val="408D0011"/>
    <w:rsid w:val="40D43E92"/>
    <w:rsid w:val="411E6EBB"/>
    <w:rsid w:val="412546ED"/>
    <w:rsid w:val="41456B3D"/>
    <w:rsid w:val="41566655"/>
    <w:rsid w:val="418F600A"/>
    <w:rsid w:val="41911D83"/>
    <w:rsid w:val="41933E73"/>
    <w:rsid w:val="41A2189A"/>
    <w:rsid w:val="41BF68A1"/>
    <w:rsid w:val="41C21F3C"/>
    <w:rsid w:val="41C652D3"/>
    <w:rsid w:val="41C85741"/>
    <w:rsid w:val="41CA2B9F"/>
    <w:rsid w:val="41E023C2"/>
    <w:rsid w:val="41EA1493"/>
    <w:rsid w:val="41FF6CEC"/>
    <w:rsid w:val="421D7172"/>
    <w:rsid w:val="422B7AE1"/>
    <w:rsid w:val="42495701"/>
    <w:rsid w:val="42725710"/>
    <w:rsid w:val="42786A9F"/>
    <w:rsid w:val="427C033D"/>
    <w:rsid w:val="428E1E1E"/>
    <w:rsid w:val="429733C9"/>
    <w:rsid w:val="42A87384"/>
    <w:rsid w:val="42D90044"/>
    <w:rsid w:val="42E63A08"/>
    <w:rsid w:val="42E90FF2"/>
    <w:rsid w:val="43056584"/>
    <w:rsid w:val="430F0959"/>
    <w:rsid w:val="431762B8"/>
    <w:rsid w:val="431C567C"/>
    <w:rsid w:val="432664FB"/>
    <w:rsid w:val="432A5FEB"/>
    <w:rsid w:val="434370AD"/>
    <w:rsid w:val="43544E16"/>
    <w:rsid w:val="437454B8"/>
    <w:rsid w:val="438020AF"/>
    <w:rsid w:val="43866F99"/>
    <w:rsid w:val="439A2658"/>
    <w:rsid w:val="43B27D8E"/>
    <w:rsid w:val="43DD4E0B"/>
    <w:rsid w:val="43EC32A0"/>
    <w:rsid w:val="43FE2FD4"/>
    <w:rsid w:val="43FF1225"/>
    <w:rsid w:val="441B5933"/>
    <w:rsid w:val="443F42D6"/>
    <w:rsid w:val="444C01E3"/>
    <w:rsid w:val="44507CD3"/>
    <w:rsid w:val="44623562"/>
    <w:rsid w:val="447137A5"/>
    <w:rsid w:val="449000D0"/>
    <w:rsid w:val="44C24001"/>
    <w:rsid w:val="44CD30D2"/>
    <w:rsid w:val="44DA57EF"/>
    <w:rsid w:val="44DC50C3"/>
    <w:rsid w:val="44E4041B"/>
    <w:rsid w:val="4508235C"/>
    <w:rsid w:val="450D7972"/>
    <w:rsid w:val="450E5498"/>
    <w:rsid w:val="45103DBB"/>
    <w:rsid w:val="45126D36"/>
    <w:rsid w:val="452623BD"/>
    <w:rsid w:val="452B4BB5"/>
    <w:rsid w:val="452B604A"/>
    <w:rsid w:val="453B44DF"/>
    <w:rsid w:val="45603F46"/>
    <w:rsid w:val="45660E30"/>
    <w:rsid w:val="457B0D80"/>
    <w:rsid w:val="45D264C6"/>
    <w:rsid w:val="46144D30"/>
    <w:rsid w:val="461B7E6D"/>
    <w:rsid w:val="46477F15"/>
    <w:rsid w:val="46511AE0"/>
    <w:rsid w:val="465B57DC"/>
    <w:rsid w:val="469C3B23"/>
    <w:rsid w:val="469F260E"/>
    <w:rsid w:val="46C67DD9"/>
    <w:rsid w:val="46CC1167"/>
    <w:rsid w:val="473E02B7"/>
    <w:rsid w:val="47460F19"/>
    <w:rsid w:val="47515805"/>
    <w:rsid w:val="47573126"/>
    <w:rsid w:val="47632D59"/>
    <w:rsid w:val="47857C94"/>
    <w:rsid w:val="47863A0C"/>
    <w:rsid w:val="478B4B7E"/>
    <w:rsid w:val="47B73BC5"/>
    <w:rsid w:val="47E00AF1"/>
    <w:rsid w:val="47EC5378"/>
    <w:rsid w:val="47FE35A2"/>
    <w:rsid w:val="4832149E"/>
    <w:rsid w:val="48396CD0"/>
    <w:rsid w:val="483B65A4"/>
    <w:rsid w:val="483E7E42"/>
    <w:rsid w:val="4841679F"/>
    <w:rsid w:val="48660E58"/>
    <w:rsid w:val="48741AB6"/>
    <w:rsid w:val="488241D3"/>
    <w:rsid w:val="48961A2D"/>
    <w:rsid w:val="489B34E7"/>
    <w:rsid w:val="48B85E47"/>
    <w:rsid w:val="48CB5B7A"/>
    <w:rsid w:val="48EC00C7"/>
    <w:rsid w:val="48EE2BC9"/>
    <w:rsid w:val="48F319E2"/>
    <w:rsid w:val="49155047"/>
    <w:rsid w:val="491C4628"/>
    <w:rsid w:val="496D09DF"/>
    <w:rsid w:val="49743D8F"/>
    <w:rsid w:val="49A60395"/>
    <w:rsid w:val="49B06B1E"/>
    <w:rsid w:val="49B72A97"/>
    <w:rsid w:val="49E54A1A"/>
    <w:rsid w:val="49E8275C"/>
    <w:rsid w:val="4A0B36CD"/>
    <w:rsid w:val="4A630034"/>
    <w:rsid w:val="4A69564B"/>
    <w:rsid w:val="4A881849"/>
    <w:rsid w:val="4AA30431"/>
    <w:rsid w:val="4ABB39CC"/>
    <w:rsid w:val="4B230BCC"/>
    <w:rsid w:val="4B3A7B4E"/>
    <w:rsid w:val="4B3F63AB"/>
    <w:rsid w:val="4B490FD8"/>
    <w:rsid w:val="4B4E59BF"/>
    <w:rsid w:val="4B555BCF"/>
    <w:rsid w:val="4B58746D"/>
    <w:rsid w:val="4B614574"/>
    <w:rsid w:val="4B771FE9"/>
    <w:rsid w:val="4BA17066"/>
    <w:rsid w:val="4BCE772F"/>
    <w:rsid w:val="4C235CCD"/>
    <w:rsid w:val="4C5D11DF"/>
    <w:rsid w:val="4C8A5D4C"/>
    <w:rsid w:val="4C8F3363"/>
    <w:rsid w:val="4CAC5CC3"/>
    <w:rsid w:val="4CC50B32"/>
    <w:rsid w:val="4CC72AFC"/>
    <w:rsid w:val="4CFB4554"/>
    <w:rsid w:val="4D043409"/>
    <w:rsid w:val="4D31441A"/>
    <w:rsid w:val="4D3A5B11"/>
    <w:rsid w:val="4D3D691B"/>
    <w:rsid w:val="4D553C64"/>
    <w:rsid w:val="4DD74FC1"/>
    <w:rsid w:val="4DFC0584"/>
    <w:rsid w:val="4E0631B0"/>
    <w:rsid w:val="4E0B07C7"/>
    <w:rsid w:val="4E2A50F1"/>
    <w:rsid w:val="4E342F84"/>
    <w:rsid w:val="4E395334"/>
    <w:rsid w:val="4E4F7A0A"/>
    <w:rsid w:val="4E656129"/>
    <w:rsid w:val="4E724CEA"/>
    <w:rsid w:val="4E8A5B90"/>
    <w:rsid w:val="4EA76741"/>
    <w:rsid w:val="4EAF3848"/>
    <w:rsid w:val="4ED92673"/>
    <w:rsid w:val="4EDB6F4B"/>
    <w:rsid w:val="4EEC684A"/>
    <w:rsid w:val="4EEE25C2"/>
    <w:rsid w:val="4F273421"/>
    <w:rsid w:val="4F391364"/>
    <w:rsid w:val="4F585C8E"/>
    <w:rsid w:val="4F5A7C58"/>
    <w:rsid w:val="4F7F321A"/>
    <w:rsid w:val="4F895E47"/>
    <w:rsid w:val="4F90367A"/>
    <w:rsid w:val="4F9D5D96"/>
    <w:rsid w:val="4FA201DA"/>
    <w:rsid w:val="4FA7451F"/>
    <w:rsid w:val="4FB76E58"/>
    <w:rsid w:val="4FDF3192"/>
    <w:rsid w:val="4FF9121F"/>
    <w:rsid w:val="4FF97471"/>
    <w:rsid w:val="50033E4B"/>
    <w:rsid w:val="50062B38"/>
    <w:rsid w:val="506D7517"/>
    <w:rsid w:val="50B52C6C"/>
    <w:rsid w:val="50BB64D4"/>
    <w:rsid w:val="50BD049E"/>
    <w:rsid w:val="50D2079F"/>
    <w:rsid w:val="50D92DFE"/>
    <w:rsid w:val="50EE68AA"/>
    <w:rsid w:val="51087240"/>
    <w:rsid w:val="510F4A72"/>
    <w:rsid w:val="512322CB"/>
    <w:rsid w:val="5139564B"/>
    <w:rsid w:val="517D5F3B"/>
    <w:rsid w:val="51894824"/>
    <w:rsid w:val="518A5EA7"/>
    <w:rsid w:val="51AE7DE7"/>
    <w:rsid w:val="51D57A6A"/>
    <w:rsid w:val="51EA3321"/>
    <w:rsid w:val="51EB4B97"/>
    <w:rsid w:val="521560B8"/>
    <w:rsid w:val="52775DEE"/>
    <w:rsid w:val="5290573F"/>
    <w:rsid w:val="52B15DE1"/>
    <w:rsid w:val="52D95337"/>
    <w:rsid w:val="52DD4E28"/>
    <w:rsid w:val="52E166C3"/>
    <w:rsid w:val="52ED0DE3"/>
    <w:rsid w:val="531620E8"/>
    <w:rsid w:val="53226CDE"/>
    <w:rsid w:val="53285977"/>
    <w:rsid w:val="532E5683"/>
    <w:rsid w:val="533F5EBA"/>
    <w:rsid w:val="53422EDD"/>
    <w:rsid w:val="538057B3"/>
    <w:rsid w:val="538C23AA"/>
    <w:rsid w:val="539F3E8B"/>
    <w:rsid w:val="53B17155"/>
    <w:rsid w:val="53B61F77"/>
    <w:rsid w:val="53C02053"/>
    <w:rsid w:val="53CE4770"/>
    <w:rsid w:val="53DC50DF"/>
    <w:rsid w:val="53E46B80"/>
    <w:rsid w:val="53E775E0"/>
    <w:rsid w:val="53EE2FD4"/>
    <w:rsid w:val="540939FA"/>
    <w:rsid w:val="541D74A6"/>
    <w:rsid w:val="54422A68"/>
    <w:rsid w:val="544E11C2"/>
    <w:rsid w:val="5463310B"/>
    <w:rsid w:val="54662BFB"/>
    <w:rsid w:val="54A51975"/>
    <w:rsid w:val="54D538DD"/>
    <w:rsid w:val="54DE4E87"/>
    <w:rsid w:val="54F71AA5"/>
    <w:rsid w:val="551E7032"/>
    <w:rsid w:val="55392A77"/>
    <w:rsid w:val="554A6E6E"/>
    <w:rsid w:val="555E38D2"/>
    <w:rsid w:val="55A439DB"/>
    <w:rsid w:val="55AA6650"/>
    <w:rsid w:val="55AE2AAB"/>
    <w:rsid w:val="55B812C9"/>
    <w:rsid w:val="55CA0F67"/>
    <w:rsid w:val="560E70A6"/>
    <w:rsid w:val="563805C7"/>
    <w:rsid w:val="565076BF"/>
    <w:rsid w:val="567D13ED"/>
    <w:rsid w:val="568E6439"/>
    <w:rsid w:val="56AC6D41"/>
    <w:rsid w:val="56BD287A"/>
    <w:rsid w:val="56C87B9D"/>
    <w:rsid w:val="56D57BC4"/>
    <w:rsid w:val="56DB78D0"/>
    <w:rsid w:val="56ED7603"/>
    <w:rsid w:val="56F3629C"/>
    <w:rsid w:val="56F72230"/>
    <w:rsid w:val="56FC7846"/>
    <w:rsid w:val="5719555B"/>
    <w:rsid w:val="57741E27"/>
    <w:rsid w:val="57833AC4"/>
    <w:rsid w:val="57A23F4A"/>
    <w:rsid w:val="57A760E3"/>
    <w:rsid w:val="57B343A9"/>
    <w:rsid w:val="57C57C38"/>
    <w:rsid w:val="57CC7219"/>
    <w:rsid w:val="57D1482F"/>
    <w:rsid w:val="57ED10AC"/>
    <w:rsid w:val="583C7C96"/>
    <w:rsid w:val="5875340D"/>
    <w:rsid w:val="58893484"/>
    <w:rsid w:val="588C69A8"/>
    <w:rsid w:val="58BA19B2"/>
    <w:rsid w:val="58CD149A"/>
    <w:rsid w:val="58F72073"/>
    <w:rsid w:val="58FC3B2E"/>
    <w:rsid w:val="590D1897"/>
    <w:rsid w:val="5919023C"/>
    <w:rsid w:val="59284923"/>
    <w:rsid w:val="593432C8"/>
    <w:rsid w:val="593B28A8"/>
    <w:rsid w:val="5943175D"/>
    <w:rsid w:val="594D25DB"/>
    <w:rsid w:val="594E4DC3"/>
    <w:rsid w:val="59561490"/>
    <w:rsid w:val="59570D64"/>
    <w:rsid w:val="595A0F3F"/>
    <w:rsid w:val="595B4CF8"/>
    <w:rsid w:val="59705BA9"/>
    <w:rsid w:val="59747B68"/>
    <w:rsid w:val="598D700C"/>
    <w:rsid w:val="598F04FE"/>
    <w:rsid w:val="59B565FD"/>
    <w:rsid w:val="59D46859"/>
    <w:rsid w:val="59D64D5C"/>
    <w:rsid w:val="59F36CDF"/>
    <w:rsid w:val="5A0E50DB"/>
    <w:rsid w:val="5A105AE3"/>
    <w:rsid w:val="5A2A0227"/>
    <w:rsid w:val="5A382944"/>
    <w:rsid w:val="5A3966BC"/>
    <w:rsid w:val="5A3B4BCC"/>
    <w:rsid w:val="5A584D94"/>
    <w:rsid w:val="5A602C61"/>
    <w:rsid w:val="5A7871E4"/>
    <w:rsid w:val="5AB9459A"/>
    <w:rsid w:val="5ACE32A8"/>
    <w:rsid w:val="5AEB20AC"/>
    <w:rsid w:val="5B1A029B"/>
    <w:rsid w:val="5B255A9F"/>
    <w:rsid w:val="5B2829B8"/>
    <w:rsid w:val="5B3A26EB"/>
    <w:rsid w:val="5B490B80"/>
    <w:rsid w:val="5B547C51"/>
    <w:rsid w:val="5B5913F8"/>
    <w:rsid w:val="5B6360E6"/>
    <w:rsid w:val="5B7D2451"/>
    <w:rsid w:val="5B955B74"/>
    <w:rsid w:val="5B9B5880"/>
    <w:rsid w:val="5BA67D81"/>
    <w:rsid w:val="5BB04A84"/>
    <w:rsid w:val="5BED775E"/>
    <w:rsid w:val="5BF907F8"/>
    <w:rsid w:val="5C3D6937"/>
    <w:rsid w:val="5C464A56"/>
    <w:rsid w:val="5C6A7000"/>
    <w:rsid w:val="5C920267"/>
    <w:rsid w:val="5C9F6CAA"/>
    <w:rsid w:val="5CA02A22"/>
    <w:rsid w:val="5CC93CE4"/>
    <w:rsid w:val="5CCC1A69"/>
    <w:rsid w:val="5D153410"/>
    <w:rsid w:val="5D1F428F"/>
    <w:rsid w:val="5D235B2D"/>
    <w:rsid w:val="5D2C3AEB"/>
    <w:rsid w:val="5D3B758B"/>
    <w:rsid w:val="5D5201C0"/>
    <w:rsid w:val="5D61439B"/>
    <w:rsid w:val="5D7A14C5"/>
    <w:rsid w:val="5DEB15DF"/>
    <w:rsid w:val="5E135D11"/>
    <w:rsid w:val="5E6F08FE"/>
    <w:rsid w:val="5E7D126D"/>
    <w:rsid w:val="5E7F3237"/>
    <w:rsid w:val="5E9B59CB"/>
    <w:rsid w:val="5E9F0CE1"/>
    <w:rsid w:val="5EA421AD"/>
    <w:rsid w:val="5EB10F16"/>
    <w:rsid w:val="5ECE6AE2"/>
    <w:rsid w:val="5EF57055"/>
    <w:rsid w:val="5F0C439F"/>
    <w:rsid w:val="5F180C0B"/>
    <w:rsid w:val="5F313E05"/>
    <w:rsid w:val="5F3F0259"/>
    <w:rsid w:val="5F645F89"/>
    <w:rsid w:val="5F6B7317"/>
    <w:rsid w:val="5F775CBC"/>
    <w:rsid w:val="5F8D1984"/>
    <w:rsid w:val="5F961333"/>
    <w:rsid w:val="5F990328"/>
    <w:rsid w:val="5FC058B5"/>
    <w:rsid w:val="5FC30F01"/>
    <w:rsid w:val="5FCD3B2E"/>
    <w:rsid w:val="5FD2383A"/>
    <w:rsid w:val="5FDC6467"/>
    <w:rsid w:val="5FE31328"/>
    <w:rsid w:val="5FEA2932"/>
    <w:rsid w:val="5FF732A1"/>
    <w:rsid w:val="60114363"/>
    <w:rsid w:val="602B6AA7"/>
    <w:rsid w:val="60433DF0"/>
    <w:rsid w:val="604C539B"/>
    <w:rsid w:val="6065645C"/>
    <w:rsid w:val="60681AA9"/>
    <w:rsid w:val="606F78A6"/>
    <w:rsid w:val="60762693"/>
    <w:rsid w:val="607B393B"/>
    <w:rsid w:val="609F196E"/>
    <w:rsid w:val="60A26D69"/>
    <w:rsid w:val="60B62814"/>
    <w:rsid w:val="60DC59A2"/>
    <w:rsid w:val="60E23123"/>
    <w:rsid w:val="61045C75"/>
    <w:rsid w:val="610C4B2A"/>
    <w:rsid w:val="610D3B0C"/>
    <w:rsid w:val="61306A6A"/>
    <w:rsid w:val="61565DA5"/>
    <w:rsid w:val="61570499"/>
    <w:rsid w:val="616109D2"/>
    <w:rsid w:val="616D11F0"/>
    <w:rsid w:val="6171498D"/>
    <w:rsid w:val="61750921"/>
    <w:rsid w:val="618C1561"/>
    <w:rsid w:val="618D5C6B"/>
    <w:rsid w:val="619012B7"/>
    <w:rsid w:val="61B34992"/>
    <w:rsid w:val="61B64F19"/>
    <w:rsid w:val="61CD7F83"/>
    <w:rsid w:val="61D7354F"/>
    <w:rsid w:val="61ED495B"/>
    <w:rsid w:val="61EE5FDE"/>
    <w:rsid w:val="61FA0313"/>
    <w:rsid w:val="61FE26C5"/>
    <w:rsid w:val="62083543"/>
    <w:rsid w:val="620D2908"/>
    <w:rsid w:val="623F15C0"/>
    <w:rsid w:val="62516C98"/>
    <w:rsid w:val="625C73EB"/>
    <w:rsid w:val="626F5370"/>
    <w:rsid w:val="627810D3"/>
    <w:rsid w:val="62791D4B"/>
    <w:rsid w:val="627B5AC3"/>
    <w:rsid w:val="62976675"/>
    <w:rsid w:val="62A74B0A"/>
    <w:rsid w:val="62B249B4"/>
    <w:rsid w:val="62CE676B"/>
    <w:rsid w:val="62DE6052"/>
    <w:rsid w:val="62FA7330"/>
    <w:rsid w:val="62FE6ADA"/>
    <w:rsid w:val="630A6E47"/>
    <w:rsid w:val="632A1297"/>
    <w:rsid w:val="632C14B3"/>
    <w:rsid w:val="636D025F"/>
    <w:rsid w:val="63700E68"/>
    <w:rsid w:val="63732C3E"/>
    <w:rsid w:val="63BC2837"/>
    <w:rsid w:val="640D6BEF"/>
    <w:rsid w:val="64340620"/>
    <w:rsid w:val="64356146"/>
    <w:rsid w:val="643979E4"/>
    <w:rsid w:val="64541F02"/>
    <w:rsid w:val="64686B51"/>
    <w:rsid w:val="646D1D84"/>
    <w:rsid w:val="647A41FA"/>
    <w:rsid w:val="64A62BA0"/>
    <w:rsid w:val="64C03C5F"/>
    <w:rsid w:val="64C23E7D"/>
    <w:rsid w:val="64E8140A"/>
    <w:rsid w:val="65000502"/>
    <w:rsid w:val="65073528"/>
    <w:rsid w:val="65110961"/>
    <w:rsid w:val="651A39E8"/>
    <w:rsid w:val="654E5711"/>
    <w:rsid w:val="65554CF2"/>
    <w:rsid w:val="65907AD8"/>
    <w:rsid w:val="65984BDE"/>
    <w:rsid w:val="65B23EF2"/>
    <w:rsid w:val="65B337C6"/>
    <w:rsid w:val="6618187B"/>
    <w:rsid w:val="662D17CA"/>
    <w:rsid w:val="664B39FF"/>
    <w:rsid w:val="6659611C"/>
    <w:rsid w:val="666773A1"/>
    <w:rsid w:val="667747F4"/>
    <w:rsid w:val="667E2026"/>
    <w:rsid w:val="66C35AFF"/>
    <w:rsid w:val="66C37A39"/>
    <w:rsid w:val="66CF2882"/>
    <w:rsid w:val="66E71979"/>
    <w:rsid w:val="66EA1469"/>
    <w:rsid w:val="670544F5"/>
    <w:rsid w:val="670C5884"/>
    <w:rsid w:val="673B7F17"/>
    <w:rsid w:val="673D3C8F"/>
    <w:rsid w:val="6759039D"/>
    <w:rsid w:val="67A818B0"/>
    <w:rsid w:val="67B850C4"/>
    <w:rsid w:val="67BF46A4"/>
    <w:rsid w:val="67E802BB"/>
    <w:rsid w:val="6804655B"/>
    <w:rsid w:val="6828049B"/>
    <w:rsid w:val="68525518"/>
    <w:rsid w:val="68733C9B"/>
    <w:rsid w:val="688A2F04"/>
    <w:rsid w:val="68907DEF"/>
    <w:rsid w:val="68BA5D49"/>
    <w:rsid w:val="68C36416"/>
    <w:rsid w:val="68CE4C16"/>
    <w:rsid w:val="690600B1"/>
    <w:rsid w:val="69112CDD"/>
    <w:rsid w:val="69194288"/>
    <w:rsid w:val="69221092"/>
    <w:rsid w:val="69280027"/>
    <w:rsid w:val="69354EFB"/>
    <w:rsid w:val="6937396B"/>
    <w:rsid w:val="695D19CB"/>
    <w:rsid w:val="696B4AA2"/>
    <w:rsid w:val="697119CE"/>
    <w:rsid w:val="697414BE"/>
    <w:rsid w:val="69BD0841"/>
    <w:rsid w:val="69C04704"/>
    <w:rsid w:val="69C75B99"/>
    <w:rsid w:val="69E9754E"/>
    <w:rsid w:val="69F50851"/>
    <w:rsid w:val="6A211646"/>
    <w:rsid w:val="6A31115D"/>
    <w:rsid w:val="6A3550F2"/>
    <w:rsid w:val="6A570BC4"/>
    <w:rsid w:val="6A627569"/>
    <w:rsid w:val="6A7A674C"/>
    <w:rsid w:val="6A841BD5"/>
    <w:rsid w:val="6A9C2A7B"/>
    <w:rsid w:val="6AB53B3C"/>
    <w:rsid w:val="6AD77F57"/>
    <w:rsid w:val="6AF24D91"/>
    <w:rsid w:val="6AF7366F"/>
    <w:rsid w:val="6B036F9E"/>
    <w:rsid w:val="6B1B6095"/>
    <w:rsid w:val="6B321631"/>
    <w:rsid w:val="6B4B624F"/>
    <w:rsid w:val="6B562347"/>
    <w:rsid w:val="6B821888"/>
    <w:rsid w:val="6B824366"/>
    <w:rsid w:val="6B9D1512"/>
    <w:rsid w:val="6BD149A6"/>
    <w:rsid w:val="6BD6020E"/>
    <w:rsid w:val="6C041279"/>
    <w:rsid w:val="6C270A6A"/>
    <w:rsid w:val="6C3F4006"/>
    <w:rsid w:val="6C4370AF"/>
    <w:rsid w:val="6C4E249B"/>
    <w:rsid w:val="6C4E4249"/>
    <w:rsid w:val="6C615D2A"/>
    <w:rsid w:val="6C7E41A5"/>
    <w:rsid w:val="6C841DBF"/>
    <w:rsid w:val="6C8C6B1F"/>
    <w:rsid w:val="6CA83959"/>
    <w:rsid w:val="6CF748E0"/>
    <w:rsid w:val="6D0668D1"/>
    <w:rsid w:val="6D1A1654"/>
    <w:rsid w:val="6D2C27DC"/>
    <w:rsid w:val="6D2F0769"/>
    <w:rsid w:val="6D2F7BD6"/>
    <w:rsid w:val="6D4B3411"/>
    <w:rsid w:val="6D592EA5"/>
    <w:rsid w:val="6D604233"/>
    <w:rsid w:val="6D785A21"/>
    <w:rsid w:val="6D7E0B5E"/>
    <w:rsid w:val="6D920165"/>
    <w:rsid w:val="6DAF51BB"/>
    <w:rsid w:val="6DD8026E"/>
    <w:rsid w:val="6DDB7D5E"/>
    <w:rsid w:val="6E005A16"/>
    <w:rsid w:val="6E1F649C"/>
    <w:rsid w:val="6E427DDD"/>
    <w:rsid w:val="6E47219B"/>
    <w:rsid w:val="6E4C47B8"/>
    <w:rsid w:val="6E7066F8"/>
    <w:rsid w:val="6E8E4DD0"/>
    <w:rsid w:val="6EA6036C"/>
    <w:rsid w:val="6EA939B8"/>
    <w:rsid w:val="6EDC1FE0"/>
    <w:rsid w:val="6EF015E7"/>
    <w:rsid w:val="6F07701B"/>
    <w:rsid w:val="6F0B4673"/>
    <w:rsid w:val="6F0F4163"/>
    <w:rsid w:val="6F2A4AF9"/>
    <w:rsid w:val="6F375468"/>
    <w:rsid w:val="6F4162E7"/>
    <w:rsid w:val="6F651FD5"/>
    <w:rsid w:val="6F795A80"/>
    <w:rsid w:val="6F863CF9"/>
    <w:rsid w:val="6F9208F0"/>
    <w:rsid w:val="6F944668"/>
    <w:rsid w:val="6FAA3E8C"/>
    <w:rsid w:val="6FB940CF"/>
    <w:rsid w:val="6FE54EC4"/>
    <w:rsid w:val="6FE729EA"/>
    <w:rsid w:val="7012394F"/>
    <w:rsid w:val="7020414E"/>
    <w:rsid w:val="705838E8"/>
    <w:rsid w:val="70585696"/>
    <w:rsid w:val="707F0E75"/>
    <w:rsid w:val="70A332E1"/>
    <w:rsid w:val="70AB1C6A"/>
    <w:rsid w:val="70BB28C7"/>
    <w:rsid w:val="70CB230C"/>
    <w:rsid w:val="71093911"/>
    <w:rsid w:val="710B6BAC"/>
    <w:rsid w:val="711315BD"/>
    <w:rsid w:val="71306613"/>
    <w:rsid w:val="713559D7"/>
    <w:rsid w:val="7141612A"/>
    <w:rsid w:val="714874B8"/>
    <w:rsid w:val="714D216E"/>
    <w:rsid w:val="714F4CEB"/>
    <w:rsid w:val="71526589"/>
    <w:rsid w:val="71630796"/>
    <w:rsid w:val="716342F2"/>
    <w:rsid w:val="7177349F"/>
    <w:rsid w:val="717E112C"/>
    <w:rsid w:val="719C5A56"/>
    <w:rsid w:val="71B44B4E"/>
    <w:rsid w:val="71B763EC"/>
    <w:rsid w:val="71C254BD"/>
    <w:rsid w:val="71C50B09"/>
    <w:rsid w:val="71D90A58"/>
    <w:rsid w:val="724F4877"/>
    <w:rsid w:val="72AA0ADE"/>
    <w:rsid w:val="72C9533D"/>
    <w:rsid w:val="72C963D7"/>
    <w:rsid w:val="72D54D7C"/>
    <w:rsid w:val="72D57472"/>
    <w:rsid w:val="72EF7CA5"/>
    <w:rsid w:val="72FD42D3"/>
    <w:rsid w:val="72FF629D"/>
    <w:rsid w:val="73261A7B"/>
    <w:rsid w:val="73267CCD"/>
    <w:rsid w:val="7327134F"/>
    <w:rsid w:val="733107D8"/>
    <w:rsid w:val="734168B5"/>
    <w:rsid w:val="737B21A7"/>
    <w:rsid w:val="737C169B"/>
    <w:rsid w:val="738D4B62"/>
    <w:rsid w:val="73BD3BF1"/>
    <w:rsid w:val="73C41CC8"/>
    <w:rsid w:val="73C84053"/>
    <w:rsid w:val="73E536E4"/>
    <w:rsid w:val="73F92CEC"/>
    <w:rsid w:val="73FE47A6"/>
    <w:rsid w:val="73FE6554"/>
    <w:rsid w:val="740B2A1F"/>
    <w:rsid w:val="743B3304"/>
    <w:rsid w:val="745D6531"/>
    <w:rsid w:val="74600FBD"/>
    <w:rsid w:val="74721F92"/>
    <w:rsid w:val="749D3FBF"/>
    <w:rsid w:val="749E5660"/>
    <w:rsid w:val="74AE3AD6"/>
    <w:rsid w:val="74D77E17"/>
    <w:rsid w:val="74DD362F"/>
    <w:rsid w:val="750E6C6B"/>
    <w:rsid w:val="751E11CC"/>
    <w:rsid w:val="752E10BB"/>
    <w:rsid w:val="75355FA6"/>
    <w:rsid w:val="753B10E2"/>
    <w:rsid w:val="753E7163"/>
    <w:rsid w:val="75952EE8"/>
    <w:rsid w:val="75C94940"/>
    <w:rsid w:val="75D91027"/>
    <w:rsid w:val="75E83018"/>
    <w:rsid w:val="75E85738"/>
    <w:rsid w:val="75EA6D90"/>
    <w:rsid w:val="760342F6"/>
    <w:rsid w:val="761E2EDE"/>
    <w:rsid w:val="7625426C"/>
    <w:rsid w:val="76437692"/>
    <w:rsid w:val="76562678"/>
    <w:rsid w:val="765B5EE0"/>
    <w:rsid w:val="7671125F"/>
    <w:rsid w:val="76BD5FBA"/>
    <w:rsid w:val="76C5666D"/>
    <w:rsid w:val="76DD06A3"/>
    <w:rsid w:val="76FB321F"/>
    <w:rsid w:val="772067E2"/>
    <w:rsid w:val="77213FC7"/>
    <w:rsid w:val="772905BC"/>
    <w:rsid w:val="77342D4E"/>
    <w:rsid w:val="7746449A"/>
    <w:rsid w:val="774A385E"/>
    <w:rsid w:val="776112D4"/>
    <w:rsid w:val="77664B3C"/>
    <w:rsid w:val="776B1C7B"/>
    <w:rsid w:val="777C4360"/>
    <w:rsid w:val="777E63ED"/>
    <w:rsid w:val="77882D05"/>
    <w:rsid w:val="77950F7E"/>
    <w:rsid w:val="77955421"/>
    <w:rsid w:val="77BC29AE"/>
    <w:rsid w:val="77C43611"/>
    <w:rsid w:val="77D45F4A"/>
    <w:rsid w:val="77E37F3B"/>
    <w:rsid w:val="77FA7033"/>
    <w:rsid w:val="780F19B8"/>
    <w:rsid w:val="7819395D"/>
    <w:rsid w:val="78236589"/>
    <w:rsid w:val="782E6CB4"/>
    <w:rsid w:val="78320EC2"/>
    <w:rsid w:val="7840538D"/>
    <w:rsid w:val="785A6F98"/>
    <w:rsid w:val="785C1A9B"/>
    <w:rsid w:val="786D1EFA"/>
    <w:rsid w:val="78746DE5"/>
    <w:rsid w:val="78760DAF"/>
    <w:rsid w:val="788A2AAC"/>
    <w:rsid w:val="789A3CEC"/>
    <w:rsid w:val="78A376CA"/>
    <w:rsid w:val="78EA5EF2"/>
    <w:rsid w:val="791A5BDE"/>
    <w:rsid w:val="791B3704"/>
    <w:rsid w:val="79236519"/>
    <w:rsid w:val="7924080B"/>
    <w:rsid w:val="7956298E"/>
    <w:rsid w:val="795A422D"/>
    <w:rsid w:val="795F5CE7"/>
    <w:rsid w:val="797B5EDA"/>
    <w:rsid w:val="7981274F"/>
    <w:rsid w:val="79823784"/>
    <w:rsid w:val="79870D9A"/>
    <w:rsid w:val="799314ED"/>
    <w:rsid w:val="79A100AE"/>
    <w:rsid w:val="79BA191D"/>
    <w:rsid w:val="79C1605A"/>
    <w:rsid w:val="79D12015"/>
    <w:rsid w:val="79E306C6"/>
    <w:rsid w:val="79ED6E4F"/>
    <w:rsid w:val="79F3642F"/>
    <w:rsid w:val="79F857F4"/>
    <w:rsid w:val="7A275176"/>
    <w:rsid w:val="7A320D06"/>
    <w:rsid w:val="7A3D6F22"/>
    <w:rsid w:val="7A520562"/>
    <w:rsid w:val="7A5C3FD5"/>
    <w:rsid w:val="7ACF29F8"/>
    <w:rsid w:val="7AD149C3"/>
    <w:rsid w:val="7AE2097E"/>
    <w:rsid w:val="7B0545C8"/>
    <w:rsid w:val="7B0A68E9"/>
    <w:rsid w:val="7B0D52CF"/>
    <w:rsid w:val="7B227779"/>
    <w:rsid w:val="7B354F51"/>
    <w:rsid w:val="7B3B1E3C"/>
    <w:rsid w:val="7B4C2FD1"/>
    <w:rsid w:val="7B576A18"/>
    <w:rsid w:val="7B707D38"/>
    <w:rsid w:val="7B811F45"/>
    <w:rsid w:val="7BAB5214"/>
    <w:rsid w:val="7BC0508A"/>
    <w:rsid w:val="7BC71922"/>
    <w:rsid w:val="7BD057ED"/>
    <w:rsid w:val="7BDA6D21"/>
    <w:rsid w:val="7BDA78A7"/>
    <w:rsid w:val="7C0C5586"/>
    <w:rsid w:val="7C10151B"/>
    <w:rsid w:val="7C240B22"/>
    <w:rsid w:val="7C4A1605"/>
    <w:rsid w:val="7C694787"/>
    <w:rsid w:val="7C8F0691"/>
    <w:rsid w:val="7CAB4D9F"/>
    <w:rsid w:val="7CBE4AD3"/>
    <w:rsid w:val="7CBF5669"/>
    <w:rsid w:val="7CC55E61"/>
    <w:rsid w:val="7CD460A4"/>
    <w:rsid w:val="7CFE5817"/>
    <w:rsid w:val="7D2C7C8E"/>
    <w:rsid w:val="7D397EFB"/>
    <w:rsid w:val="7D40198C"/>
    <w:rsid w:val="7D484F9C"/>
    <w:rsid w:val="7D586CD5"/>
    <w:rsid w:val="7D6722A4"/>
    <w:rsid w:val="7D8555F0"/>
    <w:rsid w:val="7D9D0B8C"/>
    <w:rsid w:val="7DA4016C"/>
    <w:rsid w:val="7DB879A9"/>
    <w:rsid w:val="7DE40569"/>
    <w:rsid w:val="7E114D79"/>
    <w:rsid w:val="7E1F3C97"/>
    <w:rsid w:val="7E2B6198"/>
    <w:rsid w:val="7E350DC4"/>
    <w:rsid w:val="7E3E236F"/>
    <w:rsid w:val="7E5A082B"/>
    <w:rsid w:val="7E7A2C7B"/>
    <w:rsid w:val="7E801D18"/>
    <w:rsid w:val="7E90249F"/>
    <w:rsid w:val="7EAD4DFF"/>
    <w:rsid w:val="7EBC14E6"/>
    <w:rsid w:val="7EE84089"/>
    <w:rsid w:val="7EED306E"/>
    <w:rsid w:val="7F032C71"/>
    <w:rsid w:val="7F037115"/>
    <w:rsid w:val="7F0455E7"/>
    <w:rsid w:val="7F08472B"/>
    <w:rsid w:val="7F0D7F93"/>
    <w:rsid w:val="7F21759B"/>
    <w:rsid w:val="7F2826CD"/>
    <w:rsid w:val="7F3C6183"/>
    <w:rsid w:val="7F511C2E"/>
    <w:rsid w:val="7F7122D0"/>
    <w:rsid w:val="7F8567C3"/>
    <w:rsid w:val="7F86582B"/>
    <w:rsid w:val="7F930498"/>
    <w:rsid w:val="7FA77AA0"/>
    <w:rsid w:val="7FC00B62"/>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4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next w:val="1"/>
    <w:unhideWhenUsed/>
    <w:qFormat/>
    <w:uiPriority w:val="0"/>
    <w:pPr>
      <w:ind w:firstLine="420" w:firstLineChars="200"/>
    </w:pPr>
    <w:rPr>
      <w:rFonts w:ascii="Calibri" w:hAnsi="Calibri"/>
      <w:szCs w:val="22"/>
    </w:rPr>
  </w:style>
  <w:style w:type="paragraph" w:styleId="8">
    <w:name w:val="index 5"/>
    <w:basedOn w:val="1"/>
    <w:next w:val="1"/>
    <w:qFormat/>
    <w:uiPriority w:val="0"/>
    <w:pPr>
      <w:ind w:left="1680"/>
    </w:pPr>
  </w:style>
  <w:style w:type="paragraph" w:styleId="9">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link w:val="49"/>
    <w:qFormat/>
    <w:uiPriority w:val="0"/>
    <w:pPr>
      <w:spacing w:line="240" w:lineRule="auto"/>
    </w:pPr>
    <w:rPr>
      <w:rFonts w:asciiTheme="minorHAnsi" w:hAnsiTheme="minorHAnsi" w:eastAsiaTheme="minorEastAsia"/>
      <w:sz w:val="21"/>
      <w:szCs w:val="24"/>
    </w:rPr>
  </w:style>
  <w:style w:type="paragraph" w:styleId="12">
    <w:name w:val="Body Text 3"/>
    <w:basedOn w:val="1"/>
    <w:link w:val="45"/>
    <w:semiHidden/>
    <w:unhideWhenUsed/>
    <w:qFormat/>
    <w:uiPriority w:val="99"/>
    <w:pPr>
      <w:spacing w:after="120"/>
    </w:pPr>
    <w:rPr>
      <w:sz w:val="16"/>
      <w:szCs w:val="16"/>
    </w:rPr>
  </w:style>
  <w:style w:type="paragraph" w:styleId="13">
    <w:name w:val="Body Text"/>
    <w:basedOn w:val="1"/>
    <w:link w:val="44"/>
    <w:unhideWhenUsed/>
    <w:qFormat/>
    <w:uiPriority w:val="99"/>
    <w:pPr>
      <w:spacing w:after="120" w:line="240" w:lineRule="auto"/>
      <w:jc w:val="both"/>
    </w:pPr>
    <w:rPr>
      <w:rFonts w:ascii="Times New Roman" w:hAnsi="Times New Roman" w:cs="Times New Roman"/>
      <w:kern w:val="0"/>
      <w:sz w:val="20"/>
      <w:szCs w:val="20"/>
    </w:rPr>
  </w:style>
  <w:style w:type="paragraph" w:styleId="14">
    <w:name w:val="Body Text Indent"/>
    <w:basedOn w:val="1"/>
    <w:next w:val="15"/>
    <w:unhideWhenUsed/>
    <w:qFormat/>
    <w:uiPriority w:val="0"/>
    <w:pPr>
      <w:ind w:firstLine="630"/>
    </w:pPr>
    <w:rPr>
      <w:rFonts w:eastAsia="仿宋_GB2312"/>
      <w:kern w:val="0"/>
      <w:sz w:val="32"/>
      <w:szCs w:val="20"/>
    </w:rPr>
  </w:style>
  <w:style w:type="paragraph" w:styleId="15">
    <w:name w:val="envelope return"/>
    <w:basedOn w:val="1"/>
    <w:qFormat/>
    <w:uiPriority w:val="0"/>
    <w:pPr>
      <w:widowControl/>
      <w:snapToGrid w:val="0"/>
      <w:jc w:val="left"/>
    </w:pPr>
    <w:rPr>
      <w:rFonts w:ascii="Arial" w:hAnsi="Arial"/>
      <w:kern w:val="0"/>
      <w:sz w:val="20"/>
      <w:szCs w:val="20"/>
    </w:rPr>
  </w:style>
  <w:style w:type="paragraph" w:styleId="16">
    <w:name w:val="toc 5"/>
    <w:basedOn w:val="1"/>
    <w:next w:val="1"/>
    <w:autoRedefine/>
    <w:unhideWhenUsed/>
    <w:qFormat/>
    <w:uiPriority w:val="39"/>
    <w:pPr>
      <w:ind w:left="960"/>
    </w:pPr>
    <w:rPr>
      <w:rFonts w:asciiTheme="minorHAnsi" w:eastAsiaTheme="minorHAnsi"/>
      <w:sz w:val="18"/>
      <w:szCs w:val="18"/>
    </w:rPr>
  </w:style>
  <w:style w:type="paragraph" w:styleId="17">
    <w:name w:val="toc 3"/>
    <w:basedOn w:val="1"/>
    <w:next w:val="1"/>
    <w:autoRedefine/>
    <w:unhideWhenUsed/>
    <w:qFormat/>
    <w:uiPriority w:val="39"/>
    <w:pPr>
      <w:ind w:left="480"/>
    </w:pPr>
    <w:rPr>
      <w:rFonts w:asciiTheme="minorHAnsi" w:eastAsiaTheme="minorHAnsi"/>
      <w:i/>
      <w:iCs/>
      <w:sz w:val="20"/>
      <w:szCs w:val="20"/>
    </w:rPr>
  </w:style>
  <w:style w:type="paragraph" w:styleId="18">
    <w:name w:val="Plain Text"/>
    <w:basedOn w:val="1"/>
    <w:unhideWhenUsed/>
    <w:qFormat/>
    <w:uiPriority w:val="0"/>
    <w:rPr>
      <w:rFonts w:ascii="宋体" w:hAnsi="Courier New"/>
      <w:kern w:val="0"/>
      <w:sz w:val="20"/>
      <w:szCs w:val="20"/>
    </w:rPr>
  </w:style>
  <w:style w:type="paragraph" w:styleId="19">
    <w:name w:val="toc 8"/>
    <w:basedOn w:val="1"/>
    <w:next w:val="1"/>
    <w:autoRedefine/>
    <w:unhideWhenUsed/>
    <w:qFormat/>
    <w:uiPriority w:val="39"/>
    <w:pPr>
      <w:ind w:left="1680"/>
    </w:pPr>
    <w:rPr>
      <w:rFonts w:asciiTheme="minorHAnsi" w:eastAsiaTheme="minorHAnsi"/>
      <w:sz w:val="18"/>
      <w:szCs w:val="18"/>
    </w:rPr>
  </w:style>
  <w:style w:type="paragraph" w:styleId="20">
    <w:name w:val="footer"/>
    <w:basedOn w:val="1"/>
    <w:link w:val="39"/>
    <w:unhideWhenUsed/>
    <w:qFormat/>
    <w:uiPriority w:val="99"/>
    <w:pPr>
      <w:tabs>
        <w:tab w:val="center" w:pos="4153"/>
        <w:tab w:val="right" w:pos="8306"/>
      </w:tabs>
      <w:snapToGrid w:val="0"/>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3">
    <w:name w:val="toc 4"/>
    <w:basedOn w:val="1"/>
    <w:next w:val="1"/>
    <w:autoRedefine/>
    <w:unhideWhenUsed/>
    <w:qFormat/>
    <w:uiPriority w:val="39"/>
    <w:pPr>
      <w:ind w:left="720"/>
    </w:pPr>
    <w:rPr>
      <w:rFonts w:asciiTheme="minorHAnsi" w:eastAsiaTheme="minorHAnsi"/>
      <w:sz w:val="18"/>
      <w:szCs w:val="18"/>
    </w:rPr>
  </w:style>
  <w:style w:type="paragraph" w:styleId="24">
    <w:name w:val="footnote text"/>
    <w:basedOn w:val="1"/>
    <w:next w:val="8"/>
    <w:qFormat/>
    <w:uiPriority w:val="0"/>
    <w:pPr>
      <w:widowControl/>
      <w:jc w:val="left"/>
    </w:pPr>
    <w:rPr>
      <w:kern w:val="0"/>
      <w:sz w:val="20"/>
      <w:szCs w:val="20"/>
      <w:lang w:val="de-DE"/>
    </w:rPr>
  </w:style>
  <w:style w:type="paragraph" w:styleId="25">
    <w:name w:val="toc 6"/>
    <w:basedOn w:val="1"/>
    <w:next w:val="1"/>
    <w:autoRedefine/>
    <w:unhideWhenUsed/>
    <w:qFormat/>
    <w:uiPriority w:val="39"/>
    <w:pPr>
      <w:ind w:left="1200"/>
    </w:pPr>
    <w:rPr>
      <w:rFonts w:asciiTheme="minorHAnsi" w:eastAsiaTheme="minorHAnsi"/>
      <w:sz w:val="18"/>
      <w:szCs w:val="18"/>
    </w:rPr>
  </w:style>
  <w:style w:type="paragraph" w:styleId="26">
    <w:name w:val="toc 2"/>
    <w:basedOn w:val="1"/>
    <w:next w:val="1"/>
    <w:autoRedefine/>
    <w:unhideWhenUsed/>
    <w:qFormat/>
    <w:uiPriority w:val="39"/>
    <w:pPr>
      <w:ind w:left="240"/>
    </w:pPr>
    <w:rPr>
      <w:rFonts w:asciiTheme="minorHAnsi" w:eastAsiaTheme="minorHAnsi"/>
      <w:smallCaps/>
      <w:sz w:val="20"/>
      <w:szCs w:val="20"/>
    </w:rPr>
  </w:style>
  <w:style w:type="paragraph" w:styleId="27">
    <w:name w:val="toc 9"/>
    <w:basedOn w:val="1"/>
    <w:next w:val="1"/>
    <w:autoRedefine/>
    <w:unhideWhenUsed/>
    <w:qFormat/>
    <w:uiPriority w:val="39"/>
    <w:pPr>
      <w:ind w:left="1920"/>
    </w:pPr>
    <w:rPr>
      <w:rFonts w:asciiTheme="minorHAnsi" w:eastAsiaTheme="minorHAnsi"/>
      <w:sz w:val="18"/>
      <w:szCs w:val="18"/>
    </w:rPr>
  </w:style>
  <w:style w:type="paragraph" w:styleId="28">
    <w:name w:val="Normal (Web)"/>
    <w:basedOn w:val="1"/>
    <w:qFormat/>
    <w:uiPriority w:val="0"/>
    <w:pPr>
      <w:widowControl/>
      <w:spacing w:before="100" w:beforeAutospacing="1" w:after="100" w:afterAutospacing="1" w:line="240" w:lineRule="auto"/>
    </w:pPr>
    <w:rPr>
      <w:rFonts w:cs="宋体"/>
      <w:kern w:val="0"/>
      <w:szCs w:val="20"/>
    </w:rPr>
  </w:style>
  <w:style w:type="paragraph" w:styleId="29">
    <w:name w:val="annotation subject"/>
    <w:basedOn w:val="11"/>
    <w:next w:val="11"/>
    <w:link w:val="54"/>
    <w:semiHidden/>
    <w:unhideWhenUsed/>
    <w:qFormat/>
    <w:uiPriority w:val="99"/>
    <w:pPr>
      <w:spacing w:line="360" w:lineRule="auto"/>
    </w:pPr>
    <w:rPr>
      <w:rFonts w:ascii="宋体" w:hAnsi="宋体" w:eastAsia="宋体"/>
      <w:b/>
      <w:bCs/>
      <w:sz w:val="24"/>
      <w:szCs w:val="22"/>
    </w:rPr>
  </w:style>
  <w:style w:type="paragraph" w:styleId="30">
    <w:name w:val="Body Text First Indent 2"/>
    <w:basedOn w:val="14"/>
    <w:next w:val="17"/>
    <w:unhideWhenUsed/>
    <w:qFormat/>
    <w:uiPriority w:val="99"/>
    <w:pPr>
      <w:ind w:firstLine="420" w:firstLineChars="20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unhideWhenUsed/>
    <w:qFormat/>
    <w:uiPriority w:val="99"/>
    <w:rPr>
      <w:color w:val="0563C1" w:themeColor="hyperlink"/>
      <w:u w:val="single"/>
      <w14:textFill>
        <w14:solidFill>
          <w14:schemeClr w14:val="hlink"/>
        </w14:solidFill>
      </w14:textFill>
    </w:rPr>
  </w:style>
  <w:style w:type="character" w:styleId="36">
    <w:name w:val="annotation reference"/>
    <w:basedOn w:val="33"/>
    <w:semiHidden/>
    <w:unhideWhenUsed/>
    <w:qFormat/>
    <w:uiPriority w:val="99"/>
    <w:rPr>
      <w:sz w:val="21"/>
      <w:szCs w:val="21"/>
    </w:rPr>
  </w:style>
  <w:style w:type="paragraph" w:customStyle="1" w:styleId="37">
    <w:name w:val="正文缩进2"/>
    <w:basedOn w:val="1"/>
    <w:qFormat/>
    <w:uiPriority w:val="0"/>
    <w:pPr>
      <w:wordWrap w:val="0"/>
      <w:ind w:firstLine="200" w:firstLineChars="200"/>
    </w:pPr>
  </w:style>
  <w:style w:type="character" w:customStyle="1" w:styleId="38">
    <w:name w:val="页眉 字符"/>
    <w:basedOn w:val="33"/>
    <w:link w:val="21"/>
    <w:qFormat/>
    <w:uiPriority w:val="99"/>
    <w:rPr>
      <w:rFonts w:eastAsia="宋体"/>
      <w:sz w:val="18"/>
      <w:szCs w:val="18"/>
    </w:rPr>
  </w:style>
  <w:style w:type="character" w:customStyle="1" w:styleId="39">
    <w:name w:val="页脚 字符"/>
    <w:basedOn w:val="33"/>
    <w:link w:val="20"/>
    <w:qFormat/>
    <w:uiPriority w:val="99"/>
    <w:rPr>
      <w:rFonts w:eastAsia="宋体"/>
      <w:sz w:val="18"/>
      <w:szCs w:val="18"/>
    </w:rPr>
  </w:style>
  <w:style w:type="character" w:customStyle="1" w:styleId="40">
    <w:name w:val="标题 1 字符"/>
    <w:basedOn w:val="33"/>
    <w:link w:val="2"/>
    <w:qFormat/>
    <w:uiPriority w:val="9"/>
    <w:rPr>
      <w:rFonts w:ascii="宋体" w:hAnsi="宋体" w:eastAsia="黑体"/>
      <w:b/>
      <w:bCs/>
      <w:kern w:val="44"/>
      <w:sz w:val="44"/>
      <w:szCs w:val="44"/>
    </w:rPr>
  </w:style>
  <w:style w:type="paragraph" w:styleId="41">
    <w:name w:val="List Paragraph"/>
    <w:basedOn w:val="1"/>
    <w:link w:val="50"/>
    <w:qFormat/>
    <w:uiPriority w:val="34"/>
    <w:pPr>
      <w:ind w:firstLine="420" w:firstLineChars="200"/>
    </w:pPr>
  </w:style>
  <w:style w:type="character" w:customStyle="1" w:styleId="42">
    <w:name w:val="标题 2 字符"/>
    <w:basedOn w:val="33"/>
    <w:link w:val="3"/>
    <w:qFormat/>
    <w:uiPriority w:val="9"/>
    <w:rPr>
      <w:rFonts w:eastAsia="宋体" w:asciiTheme="majorHAnsi" w:hAnsiTheme="majorHAnsi" w:cstheme="majorBidi"/>
      <w:b/>
      <w:bCs/>
      <w:sz w:val="32"/>
      <w:szCs w:val="32"/>
    </w:rPr>
  </w:style>
  <w:style w:type="character" w:customStyle="1" w:styleId="43">
    <w:name w:val="未处理的提及1"/>
    <w:basedOn w:val="33"/>
    <w:semiHidden/>
    <w:unhideWhenUsed/>
    <w:qFormat/>
    <w:uiPriority w:val="99"/>
    <w:rPr>
      <w:color w:val="605E5C"/>
      <w:shd w:val="clear" w:color="auto" w:fill="E1DFDD"/>
    </w:rPr>
  </w:style>
  <w:style w:type="character" w:customStyle="1" w:styleId="44">
    <w:name w:val="正文文本 字符"/>
    <w:basedOn w:val="33"/>
    <w:link w:val="13"/>
    <w:qFormat/>
    <w:uiPriority w:val="99"/>
    <w:rPr>
      <w:rFonts w:ascii="Times New Roman" w:hAnsi="Times New Roman" w:eastAsia="宋体" w:cs="Times New Roman"/>
      <w:kern w:val="0"/>
      <w:sz w:val="20"/>
      <w:szCs w:val="20"/>
    </w:rPr>
  </w:style>
  <w:style w:type="character" w:customStyle="1" w:styleId="45">
    <w:name w:val="正文文本 3 字符"/>
    <w:basedOn w:val="33"/>
    <w:link w:val="12"/>
    <w:semiHidden/>
    <w:qFormat/>
    <w:uiPriority w:val="99"/>
    <w:rPr>
      <w:rFonts w:ascii="宋体" w:hAnsi="宋体" w:eastAsia="宋体"/>
      <w:sz w:val="16"/>
      <w:szCs w:val="16"/>
    </w:rPr>
  </w:style>
  <w:style w:type="paragraph" w:customStyle="1" w:styleId="46">
    <w:name w:val="Default"/>
    <w:link w:val="47"/>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7">
    <w:name w:val="Default Char Char"/>
    <w:link w:val="46"/>
    <w:qFormat/>
    <w:uiPriority w:val="0"/>
    <w:rPr>
      <w:rFonts w:ascii=".." w:hAnsi="Times New Roman" w:eastAsia=".." w:cs="Times New Roman"/>
      <w:color w:val="000000"/>
      <w:kern w:val="0"/>
      <w:sz w:val="24"/>
      <w:szCs w:val="24"/>
    </w:rPr>
  </w:style>
  <w:style w:type="paragraph" w:styleId="48">
    <w:name w:val="No Spacing"/>
    <w:link w:val="53"/>
    <w:qFormat/>
    <w:uiPriority w:val="1"/>
    <w:pPr>
      <w:widowControl w:val="0"/>
    </w:pPr>
    <w:rPr>
      <w:rFonts w:ascii="宋体" w:hAnsi="宋体" w:eastAsia="宋体" w:cstheme="minorBidi"/>
      <w:kern w:val="2"/>
      <w:sz w:val="21"/>
      <w:szCs w:val="22"/>
      <w:lang w:val="en-US" w:eastAsia="zh-CN" w:bidi="ar-SA"/>
    </w:rPr>
  </w:style>
  <w:style w:type="character" w:customStyle="1" w:styleId="49">
    <w:name w:val="批注文字 字符"/>
    <w:basedOn w:val="33"/>
    <w:link w:val="11"/>
    <w:qFormat/>
    <w:uiPriority w:val="0"/>
    <w:rPr>
      <w:szCs w:val="24"/>
    </w:rPr>
  </w:style>
  <w:style w:type="character" w:customStyle="1" w:styleId="50">
    <w:name w:val="列表段落 字符"/>
    <w:link w:val="41"/>
    <w:qFormat/>
    <w:uiPriority w:val="34"/>
    <w:rPr>
      <w:rFonts w:ascii="宋体" w:hAnsi="宋体" w:eastAsia="宋体"/>
      <w:sz w:val="24"/>
    </w:rPr>
  </w:style>
  <w:style w:type="character" w:customStyle="1" w:styleId="51">
    <w:name w:val="标题 3 字符"/>
    <w:basedOn w:val="33"/>
    <w:link w:val="4"/>
    <w:autoRedefine/>
    <w:qFormat/>
    <w:uiPriority w:val="9"/>
    <w:rPr>
      <w:rFonts w:ascii="宋体" w:hAnsi="宋体" w:eastAsia="宋体"/>
      <w:b/>
      <w:bCs/>
      <w:sz w:val="32"/>
      <w:szCs w:val="32"/>
    </w:rPr>
  </w:style>
  <w:style w:type="character" w:customStyle="1" w:styleId="52">
    <w:name w:val="标题 4 字符"/>
    <w:basedOn w:val="33"/>
    <w:link w:val="5"/>
    <w:autoRedefine/>
    <w:qFormat/>
    <w:uiPriority w:val="9"/>
    <w:rPr>
      <w:rFonts w:eastAsia="宋体" w:asciiTheme="majorHAnsi" w:hAnsiTheme="majorHAnsi" w:cstheme="majorBidi"/>
      <w:b/>
      <w:bCs/>
      <w:sz w:val="28"/>
      <w:szCs w:val="28"/>
    </w:rPr>
  </w:style>
  <w:style w:type="character" w:customStyle="1" w:styleId="53">
    <w:name w:val="无间隔 字符"/>
    <w:link w:val="48"/>
    <w:qFormat/>
    <w:uiPriority w:val="1"/>
    <w:rPr>
      <w:rFonts w:ascii="宋体" w:hAnsi="宋体" w:eastAsia="宋体"/>
    </w:rPr>
  </w:style>
  <w:style w:type="character" w:customStyle="1" w:styleId="54">
    <w:name w:val="批注主题 字符"/>
    <w:basedOn w:val="49"/>
    <w:link w:val="29"/>
    <w:semiHidden/>
    <w:qFormat/>
    <w:uiPriority w:val="99"/>
    <w:rPr>
      <w:rFonts w:ascii="宋体" w:hAnsi="宋体" w:eastAsia="宋体"/>
      <w:b/>
      <w:bCs/>
      <w:kern w:val="2"/>
      <w:sz w:val="24"/>
      <w:szCs w:val="22"/>
    </w:rPr>
  </w:style>
  <w:style w:type="paragraph" w:customStyle="1" w:styleId="5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正文_1_1"/>
    <w:basedOn w:val="57"/>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正文_2_0_0"/>
    <w:basedOn w:val="58"/>
    <w:next w:val="63"/>
    <w:qFormat/>
    <w:uiPriority w:val="0"/>
    <w:rPr>
      <w:rFonts w:ascii="Calibri" w:hAnsi="Calibri" w:cs="宋体"/>
      <w:szCs w:val="21"/>
    </w:rPr>
  </w:style>
  <w:style w:type="paragraph" w:customStyle="1" w:styleId="58">
    <w:name w:val="正文_3_0_0"/>
    <w:basedOn w:val="59"/>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文本_1_0_0"/>
    <w:basedOn w:val="61"/>
    <w:autoRedefine/>
    <w:qFormat/>
    <w:uiPriority w:val="0"/>
    <w:pPr>
      <w:spacing w:after="120"/>
    </w:pPr>
  </w:style>
  <w:style w:type="paragraph" w:customStyle="1" w:styleId="61">
    <w:name w:val="正文_2_0_0_0_0"/>
    <w:basedOn w:val="62"/>
    <w:next w:val="6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1_0"/>
    <w:basedOn w:val="64"/>
    <w:autoRedefine/>
    <w:qFormat/>
    <w:uiPriority w:val="0"/>
    <w:pPr>
      <w:spacing w:after="120"/>
    </w:pPr>
    <w:rPr>
      <w:kern w:val="0"/>
      <w:sz w:val="20"/>
    </w:rPr>
  </w:style>
  <w:style w:type="paragraph" w:customStyle="1" w:styleId="64">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1"/>
    <w:autoRedefine/>
    <w:qFormat/>
    <w:uiPriority w:val="0"/>
    <w:pPr>
      <w:widowControl w:val="0"/>
      <w:jc w:val="both"/>
    </w:pPr>
    <w:rPr>
      <w:rFonts w:ascii="Calibri" w:hAnsi="Calibri" w:eastAsia="宋体" w:cs="Times New Roman"/>
      <w:lang w:val="en-US" w:eastAsia="zh-CN" w:bidi="ar-SA"/>
    </w:rPr>
  </w:style>
  <w:style w:type="paragraph" w:customStyle="1" w:styleId="66">
    <w:name w:val="正文_2"/>
    <w:basedOn w:val="67"/>
    <w:next w:val="94"/>
    <w:autoRedefine/>
    <w:qFormat/>
    <w:uiPriority w:val="0"/>
    <w:pPr>
      <w:widowControl w:val="0"/>
      <w:jc w:val="both"/>
    </w:pPr>
    <w:rPr>
      <w:rFonts w:ascii="Calibri" w:hAnsi="Calibri" w:eastAsia="宋体" w:cs="Times New Roman"/>
      <w:lang w:val="en-US" w:eastAsia="zh-CN" w:bidi="ar-SA"/>
    </w:rPr>
  </w:style>
  <w:style w:type="paragraph" w:customStyle="1" w:styleId="67">
    <w:name w:val="正文_3"/>
    <w:basedOn w:val="68"/>
    <w:next w:val="10"/>
    <w:autoRedefine/>
    <w:qFormat/>
    <w:uiPriority w:val="0"/>
    <w:pPr>
      <w:widowControl w:val="0"/>
      <w:jc w:val="both"/>
    </w:pPr>
    <w:rPr>
      <w:rFonts w:ascii="Calibri" w:hAnsi="Calibri"/>
      <w:kern w:val="2"/>
      <w:sz w:val="21"/>
      <w:szCs w:val="22"/>
      <w:lang w:val="en-US" w:eastAsia="zh-CN" w:bidi="ar-SA"/>
    </w:rPr>
  </w:style>
  <w:style w:type="paragraph" w:customStyle="1" w:styleId="68">
    <w:name w:val="正文_4"/>
    <w:basedOn w:val="69"/>
    <w:next w:val="9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0_1"/>
    <w:basedOn w:val="70"/>
    <w:next w:val="7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_0"/>
    <w:basedOn w:val="72"/>
    <w:autoRedefine/>
    <w:unhideWhenUsed/>
    <w:qFormat/>
    <w:uiPriority w:val="99"/>
    <w:pPr>
      <w:tabs>
        <w:tab w:val="center" w:pos="4153"/>
        <w:tab w:val="right" w:pos="8306"/>
      </w:tabs>
      <w:snapToGrid w:val="0"/>
      <w:jc w:val="left"/>
    </w:pPr>
    <w:rPr>
      <w:sz w:val="18"/>
      <w:szCs w:val="18"/>
    </w:rPr>
  </w:style>
  <w:style w:type="paragraph" w:customStyle="1" w:styleId="72">
    <w:name w:val="正文_1"/>
    <w:basedOn w:val="73"/>
    <w:next w:val="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_0"/>
    <w:basedOn w:val="74"/>
    <w:next w:val="9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2_1"/>
    <w:basedOn w:val="75"/>
    <w:next w:val="89"/>
    <w:qFormat/>
    <w:uiPriority w:val="0"/>
    <w:pPr>
      <w:widowControl w:val="0"/>
      <w:jc w:val="both"/>
    </w:pPr>
    <w:rPr>
      <w:kern w:val="2"/>
      <w:sz w:val="21"/>
      <w:szCs w:val="24"/>
      <w:lang w:val="en-US" w:eastAsia="zh-CN" w:bidi="ar-SA"/>
    </w:rPr>
  </w:style>
  <w:style w:type="paragraph" w:customStyle="1" w:styleId="75">
    <w:name w:val="正文_3_0"/>
    <w:basedOn w:val="76"/>
    <w:next w:val="77"/>
    <w:autoRedefine/>
    <w:qFormat/>
    <w:uiPriority w:val="99"/>
    <w:pPr>
      <w:widowControl w:val="0"/>
      <w:jc w:val="both"/>
    </w:pPr>
    <w:rPr>
      <w:rFonts w:ascii="Calibri" w:hAnsi="Calibri" w:eastAsia="仿宋_GB2312" w:cs="Times New Roman"/>
      <w:kern w:val="2"/>
      <w:sz w:val="28"/>
      <w:szCs w:val="24"/>
      <w:lang w:val="en-US" w:eastAsia="zh-CN" w:bidi="ar-SA"/>
    </w:rPr>
  </w:style>
  <w:style w:type="paragraph" w:customStyle="1" w:styleId="76">
    <w:name w:val="Normal_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77">
    <w:name w:val="正文缩进_0_0_1"/>
    <w:basedOn w:val="78"/>
    <w:unhideWhenUsed/>
    <w:qFormat/>
    <w:uiPriority w:val="0"/>
    <w:pPr>
      <w:ind w:firstLine="420" w:firstLineChars="200"/>
    </w:pPr>
    <w:rPr>
      <w:rFonts w:ascii="Calibri" w:hAnsi="Calibri"/>
      <w:szCs w:val="22"/>
    </w:rPr>
  </w:style>
  <w:style w:type="paragraph" w:customStyle="1" w:styleId="78">
    <w:name w:val="正文_0_1_1"/>
    <w:basedOn w:val="79"/>
    <w:next w:val="86"/>
    <w:qFormat/>
    <w:uiPriority w:val="0"/>
    <w:pPr>
      <w:widowControl w:val="0"/>
      <w:jc w:val="both"/>
    </w:pPr>
    <w:rPr>
      <w:rFonts w:ascii="Calibri" w:hAnsi="Calibri" w:eastAsia="Calibri"/>
      <w:kern w:val="2"/>
      <w:sz w:val="21"/>
      <w:szCs w:val="22"/>
      <w:lang w:val="en-US" w:eastAsia="zh-CN" w:bidi="ar-SA"/>
    </w:rPr>
  </w:style>
  <w:style w:type="paragraph" w:customStyle="1" w:styleId="79">
    <w:name w:val="正文_3_1"/>
    <w:basedOn w:val="80"/>
    <w:next w:val="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0_1"/>
    <w:basedOn w:val="81"/>
    <w:qFormat/>
    <w:uiPriority w:val="0"/>
    <w:rPr>
      <w:rFonts w:ascii="黑体" w:hAnsi="黑体" w:eastAsia="黑体" w:cs="Times New Roman"/>
      <w:sz w:val="32"/>
      <w:szCs w:val="24"/>
      <w:lang w:bidi="ar-SA"/>
    </w:rPr>
  </w:style>
  <w:style w:type="paragraph" w:customStyle="1" w:styleId="81">
    <w:name w:val="Normal_2"/>
    <w:next w:val="82"/>
    <w:qFormat/>
    <w:uiPriority w:val="0"/>
    <w:rPr>
      <w:rFonts w:ascii="黑体" w:hAnsi="黑体" w:eastAsia="黑体" w:cs="Times New Roman"/>
      <w:b/>
      <w:sz w:val="32"/>
      <w:szCs w:val="24"/>
      <w:lang w:bidi="ar-SA"/>
    </w:rPr>
  </w:style>
  <w:style w:type="paragraph" w:customStyle="1" w:styleId="82">
    <w:name w:val="Body Text_1"/>
    <w:basedOn w:val="81"/>
    <w:qFormat/>
    <w:uiPriority w:val="0"/>
    <w:pPr>
      <w:spacing w:after="120"/>
    </w:pPr>
  </w:style>
  <w:style w:type="paragraph" w:customStyle="1" w:styleId="83">
    <w:name w:val="正文缩进_0_0_0"/>
    <w:basedOn w:val="84"/>
    <w:unhideWhenUsed/>
    <w:qFormat/>
    <w:uiPriority w:val="0"/>
    <w:pPr>
      <w:ind w:firstLine="420" w:firstLineChars="200"/>
    </w:pPr>
    <w:rPr>
      <w:rFonts w:ascii="Calibri" w:hAnsi="Calibri"/>
      <w:szCs w:val="22"/>
    </w:rPr>
  </w:style>
  <w:style w:type="paragraph" w:customStyle="1" w:styleId="84">
    <w:name w:val="正文_0_1_0"/>
    <w:basedOn w:val="56"/>
    <w:next w:val="85"/>
    <w:qFormat/>
    <w:uiPriority w:val="0"/>
    <w:pPr>
      <w:widowControl w:val="0"/>
      <w:jc w:val="both"/>
    </w:pPr>
    <w:rPr>
      <w:rFonts w:ascii="Calibri" w:hAnsi="Calibri" w:eastAsia="Calibri"/>
      <w:kern w:val="2"/>
      <w:sz w:val="21"/>
      <w:szCs w:val="22"/>
      <w:lang w:val="en-US" w:eastAsia="zh-CN" w:bidi="ar-SA"/>
    </w:rPr>
  </w:style>
  <w:style w:type="paragraph" w:customStyle="1" w:styleId="85">
    <w:name w:val="脚注文本_0"/>
    <w:basedOn w:val="70"/>
    <w:next w:val="66"/>
    <w:unhideWhenUsed/>
    <w:qFormat/>
    <w:uiPriority w:val="99"/>
    <w:pPr>
      <w:snapToGrid w:val="0"/>
      <w:jc w:val="left"/>
    </w:pPr>
    <w:rPr>
      <w:rFonts w:ascii="Calibri" w:hAnsi="Calibri" w:eastAsia="Calibri"/>
      <w:sz w:val="18"/>
    </w:rPr>
  </w:style>
  <w:style w:type="paragraph" w:customStyle="1" w:styleId="86">
    <w:name w:val="脚注文本1"/>
    <w:basedOn w:val="87"/>
    <w:next w:val="88"/>
    <w:autoRedefine/>
    <w:unhideWhenUsed/>
    <w:qFormat/>
    <w:uiPriority w:val="0"/>
    <w:pPr>
      <w:snapToGrid w:val="0"/>
      <w:jc w:val="left"/>
    </w:pPr>
    <w:rPr>
      <w:rFonts w:eastAsia="宋体"/>
      <w:kern w:val="0"/>
      <w:sz w:val="18"/>
      <w:szCs w:val="18"/>
    </w:rPr>
  </w:style>
  <w:style w:type="paragraph" w:customStyle="1" w:styleId="87">
    <w:name w:val="正文_1_0"/>
    <w:basedOn w:val="6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索引 51"/>
    <w:basedOn w:val="87"/>
    <w:next w:val="87"/>
    <w:unhideWhenUsed/>
    <w:qFormat/>
    <w:uiPriority w:val="99"/>
    <w:pPr>
      <w:ind w:left="1680"/>
    </w:pPr>
  </w:style>
  <w:style w:type="paragraph" w:customStyle="1" w:styleId="89">
    <w:name w:val="No Spacing_0"/>
    <w:basedOn w:val="90"/>
    <w:qFormat/>
    <w:uiPriority w:val="1"/>
  </w:style>
  <w:style w:type="paragraph" w:customStyle="1" w:styleId="90">
    <w:name w:val="正文_5"/>
    <w:basedOn w:val="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6"/>
    <w:next w:val="9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列表_1"/>
    <w:basedOn w:val="68"/>
    <w:autoRedefine/>
    <w:qFormat/>
    <w:uiPriority w:val="0"/>
    <w:pPr>
      <w:adjustRightInd w:val="0"/>
      <w:jc w:val="center"/>
      <w:textAlignment w:val="baseline"/>
    </w:pPr>
    <w:rPr>
      <w:rFonts w:ascii="宋体" w:hAnsi="宋体"/>
      <w:sz w:val="24"/>
      <w:szCs w:val="20"/>
    </w:rPr>
  </w:style>
  <w:style w:type="paragraph" w:customStyle="1" w:styleId="93">
    <w:name w:val="正文文本_0"/>
    <w:basedOn w:val="66"/>
    <w:autoRedefine/>
    <w:qFormat/>
    <w:uiPriority w:val="0"/>
    <w:pPr>
      <w:spacing w:after="120"/>
    </w:pPr>
    <w:rPr>
      <w:kern w:val="0"/>
      <w:sz w:val="20"/>
    </w:rPr>
  </w:style>
  <w:style w:type="paragraph" w:customStyle="1" w:styleId="94">
    <w:name w:val="首行缩进"/>
    <w:basedOn w:val="68"/>
    <w:autoRedefine/>
    <w:qFormat/>
    <w:uiPriority w:val="0"/>
    <w:pPr>
      <w:ind w:firstLine="480" w:firstLineChars="200"/>
    </w:pPr>
    <w:rPr>
      <w:lang w:val="zh-CN"/>
    </w:rPr>
  </w:style>
  <w:style w:type="paragraph" w:customStyle="1" w:styleId="95">
    <w:name w:val="Normal"/>
    <w:basedOn w:val="90"/>
    <w:next w:val="96"/>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6">
    <w:name w:val="Normal Indent"/>
    <w:basedOn w:val="95"/>
    <w:unhideWhenUsed/>
    <w:qFormat/>
    <w:uiPriority w:val="0"/>
    <w:pPr>
      <w:ind w:firstLine="420" w:firstLineChars="200"/>
    </w:pPr>
    <w:rPr>
      <w:rFonts w:ascii="Calibri" w:hAnsi="Calibri"/>
      <w:szCs w:val="22"/>
    </w:rPr>
  </w:style>
  <w:style w:type="paragraph" w:customStyle="1" w:styleId="9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98">
    <w:name w:val="列出段落1"/>
    <w:basedOn w:val="1"/>
    <w:autoRedefine/>
    <w:qFormat/>
    <w:uiPriority w:val="0"/>
    <w:pPr>
      <w:ind w:firstLine="420" w:firstLineChars="200"/>
    </w:pPr>
    <w:rPr>
      <w:szCs w:val="21"/>
    </w:rPr>
  </w:style>
  <w:style w:type="paragraph" w:customStyle="1" w:styleId="99">
    <w:name w:val="Normal_22"/>
    <w:autoRedefine/>
    <w:qFormat/>
    <w:uiPriority w:val="0"/>
    <w:rPr>
      <w:rFonts w:ascii="Times New Roman" w:hAnsi="Times New Roman" w:eastAsia="Times New Roman" w:cs="Times New Roman"/>
      <w:sz w:val="24"/>
      <w:szCs w:val="24"/>
      <w:lang w:bidi="ar-SA"/>
    </w:rPr>
  </w:style>
  <w:style w:type="paragraph" w:customStyle="1" w:styleId="100">
    <w:name w:val="Char Char Char Char Char Char Char1 Char"/>
    <w:basedOn w:val="1"/>
    <w:autoRedefine/>
    <w:qFormat/>
    <w:uiPriority w:val="0"/>
    <w:rPr>
      <w:rFonts w:ascii="Arial" w:hAnsi="Arial" w:eastAsia="宋体" w:cs="Arial"/>
      <w:sz w:val="24"/>
    </w:rPr>
  </w:style>
  <w:style w:type="paragraph" w:customStyle="1" w:styleId="101">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102">
    <w:name w:val="Body Text"/>
    <w:basedOn w:val="103"/>
    <w:qFormat/>
    <w:uiPriority w:val="0"/>
    <w:pPr>
      <w:spacing w:after="120"/>
    </w:pPr>
    <w:rPr>
      <w:rFonts w:ascii="Calibri" w:hAnsi="Calibri"/>
    </w:rPr>
  </w:style>
  <w:style w:type="paragraph" w:customStyle="1" w:styleId="103">
    <w:name w:val="Normal_0"/>
    <w:basedOn w:val="65"/>
    <w:next w:val="24"/>
    <w:qFormat/>
    <w:uiPriority w:val="0"/>
    <w:pPr>
      <w:widowControl w:val="0"/>
      <w:jc w:val="both"/>
    </w:pPr>
    <w:rPr>
      <w:rFonts w:ascii="Calibri" w:hAnsi="Calibri"/>
      <w:lang w:val="en-US" w:eastAsia="zh-CN" w:bidi="ar-SA"/>
    </w:rPr>
  </w:style>
  <w:style w:type="paragraph" w:customStyle="1" w:styleId="104">
    <w:name w:val="Body Text_0"/>
    <w:basedOn w:val="105"/>
    <w:qFormat/>
    <w:uiPriority w:val="0"/>
    <w:pPr>
      <w:spacing w:after="120"/>
    </w:pPr>
    <w:rPr>
      <w:rFonts w:ascii="Calibri" w:hAnsi="Calibri"/>
    </w:rPr>
  </w:style>
  <w:style w:type="paragraph" w:customStyle="1" w:styleId="105">
    <w:name w:val="Normal_1"/>
    <w:next w:val="104"/>
    <w:qFormat/>
    <w:uiPriority w:val="0"/>
    <w:rPr>
      <w:rFonts w:ascii="黑体" w:hAnsi="黑体" w:eastAsia="黑体" w:cs="Times New Roman"/>
      <w:b/>
      <w:sz w:val="32"/>
      <w:szCs w:val="24"/>
      <w:lang w:bidi="ar-SA"/>
    </w:rPr>
  </w:style>
  <w:style w:type="paragraph" w:customStyle="1" w:styleId="106">
    <w:name w:val="列表_0"/>
    <w:basedOn w:val="72"/>
    <w:autoRedefine/>
    <w:semiHidden/>
    <w:qFormat/>
    <w:locked/>
    <w:uiPriority w:val="0"/>
    <w:pPr>
      <w:ind w:left="200" w:hanging="200" w:hangingChars="200"/>
    </w:pPr>
  </w:style>
  <w:style w:type="paragraph" w:customStyle="1" w:styleId="107">
    <w:name w:val="正文_4_0_0"/>
    <w:basedOn w:val="108"/>
    <w:qFormat/>
    <w:uiPriority w:val="0"/>
    <w:pPr>
      <w:widowControl w:val="0"/>
      <w:jc w:val="both"/>
    </w:pPr>
    <w:rPr>
      <w:rFonts w:ascii="Calibri" w:hAnsi="Calibri"/>
      <w:kern w:val="2"/>
      <w:sz w:val="21"/>
      <w:szCs w:val="22"/>
      <w:lang w:val="en-US" w:eastAsia="zh-CN" w:bidi="ar-SA"/>
    </w:rPr>
  </w:style>
  <w:style w:type="paragraph" w:customStyle="1" w:styleId="108">
    <w:name w:val="正文_4_1"/>
    <w:basedOn w:val="68"/>
    <w:next w:val="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1_0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Table Text"/>
    <w:basedOn w:val="1"/>
    <w:semiHidden/>
    <w:qFormat/>
    <w:uiPriority w:val="0"/>
    <w:rPr>
      <w:rFonts w:ascii="仿宋" w:hAnsi="仿宋" w:eastAsia="仿宋" w:cs="仿宋"/>
      <w:sz w:val="23"/>
      <w:szCs w:val="23"/>
      <w:lang w:val="en-US" w:eastAsia="en-US" w:bidi="ar-SA"/>
    </w:rPr>
  </w:style>
  <w:style w:type="paragraph" w:customStyle="1" w:styleId="111">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_0"/>
    <w:next w:val="71"/>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13">
    <w:name w:val="样式 首行缩进:  2 字符"/>
    <w:basedOn w:val="1"/>
    <w:qFormat/>
    <w:uiPriority w:val="0"/>
    <w:pPr>
      <w:widowControl w:val="0"/>
      <w:spacing w:line="360" w:lineRule="auto"/>
      <w:ind w:firstLine="480" w:firstLineChars="200"/>
      <w:textAlignment w:val="auto"/>
    </w:pPr>
    <w:rPr>
      <w:rFonts w:ascii="宋体" w:hAnsi="宋体"/>
      <w:color w:val="auto"/>
      <w:kern w:val="2"/>
      <w:sz w:val="24"/>
    </w:rPr>
  </w:style>
  <w:style w:type="paragraph" w:customStyle="1" w:styleId="114">
    <w:name w:val="p0"/>
    <w:basedOn w:val="1"/>
    <w:qFormat/>
    <w:uiPriority w:val="0"/>
    <w:pPr>
      <w:spacing w:line="408" w:lineRule="auto"/>
      <w:ind w:left="1"/>
      <w:textAlignment w:val="bottom"/>
    </w:pPr>
    <w:rPr>
      <w:szCs w:val="21"/>
    </w:rPr>
  </w:style>
  <w:style w:type="paragraph" w:customStyle="1" w:styleId="115">
    <w:name w:val="p1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6">
    <w:name w:val="正文_0_0_1"/>
    <w:autoRedefine/>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212</Pages>
  <Words>5313</Words>
  <Characters>5965</Characters>
  <Lines>294</Lines>
  <Paragraphs>82</Paragraphs>
  <TotalTime>2</TotalTime>
  <ScaleCrop>false</ScaleCrop>
  <LinksUpToDate>false</LinksUpToDate>
  <CharactersWithSpaces>6341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其实幸福很简单</cp:lastModifiedBy>
  <cp:lastPrinted>2025-06-17T10:20:00Z</cp:lastPrinted>
  <dcterms:modified xsi:type="dcterms:W3CDTF">2025-06-18T04:46:01Z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862B538D67034423841672BE1F632549_13</vt:lpwstr>
  </property>
  <property fmtid="{D5CDD505-2E9C-101B-9397-08002B2CF9AE}" pid="4" name="KSOTemplateDocerSaveRecord">
    <vt:lpwstr>eyJoZGlkIjoiNjgyNWY3NDc0YjU4NmFjYWI3NWNmZmEwZjQ4MmRjYWEiLCJ1c2VySWQiOiI1MDE4MTQyNTUifQ==</vt:lpwstr>
  </property>
</Properties>
</file>