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
          <w:tab w:val="left" w:pos="5481"/>
          <w:tab w:val="left" w:pos="5859"/>
        </w:tabs>
        <w:jc w:val="center"/>
        <w:rPr>
          <w:rFonts w:ascii="黑体" w:hAnsi="黑体" w:eastAsia="黑体"/>
          <w:sz w:val="52"/>
          <w:szCs w:val="52"/>
        </w:rPr>
      </w:pPr>
    </w:p>
    <w:p>
      <w:pPr>
        <w:tabs>
          <w:tab w:val="left" w:pos="1134"/>
          <w:tab w:val="left" w:pos="5481"/>
          <w:tab w:val="left" w:pos="5859"/>
        </w:tabs>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石河子大学医学院第一附属医院在职人员餐厅外包服务项目</w:t>
      </w:r>
    </w:p>
    <w:p>
      <w:pPr>
        <w:tabs>
          <w:tab w:val="left" w:pos="1134"/>
          <w:tab w:val="left" w:pos="5481"/>
          <w:tab w:val="left" w:pos="5859"/>
        </w:tabs>
        <w:rPr>
          <w:rFonts w:hint="eastAsia" w:ascii="宋体" w:hAnsi="宋体" w:eastAsia="宋体" w:cs="宋体"/>
          <w:b/>
          <w:bCs/>
          <w:sz w:val="48"/>
          <w:szCs w:val="48"/>
        </w:rPr>
      </w:pPr>
    </w:p>
    <w:p>
      <w:pPr>
        <w:pStyle w:val="5"/>
        <w:rPr>
          <w:rFonts w:hint="eastAsia" w:ascii="宋体" w:hAnsi="宋体" w:eastAsia="宋体" w:cs="宋体"/>
          <w:b/>
          <w:bCs/>
          <w:sz w:val="48"/>
          <w:szCs w:val="48"/>
        </w:rPr>
      </w:pPr>
    </w:p>
    <w:p>
      <w:pPr>
        <w:rPr>
          <w:rFonts w:hint="eastAsia" w:ascii="宋体" w:hAnsi="宋体" w:eastAsia="宋体" w:cs="宋体"/>
          <w:b/>
          <w:bCs/>
          <w:sz w:val="48"/>
          <w:szCs w:val="48"/>
        </w:rPr>
      </w:pPr>
    </w:p>
    <w:p>
      <w:pPr>
        <w:pStyle w:val="5"/>
        <w:rPr>
          <w:rFonts w:hint="eastAsia"/>
        </w:rPr>
      </w:pPr>
    </w:p>
    <w:p>
      <w:pPr>
        <w:pStyle w:val="5"/>
        <w:rPr>
          <w:rFonts w:hint="eastAsia" w:ascii="宋体" w:hAnsi="宋体" w:eastAsia="宋体" w:cs="宋体"/>
          <w:b/>
          <w:bCs/>
        </w:rPr>
      </w:pPr>
    </w:p>
    <w:p>
      <w:pPr>
        <w:tabs>
          <w:tab w:val="left" w:pos="1134"/>
          <w:tab w:val="left" w:pos="5160"/>
        </w:tabs>
        <w:jc w:val="center"/>
        <w:rPr>
          <w:rFonts w:hint="eastAsia" w:ascii="宋体" w:hAnsi="宋体" w:eastAsia="宋体" w:cs="宋体"/>
          <w:b/>
          <w:bCs/>
          <w:sz w:val="52"/>
          <w:szCs w:val="52"/>
        </w:rPr>
      </w:pPr>
      <w:r>
        <w:rPr>
          <w:rFonts w:hint="eastAsia" w:ascii="宋体" w:hAnsi="宋体" w:eastAsia="宋体" w:cs="宋体"/>
          <w:b/>
          <w:bCs/>
          <w:sz w:val="52"/>
          <w:szCs w:val="52"/>
        </w:rPr>
        <w:t>招标文件</w:t>
      </w:r>
    </w:p>
    <w:p>
      <w:pPr>
        <w:tabs>
          <w:tab w:val="left" w:pos="1134"/>
          <w:tab w:val="left" w:pos="5481"/>
          <w:tab w:val="left" w:pos="5859"/>
        </w:tabs>
        <w:jc w:val="center"/>
        <w:rPr>
          <w:rFonts w:hint="eastAsia" w:ascii="宋体" w:hAnsi="宋体" w:eastAsia="宋体" w:cs="宋体"/>
          <w:b/>
          <w:sz w:val="32"/>
        </w:rPr>
      </w:pPr>
    </w:p>
    <w:p>
      <w:pPr>
        <w:tabs>
          <w:tab w:val="left" w:pos="1134"/>
          <w:tab w:val="left" w:pos="5481"/>
          <w:tab w:val="left" w:pos="5859"/>
        </w:tabs>
        <w:jc w:val="center"/>
        <w:rPr>
          <w:rFonts w:hint="eastAsia" w:ascii="宋体" w:hAnsi="宋体" w:eastAsia="宋体" w:cs="宋体"/>
          <w:b/>
          <w:sz w:val="32"/>
        </w:rPr>
      </w:pPr>
    </w:p>
    <w:p>
      <w:pPr>
        <w:jc w:val="center"/>
        <w:rPr>
          <w:rFonts w:hint="eastAsia" w:ascii="宋体" w:hAnsi="宋体" w:eastAsia="宋体" w:cs="宋体"/>
        </w:rPr>
      </w:pPr>
    </w:p>
    <w:p>
      <w:pPr>
        <w:pStyle w:val="6"/>
        <w:ind w:left="1747" w:firstLine="1026" w:firstLineChars="426"/>
        <w:jc w:val="left"/>
        <w:rPr>
          <w:rFonts w:hint="eastAsia" w:ascii="宋体" w:hAnsi="宋体" w:eastAsia="宋体" w:cs="宋体"/>
          <w:b/>
        </w:rPr>
      </w:pPr>
    </w:p>
    <w:p>
      <w:pPr>
        <w:pStyle w:val="6"/>
        <w:ind w:left="1747" w:firstLine="1026" w:firstLineChars="426"/>
        <w:jc w:val="left"/>
        <w:rPr>
          <w:rFonts w:hint="eastAsia" w:ascii="宋体" w:hAnsi="宋体" w:eastAsia="宋体" w:cs="宋体"/>
          <w:b/>
        </w:rPr>
      </w:pPr>
    </w:p>
    <w:p>
      <w:pPr>
        <w:pStyle w:val="6"/>
        <w:ind w:left="1747" w:firstLine="1026" w:firstLineChars="426"/>
        <w:jc w:val="left"/>
        <w:rPr>
          <w:rFonts w:hint="eastAsia" w:ascii="宋体" w:hAnsi="宋体" w:eastAsia="宋体" w:cs="宋体"/>
          <w:b/>
        </w:rPr>
      </w:pPr>
    </w:p>
    <w:p>
      <w:pPr>
        <w:pStyle w:val="6"/>
        <w:ind w:left="1747" w:firstLine="1026" w:firstLineChars="426"/>
        <w:jc w:val="left"/>
        <w:rPr>
          <w:rFonts w:hint="eastAsia" w:ascii="宋体" w:hAnsi="宋体" w:eastAsia="宋体" w:cs="宋体"/>
          <w:b/>
        </w:rPr>
      </w:pPr>
    </w:p>
    <w:p>
      <w:pPr>
        <w:pStyle w:val="6"/>
        <w:ind w:left="1747" w:firstLine="1026" w:firstLineChars="426"/>
        <w:jc w:val="left"/>
        <w:rPr>
          <w:rFonts w:hint="eastAsia" w:ascii="宋体" w:hAnsi="宋体" w:eastAsia="宋体" w:cs="宋体"/>
          <w:b/>
        </w:rPr>
      </w:pPr>
    </w:p>
    <w:p>
      <w:pPr>
        <w:pStyle w:val="6"/>
        <w:ind w:left="1747" w:firstLine="1026" w:firstLineChars="426"/>
        <w:jc w:val="left"/>
        <w:rPr>
          <w:rFonts w:hint="eastAsia" w:ascii="宋体" w:hAnsi="宋体" w:eastAsia="宋体" w:cs="宋体"/>
          <w:b/>
        </w:rPr>
      </w:pPr>
    </w:p>
    <w:p>
      <w:pPr>
        <w:pStyle w:val="6"/>
        <w:ind w:left="0" w:leftChars="0" w:firstLine="1687" w:firstLineChars="600"/>
        <w:rPr>
          <w:rFonts w:hint="eastAsia" w:ascii="宋体" w:hAnsi="宋体" w:eastAsia="宋体" w:cs="宋体"/>
          <w:b/>
          <w:sz w:val="28"/>
          <w:szCs w:val="24"/>
          <w:highlight w:val="white"/>
          <w:lang w:eastAsia="zh-CN"/>
        </w:rPr>
      </w:pPr>
      <w:r>
        <w:rPr>
          <w:rFonts w:hint="eastAsia" w:ascii="宋体" w:hAnsi="宋体" w:eastAsia="宋体" w:cs="宋体"/>
          <w:b/>
          <w:sz w:val="28"/>
          <w:szCs w:val="24"/>
        </w:rPr>
        <w:t>采购人：</w:t>
      </w:r>
      <w:r>
        <w:rPr>
          <w:rFonts w:hint="eastAsia" w:ascii="宋体" w:hAnsi="宋体" w:eastAsia="宋体" w:cs="宋体"/>
          <w:b/>
          <w:sz w:val="28"/>
          <w:szCs w:val="24"/>
          <w:highlight w:val="white"/>
          <w:lang w:eastAsia="zh-CN"/>
        </w:rPr>
        <w:t>石河子大学医学院第一附属医院</w:t>
      </w:r>
    </w:p>
    <w:p>
      <w:pPr>
        <w:pStyle w:val="6"/>
        <w:ind w:left="0" w:leftChars="0" w:firstLine="0" w:firstLineChars="0"/>
        <w:rPr>
          <w:rFonts w:hint="eastAsia" w:ascii="宋体" w:hAnsi="宋体" w:eastAsia="宋体" w:cs="宋体"/>
          <w:b/>
          <w:sz w:val="28"/>
          <w:szCs w:val="24"/>
        </w:rPr>
      </w:pPr>
    </w:p>
    <w:p>
      <w:pPr>
        <w:pStyle w:val="6"/>
        <w:ind w:left="0" w:leftChars="0" w:firstLine="1687" w:firstLineChars="600"/>
        <w:rPr>
          <w:rFonts w:hint="eastAsia" w:ascii="宋体" w:hAnsi="宋体" w:eastAsia="宋体" w:cs="宋体"/>
          <w:b/>
          <w:sz w:val="28"/>
          <w:szCs w:val="24"/>
          <w:highlight w:val="white"/>
        </w:rPr>
      </w:pPr>
      <w:r>
        <w:rPr>
          <w:rFonts w:hint="eastAsia" w:ascii="宋体" w:hAnsi="宋体" w:eastAsia="宋体" w:cs="宋体"/>
          <w:b/>
          <w:sz w:val="28"/>
          <w:szCs w:val="24"/>
        </w:rPr>
        <w:t>采购代理机构：</w:t>
      </w:r>
      <w:bookmarkStart w:id="0" w:name="EBb1dc4df58bf74c20bca0cd6c7a930e95"/>
      <w:r>
        <w:rPr>
          <w:rFonts w:hint="eastAsia" w:ascii="宋体" w:hAnsi="宋体" w:eastAsia="宋体" w:cs="宋体"/>
          <w:b/>
          <w:sz w:val="28"/>
          <w:szCs w:val="24"/>
          <w:highlight w:val="white"/>
        </w:rPr>
        <w:t>新疆德利得工程管理有限公司</w:t>
      </w:r>
      <w:bookmarkEnd w:id="0"/>
    </w:p>
    <w:p>
      <w:pPr>
        <w:pStyle w:val="6"/>
        <w:ind w:left="1747" w:firstLine="843" w:firstLineChars="300"/>
        <w:rPr>
          <w:rFonts w:hint="eastAsia" w:ascii="宋体" w:hAnsi="宋体" w:eastAsia="宋体" w:cs="宋体"/>
          <w:b/>
          <w:sz w:val="28"/>
          <w:szCs w:val="24"/>
          <w:highlight w:val="white"/>
        </w:rPr>
      </w:pPr>
    </w:p>
    <w:p>
      <w:pPr>
        <w:pStyle w:val="6"/>
        <w:ind w:left="0" w:leftChars="0" w:firstLine="1687" w:firstLineChars="600"/>
        <w:rPr>
          <w:rFonts w:hint="eastAsia" w:ascii="宋体" w:hAnsi="宋体" w:eastAsia="宋体" w:cs="宋体"/>
          <w:b/>
          <w:sz w:val="32"/>
          <w:szCs w:val="24"/>
        </w:rPr>
      </w:pPr>
      <w:r>
        <w:rPr>
          <w:rFonts w:hint="eastAsia" w:ascii="宋体" w:hAnsi="宋体" w:eastAsia="宋体" w:cs="宋体"/>
          <w:b/>
          <w:sz w:val="28"/>
          <w:szCs w:val="24"/>
        </w:rPr>
        <w:t>日期：</w:t>
      </w:r>
      <w:bookmarkStart w:id="1" w:name="EBad5fb9b79797401bae5ba8a0a3b3cb20"/>
      <w:r>
        <w:rPr>
          <w:rFonts w:hint="eastAsia" w:ascii="宋体" w:hAnsi="宋体" w:eastAsia="宋体" w:cs="宋体"/>
          <w:b/>
          <w:sz w:val="28"/>
          <w:szCs w:val="24"/>
          <w:highlight w:val="white"/>
        </w:rPr>
        <w:t>202</w:t>
      </w:r>
      <w:r>
        <w:rPr>
          <w:rFonts w:hint="eastAsia" w:ascii="宋体" w:hAnsi="宋体" w:cs="宋体"/>
          <w:b/>
          <w:sz w:val="28"/>
          <w:szCs w:val="24"/>
          <w:highlight w:val="white"/>
          <w:lang w:val="en-US" w:eastAsia="zh-CN"/>
        </w:rPr>
        <w:t>2</w:t>
      </w:r>
      <w:r>
        <w:rPr>
          <w:rFonts w:hint="eastAsia" w:ascii="宋体" w:hAnsi="宋体" w:eastAsia="宋体" w:cs="宋体"/>
          <w:b/>
          <w:sz w:val="28"/>
          <w:szCs w:val="24"/>
          <w:highlight w:val="white"/>
        </w:rPr>
        <w:t>年</w:t>
      </w:r>
      <w:r>
        <w:rPr>
          <w:rFonts w:hint="eastAsia" w:ascii="宋体" w:hAnsi="宋体" w:cs="宋体"/>
          <w:b/>
          <w:sz w:val="28"/>
          <w:szCs w:val="24"/>
          <w:highlight w:val="white"/>
          <w:lang w:val="en-US" w:eastAsia="zh-CN"/>
        </w:rPr>
        <w:t>1</w:t>
      </w:r>
      <w:r>
        <w:rPr>
          <w:rFonts w:hint="eastAsia" w:ascii="宋体" w:hAnsi="宋体" w:eastAsia="宋体" w:cs="宋体"/>
          <w:b/>
          <w:sz w:val="28"/>
          <w:szCs w:val="24"/>
          <w:highlight w:val="white"/>
        </w:rPr>
        <w:t>月</w:t>
      </w:r>
      <w:r>
        <w:rPr>
          <w:rFonts w:hint="eastAsia" w:ascii="宋体" w:hAnsi="宋体" w:cs="宋体"/>
          <w:b/>
          <w:sz w:val="28"/>
          <w:szCs w:val="24"/>
          <w:highlight w:val="white"/>
          <w:lang w:val="en-US" w:eastAsia="zh-CN"/>
        </w:rPr>
        <w:t>24</w:t>
      </w:r>
      <w:r>
        <w:rPr>
          <w:rFonts w:hint="eastAsia" w:ascii="宋体" w:hAnsi="宋体" w:eastAsia="宋体" w:cs="宋体"/>
          <w:b/>
          <w:sz w:val="28"/>
          <w:szCs w:val="24"/>
          <w:highlight w:val="white"/>
        </w:rPr>
        <w:t>日</w:t>
      </w:r>
      <w:bookmarkEnd w:id="1"/>
    </w:p>
    <w:p>
      <w:pPr>
        <w:rPr>
          <w:rFonts w:hint="eastAsia" w:ascii="宋体" w:hAnsi="宋体" w:eastAsia="宋体" w:cs="宋体"/>
        </w:rPr>
      </w:pPr>
    </w:p>
    <w:p>
      <w:pPr>
        <w:pStyle w:val="5"/>
      </w:pPr>
    </w:p>
    <w:p>
      <w:pPr>
        <w:spacing w:line="360" w:lineRule="auto"/>
        <w:jc w:val="center"/>
        <w:rPr>
          <w:rFonts w:ascii="宋体" w:hAnsi="宋体"/>
          <w:b/>
          <w:sz w:val="28"/>
        </w:rPr>
      </w:pPr>
      <w:r>
        <w:rPr>
          <w:rFonts w:hint="eastAsia" w:ascii="宋体" w:hAnsi="宋体"/>
          <w:b/>
          <w:sz w:val="28"/>
        </w:rPr>
        <w:t>目 录</w:t>
      </w:r>
    </w:p>
    <w:p>
      <w:pPr>
        <w:pStyle w:val="10"/>
        <w:tabs>
          <w:tab w:val="right" w:leader="dot" w:pos="8302"/>
        </w:tabs>
        <w:rPr>
          <w:sz w:val="22"/>
        </w:rPr>
      </w:pPr>
      <w:r>
        <w:rPr>
          <w:rFonts w:ascii="宋体" w:hAnsi="宋体"/>
        </w:rPr>
        <w:fldChar w:fldCharType="begin"/>
      </w:r>
      <w:r>
        <w:rPr>
          <w:rFonts w:ascii="宋体" w:hAnsi="宋体"/>
        </w:rPr>
        <w:instrText xml:space="preserve"> </w:instrText>
      </w:r>
      <w:r>
        <w:rPr>
          <w:rFonts w:hint="eastAsia" w:ascii="宋体" w:hAnsi="宋体"/>
        </w:rPr>
        <w:instrText xml:space="preserve">TOC \o "1-3" \h \z \u</w:instrText>
      </w:r>
      <w:r>
        <w:rPr>
          <w:rFonts w:ascii="宋体" w:hAnsi="宋体"/>
        </w:rPr>
        <w:instrText xml:space="preserve"> </w:instrText>
      </w:r>
      <w:r>
        <w:rPr>
          <w:rFonts w:ascii="宋体" w:hAnsi="宋体"/>
        </w:rPr>
        <w:fldChar w:fldCharType="separate"/>
      </w:r>
      <w:r>
        <w:fldChar w:fldCharType="begin"/>
      </w:r>
      <w:r>
        <w:instrText xml:space="preserve"> HYPERLINK \l "_Toc256000000" </w:instrText>
      </w:r>
      <w:r>
        <w:fldChar w:fldCharType="separate"/>
      </w:r>
      <w:r>
        <w:rPr>
          <w:rStyle w:val="19"/>
          <w:rFonts w:hint="eastAsia" w:ascii="宋体" w:hAnsi="宋体"/>
          <w:b/>
          <w:color w:val="auto"/>
        </w:rPr>
        <w:t>第一部分   招标公告</w:t>
      </w:r>
      <w:r>
        <w:rPr>
          <w:rStyle w:val="19"/>
          <w:color w:val="auto"/>
        </w:rPr>
        <w:tab/>
      </w:r>
      <w:r>
        <w:fldChar w:fldCharType="begin"/>
      </w:r>
      <w:r>
        <w:rPr>
          <w:rStyle w:val="19"/>
          <w:color w:val="auto"/>
        </w:rPr>
        <w:instrText xml:space="preserve"> PAGEREF _Toc256000000 \h </w:instrText>
      </w:r>
      <w:r>
        <w:fldChar w:fldCharType="separate"/>
      </w:r>
      <w:r>
        <w:rPr>
          <w:rStyle w:val="19"/>
          <w:color w:val="auto"/>
        </w:rPr>
        <w:t>3</w:t>
      </w:r>
      <w:r>
        <w:fldChar w:fldCharType="end"/>
      </w:r>
      <w:r>
        <w:fldChar w:fldCharType="end"/>
      </w:r>
    </w:p>
    <w:p>
      <w:pPr>
        <w:pStyle w:val="10"/>
        <w:tabs>
          <w:tab w:val="right" w:leader="dot" w:pos="8302"/>
        </w:tabs>
        <w:rPr>
          <w:sz w:val="22"/>
        </w:rPr>
      </w:pPr>
      <w:r>
        <w:fldChar w:fldCharType="begin"/>
      </w:r>
      <w:r>
        <w:instrText xml:space="preserve"> HYPERLINK \l "_Toc256000001" </w:instrText>
      </w:r>
      <w:r>
        <w:fldChar w:fldCharType="separate"/>
      </w:r>
      <w:r>
        <w:rPr>
          <w:rStyle w:val="19"/>
          <w:rFonts w:hint="eastAsia" w:ascii="宋体" w:hAnsi="宋体"/>
          <w:b/>
          <w:color w:val="auto"/>
        </w:rPr>
        <w:t>第二部分   投标人须知</w:t>
      </w:r>
      <w:r>
        <w:rPr>
          <w:rStyle w:val="19"/>
          <w:color w:val="auto"/>
        </w:rPr>
        <w:tab/>
      </w:r>
      <w:r>
        <w:fldChar w:fldCharType="begin"/>
      </w:r>
      <w:r>
        <w:rPr>
          <w:rStyle w:val="19"/>
          <w:color w:val="auto"/>
        </w:rPr>
        <w:instrText xml:space="preserve"> PAGEREF _Toc256000001 \h </w:instrText>
      </w:r>
      <w:r>
        <w:fldChar w:fldCharType="separate"/>
      </w:r>
      <w:r>
        <w:rPr>
          <w:rStyle w:val="19"/>
          <w:color w:val="auto"/>
        </w:rPr>
        <w:t>7</w:t>
      </w:r>
      <w:r>
        <w:fldChar w:fldCharType="end"/>
      </w:r>
      <w:r>
        <w:fldChar w:fldCharType="end"/>
      </w:r>
    </w:p>
    <w:p>
      <w:pPr>
        <w:pStyle w:val="11"/>
        <w:tabs>
          <w:tab w:val="right" w:leader="dot" w:pos="8302"/>
        </w:tabs>
        <w:rPr>
          <w:sz w:val="22"/>
        </w:rPr>
      </w:pPr>
      <w:r>
        <w:fldChar w:fldCharType="begin"/>
      </w:r>
      <w:r>
        <w:instrText xml:space="preserve"> HYPERLINK \l "_Toc256000016" </w:instrText>
      </w:r>
      <w:r>
        <w:fldChar w:fldCharType="separate"/>
      </w:r>
      <w:r>
        <w:rPr>
          <w:rStyle w:val="19"/>
          <w:rFonts w:hint="eastAsia" w:ascii="宋体" w:hAnsi="宋体"/>
          <w:b/>
          <w:color w:val="auto"/>
        </w:rPr>
        <w:t>投标人须知前附表</w:t>
      </w:r>
      <w:r>
        <w:rPr>
          <w:rStyle w:val="19"/>
          <w:color w:val="auto"/>
        </w:rPr>
        <w:tab/>
      </w:r>
      <w:r>
        <w:fldChar w:fldCharType="begin"/>
      </w:r>
      <w:r>
        <w:rPr>
          <w:rStyle w:val="19"/>
          <w:color w:val="auto"/>
        </w:rPr>
        <w:instrText xml:space="preserve"> PAGEREF _Toc256000016 \h </w:instrText>
      </w:r>
      <w:r>
        <w:fldChar w:fldCharType="separate"/>
      </w:r>
      <w:r>
        <w:rPr>
          <w:rStyle w:val="19"/>
          <w:color w:val="auto"/>
        </w:rPr>
        <w:t>7</w:t>
      </w:r>
      <w:r>
        <w:fldChar w:fldCharType="end"/>
      </w:r>
      <w:r>
        <w:fldChar w:fldCharType="end"/>
      </w:r>
    </w:p>
    <w:p>
      <w:pPr>
        <w:pStyle w:val="11"/>
        <w:tabs>
          <w:tab w:val="right" w:leader="dot" w:pos="8302"/>
        </w:tabs>
        <w:rPr>
          <w:sz w:val="22"/>
        </w:rPr>
      </w:pPr>
      <w:r>
        <w:fldChar w:fldCharType="begin"/>
      </w:r>
      <w:r>
        <w:instrText xml:space="preserve"> HYPERLINK \l "_Toc256000017" </w:instrText>
      </w:r>
      <w:r>
        <w:fldChar w:fldCharType="separate"/>
      </w:r>
      <w:r>
        <w:rPr>
          <w:rStyle w:val="19"/>
          <w:rFonts w:hint="eastAsia" w:ascii="宋体" w:hAnsi="宋体"/>
          <w:b/>
          <w:color w:val="auto"/>
        </w:rPr>
        <w:t>投标人须知正文部分</w:t>
      </w:r>
      <w:r>
        <w:rPr>
          <w:rStyle w:val="19"/>
          <w:color w:val="auto"/>
        </w:rPr>
        <w:tab/>
      </w:r>
      <w:r>
        <w:fldChar w:fldCharType="end"/>
      </w:r>
    </w:p>
    <w:p>
      <w:pPr>
        <w:pStyle w:val="7"/>
        <w:tabs>
          <w:tab w:val="right" w:leader="dot" w:pos="8302"/>
        </w:tabs>
        <w:rPr>
          <w:sz w:val="22"/>
        </w:rPr>
      </w:pPr>
      <w:r>
        <w:fldChar w:fldCharType="begin"/>
      </w:r>
      <w:r>
        <w:instrText xml:space="preserve"> HYPERLINK \l "_Toc256000018" </w:instrText>
      </w:r>
      <w:r>
        <w:fldChar w:fldCharType="separate"/>
      </w:r>
      <w:r>
        <w:rPr>
          <w:rStyle w:val="19"/>
          <w:rFonts w:hint="eastAsia" w:ascii="宋体" w:hAnsi="宋体"/>
          <w:b/>
          <w:bCs/>
          <w:color w:val="auto"/>
          <w:kern w:val="0"/>
        </w:rPr>
        <w:t>一、总则</w:t>
      </w:r>
      <w:r>
        <w:rPr>
          <w:rStyle w:val="19"/>
          <w:color w:val="auto"/>
        </w:rPr>
        <w:tab/>
      </w:r>
      <w:r>
        <w:fldChar w:fldCharType="end"/>
      </w:r>
    </w:p>
    <w:p>
      <w:pPr>
        <w:pStyle w:val="7"/>
        <w:tabs>
          <w:tab w:val="right" w:leader="dot" w:pos="8302"/>
        </w:tabs>
        <w:rPr>
          <w:sz w:val="22"/>
        </w:rPr>
      </w:pPr>
      <w:r>
        <w:fldChar w:fldCharType="begin"/>
      </w:r>
      <w:r>
        <w:instrText xml:space="preserve"> HYPERLINK \l "_Toc256000019" </w:instrText>
      </w:r>
      <w:r>
        <w:fldChar w:fldCharType="separate"/>
      </w:r>
      <w:r>
        <w:rPr>
          <w:rStyle w:val="19"/>
          <w:rFonts w:hint="eastAsia" w:ascii="宋体" w:hAnsi="宋体"/>
          <w:b/>
          <w:bCs/>
          <w:color w:val="auto"/>
          <w:kern w:val="0"/>
        </w:rPr>
        <w:t>二、招标文件</w:t>
      </w:r>
      <w:r>
        <w:rPr>
          <w:rStyle w:val="19"/>
          <w:color w:val="auto"/>
        </w:rPr>
        <w:tab/>
      </w:r>
      <w:r>
        <w:fldChar w:fldCharType="end"/>
      </w:r>
    </w:p>
    <w:p>
      <w:pPr>
        <w:pStyle w:val="7"/>
        <w:tabs>
          <w:tab w:val="right" w:leader="dot" w:pos="8302"/>
        </w:tabs>
        <w:rPr>
          <w:sz w:val="22"/>
        </w:rPr>
      </w:pPr>
      <w:r>
        <w:fldChar w:fldCharType="begin"/>
      </w:r>
      <w:r>
        <w:instrText xml:space="preserve"> HYPERLINK \l "_Toc256000020" </w:instrText>
      </w:r>
      <w:r>
        <w:fldChar w:fldCharType="separate"/>
      </w:r>
      <w:r>
        <w:rPr>
          <w:rStyle w:val="19"/>
          <w:rFonts w:hint="eastAsia" w:ascii="宋体" w:hAnsi="宋体"/>
          <w:b/>
          <w:bCs/>
          <w:color w:val="auto"/>
          <w:kern w:val="0"/>
        </w:rPr>
        <w:t>三、投标文件</w:t>
      </w:r>
      <w:r>
        <w:rPr>
          <w:rStyle w:val="19"/>
          <w:color w:val="auto"/>
        </w:rPr>
        <w:tab/>
      </w:r>
      <w:r>
        <w:fldChar w:fldCharType="end"/>
      </w:r>
    </w:p>
    <w:p>
      <w:pPr>
        <w:pStyle w:val="7"/>
        <w:tabs>
          <w:tab w:val="right" w:leader="dot" w:pos="8302"/>
        </w:tabs>
        <w:rPr>
          <w:sz w:val="22"/>
        </w:rPr>
      </w:pPr>
      <w:r>
        <w:fldChar w:fldCharType="begin"/>
      </w:r>
      <w:r>
        <w:instrText xml:space="preserve"> HYPERLINK \l "_Toc256000021" </w:instrText>
      </w:r>
      <w:r>
        <w:fldChar w:fldCharType="separate"/>
      </w:r>
      <w:r>
        <w:rPr>
          <w:rStyle w:val="19"/>
          <w:rFonts w:hint="eastAsia" w:ascii="宋体" w:hAnsi="宋体"/>
          <w:b/>
          <w:bCs/>
          <w:color w:val="auto"/>
          <w:kern w:val="0"/>
        </w:rPr>
        <w:t>四、投标保证金</w:t>
      </w:r>
      <w:r>
        <w:rPr>
          <w:rStyle w:val="19"/>
          <w:color w:val="auto"/>
        </w:rPr>
        <w:tab/>
      </w:r>
      <w:r>
        <w:fldChar w:fldCharType="end"/>
      </w:r>
    </w:p>
    <w:p>
      <w:pPr>
        <w:pStyle w:val="7"/>
        <w:tabs>
          <w:tab w:val="right" w:leader="dot" w:pos="8302"/>
        </w:tabs>
        <w:rPr>
          <w:sz w:val="22"/>
        </w:rPr>
      </w:pPr>
      <w:r>
        <w:fldChar w:fldCharType="begin"/>
      </w:r>
      <w:r>
        <w:instrText xml:space="preserve"> HYPERLINK \l "_Toc256000022" </w:instrText>
      </w:r>
      <w:r>
        <w:fldChar w:fldCharType="separate"/>
      </w:r>
      <w:r>
        <w:rPr>
          <w:rStyle w:val="19"/>
          <w:rFonts w:hint="eastAsia" w:ascii="宋体" w:hAnsi="宋体"/>
          <w:b/>
          <w:bCs/>
          <w:color w:val="auto"/>
          <w:kern w:val="0"/>
        </w:rPr>
        <w:t>五、投标文件的递交</w:t>
      </w:r>
      <w:r>
        <w:rPr>
          <w:rStyle w:val="19"/>
          <w:color w:val="auto"/>
        </w:rPr>
        <w:tab/>
      </w:r>
      <w:r>
        <w:fldChar w:fldCharType="end"/>
      </w:r>
    </w:p>
    <w:p>
      <w:pPr>
        <w:pStyle w:val="7"/>
        <w:tabs>
          <w:tab w:val="right" w:leader="dot" w:pos="8302"/>
        </w:tabs>
        <w:rPr>
          <w:sz w:val="22"/>
        </w:rPr>
      </w:pPr>
      <w:r>
        <w:fldChar w:fldCharType="begin"/>
      </w:r>
      <w:r>
        <w:instrText xml:space="preserve"> HYPERLINK \l "_Toc256000023" </w:instrText>
      </w:r>
      <w:r>
        <w:fldChar w:fldCharType="separate"/>
      </w:r>
      <w:r>
        <w:rPr>
          <w:rStyle w:val="19"/>
          <w:rFonts w:hint="eastAsia" w:ascii="宋体" w:hAnsi="宋体"/>
          <w:b/>
          <w:bCs/>
          <w:color w:val="auto"/>
          <w:kern w:val="0"/>
        </w:rPr>
        <w:t>六、开标</w:t>
      </w:r>
      <w:r>
        <w:rPr>
          <w:rStyle w:val="19"/>
          <w:color w:val="auto"/>
        </w:rPr>
        <w:tab/>
      </w:r>
      <w:r>
        <w:fldChar w:fldCharType="end"/>
      </w:r>
    </w:p>
    <w:p>
      <w:pPr>
        <w:pStyle w:val="7"/>
        <w:tabs>
          <w:tab w:val="right" w:leader="dot" w:pos="8302"/>
        </w:tabs>
        <w:rPr>
          <w:sz w:val="22"/>
        </w:rPr>
      </w:pPr>
      <w:r>
        <w:fldChar w:fldCharType="begin"/>
      </w:r>
      <w:r>
        <w:instrText xml:space="preserve"> HYPERLINK \l "_Toc256000024" </w:instrText>
      </w:r>
      <w:r>
        <w:fldChar w:fldCharType="separate"/>
      </w:r>
      <w:r>
        <w:rPr>
          <w:rStyle w:val="19"/>
          <w:rFonts w:hint="eastAsia" w:ascii="宋体" w:hAnsi="宋体"/>
          <w:b/>
          <w:bCs/>
          <w:color w:val="auto"/>
          <w:kern w:val="0"/>
        </w:rPr>
        <w:t>七、评标步骤和要求</w:t>
      </w:r>
      <w:r>
        <w:rPr>
          <w:rStyle w:val="19"/>
          <w:color w:val="auto"/>
        </w:rPr>
        <w:tab/>
      </w:r>
      <w:r>
        <w:fldChar w:fldCharType="end"/>
      </w:r>
    </w:p>
    <w:p>
      <w:pPr>
        <w:pStyle w:val="7"/>
        <w:tabs>
          <w:tab w:val="right" w:leader="dot" w:pos="8302"/>
        </w:tabs>
        <w:rPr>
          <w:sz w:val="22"/>
        </w:rPr>
      </w:pPr>
      <w:r>
        <w:fldChar w:fldCharType="begin"/>
      </w:r>
      <w:r>
        <w:instrText xml:space="preserve"> HYPERLINK \l "_Toc256000025" </w:instrText>
      </w:r>
      <w:r>
        <w:fldChar w:fldCharType="separate"/>
      </w:r>
      <w:r>
        <w:rPr>
          <w:rStyle w:val="19"/>
          <w:rFonts w:hint="eastAsia" w:ascii="宋体" w:hAnsi="宋体"/>
          <w:b/>
          <w:bCs/>
          <w:color w:val="auto"/>
          <w:kern w:val="0"/>
        </w:rPr>
        <w:t>八、履约保证金</w:t>
      </w:r>
      <w:r>
        <w:rPr>
          <w:rStyle w:val="19"/>
          <w:color w:val="auto"/>
        </w:rPr>
        <w:tab/>
      </w:r>
      <w:r>
        <w:fldChar w:fldCharType="end"/>
      </w:r>
    </w:p>
    <w:p>
      <w:pPr>
        <w:pStyle w:val="7"/>
        <w:tabs>
          <w:tab w:val="right" w:leader="dot" w:pos="8302"/>
        </w:tabs>
        <w:rPr>
          <w:sz w:val="22"/>
        </w:rPr>
      </w:pPr>
      <w:r>
        <w:fldChar w:fldCharType="begin"/>
      </w:r>
      <w:r>
        <w:instrText xml:space="preserve"> HYPERLINK \l "_Toc256000026" </w:instrText>
      </w:r>
      <w:r>
        <w:fldChar w:fldCharType="separate"/>
      </w:r>
      <w:r>
        <w:rPr>
          <w:rStyle w:val="19"/>
          <w:rFonts w:hint="eastAsia" w:ascii="宋体" w:hAnsi="宋体"/>
          <w:b/>
          <w:bCs/>
          <w:color w:val="auto"/>
          <w:kern w:val="0"/>
        </w:rPr>
        <w:t>九、代理服务费、公证费</w:t>
      </w:r>
      <w:r>
        <w:rPr>
          <w:rStyle w:val="19"/>
          <w:color w:val="auto"/>
        </w:rPr>
        <w:tab/>
      </w:r>
      <w:r>
        <w:fldChar w:fldCharType="end"/>
      </w:r>
    </w:p>
    <w:p>
      <w:pPr>
        <w:pStyle w:val="7"/>
        <w:tabs>
          <w:tab w:val="right" w:leader="dot" w:pos="8302"/>
        </w:tabs>
        <w:rPr>
          <w:sz w:val="22"/>
        </w:rPr>
      </w:pPr>
      <w:r>
        <w:fldChar w:fldCharType="begin"/>
      </w:r>
      <w:r>
        <w:instrText xml:space="preserve"> HYPERLINK \l "_Toc256000027" </w:instrText>
      </w:r>
      <w:r>
        <w:fldChar w:fldCharType="separate"/>
      </w:r>
      <w:r>
        <w:rPr>
          <w:rStyle w:val="19"/>
          <w:rFonts w:hint="eastAsia" w:ascii="宋体" w:hAnsi="宋体"/>
          <w:b/>
          <w:bCs/>
          <w:color w:val="auto"/>
          <w:kern w:val="0"/>
        </w:rPr>
        <w:t>十、签订、审核合同</w:t>
      </w:r>
      <w:r>
        <w:rPr>
          <w:rStyle w:val="19"/>
          <w:color w:val="auto"/>
        </w:rPr>
        <w:tab/>
      </w:r>
      <w:r>
        <w:fldChar w:fldCharType="end"/>
      </w:r>
    </w:p>
    <w:p>
      <w:pPr>
        <w:pStyle w:val="7"/>
        <w:tabs>
          <w:tab w:val="right" w:leader="dot" w:pos="8302"/>
        </w:tabs>
        <w:rPr>
          <w:sz w:val="22"/>
        </w:rPr>
      </w:pPr>
      <w:r>
        <w:fldChar w:fldCharType="begin"/>
      </w:r>
      <w:r>
        <w:instrText xml:space="preserve"> HYPERLINK \l "_Toc256000028" </w:instrText>
      </w:r>
      <w:r>
        <w:fldChar w:fldCharType="separate"/>
      </w:r>
      <w:r>
        <w:rPr>
          <w:rStyle w:val="19"/>
          <w:rFonts w:hint="eastAsia" w:ascii="宋体" w:hAnsi="宋体"/>
          <w:b/>
          <w:bCs/>
          <w:color w:val="auto"/>
          <w:kern w:val="0"/>
        </w:rPr>
        <w:t>十一、处罚、询问和质疑</w:t>
      </w:r>
      <w:r>
        <w:rPr>
          <w:rStyle w:val="19"/>
          <w:color w:val="auto"/>
        </w:rPr>
        <w:tab/>
      </w:r>
      <w:r>
        <w:fldChar w:fldCharType="end"/>
      </w:r>
    </w:p>
    <w:p>
      <w:pPr>
        <w:pStyle w:val="7"/>
        <w:tabs>
          <w:tab w:val="right" w:leader="dot" w:pos="8302"/>
        </w:tabs>
        <w:rPr>
          <w:sz w:val="22"/>
        </w:rPr>
      </w:pPr>
      <w:r>
        <w:fldChar w:fldCharType="begin"/>
      </w:r>
      <w:r>
        <w:instrText xml:space="preserve"> HYPERLINK \l "_Toc256000029" </w:instrText>
      </w:r>
      <w:r>
        <w:fldChar w:fldCharType="separate"/>
      </w:r>
      <w:r>
        <w:rPr>
          <w:rStyle w:val="19"/>
          <w:rFonts w:hint="eastAsia" w:ascii="宋体" w:hAnsi="宋体"/>
          <w:b/>
          <w:bCs/>
          <w:color w:val="auto"/>
          <w:kern w:val="0"/>
        </w:rPr>
        <w:t>十二、保密和披露</w:t>
      </w:r>
      <w:r>
        <w:rPr>
          <w:rStyle w:val="19"/>
          <w:color w:val="auto"/>
        </w:rPr>
        <w:tab/>
      </w:r>
      <w:r>
        <w:fldChar w:fldCharType="end"/>
      </w:r>
    </w:p>
    <w:p>
      <w:pPr>
        <w:pStyle w:val="10"/>
        <w:tabs>
          <w:tab w:val="right" w:leader="dot" w:pos="8302"/>
        </w:tabs>
        <w:rPr>
          <w:sz w:val="22"/>
        </w:rPr>
      </w:pPr>
      <w:r>
        <w:fldChar w:fldCharType="begin"/>
      </w:r>
      <w:r>
        <w:instrText xml:space="preserve"> HYPERLINK \l "_Toc256000030" </w:instrText>
      </w:r>
      <w:r>
        <w:fldChar w:fldCharType="separate"/>
      </w:r>
      <w:r>
        <w:rPr>
          <w:rStyle w:val="19"/>
          <w:rFonts w:hint="eastAsia" w:ascii="宋体" w:hAnsi="宋体"/>
          <w:b/>
          <w:color w:val="auto"/>
        </w:rPr>
        <w:t xml:space="preserve">第三部分   </w:t>
      </w:r>
      <w:r>
        <w:rPr>
          <w:rStyle w:val="19"/>
          <w:rFonts w:hint="eastAsia" w:ascii="宋体" w:hAnsi="宋体"/>
          <w:b/>
          <w:color w:val="auto"/>
          <w:lang w:val="en-US" w:eastAsia="zh-CN"/>
        </w:rPr>
        <w:t>采购需求</w:t>
      </w:r>
      <w:r>
        <w:rPr>
          <w:rStyle w:val="19"/>
          <w:color w:val="auto"/>
        </w:rPr>
        <w:tab/>
      </w:r>
      <w:r>
        <w:fldChar w:fldCharType="begin"/>
      </w:r>
      <w:r>
        <w:rPr>
          <w:rStyle w:val="19"/>
          <w:color w:val="auto"/>
        </w:rPr>
        <w:instrText xml:space="preserve"> PAGEREF _Toc256000030 \h </w:instrText>
      </w:r>
      <w:r>
        <w:fldChar w:fldCharType="separate"/>
      </w:r>
      <w:r>
        <w:rPr>
          <w:rStyle w:val="19"/>
          <w:color w:val="auto"/>
        </w:rPr>
        <w:t>36</w:t>
      </w:r>
      <w:r>
        <w:fldChar w:fldCharType="end"/>
      </w:r>
      <w:r>
        <w:fldChar w:fldCharType="end"/>
      </w:r>
    </w:p>
    <w:p>
      <w:pPr>
        <w:pStyle w:val="10"/>
        <w:tabs>
          <w:tab w:val="right" w:leader="dot" w:pos="8302"/>
        </w:tabs>
        <w:rPr>
          <w:sz w:val="22"/>
        </w:rPr>
      </w:pPr>
      <w:r>
        <w:fldChar w:fldCharType="begin"/>
      </w:r>
      <w:r>
        <w:instrText xml:space="preserve"> HYPERLINK \l "_Toc256000031" </w:instrText>
      </w:r>
      <w:r>
        <w:fldChar w:fldCharType="separate"/>
      </w:r>
      <w:r>
        <w:rPr>
          <w:rStyle w:val="19"/>
          <w:rFonts w:hint="eastAsia" w:ascii="宋体" w:hAnsi="宋体"/>
          <w:b/>
          <w:color w:val="auto"/>
        </w:rPr>
        <w:t>第四部分   评审方法（综合评分法）</w:t>
      </w:r>
      <w:r>
        <w:rPr>
          <w:rStyle w:val="19"/>
          <w:color w:val="auto"/>
        </w:rPr>
        <w:tab/>
      </w:r>
      <w:r>
        <w:fldChar w:fldCharType="begin"/>
      </w:r>
      <w:r>
        <w:rPr>
          <w:rStyle w:val="19"/>
          <w:color w:val="auto"/>
        </w:rPr>
        <w:instrText xml:space="preserve"> PAGEREF _Toc256000031 \h </w:instrText>
      </w:r>
      <w:r>
        <w:fldChar w:fldCharType="separate"/>
      </w:r>
      <w:r>
        <w:rPr>
          <w:rStyle w:val="19"/>
          <w:color w:val="auto"/>
        </w:rPr>
        <w:t>41</w:t>
      </w:r>
      <w:r>
        <w:fldChar w:fldCharType="end"/>
      </w:r>
      <w:r>
        <w:fldChar w:fldCharType="end"/>
      </w:r>
    </w:p>
    <w:p>
      <w:pPr>
        <w:pStyle w:val="10"/>
        <w:tabs>
          <w:tab w:val="right" w:leader="dot" w:pos="8302"/>
        </w:tabs>
        <w:rPr>
          <w:sz w:val="22"/>
        </w:rPr>
      </w:pPr>
      <w:r>
        <w:fldChar w:fldCharType="begin"/>
      </w:r>
      <w:r>
        <w:instrText xml:space="preserve"> HYPERLINK \l "_Toc256000032" </w:instrText>
      </w:r>
      <w:r>
        <w:fldChar w:fldCharType="separate"/>
      </w:r>
      <w:r>
        <w:rPr>
          <w:rStyle w:val="19"/>
          <w:rFonts w:hint="eastAsia" w:ascii="宋体" w:hAnsi="宋体"/>
          <w:b/>
          <w:color w:val="auto"/>
        </w:rPr>
        <w:t>第五部分   政府采购合同</w:t>
      </w:r>
      <w:r>
        <w:rPr>
          <w:rStyle w:val="19"/>
          <w:color w:val="auto"/>
        </w:rPr>
        <w:tab/>
      </w:r>
      <w:r>
        <w:fldChar w:fldCharType="begin"/>
      </w:r>
      <w:r>
        <w:rPr>
          <w:rStyle w:val="19"/>
          <w:color w:val="auto"/>
        </w:rPr>
        <w:instrText xml:space="preserve"> PAGEREF _Toc256000032 \h </w:instrText>
      </w:r>
      <w:r>
        <w:fldChar w:fldCharType="separate"/>
      </w:r>
      <w:r>
        <w:rPr>
          <w:rStyle w:val="19"/>
          <w:color w:val="auto"/>
        </w:rPr>
        <w:t>46</w:t>
      </w:r>
      <w:r>
        <w:fldChar w:fldCharType="end"/>
      </w:r>
      <w:r>
        <w:fldChar w:fldCharType="end"/>
      </w:r>
    </w:p>
    <w:p>
      <w:pPr>
        <w:pStyle w:val="10"/>
        <w:tabs>
          <w:tab w:val="right" w:leader="dot" w:pos="8302"/>
        </w:tabs>
        <w:rPr>
          <w:sz w:val="22"/>
        </w:rPr>
      </w:pPr>
      <w:r>
        <w:fldChar w:fldCharType="begin"/>
      </w:r>
      <w:r>
        <w:instrText xml:space="preserve"> HYPERLINK \l "_Toc256000033" </w:instrText>
      </w:r>
      <w:r>
        <w:fldChar w:fldCharType="separate"/>
      </w:r>
      <w:r>
        <w:rPr>
          <w:rStyle w:val="19"/>
          <w:rFonts w:hint="eastAsia" w:ascii="宋体" w:hAnsi="宋体"/>
          <w:b/>
          <w:color w:val="auto"/>
        </w:rPr>
        <w:t>第六部分   投标文件格式</w:t>
      </w:r>
      <w:r>
        <w:rPr>
          <w:rStyle w:val="19"/>
          <w:color w:val="auto"/>
        </w:rPr>
        <w:tab/>
      </w:r>
      <w:r>
        <w:fldChar w:fldCharType="begin"/>
      </w:r>
      <w:r>
        <w:rPr>
          <w:rStyle w:val="19"/>
          <w:color w:val="auto"/>
        </w:rPr>
        <w:instrText xml:space="preserve"> PAGEREF _Toc256000033 \h </w:instrText>
      </w:r>
      <w:r>
        <w:fldChar w:fldCharType="separate"/>
      </w:r>
      <w:r>
        <w:rPr>
          <w:rStyle w:val="19"/>
          <w:color w:val="auto"/>
        </w:rPr>
        <w:t>51</w:t>
      </w:r>
      <w:r>
        <w:fldChar w:fldCharType="end"/>
      </w:r>
      <w:r>
        <w:fldChar w:fldCharType="end"/>
      </w:r>
    </w:p>
    <w:p>
      <w:pPr>
        <w:pStyle w:val="11"/>
        <w:tabs>
          <w:tab w:val="right" w:leader="dot" w:pos="8302"/>
        </w:tabs>
        <w:rPr>
          <w:sz w:val="22"/>
        </w:rPr>
      </w:pPr>
      <w:r>
        <w:fldChar w:fldCharType="begin"/>
      </w:r>
      <w:r>
        <w:instrText xml:space="preserve"> HYPERLINK \l "_Toc256000034" </w:instrText>
      </w:r>
      <w:r>
        <w:fldChar w:fldCharType="separate"/>
      </w:r>
      <w:r>
        <w:rPr>
          <w:rStyle w:val="19"/>
          <w:color w:val="auto"/>
        </w:rPr>
        <w:t>一、投标文件格式</w:t>
      </w:r>
      <w:r>
        <w:rPr>
          <w:rStyle w:val="19"/>
          <w:color w:val="auto"/>
        </w:rPr>
        <w:tab/>
      </w:r>
      <w:r>
        <w:fldChar w:fldCharType="begin"/>
      </w:r>
      <w:r>
        <w:rPr>
          <w:rStyle w:val="19"/>
          <w:color w:val="auto"/>
        </w:rPr>
        <w:instrText xml:space="preserve"> PAGEREF _Toc256000034 \h </w:instrText>
      </w:r>
      <w:r>
        <w:fldChar w:fldCharType="separate"/>
      </w:r>
      <w:r>
        <w:rPr>
          <w:rStyle w:val="19"/>
          <w:color w:val="auto"/>
        </w:rPr>
        <w:t>52</w:t>
      </w:r>
      <w:r>
        <w:fldChar w:fldCharType="end"/>
      </w:r>
      <w:r>
        <w:fldChar w:fldCharType="end"/>
      </w:r>
    </w:p>
    <w:p>
      <w:pPr>
        <w:pStyle w:val="7"/>
        <w:tabs>
          <w:tab w:val="right" w:leader="dot" w:pos="8302"/>
        </w:tabs>
        <w:rPr>
          <w:sz w:val="22"/>
        </w:rPr>
      </w:pPr>
      <w:r>
        <w:fldChar w:fldCharType="begin"/>
      </w:r>
      <w:r>
        <w:instrText xml:space="preserve"> HYPERLINK \l "_Toc256000035" </w:instrText>
      </w:r>
      <w:r>
        <w:fldChar w:fldCharType="separate"/>
      </w:r>
      <w:r>
        <w:rPr>
          <w:rStyle w:val="19"/>
          <w:color w:val="auto"/>
        </w:rPr>
        <w:t>一、投标文件封面</w:t>
      </w:r>
      <w:r>
        <w:rPr>
          <w:rStyle w:val="19"/>
          <w:color w:val="auto"/>
        </w:rPr>
        <w:tab/>
      </w:r>
      <w:r>
        <w:fldChar w:fldCharType="end"/>
      </w:r>
    </w:p>
    <w:p>
      <w:pPr>
        <w:pStyle w:val="11"/>
        <w:tabs>
          <w:tab w:val="right" w:leader="dot" w:pos="8302"/>
        </w:tabs>
        <w:rPr>
          <w:sz w:val="22"/>
        </w:rPr>
      </w:pPr>
      <w:r>
        <w:fldChar w:fldCharType="begin"/>
      </w:r>
      <w:r>
        <w:instrText xml:space="preserve"> HYPERLINK \l "_Toc256000036" </w:instrText>
      </w:r>
      <w:r>
        <w:fldChar w:fldCharType="separate"/>
      </w:r>
      <w:r>
        <w:rPr>
          <w:rStyle w:val="19"/>
          <w:color w:val="auto"/>
        </w:rPr>
        <w:t>二、资格审查材料</w:t>
      </w:r>
      <w:r>
        <w:rPr>
          <w:rStyle w:val="19"/>
          <w:color w:val="auto"/>
        </w:rPr>
        <w:tab/>
      </w:r>
      <w:r>
        <w:fldChar w:fldCharType="begin"/>
      </w:r>
      <w:r>
        <w:rPr>
          <w:rStyle w:val="19"/>
          <w:color w:val="auto"/>
        </w:rPr>
        <w:instrText xml:space="preserve"> PAGEREF _Toc256000036 \h </w:instrText>
      </w:r>
      <w:r>
        <w:fldChar w:fldCharType="separate"/>
      </w:r>
      <w:r>
        <w:rPr>
          <w:rStyle w:val="19"/>
          <w:color w:val="auto"/>
        </w:rPr>
        <w:t>54</w:t>
      </w:r>
      <w:r>
        <w:fldChar w:fldCharType="end"/>
      </w:r>
      <w:r>
        <w:fldChar w:fldCharType="end"/>
      </w:r>
    </w:p>
    <w:p>
      <w:pPr>
        <w:pStyle w:val="7"/>
        <w:tabs>
          <w:tab w:val="right" w:leader="dot" w:pos="8302"/>
        </w:tabs>
        <w:rPr>
          <w:sz w:val="22"/>
        </w:rPr>
      </w:pPr>
      <w:r>
        <w:fldChar w:fldCharType="begin"/>
      </w:r>
      <w:r>
        <w:instrText xml:space="preserve"> HYPERLINK \l "_Toc256000037" </w:instrText>
      </w:r>
      <w:r>
        <w:fldChar w:fldCharType="separate"/>
      </w:r>
      <w:r>
        <w:rPr>
          <w:rStyle w:val="19"/>
          <w:color w:val="auto"/>
        </w:rPr>
        <w:t>一、</w:t>
      </w:r>
      <w:r>
        <w:rPr>
          <w:rStyle w:val="19"/>
          <w:rFonts w:hint="eastAsia" w:ascii="宋体" w:hAnsi="宋体" w:cs="宋体"/>
          <w:color w:val="auto"/>
        </w:rPr>
        <w:t>☆</w:t>
      </w:r>
      <w:r>
        <w:rPr>
          <w:rStyle w:val="19"/>
          <w:rFonts w:hint="eastAsia"/>
          <w:color w:val="auto"/>
        </w:rPr>
        <w:t>资格证明文件</w:t>
      </w:r>
      <w:r>
        <w:rPr>
          <w:rStyle w:val="19"/>
          <w:color w:val="auto"/>
        </w:rPr>
        <w:tab/>
      </w:r>
      <w:r>
        <w:fldChar w:fldCharType="end"/>
      </w:r>
    </w:p>
    <w:p>
      <w:pPr>
        <w:pStyle w:val="7"/>
        <w:tabs>
          <w:tab w:val="right" w:leader="dot" w:pos="8302"/>
        </w:tabs>
        <w:rPr>
          <w:sz w:val="22"/>
        </w:rPr>
      </w:pPr>
      <w:r>
        <w:fldChar w:fldCharType="begin"/>
      </w:r>
      <w:r>
        <w:instrText xml:space="preserve"> HYPERLINK \l "_Toc256000038" </w:instrText>
      </w:r>
      <w:r>
        <w:fldChar w:fldCharType="separate"/>
      </w:r>
      <w:r>
        <w:rPr>
          <w:rStyle w:val="19"/>
          <w:color w:val="auto"/>
        </w:rPr>
        <w:t>二、</w:t>
      </w:r>
      <w:r>
        <w:rPr>
          <w:rStyle w:val="19"/>
          <w:rFonts w:hint="eastAsia" w:ascii="宋体" w:hAnsi="宋体" w:cs="宋体"/>
          <w:color w:val="auto"/>
        </w:rPr>
        <w:t>☆</w:t>
      </w:r>
      <w:r>
        <w:rPr>
          <w:rStyle w:val="19"/>
          <w:color w:val="auto"/>
        </w:rPr>
        <w:t>法定代表人身份证明及授权委托书</w:t>
      </w:r>
      <w:r>
        <w:rPr>
          <w:rStyle w:val="19"/>
          <w:color w:val="auto"/>
        </w:rPr>
        <w:tab/>
      </w:r>
      <w:r>
        <w:fldChar w:fldCharType="begin"/>
      </w:r>
      <w:r>
        <w:rPr>
          <w:rStyle w:val="19"/>
          <w:color w:val="auto"/>
        </w:rPr>
        <w:instrText xml:space="preserve"> PAGEREF _Toc256000038 \h </w:instrText>
      </w:r>
      <w:r>
        <w:fldChar w:fldCharType="separate"/>
      </w:r>
      <w:r>
        <w:rPr>
          <w:rStyle w:val="19"/>
          <w:color w:val="auto"/>
        </w:rPr>
        <w:t>56</w:t>
      </w:r>
      <w:r>
        <w:fldChar w:fldCharType="end"/>
      </w:r>
      <w:r>
        <w:fldChar w:fldCharType="end"/>
      </w:r>
    </w:p>
    <w:p>
      <w:pPr>
        <w:pStyle w:val="7"/>
        <w:tabs>
          <w:tab w:val="right" w:leader="dot" w:pos="8302"/>
        </w:tabs>
        <w:rPr>
          <w:sz w:val="22"/>
        </w:rPr>
      </w:pPr>
      <w:r>
        <w:fldChar w:fldCharType="begin"/>
      </w:r>
      <w:r>
        <w:instrText xml:space="preserve"> HYPERLINK \l "_Toc256000042" </w:instrText>
      </w:r>
      <w:r>
        <w:fldChar w:fldCharType="separate"/>
      </w:r>
      <w:r>
        <w:rPr>
          <w:rStyle w:val="19"/>
          <w:color w:val="auto"/>
        </w:rPr>
        <w:t>三、</w:t>
      </w:r>
      <w:r>
        <w:rPr>
          <w:rStyle w:val="19"/>
          <w:rFonts w:hint="eastAsia" w:ascii="宋体" w:hAnsi="宋体" w:cs="宋体"/>
          <w:color w:val="auto"/>
        </w:rPr>
        <w:t>☆</w:t>
      </w:r>
      <w:r>
        <w:rPr>
          <w:rStyle w:val="19"/>
          <w:color w:val="auto"/>
        </w:rPr>
        <w:t>投标保证金</w:t>
      </w:r>
      <w:r>
        <w:rPr>
          <w:rStyle w:val="19"/>
          <w:color w:val="auto"/>
        </w:rPr>
        <w:tab/>
      </w:r>
      <w:r>
        <w:fldChar w:fldCharType="begin"/>
      </w:r>
      <w:r>
        <w:rPr>
          <w:rStyle w:val="19"/>
          <w:color w:val="auto"/>
        </w:rPr>
        <w:instrText xml:space="preserve"> PAGEREF _Toc256000042 \h </w:instrText>
      </w:r>
      <w:r>
        <w:fldChar w:fldCharType="separate"/>
      </w:r>
      <w:r>
        <w:rPr>
          <w:rStyle w:val="19"/>
          <w:color w:val="auto"/>
        </w:rPr>
        <w:t>58</w:t>
      </w:r>
      <w:r>
        <w:fldChar w:fldCharType="end"/>
      </w:r>
      <w:r>
        <w:fldChar w:fldCharType="end"/>
      </w:r>
    </w:p>
    <w:p>
      <w:pPr>
        <w:pStyle w:val="7"/>
        <w:tabs>
          <w:tab w:val="right" w:leader="dot" w:pos="8302"/>
        </w:tabs>
        <w:rPr>
          <w:sz w:val="22"/>
        </w:rPr>
      </w:pPr>
      <w:r>
        <w:fldChar w:fldCharType="begin"/>
      </w:r>
      <w:r>
        <w:instrText xml:space="preserve"> HYPERLINK \l "_Toc256000043" </w:instrText>
      </w:r>
      <w:r>
        <w:fldChar w:fldCharType="separate"/>
      </w:r>
      <w:r>
        <w:rPr>
          <w:rStyle w:val="19"/>
          <w:color w:val="auto"/>
        </w:rPr>
        <w:t>四、中、小微企业声明函（中、小、微型企业产品价格需扣除的须提供）</w:t>
      </w:r>
      <w:r>
        <w:rPr>
          <w:rStyle w:val="19"/>
          <w:color w:val="auto"/>
        </w:rPr>
        <w:tab/>
      </w:r>
      <w:r>
        <w:fldChar w:fldCharType="begin"/>
      </w:r>
      <w:r>
        <w:rPr>
          <w:rStyle w:val="19"/>
          <w:color w:val="auto"/>
        </w:rPr>
        <w:instrText xml:space="preserve"> PAGEREF _Toc256000043 \h </w:instrText>
      </w:r>
      <w:r>
        <w:fldChar w:fldCharType="separate"/>
      </w:r>
      <w:r>
        <w:rPr>
          <w:rStyle w:val="19"/>
          <w:color w:val="auto"/>
        </w:rPr>
        <w:t>59</w:t>
      </w:r>
      <w:r>
        <w:fldChar w:fldCharType="end"/>
      </w:r>
      <w:r>
        <w:fldChar w:fldCharType="end"/>
      </w:r>
    </w:p>
    <w:p>
      <w:pPr>
        <w:pStyle w:val="10"/>
        <w:tabs>
          <w:tab w:val="right" w:leader="dot" w:pos="8302"/>
        </w:tabs>
        <w:rPr>
          <w:sz w:val="22"/>
        </w:rPr>
      </w:pPr>
      <w:r>
        <w:fldChar w:fldCharType="begin"/>
      </w:r>
      <w:r>
        <w:instrText xml:space="preserve"> HYPERLINK \l "_Toc256000044" </w:instrText>
      </w:r>
      <w:r>
        <w:fldChar w:fldCharType="separate"/>
      </w:r>
      <w:r>
        <w:rPr>
          <w:rStyle w:val="19"/>
          <w:rFonts w:ascii="宋体" w:hAnsi="宋体" w:cs="宋体"/>
          <w:b/>
          <w:bCs/>
          <w:color w:val="auto"/>
          <w:kern w:val="0"/>
        </w:rPr>
        <w:t>中小企业声明函</w:t>
      </w:r>
      <w:r>
        <w:rPr>
          <w:rStyle w:val="19"/>
          <w:color w:val="auto"/>
        </w:rPr>
        <w:tab/>
      </w:r>
      <w:r>
        <w:fldChar w:fldCharType="begin"/>
      </w:r>
      <w:r>
        <w:rPr>
          <w:rStyle w:val="19"/>
          <w:color w:val="auto"/>
        </w:rPr>
        <w:instrText xml:space="preserve"> PAGEREF _Toc256000044 \h </w:instrText>
      </w:r>
      <w:r>
        <w:fldChar w:fldCharType="separate"/>
      </w:r>
      <w:r>
        <w:rPr>
          <w:rStyle w:val="19"/>
          <w:color w:val="auto"/>
        </w:rPr>
        <w:t>59</w:t>
      </w:r>
      <w:r>
        <w:fldChar w:fldCharType="end"/>
      </w:r>
      <w:r>
        <w:fldChar w:fldCharType="end"/>
      </w:r>
    </w:p>
    <w:p>
      <w:pPr>
        <w:pStyle w:val="7"/>
        <w:tabs>
          <w:tab w:val="right" w:leader="dot" w:pos="8302"/>
        </w:tabs>
        <w:rPr>
          <w:sz w:val="22"/>
        </w:rPr>
      </w:pPr>
      <w:r>
        <w:fldChar w:fldCharType="begin"/>
      </w:r>
      <w:r>
        <w:instrText xml:space="preserve"> HYPERLINK \l "_Toc256000045" </w:instrText>
      </w:r>
      <w:r>
        <w:fldChar w:fldCharType="separate"/>
      </w:r>
      <w:r>
        <w:rPr>
          <w:rStyle w:val="19"/>
          <w:color w:val="auto"/>
        </w:rPr>
        <w:t>五、供应商认为有必要提供的声明及文件资料</w:t>
      </w:r>
      <w:r>
        <w:rPr>
          <w:rStyle w:val="19"/>
          <w:color w:val="auto"/>
        </w:rPr>
        <w:tab/>
      </w:r>
      <w:r>
        <w:fldChar w:fldCharType="begin"/>
      </w:r>
      <w:r>
        <w:rPr>
          <w:rStyle w:val="19"/>
          <w:color w:val="auto"/>
        </w:rPr>
        <w:instrText xml:space="preserve"> PAGEREF _Toc256000045 \h </w:instrText>
      </w:r>
      <w:r>
        <w:fldChar w:fldCharType="separate"/>
      </w:r>
      <w:r>
        <w:rPr>
          <w:rStyle w:val="19"/>
          <w:color w:val="auto"/>
        </w:rPr>
        <w:t>60</w:t>
      </w:r>
      <w:r>
        <w:fldChar w:fldCharType="end"/>
      </w:r>
      <w:r>
        <w:fldChar w:fldCharType="end"/>
      </w:r>
    </w:p>
    <w:p>
      <w:pPr>
        <w:pStyle w:val="7"/>
        <w:tabs>
          <w:tab w:val="right" w:leader="dot" w:pos="8302"/>
        </w:tabs>
        <w:rPr>
          <w:sz w:val="22"/>
        </w:rPr>
      </w:pPr>
      <w:r>
        <w:fldChar w:fldCharType="begin"/>
      </w:r>
      <w:r>
        <w:instrText xml:space="preserve"> HYPERLINK \l "_Toc256000046" </w:instrText>
      </w:r>
      <w:r>
        <w:fldChar w:fldCharType="separate"/>
      </w:r>
      <w:r>
        <w:rPr>
          <w:rStyle w:val="19"/>
          <w:color w:val="auto"/>
        </w:rPr>
        <w:t>六、不参与围标串标承诺书</w:t>
      </w:r>
      <w:r>
        <w:rPr>
          <w:rStyle w:val="19"/>
          <w:color w:val="auto"/>
        </w:rPr>
        <w:tab/>
      </w:r>
      <w:r>
        <w:fldChar w:fldCharType="begin"/>
      </w:r>
      <w:r>
        <w:rPr>
          <w:rStyle w:val="19"/>
          <w:color w:val="auto"/>
        </w:rPr>
        <w:instrText xml:space="preserve"> PAGEREF _Toc256000046 \h </w:instrText>
      </w:r>
      <w:r>
        <w:fldChar w:fldCharType="separate"/>
      </w:r>
      <w:r>
        <w:rPr>
          <w:rStyle w:val="19"/>
          <w:color w:val="auto"/>
        </w:rPr>
        <w:t>61</w:t>
      </w:r>
      <w:r>
        <w:fldChar w:fldCharType="end"/>
      </w:r>
      <w:r>
        <w:fldChar w:fldCharType="end"/>
      </w:r>
    </w:p>
    <w:p>
      <w:pPr>
        <w:pStyle w:val="11"/>
        <w:tabs>
          <w:tab w:val="right" w:leader="dot" w:pos="8302"/>
        </w:tabs>
        <w:rPr>
          <w:sz w:val="22"/>
        </w:rPr>
      </w:pPr>
      <w:r>
        <w:fldChar w:fldCharType="begin"/>
      </w:r>
      <w:r>
        <w:instrText xml:space="preserve"> HYPERLINK \l "_Toc256000047" </w:instrText>
      </w:r>
      <w:r>
        <w:fldChar w:fldCharType="separate"/>
      </w:r>
      <w:r>
        <w:rPr>
          <w:rStyle w:val="19"/>
          <w:color w:val="auto"/>
        </w:rPr>
        <w:t>三、商务文件</w:t>
      </w:r>
      <w:r>
        <w:rPr>
          <w:rStyle w:val="19"/>
          <w:color w:val="auto"/>
        </w:rPr>
        <w:tab/>
      </w:r>
      <w:r>
        <w:fldChar w:fldCharType="begin"/>
      </w:r>
      <w:r>
        <w:rPr>
          <w:rStyle w:val="19"/>
          <w:color w:val="auto"/>
        </w:rPr>
        <w:instrText xml:space="preserve"> PAGEREF _Toc256000047 \h </w:instrText>
      </w:r>
      <w:r>
        <w:fldChar w:fldCharType="separate"/>
      </w:r>
      <w:r>
        <w:rPr>
          <w:rStyle w:val="19"/>
          <w:color w:val="auto"/>
        </w:rPr>
        <w:t>62</w:t>
      </w:r>
      <w:r>
        <w:fldChar w:fldCharType="end"/>
      </w:r>
      <w:r>
        <w:fldChar w:fldCharType="end"/>
      </w:r>
    </w:p>
    <w:p>
      <w:pPr>
        <w:pStyle w:val="7"/>
        <w:tabs>
          <w:tab w:val="right" w:leader="dot" w:pos="8302"/>
        </w:tabs>
        <w:rPr>
          <w:sz w:val="22"/>
        </w:rPr>
      </w:pPr>
      <w:r>
        <w:fldChar w:fldCharType="begin"/>
      </w:r>
      <w:r>
        <w:instrText xml:space="preserve"> HYPERLINK \l "_Toc256000048" </w:instrText>
      </w:r>
      <w:r>
        <w:fldChar w:fldCharType="separate"/>
      </w:r>
      <w:r>
        <w:rPr>
          <w:rStyle w:val="19"/>
          <w:color w:val="auto"/>
        </w:rPr>
        <w:t>一、</w:t>
      </w:r>
      <w:r>
        <w:rPr>
          <w:rStyle w:val="19"/>
          <w:rFonts w:hint="eastAsia" w:ascii="宋体" w:hAnsi="宋体" w:cs="宋体"/>
          <w:color w:val="auto"/>
        </w:rPr>
        <w:t>☆</w:t>
      </w:r>
      <w:r>
        <w:rPr>
          <w:rStyle w:val="19"/>
          <w:color w:val="auto"/>
        </w:rPr>
        <w:t>投标函</w:t>
      </w:r>
      <w:r>
        <w:rPr>
          <w:rStyle w:val="19"/>
          <w:color w:val="auto"/>
        </w:rPr>
        <w:tab/>
      </w:r>
      <w:r>
        <w:fldChar w:fldCharType="begin"/>
      </w:r>
      <w:r>
        <w:rPr>
          <w:rStyle w:val="19"/>
          <w:color w:val="auto"/>
        </w:rPr>
        <w:instrText xml:space="preserve"> PAGEREF _Toc256000048 \h </w:instrText>
      </w:r>
      <w:r>
        <w:fldChar w:fldCharType="separate"/>
      </w:r>
      <w:r>
        <w:rPr>
          <w:rStyle w:val="19"/>
          <w:color w:val="auto"/>
        </w:rPr>
        <w:t>63</w:t>
      </w:r>
      <w:r>
        <w:fldChar w:fldCharType="end"/>
      </w:r>
      <w:r>
        <w:fldChar w:fldCharType="end"/>
      </w:r>
    </w:p>
    <w:p>
      <w:pPr>
        <w:pStyle w:val="7"/>
        <w:tabs>
          <w:tab w:val="right" w:leader="dot" w:pos="8302"/>
        </w:tabs>
        <w:rPr>
          <w:sz w:val="22"/>
        </w:rPr>
      </w:pPr>
      <w:r>
        <w:fldChar w:fldCharType="begin"/>
      </w:r>
      <w:r>
        <w:instrText xml:space="preserve"> HYPERLINK \l "_Toc256000049" </w:instrText>
      </w:r>
      <w:r>
        <w:fldChar w:fldCharType="separate"/>
      </w:r>
      <w:r>
        <w:rPr>
          <w:rStyle w:val="19"/>
          <w:color w:val="auto"/>
        </w:rPr>
        <w:t>二、</w:t>
      </w:r>
      <w:r>
        <w:rPr>
          <w:rStyle w:val="19"/>
          <w:rFonts w:hint="eastAsia" w:ascii="宋体" w:hAnsi="宋体" w:cs="宋体"/>
          <w:color w:val="auto"/>
        </w:rPr>
        <w:t>☆</w:t>
      </w:r>
      <w:r>
        <w:rPr>
          <w:rStyle w:val="19"/>
          <w:color w:val="auto"/>
        </w:rPr>
        <w:t>开标一览表</w:t>
      </w:r>
      <w:r>
        <w:rPr>
          <w:rStyle w:val="19"/>
          <w:color w:val="auto"/>
        </w:rPr>
        <w:tab/>
      </w:r>
      <w:r>
        <w:fldChar w:fldCharType="begin"/>
      </w:r>
      <w:r>
        <w:rPr>
          <w:rStyle w:val="19"/>
          <w:color w:val="auto"/>
        </w:rPr>
        <w:instrText xml:space="preserve"> PAGEREF _Toc256000049 \h </w:instrText>
      </w:r>
      <w:r>
        <w:fldChar w:fldCharType="separate"/>
      </w:r>
      <w:r>
        <w:rPr>
          <w:rStyle w:val="19"/>
          <w:color w:val="auto"/>
        </w:rPr>
        <w:t>66</w:t>
      </w:r>
      <w:r>
        <w:fldChar w:fldCharType="end"/>
      </w:r>
      <w:r>
        <w:fldChar w:fldCharType="end"/>
      </w:r>
    </w:p>
    <w:p>
      <w:pPr>
        <w:pStyle w:val="7"/>
        <w:tabs>
          <w:tab w:val="right" w:leader="dot" w:pos="8302"/>
        </w:tabs>
        <w:rPr>
          <w:sz w:val="22"/>
        </w:rPr>
      </w:pPr>
      <w:r>
        <w:fldChar w:fldCharType="begin"/>
      </w:r>
      <w:r>
        <w:instrText xml:space="preserve"> HYPERLINK \l "_Toc256000050" </w:instrText>
      </w:r>
      <w:r>
        <w:fldChar w:fldCharType="separate"/>
      </w:r>
      <w:r>
        <w:rPr>
          <w:rStyle w:val="19"/>
          <w:color w:val="auto"/>
        </w:rPr>
        <w:t>三、</w:t>
      </w:r>
      <w:r>
        <w:rPr>
          <w:rStyle w:val="19"/>
          <w:rFonts w:hint="eastAsia" w:ascii="宋体" w:hAnsi="宋体" w:cs="宋体"/>
          <w:color w:val="auto"/>
        </w:rPr>
        <w:t>☆</w:t>
      </w:r>
      <w:r>
        <w:rPr>
          <w:rStyle w:val="19"/>
          <w:color w:val="auto"/>
        </w:rPr>
        <w:t>投标报价明细表</w:t>
      </w:r>
      <w:r>
        <w:rPr>
          <w:rStyle w:val="19"/>
          <w:color w:val="auto"/>
        </w:rPr>
        <w:tab/>
      </w:r>
      <w:r>
        <w:fldChar w:fldCharType="begin"/>
      </w:r>
      <w:r>
        <w:rPr>
          <w:rStyle w:val="19"/>
          <w:color w:val="auto"/>
        </w:rPr>
        <w:instrText xml:space="preserve"> PAGEREF _Toc256000050 \h </w:instrText>
      </w:r>
      <w:r>
        <w:fldChar w:fldCharType="separate"/>
      </w:r>
      <w:r>
        <w:rPr>
          <w:rStyle w:val="19"/>
          <w:color w:val="auto"/>
        </w:rPr>
        <w:t>67</w:t>
      </w:r>
      <w:r>
        <w:fldChar w:fldCharType="end"/>
      </w:r>
      <w:r>
        <w:fldChar w:fldCharType="end"/>
      </w:r>
    </w:p>
    <w:p>
      <w:pPr>
        <w:pStyle w:val="7"/>
        <w:tabs>
          <w:tab w:val="right" w:leader="dot" w:pos="8302"/>
        </w:tabs>
        <w:rPr>
          <w:sz w:val="22"/>
        </w:rPr>
      </w:pPr>
      <w:r>
        <w:fldChar w:fldCharType="begin"/>
      </w:r>
      <w:r>
        <w:instrText xml:space="preserve"> HYPERLINK \l "_Toc256000051" </w:instrText>
      </w:r>
      <w:r>
        <w:fldChar w:fldCharType="separate"/>
      </w:r>
      <w:r>
        <w:rPr>
          <w:rStyle w:val="19"/>
          <w:color w:val="auto"/>
        </w:rPr>
        <w:t>四、</w:t>
      </w:r>
      <w:r>
        <w:rPr>
          <w:rStyle w:val="19"/>
          <w:rFonts w:hint="eastAsia" w:ascii="宋体" w:hAnsi="宋体" w:cs="宋体"/>
          <w:color w:val="auto"/>
        </w:rPr>
        <w:t>☆</w:t>
      </w:r>
      <w:r>
        <w:rPr>
          <w:rStyle w:val="19"/>
          <w:color w:val="auto"/>
        </w:rPr>
        <w:t>服务承诺书</w:t>
      </w:r>
      <w:r>
        <w:rPr>
          <w:rStyle w:val="19"/>
          <w:color w:val="auto"/>
        </w:rPr>
        <w:tab/>
      </w:r>
      <w:r>
        <w:fldChar w:fldCharType="begin"/>
      </w:r>
      <w:r>
        <w:rPr>
          <w:rStyle w:val="19"/>
          <w:color w:val="auto"/>
        </w:rPr>
        <w:instrText xml:space="preserve"> PAGEREF _Toc256000051 \h </w:instrText>
      </w:r>
      <w:r>
        <w:fldChar w:fldCharType="separate"/>
      </w:r>
      <w:r>
        <w:rPr>
          <w:rStyle w:val="19"/>
          <w:color w:val="auto"/>
        </w:rPr>
        <w:t>68</w:t>
      </w:r>
      <w:r>
        <w:fldChar w:fldCharType="end"/>
      </w:r>
      <w:r>
        <w:fldChar w:fldCharType="end"/>
      </w:r>
    </w:p>
    <w:p>
      <w:pPr>
        <w:pStyle w:val="7"/>
        <w:tabs>
          <w:tab w:val="right" w:leader="dot" w:pos="8302"/>
        </w:tabs>
        <w:rPr>
          <w:sz w:val="22"/>
        </w:rPr>
      </w:pPr>
      <w:r>
        <w:fldChar w:fldCharType="begin"/>
      </w:r>
      <w:r>
        <w:instrText xml:space="preserve"> HYPERLINK \l "_Toc256000052" </w:instrText>
      </w:r>
      <w:r>
        <w:fldChar w:fldCharType="separate"/>
      </w:r>
      <w:r>
        <w:rPr>
          <w:rStyle w:val="19"/>
          <w:color w:val="auto"/>
        </w:rPr>
        <w:t>五、商务条款偏离说明表</w:t>
      </w:r>
      <w:r>
        <w:rPr>
          <w:rStyle w:val="19"/>
          <w:color w:val="auto"/>
        </w:rPr>
        <w:tab/>
      </w:r>
      <w:r>
        <w:fldChar w:fldCharType="begin"/>
      </w:r>
      <w:r>
        <w:rPr>
          <w:rStyle w:val="19"/>
          <w:color w:val="auto"/>
        </w:rPr>
        <w:instrText xml:space="preserve"> PAGEREF _Toc256000052 \h </w:instrText>
      </w:r>
      <w:r>
        <w:fldChar w:fldCharType="separate"/>
      </w:r>
      <w:r>
        <w:rPr>
          <w:rStyle w:val="19"/>
          <w:color w:val="auto"/>
        </w:rPr>
        <w:t>69</w:t>
      </w:r>
      <w:r>
        <w:fldChar w:fldCharType="end"/>
      </w:r>
      <w:r>
        <w:fldChar w:fldCharType="end"/>
      </w:r>
    </w:p>
    <w:p>
      <w:pPr>
        <w:pStyle w:val="11"/>
        <w:tabs>
          <w:tab w:val="right" w:leader="dot" w:pos="8302"/>
        </w:tabs>
        <w:rPr>
          <w:sz w:val="22"/>
        </w:rPr>
      </w:pPr>
      <w:r>
        <w:fldChar w:fldCharType="begin"/>
      </w:r>
      <w:r>
        <w:instrText xml:space="preserve"> HYPERLINK \l "_Toc256000053" </w:instrText>
      </w:r>
      <w:r>
        <w:fldChar w:fldCharType="separate"/>
      </w:r>
      <w:r>
        <w:rPr>
          <w:rStyle w:val="19"/>
          <w:color w:val="auto"/>
        </w:rPr>
        <w:t>四、技术文件</w:t>
      </w:r>
      <w:r>
        <w:rPr>
          <w:rStyle w:val="19"/>
          <w:color w:val="auto"/>
        </w:rPr>
        <w:tab/>
      </w:r>
      <w:r>
        <w:fldChar w:fldCharType="begin"/>
      </w:r>
      <w:r>
        <w:rPr>
          <w:rStyle w:val="19"/>
          <w:color w:val="auto"/>
        </w:rPr>
        <w:instrText xml:space="preserve"> PAGEREF _Toc256000053 \h </w:instrText>
      </w:r>
      <w:r>
        <w:fldChar w:fldCharType="separate"/>
      </w:r>
      <w:r>
        <w:rPr>
          <w:rStyle w:val="19"/>
          <w:color w:val="auto"/>
        </w:rPr>
        <w:t>70</w:t>
      </w:r>
      <w:r>
        <w:fldChar w:fldCharType="end"/>
      </w:r>
      <w:r>
        <w:fldChar w:fldCharType="end"/>
      </w:r>
    </w:p>
    <w:p>
      <w:pPr>
        <w:pStyle w:val="7"/>
        <w:tabs>
          <w:tab w:val="right" w:leader="dot" w:pos="8302"/>
        </w:tabs>
        <w:rPr>
          <w:sz w:val="22"/>
        </w:rPr>
      </w:pPr>
      <w:r>
        <w:fldChar w:fldCharType="begin"/>
      </w:r>
      <w:r>
        <w:instrText xml:space="preserve"> HYPERLINK \l "_Toc256000054" </w:instrText>
      </w:r>
      <w:r>
        <w:fldChar w:fldCharType="separate"/>
      </w:r>
      <w:r>
        <w:rPr>
          <w:rStyle w:val="19"/>
          <w:color w:val="auto"/>
        </w:rPr>
        <w:t>一、投标人自行编写的技术文件</w:t>
      </w:r>
      <w:r>
        <w:rPr>
          <w:rStyle w:val="19"/>
          <w:color w:val="auto"/>
        </w:rPr>
        <w:tab/>
      </w:r>
      <w:r>
        <w:fldChar w:fldCharType="begin"/>
      </w:r>
      <w:r>
        <w:rPr>
          <w:rStyle w:val="19"/>
          <w:color w:val="auto"/>
        </w:rPr>
        <w:instrText xml:space="preserve"> PAGEREF _Toc256000054 \h </w:instrText>
      </w:r>
      <w:r>
        <w:fldChar w:fldCharType="separate"/>
      </w:r>
      <w:r>
        <w:rPr>
          <w:rStyle w:val="19"/>
          <w:color w:val="auto"/>
        </w:rPr>
        <w:t>71</w:t>
      </w:r>
      <w:r>
        <w:fldChar w:fldCharType="end"/>
      </w:r>
      <w:r>
        <w:fldChar w:fldCharType="end"/>
      </w:r>
    </w:p>
    <w:p>
      <w:pPr>
        <w:pStyle w:val="11"/>
        <w:tabs>
          <w:tab w:val="right" w:leader="dot" w:pos="8302"/>
        </w:tabs>
        <w:rPr>
          <w:sz w:val="22"/>
        </w:rPr>
      </w:pPr>
      <w:r>
        <w:fldChar w:fldCharType="begin"/>
      </w:r>
      <w:r>
        <w:instrText xml:space="preserve"> HYPERLINK \l "_Toc256000055" </w:instrText>
      </w:r>
      <w:r>
        <w:fldChar w:fldCharType="separate"/>
      </w:r>
      <w:r>
        <w:rPr>
          <w:rStyle w:val="19"/>
          <w:color w:val="auto"/>
        </w:rPr>
        <w:t>五、服务文件</w:t>
      </w:r>
      <w:r>
        <w:rPr>
          <w:rStyle w:val="19"/>
          <w:color w:val="auto"/>
        </w:rPr>
        <w:tab/>
      </w:r>
      <w:r>
        <w:fldChar w:fldCharType="begin"/>
      </w:r>
      <w:r>
        <w:rPr>
          <w:rStyle w:val="19"/>
          <w:color w:val="auto"/>
        </w:rPr>
        <w:instrText xml:space="preserve"> PAGEREF _Toc256000055 \h </w:instrText>
      </w:r>
      <w:r>
        <w:fldChar w:fldCharType="separate"/>
      </w:r>
      <w:r>
        <w:rPr>
          <w:rStyle w:val="19"/>
          <w:color w:val="auto"/>
        </w:rPr>
        <w:t>72</w:t>
      </w:r>
      <w:r>
        <w:fldChar w:fldCharType="end"/>
      </w:r>
      <w:r>
        <w:fldChar w:fldCharType="end"/>
      </w:r>
    </w:p>
    <w:p>
      <w:pPr>
        <w:pStyle w:val="7"/>
        <w:tabs>
          <w:tab w:val="right" w:leader="dot" w:pos="8302"/>
        </w:tabs>
      </w:pPr>
      <w:r>
        <w:fldChar w:fldCharType="begin"/>
      </w:r>
      <w:r>
        <w:instrText xml:space="preserve"> HYPERLINK \l "_Toc256000056" </w:instrText>
      </w:r>
      <w:r>
        <w:fldChar w:fldCharType="separate"/>
      </w:r>
      <w:r>
        <w:rPr>
          <w:rStyle w:val="19"/>
          <w:color w:val="auto"/>
        </w:rPr>
        <w:t>一、投标人自行编写的服务文件</w:t>
      </w:r>
      <w:r>
        <w:rPr>
          <w:rStyle w:val="19"/>
          <w:color w:val="auto"/>
        </w:rPr>
        <w:tab/>
      </w:r>
      <w:r>
        <w:fldChar w:fldCharType="begin"/>
      </w:r>
      <w:r>
        <w:rPr>
          <w:rStyle w:val="19"/>
          <w:color w:val="auto"/>
        </w:rPr>
        <w:instrText xml:space="preserve"> PAGEREF _Toc256000056 \h </w:instrText>
      </w:r>
      <w:r>
        <w:fldChar w:fldCharType="separate"/>
      </w:r>
      <w:r>
        <w:rPr>
          <w:rStyle w:val="19"/>
          <w:color w:val="auto"/>
        </w:rPr>
        <w:t>73</w:t>
      </w:r>
      <w:r>
        <w:fldChar w:fldCharType="end"/>
      </w:r>
      <w:r>
        <w:fldChar w:fldCharType="end"/>
      </w:r>
    </w:p>
    <w:p/>
    <w:p>
      <w:pPr>
        <w:pStyle w:val="5"/>
      </w:pPr>
      <w:r>
        <w:fldChar w:fldCharType="end"/>
      </w:r>
    </w:p>
    <w:p>
      <w:pPr>
        <w:pStyle w:val="6"/>
        <w:tabs>
          <w:tab w:val="left" w:pos="0"/>
        </w:tabs>
        <w:spacing w:line="240" w:lineRule="auto"/>
        <w:ind w:left="0" w:leftChars="0" w:firstLine="0" w:firstLineChars="0"/>
        <w:jc w:val="center"/>
        <w:outlineLvl w:val="0"/>
        <w:rPr>
          <w:rFonts w:ascii="宋体" w:hAnsi="宋体"/>
          <w:b/>
          <w:sz w:val="36"/>
        </w:rPr>
      </w:pPr>
      <w:bookmarkStart w:id="2" w:name="_Toc256000000"/>
      <w:r>
        <w:rPr>
          <w:rFonts w:hint="eastAsia" w:ascii="宋体" w:hAnsi="宋体"/>
          <w:b/>
          <w:sz w:val="36"/>
        </w:rPr>
        <w:t>第一部分   招标公告</w:t>
      </w:r>
      <w:bookmarkEnd w:id="2"/>
    </w:p>
    <w:p>
      <w:pPr>
        <w:rPr>
          <w:highlight w:val="red"/>
        </w:rPr>
      </w:pPr>
    </w:p>
    <w:p>
      <w:pPr>
        <w:pStyle w:val="20"/>
        <w:keepNext w:val="0"/>
        <w:keepLines w:val="0"/>
        <w:pageBreakBefore w:val="0"/>
        <w:kinsoku/>
        <w:wordWrap/>
        <w:overflowPunct/>
        <w:autoSpaceDE/>
        <w:autoSpaceDN/>
        <w:bidi w:val="0"/>
        <w:adjustRightInd/>
        <w:snapToGrid/>
        <w:spacing w:after="200" w:line="336" w:lineRule="auto"/>
        <w:ind w:firstLine="480" w:firstLineChars="200"/>
        <w:textAlignment w:val="auto"/>
        <w:rPr>
          <w:rFonts w:ascii="宋体" w:hAnsi="宋体" w:cs="宋体"/>
          <w:sz w:val="24"/>
        </w:rPr>
      </w:pPr>
      <w:r>
        <w:rPr>
          <w:rFonts w:ascii="宋体" w:hAnsi="宋体" w:cs="宋体"/>
          <w:sz w:val="24"/>
        </w:rPr>
        <w:t>受</w:t>
      </w:r>
      <w:r>
        <w:rPr>
          <w:rFonts w:hint="eastAsia" w:ascii="宋体" w:hAnsi="宋体" w:cs="宋体"/>
          <w:sz w:val="24"/>
          <w:u w:val="single"/>
          <w:lang w:eastAsia="zh-CN"/>
        </w:rPr>
        <w:t>石河子大学医学院第一附属医院</w:t>
      </w:r>
      <w:r>
        <w:rPr>
          <w:rFonts w:ascii="宋体" w:hAnsi="宋体" w:cs="宋体"/>
          <w:sz w:val="24"/>
        </w:rPr>
        <w:t>(采购单位)委托，</w:t>
      </w:r>
      <w:r>
        <w:rPr>
          <w:rFonts w:ascii="宋体" w:hAnsi="宋体" w:cs="宋体"/>
          <w:sz w:val="24"/>
          <w:u w:val="single"/>
        </w:rPr>
        <w:t>新疆德利得工程管理有限公司</w:t>
      </w:r>
      <w:r>
        <w:rPr>
          <w:rFonts w:ascii="宋体" w:hAnsi="宋体" w:cs="宋体"/>
          <w:sz w:val="24"/>
        </w:rPr>
        <w:t>（代理机构）对</w:t>
      </w:r>
      <w:r>
        <w:rPr>
          <w:rFonts w:hint="eastAsia" w:ascii="宋体" w:hAnsi="宋体" w:cs="宋体"/>
          <w:color w:val="auto"/>
          <w:sz w:val="24"/>
          <w:u w:val="single"/>
        </w:rPr>
        <w:t>XJBTBJ[2021]3759号-001、</w:t>
      </w:r>
      <w:r>
        <w:rPr>
          <w:rFonts w:hint="eastAsia" w:ascii="宋体" w:hAnsi="宋体" w:cs="宋体"/>
          <w:sz w:val="24"/>
          <w:u w:val="single"/>
          <w:lang w:eastAsia="zh-CN"/>
        </w:rPr>
        <w:t>石河子大学医学院第一附属医院在职人员餐厅外包服务项目</w:t>
      </w:r>
      <w:r>
        <w:rPr>
          <w:rFonts w:ascii="宋体" w:hAnsi="宋体" w:cs="宋体"/>
          <w:sz w:val="24"/>
        </w:rPr>
        <w:t>（招标编号、项目名称）组织进行公开招标，现欢迎合格的投标人前来投标。</w:t>
      </w:r>
    </w:p>
    <w:p>
      <w:pPr>
        <w:pStyle w:val="20"/>
        <w:keepNext w:val="0"/>
        <w:keepLines w:val="0"/>
        <w:pageBreakBefore w:val="0"/>
        <w:kinsoku/>
        <w:wordWrap/>
        <w:overflowPunct/>
        <w:autoSpaceDE/>
        <w:autoSpaceDN/>
        <w:bidi w:val="0"/>
        <w:adjustRightInd/>
        <w:snapToGrid/>
        <w:spacing w:after="200" w:line="336" w:lineRule="auto"/>
        <w:textAlignment w:val="auto"/>
        <w:rPr>
          <w:rFonts w:ascii="宋体" w:hAnsi="宋体" w:cs="宋体"/>
          <w:sz w:val="24"/>
        </w:rPr>
      </w:pPr>
      <w:r>
        <w:rPr>
          <w:rFonts w:hint="eastAsia" w:ascii="宋体" w:hAnsi="宋体" w:cs="宋体"/>
          <w:sz w:val="24"/>
        </w:rPr>
        <w:t>一、项目基本情况</w:t>
      </w:r>
    </w:p>
    <w:p>
      <w:pPr>
        <w:pStyle w:val="20"/>
        <w:keepNext w:val="0"/>
        <w:keepLines w:val="0"/>
        <w:pageBreakBefore w:val="0"/>
        <w:kinsoku/>
        <w:wordWrap/>
        <w:overflowPunct/>
        <w:autoSpaceDE/>
        <w:autoSpaceDN/>
        <w:bidi w:val="0"/>
        <w:adjustRightInd/>
        <w:snapToGrid/>
        <w:spacing w:after="200" w:line="336" w:lineRule="auto"/>
        <w:textAlignment w:val="auto"/>
        <w:rPr>
          <w:rFonts w:ascii="宋体" w:hAnsi="宋体" w:cs="宋体"/>
          <w:sz w:val="24"/>
          <w:u w:val="single"/>
        </w:rPr>
      </w:pPr>
      <w:r>
        <w:rPr>
          <w:rFonts w:hint="eastAsia" w:ascii="宋体" w:hAnsi="宋体" w:cs="宋体"/>
          <w:sz w:val="24"/>
        </w:rPr>
        <w:t>1.项目编号：</w:t>
      </w:r>
      <w:r>
        <w:rPr>
          <w:rFonts w:hint="eastAsia" w:ascii="宋体" w:hAnsi="宋体" w:cs="宋体"/>
          <w:color w:val="auto"/>
          <w:sz w:val="24"/>
          <w:u w:val="single"/>
        </w:rPr>
        <w:t>XJBTBJ[2021]3759号-001</w:t>
      </w:r>
    </w:p>
    <w:p>
      <w:pPr>
        <w:pStyle w:val="20"/>
        <w:keepNext w:val="0"/>
        <w:keepLines w:val="0"/>
        <w:pageBreakBefore w:val="0"/>
        <w:kinsoku/>
        <w:wordWrap/>
        <w:overflowPunct/>
        <w:autoSpaceDE/>
        <w:autoSpaceDN/>
        <w:bidi w:val="0"/>
        <w:adjustRightInd/>
        <w:snapToGrid/>
        <w:spacing w:after="200" w:line="336" w:lineRule="auto"/>
        <w:textAlignment w:val="auto"/>
        <w:rPr>
          <w:rFonts w:hint="eastAsia" w:ascii="宋体" w:hAnsi="宋体" w:eastAsia="宋体" w:cs="宋体"/>
          <w:sz w:val="24"/>
          <w:lang w:eastAsia="zh-CN"/>
        </w:rPr>
      </w:pPr>
      <w:r>
        <w:rPr>
          <w:rFonts w:hint="eastAsia" w:ascii="宋体" w:hAnsi="宋体" w:cs="宋体"/>
          <w:sz w:val="24"/>
        </w:rPr>
        <w:t>2.项目名称：</w:t>
      </w:r>
      <w:r>
        <w:rPr>
          <w:rFonts w:hint="eastAsia" w:ascii="宋体" w:hAnsi="宋体" w:cs="宋体"/>
          <w:kern w:val="0"/>
          <w:sz w:val="24"/>
          <w:u w:val="single"/>
          <w:lang w:eastAsia="zh-CN"/>
        </w:rPr>
        <w:t>石河子大学医学院第一附属医院在职人员餐厅外包服务项目</w:t>
      </w:r>
    </w:p>
    <w:p>
      <w:pPr>
        <w:pStyle w:val="20"/>
        <w:keepNext w:val="0"/>
        <w:keepLines w:val="0"/>
        <w:pageBreakBefore w:val="0"/>
        <w:kinsoku/>
        <w:wordWrap/>
        <w:overflowPunct/>
        <w:autoSpaceDE/>
        <w:autoSpaceDN/>
        <w:bidi w:val="0"/>
        <w:adjustRightInd/>
        <w:snapToGrid/>
        <w:spacing w:after="200" w:line="336" w:lineRule="auto"/>
        <w:textAlignment w:val="auto"/>
        <w:rPr>
          <w:rFonts w:ascii="宋体" w:hAnsi="宋体" w:cs="宋体"/>
          <w:sz w:val="24"/>
        </w:rPr>
      </w:pPr>
      <w:r>
        <w:rPr>
          <w:rFonts w:hint="eastAsia" w:ascii="宋体" w:hAnsi="宋体" w:cs="宋体"/>
          <w:sz w:val="24"/>
        </w:rPr>
        <w:t>3.预算金额：</w:t>
      </w:r>
      <w:r>
        <w:rPr>
          <w:rFonts w:hint="eastAsia" w:ascii="宋体" w:hAnsi="宋体" w:cs="宋体"/>
          <w:sz w:val="24"/>
          <w:u w:val="single"/>
          <w:lang w:eastAsia="zh-CN"/>
        </w:rPr>
        <w:t>13000000</w:t>
      </w:r>
      <w:r>
        <w:rPr>
          <w:rFonts w:hint="eastAsia" w:ascii="宋体" w:hAnsi="宋体" w:cs="宋体"/>
          <w:sz w:val="24"/>
          <w:u w:val="single"/>
        </w:rPr>
        <w:t>元</w:t>
      </w:r>
    </w:p>
    <w:p>
      <w:pPr>
        <w:pStyle w:val="20"/>
        <w:keepNext w:val="0"/>
        <w:keepLines w:val="0"/>
        <w:pageBreakBefore w:val="0"/>
        <w:kinsoku/>
        <w:wordWrap/>
        <w:overflowPunct/>
        <w:autoSpaceDE/>
        <w:autoSpaceDN/>
        <w:bidi w:val="0"/>
        <w:adjustRightInd/>
        <w:snapToGrid/>
        <w:spacing w:after="200" w:line="336" w:lineRule="auto"/>
        <w:textAlignment w:val="auto"/>
        <w:rPr>
          <w:rFonts w:ascii="宋体" w:hAnsi="宋体" w:cs="宋体"/>
          <w:sz w:val="24"/>
        </w:rPr>
      </w:pPr>
      <w:r>
        <w:rPr>
          <w:rFonts w:hint="eastAsia" w:ascii="宋体" w:hAnsi="宋体" w:cs="宋体"/>
          <w:sz w:val="24"/>
        </w:rPr>
        <w:t>4.最高限价：</w:t>
      </w:r>
      <w:r>
        <w:rPr>
          <w:rFonts w:hint="eastAsia" w:ascii="宋体" w:hAnsi="宋体" w:cs="宋体"/>
          <w:sz w:val="24"/>
          <w:u w:val="single"/>
          <w:lang w:eastAsia="zh-CN"/>
        </w:rPr>
        <w:t>13000000</w:t>
      </w:r>
      <w:r>
        <w:rPr>
          <w:rFonts w:hint="eastAsia" w:ascii="宋体" w:hAnsi="宋体" w:cs="宋体"/>
          <w:sz w:val="24"/>
          <w:u w:val="single"/>
        </w:rPr>
        <w:t>元</w:t>
      </w:r>
    </w:p>
    <w:p>
      <w:pPr>
        <w:pStyle w:val="20"/>
        <w:keepNext w:val="0"/>
        <w:keepLines w:val="0"/>
        <w:pageBreakBefore w:val="0"/>
        <w:kinsoku/>
        <w:wordWrap/>
        <w:overflowPunct/>
        <w:autoSpaceDE/>
        <w:autoSpaceDN/>
        <w:bidi w:val="0"/>
        <w:adjustRightInd/>
        <w:snapToGrid/>
        <w:spacing w:after="200" w:line="336" w:lineRule="auto"/>
        <w:textAlignment w:val="auto"/>
        <w:rPr>
          <w:rFonts w:ascii="宋体" w:hAnsi="宋体" w:cs="宋体"/>
          <w:sz w:val="24"/>
          <w:highlight w:val="red"/>
        </w:rPr>
      </w:pPr>
      <w:r>
        <w:rPr>
          <w:rFonts w:hint="eastAsia" w:ascii="宋体" w:hAnsi="宋体" w:cs="宋体"/>
          <w:sz w:val="24"/>
        </w:rPr>
        <w:t>5.采购需求：</w:t>
      </w:r>
    </w:p>
    <w:tbl>
      <w:tblPr>
        <w:tblStyle w:val="16"/>
        <w:tblW w:w="8610"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2610"/>
        <w:gridCol w:w="168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640" w:type="dxa"/>
            <w:tcBorders>
              <w:top w:val="single" w:color="auto" w:sz="4" w:space="0"/>
              <w:left w:val="single" w:color="auto" w:sz="4" w:space="0"/>
              <w:bottom w:val="single" w:color="auto" w:sz="4" w:space="0"/>
              <w:right w:val="single" w:color="auto" w:sz="4" w:space="0"/>
            </w:tcBorders>
          </w:tcPr>
          <w:p>
            <w:pPr>
              <w:pStyle w:val="21"/>
              <w:keepNext w:val="0"/>
              <w:keepLines w:val="0"/>
              <w:pageBreakBefore w:val="0"/>
              <w:kinsoku/>
              <w:wordWrap/>
              <w:overflowPunct/>
              <w:autoSpaceDE/>
              <w:autoSpaceDN/>
              <w:bidi w:val="0"/>
              <w:adjustRightInd/>
              <w:snapToGrid/>
              <w:spacing w:after="200" w:line="336" w:lineRule="auto"/>
              <w:ind w:firstLine="240" w:firstLineChars="100"/>
              <w:jc w:val="center"/>
              <w:textAlignment w:val="auto"/>
              <w:rPr>
                <w:rFonts w:ascii="宋体" w:hAnsi="宋体" w:cs="宋体"/>
                <w:sz w:val="24"/>
                <w:szCs w:val="24"/>
              </w:rPr>
            </w:pPr>
            <w:r>
              <w:rPr>
                <w:rFonts w:hint="eastAsia" w:ascii="宋体" w:hAnsi="宋体" w:cs="宋体"/>
                <w:sz w:val="24"/>
                <w:szCs w:val="24"/>
              </w:rPr>
              <w:t>分包名称</w:t>
            </w:r>
          </w:p>
        </w:tc>
        <w:tc>
          <w:tcPr>
            <w:tcW w:w="2610" w:type="dxa"/>
            <w:tcBorders>
              <w:top w:val="single" w:color="auto" w:sz="4" w:space="0"/>
              <w:left w:val="nil"/>
              <w:bottom w:val="single" w:color="auto" w:sz="4" w:space="0"/>
              <w:right w:val="single" w:color="auto" w:sz="4" w:space="0"/>
            </w:tcBorders>
          </w:tcPr>
          <w:p>
            <w:pPr>
              <w:pStyle w:val="21"/>
              <w:keepNext w:val="0"/>
              <w:keepLines w:val="0"/>
              <w:pageBreakBefore w:val="0"/>
              <w:kinsoku/>
              <w:wordWrap/>
              <w:overflowPunct/>
              <w:autoSpaceDE/>
              <w:autoSpaceDN/>
              <w:bidi w:val="0"/>
              <w:adjustRightInd/>
              <w:snapToGrid/>
              <w:spacing w:after="200" w:line="336" w:lineRule="auto"/>
              <w:jc w:val="center"/>
              <w:textAlignment w:val="auto"/>
              <w:rPr>
                <w:rFonts w:ascii="宋体" w:hAnsi="宋体" w:cs="宋体"/>
                <w:sz w:val="24"/>
                <w:szCs w:val="24"/>
              </w:rPr>
            </w:pPr>
            <w:r>
              <w:rPr>
                <w:rFonts w:hint="eastAsia" w:ascii="宋体" w:hAnsi="宋体" w:cs="宋体"/>
                <w:sz w:val="24"/>
                <w:szCs w:val="24"/>
              </w:rPr>
              <w:t>分包内容</w:t>
            </w:r>
          </w:p>
        </w:tc>
        <w:tc>
          <w:tcPr>
            <w:tcW w:w="1680" w:type="dxa"/>
            <w:tcBorders>
              <w:top w:val="single" w:color="auto" w:sz="4" w:space="0"/>
              <w:left w:val="nil"/>
              <w:bottom w:val="single" w:color="auto" w:sz="4" w:space="0"/>
              <w:right w:val="single" w:color="auto" w:sz="4" w:space="0"/>
            </w:tcBorders>
          </w:tcPr>
          <w:p>
            <w:pPr>
              <w:pStyle w:val="21"/>
              <w:keepNext w:val="0"/>
              <w:keepLines w:val="0"/>
              <w:pageBreakBefore w:val="0"/>
              <w:kinsoku/>
              <w:wordWrap/>
              <w:overflowPunct/>
              <w:autoSpaceDE/>
              <w:autoSpaceDN/>
              <w:bidi w:val="0"/>
              <w:adjustRightInd/>
              <w:snapToGrid/>
              <w:spacing w:after="200" w:line="336" w:lineRule="auto"/>
              <w:jc w:val="center"/>
              <w:textAlignment w:val="auto"/>
              <w:rPr>
                <w:rFonts w:ascii="宋体" w:hAnsi="宋体" w:cs="宋体"/>
                <w:sz w:val="24"/>
                <w:szCs w:val="24"/>
              </w:rPr>
            </w:pPr>
            <w:r>
              <w:rPr>
                <w:rFonts w:hint="eastAsia" w:ascii="宋体" w:hAnsi="宋体" w:cs="宋体"/>
                <w:sz w:val="24"/>
                <w:szCs w:val="24"/>
              </w:rPr>
              <w:t>预算金额（元）</w:t>
            </w:r>
          </w:p>
        </w:tc>
        <w:tc>
          <w:tcPr>
            <w:tcW w:w="1680" w:type="dxa"/>
            <w:tcBorders>
              <w:top w:val="single" w:color="auto" w:sz="4" w:space="0"/>
              <w:left w:val="nil"/>
              <w:bottom w:val="single" w:color="auto" w:sz="4" w:space="0"/>
              <w:right w:val="single" w:color="auto" w:sz="4" w:space="0"/>
            </w:tcBorders>
          </w:tcPr>
          <w:p>
            <w:pPr>
              <w:pStyle w:val="21"/>
              <w:keepNext w:val="0"/>
              <w:keepLines w:val="0"/>
              <w:pageBreakBefore w:val="0"/>
              <w:kinsoku/>
              <w:wordWrap/>
              <w:overflowPunct/>
              <w:autoSpaceDE/>
              <w:autoSpaceDN/>
              <w:bidi w:val="0"/>
              <w:adjustRightInd/>
              <w:snapToGrid/>
              <w:spacing w:after="200" w:line="336" w:lineRule="auto"/>
              <w:jc w:val="center"/>
              <w:textAlignment w:val="auto"/>
              <w:rPr>
                <w:rFonts w:ascii="宋体" w:hAnsi="宋体" w:cs="宋体"/>
                <w:sz w:val="24"/>
                <w:szCs w:val="24"/>
              </w:rPr>
            </w:pPr>
            <w:r>
              <w:rPr>
                <w:rFonts w:hint="eastAsia" w:ascii="宋体" w:hAnsi="宋体" w:cs="宋体"/>
                <w:sz w:val="24"/>
                <w:szCs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640" w:type="dxa"/>
            <w:tcBorders>
              <w:top w:val="single" w:color="auto" w:sz="4" w:space="0"/>
              <w:left w:val="single" w:color="auto" w:sz="4" w:space="0"/>
              <w:right w:val="single" w:color="auto" w:sz="4" w:space="0"/>
            </w:tcBorders>
            <w:vAlign w:val="center"/>
          </w:tcPr>
          <w:p>
            <w:pPr>
              <w:pStyle w:val="21"/>
              <w:keepNext w:val="0"/>
              <w:keepLines w:val="0"/>
              <w:pageBreakBefore w:val="0"/>
              <w:kinsoku/>
              <w:wordWrap/>
              <w:overflowPunct/>
              <w:autoSpaceDE/>
              <w:autoSpaceDN/>
              <w:bidi w:val="0"/>
              <w:adjustRightInd/>
              <w:snapToGrid/>
              <w:spacing w:after="200" w:line="336" w:lineRule="auto"/>
              <w:jc w:val="center"/>
              <w:textAlignment w:val="auto"/>
              <w:rPr>
                <w:rFonts w:hint="eastAsia" w:ascii="宋体" w:hAnsi="宋体" w:eastAsia="宋体" w:cs="宋体"/>
                <w:sz w:val="24"/>
                <w:szCs w:val="24"/>
                <w:lang w:eastAsia="zh-CN"/>
              </w:rPr>
            </w:pPr>
            <w:r>
              <w:rPr>
                <w:rFonts w:hint="eastAsia" w:ascii="宋体" w:hAnsi="宋体"/>
                <w:sz w:val="24"/>
                <w:szCs w:val="24"/>
                <w:lang w:eastAsia="zh-CN"/>
              </w:rPr>
              <w:t>石河子大学医学院第一附属医院在职人员餐厅外包服务项目</w:t>
            </w:r>
          </w:p>
        </w:tc>
        <w:tc>
          <w:tcPr>
            <w:tcW w:w="2610" w:type="dxa"/>
            <w:tcBorders>
              <w:top w:val="single" w:color="auto" w:sz="4" w:space="0"/>
              <w:left w:val="nil"/>
              <w:right w:val="single" w:color="auto" w:sz="4" w:space="0"/>
            </w:tcBorders>
            <w:vAlign w:val="center"/>
          </w:tcPr>
          <w:p>
            <w:pPr>
              <w:pStyle w:val="21"/>
              <w:keepNext w:val="0"/>
              <w:keepLines w:val="0"/>
              <w:pageBreakBefore w:val="0"/>
              <w:kinsoku/>
              <w:wordWrap/>
              <w:overflowPunct/>
              <w:autoSpaceDE/>
              <w:autoSpaceDN/>
              <w:bidi w:val="0"/>
              <w:adjustRightInd/>
              <w:snapToGrid/>
              <w:spacing w:after="200" w:line="336" w:lineRule="auto"/>
              <w:jc w:val="center"/>
              <w:textAlignment w:val="auto"/>
              <w:rPr>
                <w:rFonts w:ascii="宋体" w:hAnsi="宋体" w:cs="宋体"/>
                <w:sz w:val="24"/>
                <w:szCs w:val="24"/>
              </w:rPr>
            </w:pPr>
            <w:r>
              <w:rPr>
                <w:rFonts w:hint="eastAsia" w:ascii="宋体" w:hAnsi="宋体"/>
                <w:sz w:val="24"/>
                <w:szCs w:val="24"/>
                <w:lang w:eastAsia="zh-CN"/>
              </w:rPr>
              <w:t>石河子大学医学院第一附属医院在职人员餐厅外包服务</w:t>
            </w:r>
          </w:p>
        </w:tc>
        <w:tc>
          <w:tcPr>
            <w:tcW w:w="1680" w:type="dxa"/>
            <w:tcBorders>
              <w:top w:val="single" w:color="auto" w:sz="4" w:space="0"/>
              <w:left w:val="nil"/>
              <w:right w:val="single" w:color="auto" w:sz="4" w:space="0"/>
            </w:tcBorders>
            <w:vAlign w:val="center"/>
          </w:tcPr>
          <w:p>
            <w:pPr>
              <w:pStyle w:val="21"/>
              <w:keepNext w:val="0"/>
              <w:keepLines w:val="0"/>
              <w:pageBreakBefore w:val="0"/>
              <w:kinsoku/>
              <w:wordWrap/>
              <w:overflowPunct/>
              <w:autoSpaceDE/>
              <w:autoSpaceDN/>
              <w:bidi w:val="0"/>
              <w:adjustRightInd/>
              <w:snapToGrid/>
              <w:spacing w:after="200" w:line="336" w:lineRule="auto"/>
              <w:jc w:val="center"/>
              <w:textAlignment w:val="auto"/>
              <w:rPr>
                <w:rFonts w:hint="eastAsia" w:ascii="宋体" w:hAnsi="宋体" w:eastAsia="宋体" w:cs="宋体"/>
                <w:sz w:val="24"/>
                <w:szCs w:val="24"/>
                <w:lang w:eastAsia="zh-CN"/>
              </w:rPr>
            </w:pPr>
            <w:r>
              <w:rPr>
                <w:rFonts w:hint="eastAsia" w:ascii="宋体" w:hAnsi="宋体" w:cs="宋体"/>
                <w:sz w:val="24"/>
                <w:szCs w:val="24"/>
                <w:lang w:eastAsia="zh-CN"/>
              </w:rPr>
              <w:t>13000000</w:t>
            </w:r>
          </w:p>
        </w:tc>
        <w:tc>
          <w:tcPr>
            <w:tcW w:w="1680" w:type="dxa"/>
            <w:tcBorders>
              <w:top w:val="single" w:color="auto" w:sz="4" w:space="0"/>
              <w:left w:val="nil"/>
              <w:bottom w:val="single" w:color="auto" w:sz="4" w:space="0"/>
              <w:right w:val="single" w:color="auto" w:sz="4" w:space="0"/>
            </w:tcBorders>
            <w:vAlign w:val="center"/>
          </w:tcPr>
          <w:p>
            <w:pPr>
              <w:pStyle w:val="21"/>
              <w:keepNext w:val="0"/>
              <w:keepLines w:val="0"/>
              <w:pageBreakBefore w:val="0"/>
              <w:kinsoku/>
              <w:wordWrap/>
              <w:overflowPunct/>
              <w:autoSpaceDE/>
              <w:autoSpaceDN/>
              <w:bidi w:val="0"/>
              <w:adjustRightInd/>
              <w:snapToGrid/>
              <w:spacing w:after="200" w:line="336" w:lineRule="auto"/>
              <w:jc w:val="center"/>
              <w:textAlignment w:val="auto"/>
              <w:rPr>
                <w:rFonts w:hint="eastAsia" w:ascii="宋体" w:hAnsi="宋体" w:eastAsia="宋体" w:cs="宋体"/>
                <w:sz w:val="24"/>
                <w:szCs w:val="24"/>
                <w:lang w:eastAsia="zh-CN"/>
              </w:rPr>
            </w:pPr>
            <w:r>
              <w:rPr>
                <w:rFonts w:hint="eastAsia" w:ascii="宋体" w:hAnsi="宋体" w:cs="宋体"/>
                <w:sz w:val="24"/>
                <w:szCs w:val="24"/>
                <w:lang w:eastAsia="zh-CN"/>
              </w:rPr>
              <w:t>13000000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250" w:type="dxa"/>
            <w:gridSpan w:val="2"/>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kinsoku/>
              <w:wordWrap/>
              <w:overflowPunct/>
              <w:autoSpaceDE/>
              <w:autoSpaceDN/>
              <w:bidi w:val="0"/>
              <w:adjustRightInd/>
              <w:snapToGrid/>
              <w:spacing w:after="200" w:line="336" w:lineRule="auto"/>
              <w:jc w:val="center"/>
              <w:textAlignment w:val="auto"/>
              <w:rPr>
                <w:rFonts w:ascii="宋体" w:hAnsi="宋体" w:cs="宋体"/>
                <w:sz w:val="24"/>
                <w:szCs w:val="24"/>
              </w:rPr>
            </w:pPr>
            <w:r>
              <w:rPr>
                <w:rFonts w:hint="eastAsia" w:ascii="宋体" w:hAnsi="宋体" w:cs="宋体"/>
                <w:sz w:val="24"/>
                <w:szCs w:val="24"/>
              </w:rPr>
              <w:t>预算合计(元)/最高限价合计(元)</w:t>
            </w:r>
          </w:p>
        </w:tc>
        <w:tc>
          <w:tcPr>
            <w:tcW w:w="1680" w:type="dxa"/>
            <w:tcBorders>
              <w:top w:val="single" w:color="auto" w:sz="4" w:space="0"/>
              <w:left w:val="nil"/>
              <w:bottom w:val="single" w:color="auto" w:sz="4" w:space="0"/>
              <w:right w:val="single" w:color="auto" w:sz="4" w:space="0"/>
            </w:tcBorders>
            <w:vAlign w:val="center"/>
          </w:tcPr>
          <w:p>
            <w:pPr>
              <w:pStyle w:val="24"/>
              <w:keepNext w:val="0"/>
              <w:keepLines w:val="0"/>
              <w:pageBreakBefore w:val="0"/>
              <w:kinsoku/>
              <w:wordWrap/>
              <w:overflowPunct/>
              <w:autoSpaceDE/>
              <w:autoSpaceDN/>
              <w:bidi w:val="0"/>
              <w:adjustRightInd/>
              <w:snapToGrid/>
              <w:spacing w:after="200" w:line="336" w:lineRule="auto"/>
              <w:jc w:val="center"/>
              <w:textAlignment w:val="auto"/>
              <w:rPr>
                <w:rFonts w:hint="eastAsia" w:ascii="宋体" w:hAnsi="宋体" w:eastAsia="等线" w:cs="宋体"/>
                <w:sz w:val="24"/>
                <w:szCs w:val="24"/>
                <w:lang w:eastAsia="zh-CN"/>
              </w:rPr>
            </w:pPr>
            <w:r>
              <w:rPr>
                <w:rFonts w:hint="eastAsia" w:ascii="宋体" w:hAnsi="宋体" w:cs="宋体"/>
                <w:sz w:val="24"/>
                <w:szCs w:val="24"/>
                <w:lang w:eastAsia="zh-CN"/>
              </w:rPr>
              <w:t>13000000</w:t>
            </w:r>
          </w:p>
        </w:tc>
        <w:tc>
          <w:tcPr>
            <w:tcW w:w="1680" w:type="dxa"/>
            <w:tcBorders>
              <w:top w:val="single" w:color="auto" w:sz="4" w:space="0"/>
              <w:left w:val="nil"/>
              <w:bottom w:val="single" w:color="auto" w:sz="4" w:space="0"/>
              <w:right w:val="single" w:color="auto" w:sz="4" w:space="0"/>
            </w:tcBorders>
            <w:vAlign w:val="center"/>
          </w:tcPr>
          <w:p>
            <w:pPr>
              <w:pStyle w:val="24"/>
              <w:keepNext w:val="0"/>
              <w:keepLines w:val="0"/>
              <w:pageBreakBefore w:val="0"/>
              <w:kinsoku/>
              <w:wordWrap/>
              <w:overflowPunct/>
              <w:autoSpaceDE/>
              <w:autoSpaceDN/>
              <w:bidi w:val="0"/>
              <w:adjustRightInd/>
              <w:snapToGrid/>
              <w:spacing w:after="200" w:line="336" w:lineRule="auto"/>
              <w:jc w:val="center"/>
              <w:textAlignment w:val="auto"/>
              <w:rPr>
                <w:rFonts w:hint="eastAsia" w:ascii="宋体" w:hAnsi="宋体" w:eastAsia="等线" w:cs="宋体"/>
                <w:sz w:val="24"/>
                <w:szCs w:val="24"/>
                <w:lang w:eastAsia="zh-CN"/>
              </w:rPr>
            </w:pPr>
            <w:r>
              <w:rPr>
                <w:rFonts w:hint="eastAsia" w:ascii="宋体" w:hAnsi="宋体" w:cs="宋体"/>
                <w:sz w:val="24"/>
                <w:szCs w:val="24"/>
                <w:lang w:eastAsia="zh-CN"/>
              </w:rPr>
              <w:t>13000000</w:t>
            </w:r>
          </w:p>
        </w:tc>
      </w:tr>
    </w:tbl>
    <w:p>
      <w:pPr>
        <w:pStyle w:val="20"/>
        <w:keepNext w:val="0"/>
        <w:keepLines w:val="0"/>
        <w:pageBreakBefore w:val="0"/>
        <w:kinsoku/>
        <w:wordWrap/>
        <w:overflowPunct/>
        <w:autoSpaceDE/>
        <w:autoSpaceDN/>
        <w:bidi w:val="0"/>
        <w:adjustRightInd/>
        <w:snapToGrid/>
        <w:spacing w:after="200" w:line="336" w:lineRule="auto"/>
        <w:textAlignment w:val="auto"/>
        <w:rPr>
          <w:rFonts w:ascii="宋体" w:hAnsi="宋体" w:cs="宋体"/>
          <w:color w:val="auto"/>
          <w:sz w:val="24"/>
          <w:u w:val="single"/>
        </w:rPr>
      </w:pPr>
      <w:r>
        <w:rPr>
          <w:rFonts w:hint="eastAsia" w:ascii="宋体" w:hAnsi="宋体" w:cs="宋体"/>
          <w:sz w:val="24"/>
        </w:rPr>
        <w:t>6.合同履行期限</w:t>
      </w:r>
      <w:r>
        <w:rPr>
          <w:rFonts w:hint="eastAsia" w:ascii="宋体" w:hAnsi="宋体" w:cs="宋体"/>
          <w:color w:val="auto"/>
          <w:sz w:val="24"/>
        </w:rPr>
        <w:t>：</w:t>
      </w:r>
      <w:r>
        <w:rPr>
          <w:rFonts w:hint="eastAsia" w:ascii="宋体" w:hAnsi="宋体" w:cs="宋体"/>
          <w:color w:val="auto"/>
          <w:sz w:val="24"/>
          <w:u w:val="single"/>
        </w:rPr>
        <w:t>自合同签订之日起</w:t>
      </w:r>
      <w:r>
        <w:rPr>
          <w:rFonts w:hint="eastAsia" w:ascii="宋体" w:hAnsi="宋体" w:cs="宋体"/>
          <w:color w:val="auto"/>
          <w:sz w:val="24"/>
          <w:u w:val="single"/>
          <w:lang w:eastAsia="zh-CN"/>
        </w:rPr>
        <w:t>一</w:t>
      </w:r>
      <w:r>
        <w:rPr>
          <w:rFonts w:hint="eastAsia" w:ascii="宋体" w:hAnsi="宋体" w:cs="宋体"/>
          <w:color w:val="auto"/>
          <w:sz w:val="24"/>
          <w:u w:val="single"/>
        </w:rPr>
        <w:t>年</w:t>
      </w:r>
    </w:p>
    <w:p>
      <w:pPr>
        <w:pStyle w:val="21"/>
        <w:keepNext w:val="0"/>
        <w:keepLines w:val="0"/>
        <w:pageBreakBefore w:val="0"/>
        <w:widowControl/>
        <w:kinsoku/>
        <w:wordWrap/>
        <w:overflowPunct/>
        <w:autoSpaceDE/>
        <w:autoSpaceDN/>
        <w:bidi w:val="0"/>
        <w:adjustRightInd/>
        <w:snapToGrid/>
        <w:spacing w:after="200" w:line="336" w:lineRule="auto"/>
        <w:jc w:val="left"/>
        <w:textAlignment w:val="auto"/>
        <w:rPr>
          <w:rFonts w:ascii="宋体" w:hAnsi="宋体" w:cs="宋体"/>
          <w:sz w:val="24"/>
          <w:szCs w:val="24"/>
        </w:rPr>
      </w:pPr>
      <w:r>
        <w:rPr>
          <w:rFonts w:hint="eastAsia" w:ascii="宋体" w:hAnsi="宋体" w:cs="宋体"/>
          <w:sz w:val="24"/>
          <w:szCs w:val="24"/>
        </w:rPr>
        <w:t>7.本项目不接受联合体。</w:t>
      </w:r>
    </w:p>
    <w:p>
      <w:pPr>
        <w:pStyle w:val="21"/>
        <w:keepNext w:val="0"/>
        <w:keepLines w:val="0"/>
        <w:pageBreakBefore w:val="0"/>
        <w:widowControl/>
        <w:kinsoku/>
        <w:wordWrap/>
        <w:overflowPunct/>
        <w:autoSpaceDE/>
        <w:autoSpaceDN/>
        <w:bidi w:val="0"/>
        <w:adjustRightInd/>
        <w:snapToGrid/>
        <w:spacing w:after="200" w:line="336" w:lineRule="auto"/>
        <w:jc w:val="left"/>
        <w:textAlignment w:val="auto"/>
        <w:rPr>
          <w:rFonts w:ascii="宋体" w:hAnsi="宋体" w:cs="宋体"/>
          <w:sz w:val="24"/>
          <w:szCs w:val="24"/>
        </w:rPr>
      </w:pPr>
      <w:r>
        <w:rPr>
          <w:rFonts w:hint="eastAsia" w:ascii="宋体" w:hAnsi="宋体" w:cs="宋体"/>
          <w:sz w:val="24"/>
          <w:szCs w:val="24"/>
        </w:rPr>
        <w:t>二、申请人的资格要求：</w:t>
      </w:r>
    </w:p>
    <w:p>
      <w:pPr>
        <w:pStyle w:val="20"/>
        <w:keepNext w:val="0"/>
        <w:keepLines w:val="0"/>
        <w:pageBreakBefore w:val="0"/>
        <w:kinsoku/>
        <w:wordWrap/>
        <w:overflowPunct/>
        <w:autoSpaceDE/>
        <w:autoSpaceDN/>
        <w:bidi w:val="0"/>
        <w:adjustRightInd/>
        <w:snapToGrid/>
        <w:spacing w:after="200" w:line="336" w:lineRule="auto"/>
        <w:textAlignment w:val="auto"/>
        <w:rPr>
          <w:sz w:val="24"/>
        </w:rPr>
      </w:pPr>
      <w:r>
        <w:rPr>
          <w:rFonts w:hint="eastAsia" w:ascii="宋体" w:hAnsi="宋体" w:cs="宋体"/>
          <w:kern w:val="0"/>
          <w:sz w:val="24"/>
        </w:rPr>
        <w:t>1.</w:t>
      </w:r>
      <w:r>
        <w:rPr>
          <w:sz w:val="24"/>
        </w:rPr>
        <w:t>符合《中华人民共和国政府采购法》第二十二条的规定外还需满足以下条件：</w:t>
      </w:r>
    </w:p>
    <w:p>
      <w:pPr>
        <w:pStyle w:val="21"/>
        <w:keepNext w:val="0"/>
        <w:keepLines w:val="0"/>
        <w:pageBreakBefore w:val="0"/>
        <w:widowControl/>
        <w:kinsoku/>
        <w:wordWrap/>
        <w:overflowPunct/>
        <w:autoSpaceDE/>
        <w:autoSpaceDN/>
        <w:bidi w:val="0"/>
        <w:adjustRightInd/>
        <w:snapToGrid/>
        <w:spacing w:after="200" w:line="336" w:lineRule="auto"/>
        <w:jc w:val="left"/>
        <w:textAlignment w:val="auto"/>
        <w:rPr>
          <w:rFonts w:hint="eastAsia" w:ascii="宋体" w:hAnsi="宋体" w:cs="宋体"/>
          <w:kern w:val="0"/>
          <w:sz w:val="24"/>
          <w:szCs w:val="24"/>
        </w:rPr>
      </w:pPr>
      <w:r>
        <w:rPr>
          <w:rFonts w:hint="eastAsia" w:ascii="宋体" w:hAnsi="宋体" w:cs="宋体"/>
          <w:kern w:val="0"/>
          <w:sz w:val="24"/>
          <w:szCs w:val="24"/>
        </w:rPr>
        <w:t>（1）单位负责人为同一人或者存在直接控股、管理关系的不同供应商，不得参加同一合同项下的政府采购活动。</w:t>
      </w:r>
    </w:p>
    <w:p>
      <w:pPr>
        <w:pStyle w:val="21"/>
        <w:keepNext w:val="0"/>
        <w:keepLines w:val="0"/>
        <w:pageBreakBefore w:val="0"/>
        <w:widowControl/>
        <w:kinsoku/>
        <w:wordWrap/>
        <w:overflowPunct/>
        <w:autoSpaceDE/>
        <w:autoSpaceDN/>
        <w:bidi w:val="0"/>
        <w:adjustRightInd/>
        <w:snapToGrid/>
        <w:spacing w:after="200" w:line="336" w:lineRule="auto"/>
        <w:jc w:val="left"/>
        <w:textAlignment w:val="auto"/>
        <w:rPr>
          <w:rFonts w:hint="eastAsia" w:ascii="宋体" w:hAnsi="宋体" w:cs="宋体"/>
          <w:kern w:val="0"/>
          <w:sz w:val="24"/>
          <w:szCs w:val="24"/>
        </w:rPr>
      </w:pPr>
      <w:r>
        <w:rPr>
          <w:rFonts w:hint="eastAsia" w:ascii="宋体" w:hAnsi="宋体" w:cs="宋体"/>
          <w:kern w:val="0"/>
          <w:sz w:val="24"/>
          <w:szCs w:val="24"/>
        </w:rPr>
        <w:t>（2）除单一来源采购项目外，为采购项目提供整体设计、规范编制或者项目管理、监理、检测等服务的供应商，不得再参加该采购项目的其他采购活动；</w:t>
      </w:r>
    </w:p>
    <w:p>
      <w:pPr>
        <w:pStyle w:val="21"/>
        <w:keepNext w:val="0"/>
        <w:keepLines w:val="0"/>
        <w:pageBreakBefore w:val="0"/>
        <w:widowControl/>
        <w:kinsoku/>
        <w:wordWrap/>
        <w:overflowPunct/>
        <w:autoSpaceDE/>
        <w:autoSpaceDN/>
        <w:bidi w:val="0"/>
        <w:adjustRightInd/>
        <w:snapToGrid/>
        <w:spacing w:after="200" w:line="336" w:lineRule="auto"/>
        <w:jc w:val="left"/>
        <w:textAlignment w:val="auto"/>
        <w:rPr>
          <w:rFonts w:hint="eastAsia" w:ascii="宋体" w:hAnsi="宋体" w:cs="宋体"/>
          <w:kern w:val="0"/>
          <w:sz w:val="24"/>
          <w:szCs w:val="24"/>
        </w:rPr>
      </w:pPr>
      <w:r>
        <w:rPr>
          <w:rFonts w:hint="eastAsia" w:ascii="宋体" w:hAnsi="宋体" w:cs="宋体"/>
          <w:kern w:val="0"/>
          <w:sz w:val="24"/>
          <w:szCs w:val="24"/>
        </w:rPr>
        <w:t>（3）投标单位须在“信用中国”（www.creditchina.gov.cn）和中国政府采购网（www.ccgp.gov.cn ）网站上未被列入失信被执行人、重大税收违法案件当事人名单以及政府采购严重违法失信行为记录名单里；</w:t>
      </w:r>
    </w:p>
    <w:p>
      <w:pPr>
        <w:pStyle w:val="21"/>
        <w:keepNext w:val="0"/>
        <w:keepLines w:val="0"/>
        <w:pageBreakBefore w:val="0"/>
        <w:widowControl/>
        <w:kinsoku/>
        <w:wordWrap/>
        <w:overflowPunct/>
        <w:autoSpaceDE/>
        <w:autoSpaceDN/>
        <w:bidi w:val="0"/>
        <w:adjustRightInd/>
        <w:snapToGrid/>
        <w:spacing w:after="200" w:line="336" w:lineRule="auto"/>
        <w:jc w:val="left"/>
        <w:textAlignment w:val="auto"/>
        <w:rPr>
          <w:rFonts w:hint="eastAsia" w:ascii="宋体" w:hAnsi="宋体" w:cs="宋体"/>
          <w:kern w:val="0"/>
          <w:sz w:val="24"/>
          <w:szCs w:val="24"/>
        </w:rPr>
      </w:pPr>
      <w:r>
        <w:rPr>
          <w:rFonts w:hint="eastAsia" w:ascii="宋体" w:hAnsi="宋体" w:cs="宋体"/>
          <w:kern w:val="0"/>
          <w:sz w:val="24"/>
          <w:szCs w:val="24"/>
        </w:rPr>
        <w:t>2.采购项目需要落实的政府采购政策：</w:t>
      </w:r>
      <w:r>
        <w:rPr>
          <w:rFonts w:hint="eastAsia" w:ascii="宋体" w:hAnsi="宋体" w:cs="宋体"/>
          <w:kern w:val="0"/>
          <w:sz w:val="24"/>
          <w:szCs w:val="24"/>
          <w:u w:val="single"/>
        </w:rPr>
        <w:t>（1）对小微企业给予</w:t>
      </w:r>
      <w:r>
        <w:rPr>
          <w:rFonts w:hint="eastAsia" w:ascii="宋体" w:hAnsi="宋体" w:cs="宋体"/>
          <w:kern w:val="0"/>
          <w:sz w:val="24"/>
          <w:szCs w:val="24"/>
          <w:u w:val="single"/>
          <w:lang w:val="en-US" w:eastAsia="zh-CN"/>
        </w:rPr>
        <w:t>6</w:t>
      </w:r>
      <w:r>
        <w:rPr>
          <w:rFonts w:hint="eastAsia" w:ascii="宋体" w:hAnsi="宋体" w:cs="宋体"/>
          <w:kern w:val="0"/>
          <w:sz w:val="24"/>
          <w:szCs w:val="24"/>
          <w:u w:val="single"/>
        </w:rPr>
        <w:t>%的价格扣除，扣除后的价格参与评审。（2）财政部、国家发展改革委、生态环境部、市场监管总局《关于调整优化节能产品、环境标志产品政府采购执行机制的通知》（财库[2019]9号文）（3）进口产品：《政府采购进口产品管理办法》（财库【2007】119号）；《关于政府采购进口产品管理有关问题的通知》（财库【2008】248号）（4）扶持中小企业、残疾人福利性单位、监狱企业政策：《政府采购促进中小企业发展管理办法》的通知（兵财库【2021】7号、财库【2020】46号）、关于促进残疾人就业政府采购政策的通知（财库【2017】141号）、财政部、司法部关于政府采购支持监狱企业发展有关问题的通知。（财库【2014】68号）（5）《财政部等三部门联合印发商品包装和快递包装政府采购需求标准（试行）》（财办库【2</w:t>
      </w:r>
      <w:r>
        <w:rPr>
          <w:rFonts w:hint="eastAsia" w:ascii="宋体" w:hAnsi="宋体" w:eastAsia="宋体" w:cs="宋体"/>
          <w:kern w:val="0"/>
          <w:sz w:val="24"/>
          <w:szCs w:val="24"/>
          <w:u w:val="single"/>
          <w:lang w:val="en-US" w:eastAsia="zh-CN"/>
        </w:rPr>
        <w:t>0</w:t>
      </w:r>
      <w:r>
        <w:rPr>
          <w:rFonts w:hint="eastAsia" w:ascii="宋体" w:hAnsi="宋体" w:cs="宋体"/>
          <w:kern w:val="0"/>
          <w:sz w:val="24"/>
          <w:szCs w:val="24"/>
          <w:u w:val="single"/>
        </w:rPr>
        <w:t>20】123号）</w:t>
      </w:r>
      <w:r>
        <w:rPr>
          <w:rFonts w:hint="eastAsia" w:ascii="宋体" w:hAnsi="宋体" w:cs="宋体"/>
          <w:kern w:val="0"/>
          <w:sz w:val="24"/>
          <w:szCs w:val="24"/>
        </w:rPr>
        <w:t>（中小企业优惠、监狱企业、节能产品、环境标志产品等）。</w:t>
      </w:r>
    </w:p>
    <w:p>
      <w:pPr>
        <w:pStyle w:val="22"/>
        <w:keepNext w:val="0"/>
        <w:keepLines w:val="0"/>
        <w:pageBreakBefore w:val="0"/>
        <w:kinsoku/>
        <w:wordWrap/>
        <w:overflowPunct/>
        <w:autoSpaceDE/>
        <w:autoSpaceDN/>
        <w:bidi w:val="0"/>
        <w:adjustRightInd/>
        <w:snapToGrid/>
        <w:spacing w:line="336" w:lineRule="auto"/>
        <w:ind w:left="-1"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3.本项目的特定资格要求：</w:t>
      </w:r>
      <w:r>
        <w:rPr>
          <w:rFonts w:hint="eastAsia" w:ascii="宋体" w:hAnsi="宋体" w:cs="宋体"/>
          <w:kern w:val="2"/>
          <w:sz w:val="24"/>
          <w:szCs w:val="24"/>
          <w:u w:val="single"/>
          <w:lang w:val="en-US" w:eastAsia="zh-CN" w:bidi="ar-SA"/>
        </w:rPr>
        <w:t>（1）</w:t>
      </w:r>
      <w:r>
        <w:rPr>
          <w:rFonts w:hint="eastAsia" w:ascii="宋体" w:hAnsi="宋体" w:eastAsia="宋体" w:cs="宋体"/>
          <w:kern w:val="2"/>
          <w:sz w:val="24"/>
          <w:szCs w:val="24"/>
          <w:u w:val="single"/>
          <w:lang w:val="en-US" w:eastAsia="zh-CN" w:bidi="ar-SA"/>
        </w:rPr>
        <w:t>投标人具有有效的《餐饮服务许可证》或《食品经营许可证》。（2）本项目为中小企业预留资金项目，参加投标的投标供应商需符合财政部、工业和信息化部《关于印发&lt;政府采购促进中小企业发展管理办法&gt;的通知》（财库【2020】46号）对中小企业的要求，并提供《中小企业声明函》。（</w:t>
      </w:r>
      <w:r>
        <w:rPr>
          <w:rFonts w:hint="eastAsia" w:ascii="宋体" w:hAnsi="宋体" w:cs="宋体"/>
          <w:kern w:val="2"/>
          <w:sz w:val="24"/>
          <w:szCs w:val="24"/>
          <w:u w:val="single"/>
          <w:lang w:val="en-US" w:eastAsia="zh-CN" w:bidi="ar-SA"/>
        </w:rPr>
        <w:t>本办法所称</w:t>
      </w:r>
      <w:r>
        <w:rPr>
          <w:rFonts w:hint="eastAsia" w:ascii="宋体" w:hAnsi="宋体" w:eastAsia="宋体" w:cs="宋体"/>
          <w:kern w:val="2"/>
          <w:sz w:val="24"/>
          <w:szCs w:val="24"/>
          <w:u w:val="single"/>
          <w:lang w:val="en-US" w:eastAsia="zh-CN" w:bidi="ar-SA"/>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hint="eastAsia" w:ascii="Times New Roman" w:hAnsi="Times New Roman"/>
          <w:sz w:val="24"/>
          <w:u w:val="single"/>
          <w:lang w:val="hr-HR" w:eastAsia="zh-CN"/>
        </w:rPr>
        <w:t>若供应商为监狱企业、残疾人福利企业，提供相应证明材料后享受</w:t>
      </w:r>
      <w:r>
        <w:rPr>
          <w:rFonts w:hint="eastAsia" w:ascii="Times New Roman" w:hAnsi="Times New Roman"/>
          <w:sz w:val="24"/>
          <w:u w:val="single"/>
          <w:lang w:val="en-US" w:eastAsia="zh-CN"/>
        </w:rPr>
        <w:t>中小</w:t>
      </w:r>
      <w:r>
        <w:rPr>
          <w:rFonts w:hint="eastAsia" w:ascii="Times New Roman" w:hAnsi="Times New Roman"/>
          <w:sz w:val="24"/>
          <w:u w:val="single"/>
          <w:lang w:val="hr-HR" w:eastAsia="zh-CN"/>
        </w:rPr>
        <w:t>企业同等政策）</w:t>
      </w:r>
      <w:r>
        <w:rPr>
          <w:rFonts w:hint="eastAsia" w:ascii="Times New Roman" w:hAnsi="Times New Roman"/>
          <w:sz w:val="24"/>
          <w:u w:val="single"/>
          <w:lang w:val="hr-HR"/>
        </w:rPr>
        <w:t>。</w:t>
      </w:r>
    </w:p>
    <w:p>
      <w:pPr>
        <w:pStyle w:val="20"/>
        <w:keepNext w:val="0"/>
        <w:keepLines w:val="0"/>
        <w:pageBreakBefore w:val="0"/>
        <w:kinsoku/>
        <w:wordWrap/>
        <w:overflowPunct/>
        <w:autoSpaceDE/>
        <w:autoSpaceDN/>
        <w:bidi w:val="0"/>
        <w:adjustRightInd/>
        <w:snapToGrid/>
        <w:spacing w:after="200" w:line="336"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三、获取采购文件</w:t>
      </w:r>
    </w:p>
    <w:p>
      <w:pPr>
        <w:pStyle w:val="21"/>
        <w:keepNext w:val="0"/>
        <w:keepLines w:val="0"/>
        <w:pageBreakBefore w:val="0"/>
        <w:widowControl/>
        <w:kinsoku/>
        <w:wordWrap/>
        <w:overflowPunct/>
        <w:autoSpaceDE/>
        <w:autoSpaceDN/>
        <w:bidi w:val="0"/>
        <w:adjustRightInd/>
        <w:snapToGrid/>
        <w:spacing w:after="200" w:line="336" w:lineRule="auto"/>
        <w:ind w:firstLine="480"/>
        <w:jc w:val="left"/>
        <w:textAlignment w:val="auto"/>
        <w:rPr>
          <w:rFonts w:ascii="宋体" w:hAnsi="宋体" w:cs="宋体"/>
          <w:sz w:val="24"/>
          <w:szCs w:val="24"/>
        </w:rPr>
      </w:pPr>
      <w:r>
        <w:rPr>
          <w:rFonts w:hint="eastAsia" w:ascii="宋体" w:hAnsi="宋体" w:cs="宋体"/>
          <w:sz w:val="24"/>
          <w:szCs w:val="24"/>
        </w:rPr>
        <w:t>时间：202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25</w:t>
      </w:r>
      <w:r>
        <w:rPr>
          <w:rFonts w:hint="eastAsia" w:ascii="宋体" w:hAnsi="宋体" w:cs="宋体"/>
          <w:sz w:val="24"/>
          <w:szCs w:val="24"/>
        </w:rPr>
        <w:t>日00时00分至202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30</w:t>
      </w:r>
      <w:r>
        <w:rPr>
          <w:rFonts w:hint="eastAsia" w:ascii="宋体" w:hAnsi="宋体" w:cs="宋体"/>
          <w:sz w:val="24"/>
          <w:szCs w:val="24"/>
        </w:rPr>
        <w:t>日</w:t>
      </w:r>
      <w:r>
        <w:rPr>
          <w:rFonts w:hint="eastAsia" w:ascii="宋体" w:hAnsi="宋体" w:cs="宋体"/>
          <w:sz w:val="24"/>
          <w:szCs w:val="24"/>
          <w:lang w:val="en-US" w:eastAsia="zh-CN"/>
        </w:rPr>
        <w:t>00</w:t>
      </w:r>
      <w:r>
        <w:rPr>
          <w:rFonts w:hint="eastAsia" w:ascii="宋体" w:hAnsi="宋体" w:cs="宋体"/>
          <w:sz w:val="24"/>
          <w:szCs w:val="24"/>
        </w:rPr>
        <w:t>时</w:t>
      </w:r>
      <w:r>
        <w:rPr>
          <w:rFonts w:hint="eastAsia" w:ascii="宋体" w:hAnsi="宋体" w:cs="宋体"/>
          <w:sz w:val="24"/>
          <w:szCs w:val="24"/>
          <w:lang w:val="en-US" w:eastAsia="zh-CN"/>
        </w:rPr>
        <w:t>00</w:t>
      </w:r>
      <w:r>
        <w:rPr>
          <w:rFonts w:hint="eastAsia" w:ascii="宋体" w:hAnsi="宋体" w:cs="宋体"/>
          <w:sz w:val="24"/>
          <w:szCs w:val="24"/>
        </w:rPr>
        <w:t>分（招标文件的发售期限自开始之日起不得少于5个工作日）</w:t>
      </w:r>
    </w:p>
    <w:p>
      <w:pPr>
        <w:pStyle w:val="21"/>
        <w:keepNext w:val="0"/>
        <w:keepLines w:val="0"/>
        <w:pageBreakBefore w:val="0"/>
        <w:widowControl/>
        <w:kinsoku/>
        <w:wordWrap/>
        <w:overflowPunct/>
        <w:autoSpaceDE/>
        <w:autoSpaceDN/>
        <w:bidi w:val="0"/>
        <w:adjustRightInd/>
        <w:snapToGrid/>
        <w:spacing w:after="200" w:line="336" w:lineRule="auto"/>
        <w:ind w:firstLine="480"/>
        <w:jc w:val="left"/>
        <w:textAlignment w:val="auto"/>
        <w:rPr>
          <w:rFonts w:ascii="宋体" w:hAnsi="宋体" w:cs="宋体"/>
          <w:sz w:val="24"/>
          <w:szCs w:val="24"/>
        </w:rPr>
      </w:pPr>
      <w:r>
        <w:rPr>
          <w:rFonts w:hint="eastAsia" w:ascii="宋体" w:hAnsi="宋体" w:cs="宋体"/>
          <w:sz w:val="24"/>
          <w:szCs w:val="24"/>
        </w:rPr>
        <w:t>地点：“政采云”平台（https://www.zcygov.cn/）</w:t>
      </w:r>
    </w:p>
    <w:p>
      <w:pPr>
        <w:pStyle w:val="21"/>
        <w:keepNext w:val="0"/>
        <w:keepLines w:val="0"/>
        <w:pageBreakBefore w:val="0"/>
        <w:widowControl/>
        <w:kinsoku/>
        <w:wordWrap/>
        <w:overflowPunct/>
        <w:autoSpaceDE/>
        <w:autoSpaceDN/>
        <w:bidi w:val="0"/>
        <w:adjustRightInd/>
        <w:snapToGrid/>
        <w:spacing w:after="200" w:line="336" w:lineRule="auto"/>
        <w:ind w:firstLine="480"/>
        <w:jc w:val="left"/>
        <w:textAlignment w:val="auto"/>
        <w:rPr>
          <w:rFonts w:ascii="宋体" w:hAnsi="宋体" w:cs="宋体"/>
          <w:sz w:val="24"/>
          <w:szCs w:val="24"/>
        </w:rPr>
      </w:pPr>
      <w:r>
        <w:rPr>
          <w:rFonts w:hint="eastAsia" w:ascii="宋体" w:hAnsi="宋体" w:cs="宋体"/>
          <w:sz w:val="24"/>
          <w:szCs w:val="24"/>
        </w:rPr>
        <w:t>方式：投标人登陆“政采云”平台在线申请获取采购文件（进入“项目采购”应用，在获取采购文件菜单中选择项目，申请获取采购文件）。</w:t>
      </w:r>
    </w:p>
    <w:p>
      <w:pPr>
        <w:pStyle w:val="21"/>
        <w:keepNext w:val="0"/>
        <w:keepLines w:val="0"/>
        <w:pageBreakBefore w:val="0"/>
        <w:widowControl/>
        <w:numPr>
          <w:ilvl w:val="0"/>
          <w:numId w:val="1"/>
        </w:numPr>
        <w:kinsoku/>
        <w:wordWrap/>
        <w:overflowPunct/>
        <w:autoSpaceDE/>
        <w:autoSpaceDN/>
        <w:bidi w:val="0"/>
        <w:adjustRightInd/>
        <w:snapToGrid/>
        <w:spacing w:after="200" w:line="336" w:lineRule="auto"/>
        <w:jc w:val="left"/>
        <w:textAlignment w:val="auto"/>
        <w:rPr>
          <w:rFonts w:ascii="宋体" w:hAnsi="宋体" w:cs="宋体"/>
          <w:kern w:val="0"/>
          <w:sz w:val="24"/>
          <w:szCs w:val="24"/>
        </w:rPr>
      </w:pPr>
      <w:r>
        <w:rPr>
          <w:rFonts w:hint="eastAsia" w:ascii="宋体" w:hAnsi="宋体" w:cs="宋体"/>
          <w:kern w:val="0"/>
          <w:sz w:val="24"/>
          <w:szCs w:val="24"/>
        </w:rPr>
        <w:t>递交投标文件截止时间及开标地点</w:t>
      </w:r>
    </w:p>
    <w:p>
      <w:pPr>
        <w:pStyle w:val="21"/>
        <w:keepNext w:val="0"/>
        <w:keepLines w:val="0"/>
        <w:pageBreakBefore w:val="0"/>
        <w:widowControl/>
        <w:kinsoku/>
        <w:wordWrap/>
        <w:overflowPunct/>
        <w:autoSpaceDE/>
        <w:autoSpaceDN/>
        <w:bidi w:val="0"/>
        <w:adjustRightInd/>
        <w:snapToGrid/>
        <w:spacing w:after="200" w:line="336" w:lineRule="auto"/>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1、投标截止时间: 20</w:t>
      </w:r>
      <w:r>
        <w:rPr>
          <w:rFonts w:hint="eastAsia" w:ascii="宋体" w:hAnsi="宋体" w:cs="宋体"/>
          <w:kern w:val="0"/>
          <w:sz w:val="24"/>
          <w:szCs w:val="24"/>
          <w:lang w:val="en-US" w:eastAsia="zh-CN"/>
        </w:rPr>
        <w:t>22</w:t>
      </w:r>
      <w:r>
        <w:rPr>
          <w:rFonts w:hint="eastAsia" w:ascii="宋体" w:hAnsi="宋体" w:cs="宋体"/>
          <w:kern w:val="0"/>
          <w:sz w:val="24"/>
          <w:szCs w:val="24"/>
        </w:rPr>
        <w:t>年</w:t>
      </w:r>
      <w:r>
        <w:rPr>
          <w:rFonts w:hint="eastAsia" w:ascii="宋体" w:hAnsi="宋体" w:cs="宋体"/>
          <w:kern w:val="0"/>
          <w:sz w:val="24"/>
          <w:szCs w:val="24"/>
          <w:lang w:val="en-US" w:eastAsia="zh-CN"/>
        </w:rPr>
        <w:t>2</w:t>
      </w:r>
      <w:r>
        <w:rPr>
          <w:rFonts w:hint="eastAsia" w:ascii="宋体" w:hAnsi="宋体" w:cs="宋体"/>
          <w:kern w:val="0"/>
          <w:sz w:val="24"/>
          <w:szCs w:val="24"/>
        </w:rPr>
        <w:t>月</w:t>
      </w:r>
      <w:r>
        <w:rPr>
          <w:rFonts w:hint="eastAsia" w:ascii="宋体" w:hAnsi="宋体" w:cs="宋体"/>
          <w:kern w:val="0"/>
          <w:sz w:val="24"/>
          <w:szCs w:val="24"/>
          <w:lang w:val="en-US" w:eastAsia="zh-CN"/>
        </w:rPr>
        <w:t>15</w:t>
      </w:r>
      <w:r>
        <w:rPr>
          <w:rFonts w:hint="eastAsia" w:ascii="宋体" w:hAnsi="宋体" w:cs="宋体"/>
          <w:kern w:val="0"/>
          <w:sz w:val="24"/>
          <w:szCs w:val="24"/>
        </w:rPr>
        <w:t>日</w:t>
      </w:r>
      <w:r>
        <w:rPr>
          <w:rFonts w:hint="eastAsia" w:ascii="宋体" w:hAnsi="宋体" w:cs="宋体"/>
          <w:kern w:val="0"/>
          <w:sz w:val="24"/>
          <w:szCs w:val="24"/>
          <w:lang w:val="en-US" w:eastAsia="zh-CN"/>
        </w:rPr>
        <w:t>10时30</w:t>
      </w:r>
      <w:r>
        <w:rPr>
          <w:rFonts w:hint="eastAsia" w:ascii="宋体" w:hAnsi="宋体" w:cs="宋体"/>
          <w:kern w:val="0"/>
          <w:sz w:val="24"/>
          <w:szCs w:val="24"/>
        </w:rPr>
        <w:t>分(北京时间)投标人应在此之前将加密的投标文件上传至</w:t>
      </w:r>
      <w:r>
        <w:rPr>
          <w:rFonts w:hint="eastAsia" w:ascii="宋体" w:hAnsi="宋体" w:cs="宋体"/>
          <w:sz w:val="24"/>
          <w:szCs w:val="24"/>
        </w:rPr>
        <w:t>“政采云”平台（https://www.zcygov.cn/）</w:t>
      </w:r>
      <w:r>
        <w:rPr>
          <w:rFonts w:hint="eastAsia" w:ascii="宋体" w:hAnsi="宋体" w:cs="宋体"/>
          <w:kern w:val="0"/>
          <w:sz w:val="24"/>
          <w:szCs w:val="24"/>
        </w:rPr>
        <w:t>(逾期未上传的或不符合规定的投标文件将被拒绝接收)。</w:t>
      </w:r>
      <w:bookmarkStart w:id="120" w:name="_GoBack"/>
      <w:bookmarkEnd w:id="120"/>
    </w:p>
    <w:p>
      <w:pPr>
        <w:pStyle w:val="21"/>
        <w:keepNext w:val="0"/>
        <w:keepLines w:val="0"/>
        <w:pageBreakBefore w:val="0"/>
        <w:widowControl/>
        <w:kinsoku/>
        <w:wordWrap/>
        <w:overflowPunct/>
        <w:autoSpaceDE/>
        <w:autoSpaceDN/>
        <w:bidi w:val="0"/>
        <w:adjustRightInd/>
        <w:snapToGrid/>
        <w:spacing w:after="200" w:line="336" w:lineRule="auto"/>
        <w:jc w:val="left"/>
        <w:textAlignment w:val="auto"/>
        <w:rPr>
          <w:rFonts w:ascii="宋体" w:hAnsi="宋体" w:cs="宋体"/>
          <w:kern w:val="0"/>
          <w:sz w:val="24"/>
          <w:szCs w:val="24"/>
        </w:rPr>
      </w:pPr>
      <w:r>
        <w:rPr>
          <w:rFonts w:hint="eastAsia" w:ascii="宋体" w:hAnsi="宋体" w:cs="宋体"/>
          <w:kern w:val="0"/>
          <w:sz w:val="24"/>
          <w:szCs w:val="24"/>
        </w:rPr>
        <w:t xml:space="preserve">    2、开标时间: 20</w:t>
      </w:r>
      <w:r>
        <w:rPr>
          <w:rFonts w:hint="eastAsia" w:ascii="宋体" w:hAnsi="宋体" w:cs="宋体"/>
          <w:kern w:val="0"/>
          <w:sz w:val="24"/>
          <w:szCs w:val="24"/>
          <w:lang w:val="en-US" w:eastAsia="zh-CN"/>
        </w:rPr>
        <w:t>22</w:t>
      </w:r>
      <w:r>
        <w:rPr>
          <w:rFonts w:hint="eastAsia" w:ascii="宋体" w:hAnsi="宋体" w:cs="宋体"/>
          <w:kern w:val="0"/>
          <w:sz w:val="24"/>
          <w:szCs w:val="24"/>
        </w:rPr>
        <w:t>年</w:t>
      </w:r>
      <w:r>
        <w:rPr>
          <w:rFonts w:hint="eastAsia" w:ascii="宋体" w:hAnsi="宋体" w:cs="宋体"/>
          <w:kern w:val="0"/>
          <w:sz w:val="24"/>
          <w:szCs w:val="24"/>
          <w:lang w:val="en-US" w:eastAsia="zh-CN"/>
        </w:rPr>
        <w:t>2</w:t>
      </w:r>
      <w:r>
        <w:rPr>
          <w:rFonts w:hint="eastAsia" w:ascii="宋体" w:hAnsi="宋体" w:cs="宋体"/>
          <w:kern w:val="0"/>
          <w:sz w:val="24"/>
          <w:szCs w:val="24"/>
        </w:rPr>
        <w:t>月</w:t>
      </w:r>
      <w:r>
        <w:rPr>
          <w:rFonts w:hint="eastAsia" w:ascii="宋体" w:hAnsi="宋体" w:cs="宋体"/>
          <w:kern w:val="0"/>
          <w:sz w:val="24"/>
          <w:szCs w:val="24"/>
          <w:lang w:val="en-US" w:eastAsia="zh-CN"/>
        </w:rPr>
        <w:t>15</w:t>
      </w:r>
      <w:r>
        <w:rPr>
          <w:rFonts w:hint="eastAsia" w:ascii="宋体" w:hAnsi="宋体" w:cs="宋体"/>
          <w:kern w:val="0"/>
          <w:sz w:val="24"/>
          <w:szCs w:val="24"/>
        </w:rPr>
        <w:t>日</w:t>
      </w:r>
      <w:r>
        <w:rPr>
          <w:rFonts w:hint="eastAsia" w:ascii="宋体" w:hAnsi="宋体" w:cs="宋体"/>
          <w:kern w:val="0"/>
          <w:sz w:val="24"/>
          <w:szCs w:val="24"/>
          <w:lang w:val="en-US" w:eastAsia="zh-CN"/>
        </w:rPr>
        <w:t>10时30</w:t>
      </w:r>
      <w:r>
        <w:rPr>
          <w:rFonts w:hint="eastAsia" w:ascii="宋体" w:hAnsi="宋体" w:cs="宋体"/>
          <w:kern w:val="0"/>
          <w:sz w:val="24"/>
          <w:szCs w:val="24"/>
        </w:rPr>
        <w:t>分</w:t>
      </w:r>
    </w:p>
    <w:p>
      <w:pPr>
        <w:pStyle w:val="21"/>
        <w:keepNext w:val="0"/>
        <w:keepLines w:val="0"/>
        <w:pageBreakBefore w:val="0"/>
        <w:widowControl/>
        <w:kinsoku/>
        <w:wordWrap/>
        <w:overflowPunct/>
        <w:autoSpaceDE/>
        <w:autoSpaceDN/>
        <w:bidi w:val="0"/>
        <w:adjustRightInd/>
        <w:snapToGrid/>
        <w:spacing w:after="200" w:line="336" w:lineRule="auto"/>
        <w:jc w:val="left"/>
        <w:textAlignment w:val="auto"/>
        <w:rPr>
          <w:rFonts w:ascii="宋体" w:hAnsi="宋体" w:cs="宋体"/>
          <w:kern w:val="0"/>
          <w:sz w:val="24"/>
          <w:szCs w:val="24"/>
        </w:rPr>
      </w:pPr>
      <w:r>
        <w:rPr>
          <w:rFonts w:hint="eastAsia" w:ascii="宋体" w:hAnsi="宋体" w:cs="宋体"/>
          <w:kern w:val="0"/>
          <w:sz w:val="24"/>
          <w:szCs w:val="24"/>
        </w:rPr>
        <w:t xml:space="preserve">    3、开标地点:</w:t>
      </w:r>
      <w:r>
        <w:rPr>
          <w:rFonts w:hint="eastAsia" w:ascii="宋体" w:hAnsi="宋体" w:cs="宋体"/>
          <w:sz w:val="24"/>
          <w:szCs w:val="24"/>
        </w:rPr>
        <w:t>“政采云”平台（https://www.zcygov.cn/）</w:t>
      </w:r>
      <w:r>
        <w:rPr>
          <w:rFonts w:hint="eastAsia" w:ascii="宋体" w:hAnsi="宋体" w:cs="宋体"/>
          <w:kern w:val="0"/>
          <w:sz w:val="24"/>
          <w:szCs w:val="24"/>
        </w:rPr>
        <w:t>开标大厅。</w:t>
      </w:r>
    </w:p>
    <w:p>
      <w:pPr>
        <w:pStyle w:val="31"/>
        <w:keepNext w:val="0"/>
        <w:keepLines w:val="0"/>
        <w:pageBreakBefore w:val="0"/>
        <w:kinsoku/>
        <w:wordWrap/>
        <w:overflowPunct/>
        <w:autoSpaceDE/>
        <w:autoSpaceDN/>
        <w:bidi w:val="0"/>
        <w:adjustRightInd/>
        <w:snapToGrid/>
        <w:spacing w:after="200" w:line="336" w:lineRule="auto"/>
        <w:textAlignment w:val="auto"/>
        <w:rPr>
          <w:rFonts w:ascii="宋体" w:hAnsi="宋体" w:cs="宋体"/>
          <w:sz w:val="24"/>
          <w:szCs w:val="24"/>
          <w:highlight w:val="white"/>
        </w:rPr>
      </w:pPr>
      <w:r>
        <w:rPr>
          <w:rFonts w:hint="eastAsia" w:ascii="宋体" w:hAnsi="宋体" w:cs="宋体"/>
          <w:sz w:val="24"/>
          <w:szCs w:val="24"/>
          <w:highlight w:val="white"/>
        </w:rPr>
        <w:t>五、公告期限</w:t>
      </w:r>
    </w:p>
    <w:p>
      <w:pPr>
        <w:pStyle w:val="31"/>
        <w:keepNext w:val="0"/>
        <w:keepLines w:val="0"/>
        <w:pageBreakBefore w:val="0"/>
        <w:kinsoku/>
        <w:wordWrap/>
        <w:overflowPunct/>
        <w:autoSpaceDE/>
        <w:autoSpaceDN/>
        <w:bidi w:val="0"/>
        <w:adjustRightInd/>
        <w:snapToGrid/>
        <w:spacing w:after="200" w:line="336" w:lineRule="auto"/>
        <w:ind w:firstLine="480" w:firstLineChars="200"/>
        <w:textAlignment w:val="auto"/>
        <w:rPr>
          <w:rFonts w:ascii="宋体" w:hAnsi="宋体" w:cs="宋体"/>
          <w:sz w:val="24"/>
          <w:szCs w:val="24"/>
          <w:highlight w:val="white"/>
        </w:rPr>
      </w:pPr>
      <w:r>
        <w:rPr>
          <w:rFonts w:hint="eastAsia" w:ascii="宋体" w:hAnsi="宋体" w:cs="宋体"/>
          <w:sz w:val="24"/>
          <w:szCs w:val="24"/>
          <w:highlight w:val="white"/>
        </w:rPr>
        <w:t>自本公告发布之日起5个工作日</w:t>
      </w:r>
    </w:p>
    <w:p>
      <w:pPr>
        <w:pStyle w:val="31"/>
        <w:keepNext w:val="0"/>
        <w:keepLines w:val="0"/>
        <w:pageBreakBefore w:val="0"/>
        <w:kinsoku/>
        <w:wordWrap/>
        <w:overflowPunct/>
        <w:autoSpaceDE/>
        <w:autoSpaceDN/>
        <w:bidi w:val="0"/>
        <w:adjustRightInd/>
        <w:snapToGrid/>
        <w:spacing w:after="200" w:line="336" w:lineRule="auto"/>
        <w:textAlignment w:val="auto"/>
        <w:rPr>
          <w:rFonts w:ascii="宋体" w:hAnsi="宋体" w:cs="宋体"/>
          <w:sz w:val="24"/>
          <w:szCs w:val="24"/>
          <w:highlight w:val="white"/>
        </w:rPr>
      </w:pPr>
      <w:r>
        <w:rPr>
          <w:rFonts w:hint="eastAsia" w:ascii="宋体" w:hAnsi="宋体" w:cs="宋体"/>
          <w:sz w:val="24"/>
          <w:szCs w:val="24"/>
          <w:highlight w:val="white"/>
        </w:rPr>
        <w:t>六、其他补充事宜</w:t>
      </w:r>
    </w:p>
    <w:p>
      <w:pPr>
        <w:pStyle w:val="20"/>
        <w:keepNext w:val="0"/>
        <w:keepLines w:val="0"/>
        <w:pageBreakBefore w:val="0"/>
        <w:kinsoku/>
        <w:wordWrap/>
        <w:overflowPunct/>
        <w:autoSpaceDE/>
        <w:autoSpaceDN/>
        <w:bidi w:val="0"/>
        <w:adjustRightInd/>
        <w:snapToGrid/>
        <w:spacing w:after="200" w:line="336" w:lineRule="auto"/>
        <w:ind w:firstLine="480" w:firstLineChars="200"/>
        <w:textAlignment w:val="auto"/>
        <w:rPr>
          <w:rFonts w:hint="eastAsia" w:ascii="宋体" w:hAnsi="宋体" w:cs="宋体"/>
          <w:sz w:val="24"/>
        </w:rPr>
      </w:pPr>
      <w:r>
        <w:rPr>
          <w:rFonts w:hint="eastAsia" w:ascii="宋体" w:hAnsi="宋体" w:cs="宋体"/>
          <w:sz w:val="24"/>
        </w:rPr>
        <w:t>1、本项目实行网上投标（不见面开标），采用电子投标文件；</w:t>
      </w:r>
    </w:p>
    <w:p>
      <w:pPr>
        <w:pStyle w:val="20"/>
        <w:keepNext w:val="0"/>
        <w:keepLines w:val="0"/>
        <w:pageBreakBefore w:val="0"/>
        <w:kinsoku/>
        <w:wordWrap/>
        <w:overflowPunct/>
        <w:autoSpaceDE/>
        <w:autoSpaceDN/>
        <w:bidi w:val="0"/>
        <w:adjustRightInd/>
        <w:snapToGrid/>
        <w:spacing w:after="200" w:line="336" w:lineRule="auto"/>
        <w:ind w:firstLine="480" w:firstLineChars="200"/>
        <w:textAlignment w:val="auto"/>
        <w:rPr>
          <w:rFonts w:hint="eastAsia" w:ascii="宋体" w:hAnsi="宋体" w:cs="宋体"/>
          <w:sz w:val="24"/>
        </w:rPr>
      </w:pPr>
      <w:r>
        <w:rPr>
          <w:rFonts w:hint="eastAsia" w:ascii="宋体" w:hAnsi="宋体" w:cs="宋体"/>
          <w:sz w:val="24"/>
        </w:rPr>
        <w:t>2、各供应商应在开标前应确保成为政采云平台供应商，并完成CA数字证书（符合国密标准）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p>
    <w:p>
      <w:pPr>
        <w:pStyle w:val="20"/>
        <w:keepNext w:val="0"/>
        <w:keepLines w:val="0"/>
        <w:pageBreakBefore w:val="0"/>
        <w:kinsoku/>
        <w:wordWrap/>
        <w:overflowPunct/>
        <w:autoSpaceDE/>
        <w:autoSpaceDN/>
        <w:bidi w:val="0"/>
        <w:adjustRightInd/>
        <w:snapToGrid/>
        <w:spacing w:after="200" w:line="336" w:lineRule="auto"/>
        <w:ind w:firstLine="480" w:firstLineChars="200"/>
        <w:textAlignment w:val="auto"/>
        <w:rPr>
          <w:rFonts w:ascii="宋体" w:hAnsi="宋体" w:cs="宋体"/>
          <w:sz w:val="24"/>
        </w:rPr>
      </w:pPr>
      <w:r>
        <w:rPr>
          <w:rFonts w:hint="eastAsia" w:ascii="宋体" w:hAnsi="宋体" w:cs="宋体"/>
          <w:sz w:val="24"/>
        </w:rPr>
        <w:t>3、供应商将政采云电子交易客户端下载、安装完成后，可通过账号密码或CA登录客户端进行投标文件的制作。在使用政采云投标客户端时，建议使用WIN7（64位）及以上操作系统。客户端请至兵团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pPr>
        <w:pStyle w:val="20"/>
        <w:keepNext w:val="0"/>
        <w:keepLines w:val="0"/>
        <w:pageBreakBefore w:val="0"/>
        <w:kinsoku/>
        <w:wordWrap/>
        <w:overflowPunct/>
        <w:autoSpaceDE/>
        <w:autoSpaceDN/>
        <w:bidi w:val="0"/>
        <w:adjustRightInd/>
        <w:snapToGrid/>
        <w:spacing w:after="200" w:line="336" w:lineRule="auto"/>
        <w:ind w:firstLine="480" w:firstLineChars="200"/>
        <w:textAlignment w:val="auto"/>
        <w:rPr>
          <w:rFonts w:ascii="宋体" w:hAnsi="宋体" w:cs="宋体"/>
          <w:sz w:val="24"/>
        </w:rPr>
      </w:pPr>
      <w:r>
        <w:rPr>
          <w:rFonts w:hint="eastAsia" w:ascii="宋体" w:hAnsi="宋体" w:cs="宋体"/>
          <w:sz w:val="24"/>
          <w:lang w:val="en-US" w:eastAsia="zh-CN"/>
        </w:rPr>
        <w:t>4</w:t>
      </w:r>
      <w:r>
        <w:rPr>
          <w:rFonts w:hint="eastAsia" w:ascii="宋体" w:hAnsi="宋体" w:cs="宋体"/>
          <w:sz w:val="24"/>
        </w:rPr>
        <w:t>、供应商操作指南详见兵团政府采购网（ccgp-bingtuan.gov.cn）—办事指南—操作指南。</w:t>
      </w:r>
    </w:p>
    <w:p>
      <w:pPr>
        <w:pStyle w:val="20"/>
        <w:keepNext w:val="0"/>
        <w:keepLines w:val="0"/>
        <w:pageBreakBefore w:val="0"/>
        <w:kinsoku/>
        <w:wordWrap/>
        <w:overflowPunct/>
        <w:autoSpaceDE/>
        <w:autoSpaceDN/>
        <w:bidi w:val="0"/>
        <w:adjustRightInd/>
        <w:snapToGrid/>
        <w:spacing w:after="200" w:line="336" w:lineRule="auto"/>
        <w:ind w:firstLine="480" w:firstLineChars="200"/>
        <w:textAlignment w:val="auto"/>
        <w:rPr>
          <w:rFonts w:ascii="宋体" w:hAnsi="宋体" w:cs="宋体"/>
          <w:sz w:val="24"/>
        </w:rPr>
      </w:pPr>
      <w:r>
        <w:rPr>
          <w:rFonts w:hint="eastAsia" w:ascii="宋体" w:hAnsi="宋体" w:cs="宋体"/>
          <w:sz w:val="24"/>
          <w:lang w:val="en-US" w:eastAsia="zh-CN"/>
        </w:rPr>
        <w:t>5</w:t>
      </w:r>
      <w:r>
        <w:rPr>
          <w:rFonts w:hint="eastAsia" w:ascii="宋体" w:hAnsi="宋体" w:cs="宋体"/>
          <w:sz w:val="24"/>
        </w:rPr>
        <w:t>、关于政采云平台供应商相关培训指导请加钉钉群35948845。</w:t>
      </w:r>
    </w:p>
    <w:p>
      <w:pPr>
        <w:pStyle w:val="28"/>
        <w:keepNext w:val="0"/>
        <w:keepLines w:val="0"/>
        <w:pageBreakBefore w:val="0"/>
        <w:kinsoku/>
        <w:wordWrap/>
        <w:overflowPunct/>
        <w:topLinePunct/>
        <w:autoSpaceDE/>
        <w:autoSpaceDN/>
        <w:bidi w:val="0"/>
        <w:adjustRightInd/>
        <w:snapToGrid/>
        <w:spacing w:after="200" w:line="336" w:lineRule="auto"/>
        <w:ind w:left="960" w:hanging="960" w:hangingChars="400"/>
        <w:textAlignment w:val="auto"/>
        <w:rPr>
          <w:rFonts w:ascii="宋体" w:hAnsi="宋体"/>
          <w:sz w:val="24"/>
          <w:szCs w:val="24"/>
        </w:rPr>
      </w:pPr>
      <w:r>
        <w:rPr>
          <w:rFonts w:hint="eastAsia" w:ascii="宋体" w:hAnsi="宋体"/>
          <w:kern w:val="0"/>
          <w:sz w:val="24"/>
          <w:szCs w:val="24"/>
        </w:rPr>
        <w:t>七、</w:t>
      </w:r>
      <w:r>
        <w:rPr>
          <w:rFonts w:hint="eastAsia" w:ascii="宋体" w:hAnsi="宋体"/>
          <w:sz w:val="24"/>
          <w:szCs w:val="24"/>
        </w:rPr>
        <w:t>凡对本次采购提出询问，请按以下方式联系。</w:t>
      </w:r>
    </w:p>
    <w:p>
      <w:pPr>
        <w:pStyle w:val="5"/>
        <w:keepNext w:val="0"/>
        <w:keepLines w:val="0"/>
        <w:pageBreakBefore w:val="0"/>
        <w:kinsoku/>
        <w:wordWrap/>
        <w:overflowPunct/>
        <w:autoSpaceDE/>
        <w:autoSpaceDN/>
        <w:bidi w:val="0"/>
        <w:adjustRightInd/>
        <w:snapToGrid/>
        <w:spacing w:line="336"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1.采购人信息</w:t>
      </w:r>
    </w:p>
    <w:p>
      <w:pPr>
        <w:pStyle w:val="5"/>
        <w:keepNext w:val="0"/>
        <w:keepLines w:val="0"/>
        <w:pageBreakBefore w:val="0"/>
        <w:kinsoku/>
        <w:wordWrap/>
        <w:overflowPunct/>
        <w:autoSpaceDE/>
        <w:autoSpaceDN/>
        <w:bidi w:val="0"/>
        <w:adjustRightInd/>
        <w:snapToGrid/>
        <w:spacing w:line="336"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名    称：石河子大学医学院第一附属医院                           </w:t>
      </w:r>
    </w:p>
    <w:p>
      <w:pPr>
        <w:pStyle w:val="5"/>
        <w:keepNext w:val="0"/>
        <w:keepLines w:val="0"/>
        <w:pageBreakBefore w:val="0"/>
        <w:kinsoku/>
        <w:wordWrap/>
        <w:overflowPunct/>
        <w:autoSpaceDE/>
        <w:autoSpaceDN/>
        <w:bidi w:val="0"/>
        <w:adjustRightInd/>
        <w:snapToGrid/>
        <w:spacing w:line="336"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地    址： 石河子市                </w:t>
      </w:r>
    </w:p>
    <w:p>
      <w:pPr>
        <w:pStyle w:val="5"/>
        <w:keepNext w:val="0"/>
        <w:keepLines w:val="0"/>
        <w:pageBreakBefore w:val="0"/>
        <w:kinsoku/>
        <w:wordWrap/>
        <w:overflowPunct/>
        <w:autoSpaceDE/>
        <w:autoSpaceDN/>
        <w:bidi w:val="0"/>
        <w:adjustRightInd/>
        <w:snapToGrid/>
        <w:spacing w:line="336"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联系方式：0993-2850405   　　　　　　　　　 </w:t>
      </w:r>
    </w:p>
    <w:p>
      <w:pPr>
        <w:pStyle w:val="5"/>
        <w:keepNext w:val="0"/>
        <w:keepLines w:val="0"/>
        <w:pageBreakBefore w:val="0"/>
        <w:kinsoku/>
        <w:wordWrap/>
        <w:overflowPunct/>
        <w:autoSpaceDE/>
        <w:autoSpaceDN/>
        <w:bidi w:val="0"/>
        <w:adjustRightInd/>
        <w:snapToGrid/>
        <w:spacing w:line="336"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2.采购代理机构信息 </w:t>
      </w:r>
    </w:p>
    <w:p>
      <w:pPr>
        <w:pStyle w:val="5"/>
        <w:keepNext w:val="0"/>
        <w:keepLines w:val="0"/>
        <w:pageBreakBefore w:val="0"/>
        <w:kinsoku/>
        <w:wordWrap/>
        <w:overflowPunct/>
        <w:autoSpaceDE/>
        <w:autoSpaceDN/>
        <w:bidi w:val="0"/>
        <w:adjustRightInd/>
        <w:snapToGrid/>
        <w:spacing w:line="336"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名  称：新疆德利得工程管理有限公司　　　　　　　　　　　　</w:t>
      </w:r>
    </w:p>
    <w:p>
      <w:pPr>
        <w:pStyle w:val="5"/>
        <w:keepNext w:val="0"/>
        <w:keepLines w:val="0"/>
        <w:pageBreakBefore w:val="0"/>
        <w:kinsoku/>
        <w:wordWrap/>
        <w:overflowPunct/>
        <w:autoSpaceDE/>
        <w:autoSpaceDN/>
        <w:bidi w:val="0"/>
        <w:adjustRightInd/>
        <w:snapToGrid/>
        <w:spacing w:line="336"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地　址：石河子市34小区78栋三楼　　　　　　　　　　　　</w:t>
      </w:r>
    </w:p>
    <w:p>
      <w:pPr>
        <w:pStyle w:val="5"/>
        <w:keepNext w:val="0"/>
        <w:keepLines w:val="0"/>
        <w:pageBreakBefore w:val="0"/>
        <w:kinsoku/>
        <w:wordWrap/>
        <w:overflowPunct/>
        <w:autoSpaceDE/>
        <w:autoSpaceDN/>
        <w:bidi w:val="0"/>
        <w:adjustRightInd/>
        <w:snapToGrid/>
        <w:spacing w:line="336"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联系方式：13779351779、18742918891</w:t>
      </w:r>
    </w:p>
    <w:p>
      <w:pPr>
        <w:pStyle w:val="5"/>
        <w:keepNext w:val="0"/>
        <w:keepLines w:val="0"/>
        <w:pageBreakBefore w:val="0"/>
        <w:kinsoku/>
        <w:wordWrap/>
        <w:overflowPunct/>
        <w:autoSpaceDE/>
        <w:autoSpaceDN/>
        <w:bidi w:val="0"/>
        <w:adjustRightInd/>
        <w:snapToGrid/>
        <w:spacing w:line="336"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3.项目联系方式</w:t>
      </w:r>
    </w:p>
    <w:p>
      <w:pPr>
        <w:pStyle w:val="5"/>
        <w:keepNext w:val="0"/>
        <w:keepLines w:val="0"/>
        <w:pageBreakBefore w:val="0"/>
        <w:kinsoku/>
        <w:wordWrap/>
        <w:overflowPunct/>
        <w:autoSpaceDE/>
        <w:autoSpaceDN/>
        <w:bidi w:val="0"/>
        <w:adjustRightInd/>
        <w:snapToGrid/>
        <w:spacing w:line="336"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项目联系人：柳叶、郝剑波</w:t>
      </w:r>
    </w:p>
    <w:p>
      <w:pPr>
        <w:pStyle w:val="5"/>
        <w:keepNext w:val="0"/>
        <w:keepLines w:val="0"/>
        <w:pageBreakBefore w:val="0"/>
        <w:kinsoku/>
        <w:wordWrap/>
        <w:overflowPunct/>
        <w:autoSpaceDE/>
        <w:autoSpaceDN/>
        <w:bidi w:val="0"/>
        <w:adjustRightInd/>
        <w:snapToGrid/>
        <w:spacing w:line="336"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电  话：13779351779、18742918891</w:t>
      </w:r>
    </w:p>
    <w:p/>
    <w:p>
      <w:pPr>
        <w:pStyle w:val="5"/>
      </w:pPr>
    </w:p>
    <w:p/>
    <w:p>
      <w:pPr>
        <w:pStyle w:val="5"/>
      </w:pPr>
    </w:p>
    <w:p/>
    <w:p>
      <w:pPr>
        <w:pStyle w:val="102"/>
      </w:pPr>
    </w:p>
    <w:p>
      <w:pPr>
        <w:pStyle w:val="102"/>
      </w:pPr>
    </w:p>
    <w:p>
      <w:pPr>
        <w:pStyle w:val="102"/>
      </w:pPr>
    </w:p>
    <w:p>
      <w:pPr>
        <w:pStyle w:val="102"/>
      </w:pPr>
    </w:p>
    <w:p>
      <w:pPr>
        <w:pStyle w:val="102"/>
      </w:pPr>
    </w:p>
    <w:p>
      <w:pPr>
        <w:pStyle w:val="102"/>
      </w:pPr>
    </w:p>
    <w:p>
      <w:pPr>
        <w:pStyle w:val="102"/>
      </w:pPr>
    </w:p>
    <w:p>
      <w:pPr>
        <w:pStyle w:val="102"/>
      </w:pPr>
    </w:p>
    <w:p>
      <w:pPr>
        <w:pStyle w:val="102"/>
      </w:pPr>
    </w:p>
    <w:p>
      <w:pPr>
        <w:pStyle w:val="102"/>
      </w:pPr>
    </w:p>
    <w:p>
      <w:pPr>
        <w:pStyle w:val="102"/>
      </w:pPr>
    </w:p>
    <w:p>
      <w:pPr>
        <w:pStyle w:val="102"/>
      </w:pPr>
    </w:p>
    <w:p>
      <w:pPr>
        <w:pStyle w:val="102"/>
      </w:pPr>
    </w:p>
    <w:p>
      <w:pPr>
        <w:pStyle w:val="102"/>
      </w:pPr>
    </w:p>
    <w:p>
      <w:pPr>
        <w:pStyle w:val="102"/>
      </w:pPr>
    </w:p>
    <w:p>
      <w:pPr>
        <w:pStyle w:val="102"/>
      </w:pPr>
    </w:p>
    <w:p>
      <w:pPr>
        <w:pStyle w:val="6"/>
        <w:tabs>
          <w:tab w:val="left" w:pos="0"/>
        </w:tabs>
        <w:spacing w:line="240" w:lineRule="auto"/>
        <w:ind w:left="0" w:leftChars="0" w:firstLine="0" w:firstLineChars="0"/>
        <w:jc w:val="center"/>
        <w:outlineLvl w:val="0"/>
        <w:rPr>
          <w:rFonts w:ascii="宋体" w:hAnsi="宋体"/>
          <w:b/>
          <w:sz w:val="36"/>
        </w:rPr>
      </w:pPr>
      <w:bookmarkStart w:id="3" w:name="_Toc256000001"/>
      <w:r>
        <w:rPr>
          <w:rFonts w:hint="eastAsia" w:ascii="宋体" w:hAnsi="宋体"/>
          <w:b/>
          <w:sz w:val="36"/>
        </w:rPr>
        <w:t>第二部分   投标人须知</w:t>
      </w:r>
      <w:bookmarkEnd w:id="3"/>
    </w:p>
    <w:p>
      <w:pPr>
        <w:rPr>
          <w:highlight w:val="red"/>
        </w:rPr>
      </w:pPr>
    </w:p>
    <w:p>
      <w:pPr>
        <w:pStyle w:val="35"/>
        <w:spacing w:line="500" w:lineRule="exact"/>
        <w:jc w:val="center"/>
        <w:outlineLvl w:val="1"/>
        <w:rPr>
          <w:rFonts w:ascii="宋体" w:hAnsi="宋体" w:eastAsia="宋体"/>
          <w:b/>
          <w:szCs w:val="28"/>
        </w:rPr>
      </w:pPr>
      <w:bookmarkStart w:id="4" w:name="_Toc256000016"/>
      <w:bookmarkStart w:id="5" w:name="_Toc256000002"/>
      <w:r>
        <w:rPr>
          <w:rFonts w:hint="eastAsia" w:ascii="宋体" w:hAnsi="宋体" w:eastAsia="宋体"/>
          <w:b/>
          <w:szCs w:val="28"/>
        </w:rPr>
        <w:t>投标人须知前附表</w:t>
      </w:r>
      <w:bookmarkEnd w:id="4"/>
      <w:bookmarkEnd w:id="5"/>
    </w:p>
    <w:tbl>
      <w:tblPr>
        <w:tblStyle w:val="16"/>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609"/>
        <w:gridCol w:w="706"/>
        <w:gridCol w:w="6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序号</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内容</w:t>
            </w:r>
          </w:p>
        </w:tc>
        <w:tc>
          <w:tcPr>
            <w:tcW w:w="6098" w:type="dxa"/>
            <w:tcBorders>
              <w:top w:val="single" w:color="auto" w:sz="4" w:space="0"/>
              <w:left w:val="single" w:color="auto" w:sz="4" w:space="0"/>
              <w:bottom w:val="single" w:color="auto" w:sz="4" w:space="0"/>
              <w:right w:val="single" w:color="auto" w:sz="4" w:space="0"/>
            </w:tcBorders>
            <w:vAlign w:val="center"/>
          </w:tcPr>
          <w:p>
            <w:pPr>
              <w:pStyle w:val="35"/>
              <w:adjustRightInd w:val="0"/>
              <w:spacing w:line="360" w:lineRule="auto"/>
              <w:jc w:val="center"/>
              <w:outlineLvl w:val="3"/>
              <w:rPr>
                <w:rFonts w:ascii="宋体" w:hAnsi="宋体" w:eastAsia="宋体" w:cs="宋体"/>
                <w:b/>
                <w:kern w:val="0"/>
                <w:sz w:val="24"/>
              </w:rPr>
            </w:pPr>
            <w:r>
              <w:rPr>
                <w:rFonts w:hint="eastAsia" w:ascii="宋体" w:hAnsi="宋体" w:eastAsia="宋体" w:cs="宋体"/>
                <w:b/>
                <w:kern w:val="0"/>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1</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pStyle w:val="35"/>
              <w:adjustRightInd w:val="0"/>
              <w:spacing w:line="360" w:lineRule="auto"/>
              <w:jc w:val="center"/>
              <w:outlineLvl w:val="3"/>
              <w:rPr>
                <w:rFonts w:ascii="宋体" w:hAnsi="宋体" w:eastAsia="宋体" w:cs="宋体"/>
                <w:b/>
                <w:kern w:val="0"/>
                <w:sz w:val="24"/>
              </w:rPr>
            </w:pPr>
            <w:r>
              <w:rPr>
                <w:rFonts w:hint="eastAsia" w:ascii="宋体" w:hAnsi="宋体" w:eastAsia="宋体" w:cs="宋体"/>
                <w:b/>
                <w:kern w:val="0"/>
                <w:sz w:val="24"/>
              </w:rPr>
              <w:t>项目名称</w:t>
            </w:r>
          </w:p>
        </w:tc>
        <w:tc>
          <w:tcPr>
            <w:tcW w:w="6098" w:type="dxa"/>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hint="eastAsia" w:ascii="宋体" w:hAnsi="宋体" w:eastAsia="宋体" w:cs="宋体"/>
                <w:sz w:val="24"/>
                <w:lang w:eastAsia="zh-CN"/>
              </w:rPr>
            </w:pPr>
            <w:r>
              <w:rPr>
                <w:rFonts w:hint="eastAsia" w:ascii="宋体" w:hAnsi="宋体" w:eastAsia="宋体" w:cs="宋体"/>
                <w:sz w:val="24"/>
                <w:lang w:eastAsia="zh-CN"/>
              </w:rPr>
              <w:t>石河子大学医学院第一附属医院在职人员餐厅外包服务项目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2</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pStyle w:val="35"/>
              <w:adjustRightInd w:val="0"/>
              <w:spacing w:line="360" w:lineRule="auto"/>
              <w:jc w:val="center"/>
              <w:outlineLvl w:val="3"/>
              <w:rPr>
                <w:rFonts w:ascii="宋体" w:hAnsi="宋体" w:eastAsia="宋体" w:cs="宋体"/>
                <w:b/>
                <w:kern w:val="0"/>
                <w:sz w:val="24"/>
              </w:rPr>
            </w:pPr>
            <w:r>
              <w:rPr>
                <w:rFonts w:hint="eastAsia" w:ascii="宋体" w:hAnsi="宋体" w:eastAsia="宋体" w:cs="宋体"/>
                <w:b/>
                <w:kern w:val="0"/>
                <w:sz w:val="24"/>
              </w:rPr>
              <w:t>采购人</w:t>
            </w:r>
          </w:p>
        </w:tc>
        <w:tc>
          <w:tcPr>
            <w:tcW w:w="6098" w:type="dxa"/>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hint="eastAsia" w:ascii="宋体" w:hAnsi="宋体" w:eastAsia="宋体" w:cs="宋体"/>
                <w:sz w:val="24"/>
                <w:lang w:eastAsia="zh-CN"/>
              </w:rPr>
            </w:pPr>
            <w:r>
              <w:rPr>
                <w:rFonts w:hint="eastAsia" w:ascii="宋体" w:hAnsi="宋体" w:eastAsia="宋体" w:cs="宋体"/>
                <w:sz w:val="24"/>
              </w:rPr>
              <w:t>名称：</w:t>
            </w:r>
            <w:r>
              <w:rPr>
                <w:rFonts w:hint="eastAsia" w:ascii="宋体" w:hAnsi="宋体" w:eastAsia="宋体" w:cs="宋体"/>
                <w:sz w:val="24"/>
                <w:lang w:eastAsia="zh-CN"/>
              </w:rPr>
              <w:t>石河子大学医学院第一附属医院</w:t>
            </w:r>
          </w:p>
          <w:p>
            <w:pPr>
              <w:pStyle w:val="36"/>
              <w:spacing w:line="360" w:lineRule="auto"/>
              <w:rPr>
                <w:rFonts w:ascii="宋体" w:hAnsi="宋体" w:eastAsia="宋体" w:cs="宋体"/>
                <w:sz w:val="24"/>
              </w:rPr>
            </w:pPr>
            <w:r>
              <w:rPr>
                <w:rFonts w:hint="eastAsia" w:ascii="宋体" w:hAnsi="宋体" w:eastAsia="宋体" w:cs="宋体"/>
                <w:sz w:val="24"/>
              </w:rPr>
              <w:t>地址：</w:t>
            </w:r>
            <w:bookmarkStart w:id="6" w:name="EBaa4a783738a14c47a96357745989d31c"/>
            <w:bookmarkEnd w:id="6"/>
            <w:r>
              <w:rPr>
                <w:rFonts w:hint="eastAsia" w:ascii="宋体" w:hAnsi="宋体" w:eastAsia="宋体" w:cs="宋体"/>
                <w:sz w:val="24"/>
              </w:rPr>
              <w:t>石河子市</w:t>
            </w:r>
          </w:p>
          <w:p>
            <w:pPr>
              <w:pStyle w:val="36"/>
              <w:spacing w:line="360" w:lineRule="auto"/>
              <w:rPr>
                <w:rFonts w:hint="eastAsia" w:ascii="宋体" w:hAnsi="宋体" w:eastAsia="宋体" w:cs="宋体"/>
                <w:sz w:val="24"/>
                <w:lang w:eastAsia="zh-CN"/>
              </w:rPr>
            </w:pPr>
            <w:r>
              <w:rPr>
                <w:rFonts w:hint="eastAsia" w:ascii="宋体" w:hAnsi="宋体" w:eastAsia="宋体" w:cs="宋体"/>
                <w:sz w:val="24"/>
              </w:rPr>
              <w:t>联系人：</w:t>
            </w:r>
            <w:bookmarkStart w:id="7" w:name="EBbb6559ba15ad4de4af5024ac6d3c1738"/>
            <w:bookmarkEnd w:id="7"/>
            <w:r>
              <w:rPr>
                <w:rFonts w:hint="eastAsia" w:ascii="宋体" w:hAnsi="宋体" w:eastAsia="宋体" w:cs="宋体"/>
                <w:sz w:val="24"/>
                <w:lang w:eastAsia="zh-CN"/>
              </w:rPr>
              <w:t>李少龙</w:t>
            </w:r>
          </w:p>
          <w:p>
            <w:pPr>
              <w:pStyle w:val="35"/>
              <w:spacing w:line="360" w:lineRule="auto"/>
              <w:rPr>
                <w:rFonts w:hint="eastAsia" w:ascii="宋体" w:hAnsi="宋体" w:eastAsia="宋体" w:cs="宋体"/>
                <w:sz w:val="24"/>
                <w:lang w:eastAsia="zh-CN"/>
              </w:rPr>
            </w:pPr>
            <w:r>
              <w:rPr>
                <w:rFonts w:hint="eastAsia" w:ascii="宋体" w:hAnsi="宋体" w:eastAsia="宋体" w:cs="宋体"/>
                <w:sz w:val="24"/>
              </w:rPr>
              <w:t>联系电话：</w:t>
            </w:r>
            <w:bookmarkStart w:id="8" w:name="EB11cc305651874d628fda2da3d7dfd566"/>
            <w:bookmarkEnd w:id="8"/>
            <w:r>
              <w:rPr>
                <w:rFonts w:hint="eastAsia" w:ascii="宋体" w:hAnsi="宋体" w:eastAsia="宋体" w:cs="宋体"/>
                <w:sz w:val="24"/>
                <w:lang w:eastAsia="zh-CN"/>
              </w:rPr>
              <w:t>0993-2850405</w:t>
            </w:r>
          </w:p>
          <w:p>
            <w:pPr>
              <w:pStyle w:val="35"/>
              <w:spacing w:line="360" w:lineRule="auto"/>
              <w:rPr>
                <w:rFonts w:hint="eastAsia" w:ascii="宋体" w:hAnsi="宋体" w:eastAsia="宋体" w:cs="宋体"/>
                <w:sz w:val="24"/>
                <w:lang w:eastAsia="zh-CN"/>
              </w:rPr>
            </w:pPr>
            <w:r>
              <w:rPr>
                <w:rFonts w:hint="eastAsia" w:ascii="宋体" w:hAnsi="宋体" w:eastAsia="宋体" w:cs="宋体"/>
                <w:sz w:val="24"/>
                <w:lang w:eastAsia="zh-CN"/>
              </w:rPr>
              <w:t>电子邮箱：453036399@qq.com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3</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采购代理机构</w:t>
            </w:r>
          </w:p>
        </w:tc>
        <w:tc>
          <w:tcPr>
            <w:tcW w:w="6098" w:type="dxa"/>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宋体" w:hAnsi="宋体" w:eastAsia="宋体" w:cs="宋体"/>
                <w:sz w:val="24"/>
              </w:rPr>
            </w:pPr>
            <w:r>
              <w:rPr>
                <w:rFonts w:hint="eastAsia" w:ascii="宋体" w:hAnsi="宋体" w:eastAsia="宋体" w:cs="宋体"/>
                <w:sz w:val="24"/>
              </w:rPr>
              <w:t>名称：新疆德利得工程管理有限公司</w:t>
            </w:r>
          </w:p>
          <w:p>
            <w:pPr>
              <w:pStyle w:val="36"/>
              <w:spacing w:line="360" w:lineRule="auto"/>
              <w:rPr>
                <w:rFonts w:hint="eastAsia" w:ascii="宋体" w:hAnsi="宋体" w:eastAsia="宋体" w:cs="宋体"/>
                <w:sz w:val="24"/>
                <w:lang w:eastAsia="zh-CN"/>
              </w:rPr>
            </w:pPr>
            <w:r>
              <w:rPr>
                <w:rFonts w:hint="eastAsia" w:ascii="宋体" w:hAnsi="宋体" w:eastAsia="宋体" w:cs="宋体"/>
                <w:sz w:val="24"/>
              </w:rPr>
              <w:t>地址：</w:t>
            </w:r>
            <w:bookmarkStart w:id="9" w:name="EB32065d915bf142f2b137c0124ab12a07"/>
            <w:bookmarkEnd w:id="9"/>
            <w:r>
              <w:rPr>
                <w:rFonts w:hint="eastAsia" w:ascii="宋体" w:hAnsi="宋体" w:eastAsia="宋体" w:cs="宋体"/>
                <w:sz w:val="24"/>
                <w:lang w:eastAsia="zh-CN"/>
              </w:rPr>
              <w:t>石河子市34小区78栋三楼</w:t>
            </w:r>
          </w:p>
          <w:p>
            <w:pPr>
              <w:pStyle w:val="36"/>
              <w:spacing w:line="360" w:lineRule="auto"/>
              <w:rPr>
                <w:rFonts w:ascii="宋体" w:hAnsi="宋体" w:eastAsia="宋体" w:cs="宋体"/>
                <w:sz w:val="24"/>
              </w:rPr>
            </w:pPr>
            <w:r>
              <w:rPr>
                <w:rFonts w:hint="eastAsia" w:ascii="宋体" w:hAnsi="宋体" w:eastAsia="宋体" w:cs="宋体"/>
                <w:sz w:val="24"/>
              </w:rPr>
              <w:t>联系人：</w:t>
            </w:r>
            <w:bookmarkStart w:id="10" w:name="EB6e50d8c1de904561a2376cb4ee4be525"/>
            <w:bookmarkEnd w:id="10"/>
            <w:r>
              <w:rPr>
                <w:rFonts w:hint="eastAsia" w:ascii="宋体" w:hAnsi="宋体" w:eastAsia="宋体" w:cs="宋体"/>
                <w:sz w:val="24"/>
              </w:rPr>
              <w:t>柳叶、郝剑波</w:t>
            </w:r>
          </w:p>
          <w:p>
            <w:pPr>
              <w:pStyle w:val="36"/>
              <w:spacing w:line="360" w:lineRule="auto"/>
              <w:rPr>
                <w:rFonts w:ascii="宋体" w:hAnsi="宋体" w:eastAsia="宋体" w:cs="宋体"/>
                <w:sz w:val="24"/>
              </w:rPr>
            </w:pPr>
            <w:r>
              <w:rPr>
                <w:rFonts w:hint="eastAsia" w:ascii="宋体" w:hAnsi="宋体" w:eastAsia="宋体" w:cs="宋体"/>
                <w:sz w:val="24"/>
              </w:rPr>
              <w:t>联系电话：</w:t>
            </w:r>
            <w:bookmarkStart w:id="11" w:name="EBf3eb18c61707474fade128509c543d3e"/>
            <w:bookmarkEnd w:id="11"/>
            <w:r>
              <w:rPr>
                <w:rFonts w:hint="eastAsia" w:ascii="宋体" w:hAnsi="宋体" w:eastAsia="宋体" w:cs="宋体"/>
                <w:sz w:val="24"/>
              </w:rPr>
              <w:t>13779351779、18742918891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4</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采购内容</w:t>
            </w:r>
          </w:p>
        </w:tc>
        <w:tc>
          <w:tcPr>
            <w:tcW w:w="6098" w:type="dxa"/>
            <w:tcBorders>
              <w:top w:val="single" w:color="auto" w:sz="4" w:space="0"/>
              <w:left w:val="single" w:color="auto" w:sz="4" w:space="0"/>
              <w:bottom w:val="single" w:color="auto" w:sz="4" w:space="0"/>
              <w:right w:val="single" w:color="auto" w:sz="4" w:space="0"/>
            </w:tcBorders>
            <w:vAlign w:val="center"/>
          </w:tcPr>
          <w:p>
            <w:pPr>
              <w:pStyle w:val="35"/>
              <w:widowControl/>
              <w:spacing w:line="360" w:lineRule="auto"/>
              <w:rPr>
                <w:rFonts w:ascii="宋体" w:hAnsi="宋体" w:eastAsia="宋体" w:cs="宋体"/>
                <w:sz w:val="24"/>
              </w:rPr>
            </w:pPr>
            <w:r>
              <w:rPr>
                <w:rFonts w:hint="eastAsia" w:ascii="宋体" w:hAnsi="宋体" w:eastAsia="宋体" w:cs="宋体"/>
                <w:sz w:val="24"/>
              </w:rPr>
              <w:t>详见招标文件第三部分采购需求；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5</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投标人资格要求</w:t>
            </w:r>
          </w:p>
        </w:tc>
        <w:tc>
          <w:tcPr>
            <w:tcW w:w="6098" w:type="dxa"/>
            <w:tcBorders>
              <w:top w:val="single" w:color="auto" w:sz="4" w:space="0"/>
              <w:left w:val="single" w:color="auto" w:sz="4" w:space="0"/>
              <w:bottom w:val="single" w:color="auto" w:sz="4" w:space="0"/>
              <w:right w:val="single" w:color="auto" w:sz="4" w:space="0"/>
            </w:tcBorders>
            <w:vAlign w:val="center"/>
          </w:tcPr>
          <w:p>
            <w:pPr>
              <w:pStyle w:val="36"/>
              <w:widowControl/>
              <w:spacing w:line="360" w:lineRule="auto"/>
              <w:rPr>
                <w:rFonts w:ascii="宋体" w:hAnsi="宋体" w:eastAsia="宋体" w:cs="宋体"/>
                <w:sz w:val="24"/>
              </w:rPr>
            </w:pPr>
            <w:bookmarkStart w:id="12" w:name="EBd77b448698ab48f2a21fe1279362a7db"/>
            <w:bookmarkEnd w:id="12"/>
            <w:r>
              <w:rPr>
                <w:rFonts w:hint="eastAsia" w:ascii="宋体" w:hAnsi="宋体" w:eastAsia="宋体" w:cs="宋体"/>
                <w:sz w:val="24"/>
                <w:lang w:val="en-US" w:eastAsia="zh-CN"/>
              </w:rPr>
              <w:t>1、</w:t>
            </w:r>
            <w:r>
              <w:rPr>
                <w:rFonts w:hint="eastAsia" w:ascii="宋体" w:hAnsi="宋体" w:eastAsia="宋体" w:cs="宋体"/>
                <w:sz w:val="24"/>
              </w:rPr>
              <w:t>符合《中华人民共和国政府采购法》第二十二条的规定外还需满足以下条件：</w:t>
            </w:r>
          </w:p>
          <w:p>
            <w:pPr>
              <w:pStyle w:val="35"/>
              <w:widowControl/>
              <w:spacing w:line="360" w:lineRule="auto"/>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（1）单位负责人为同一人或者存在直接控股、管理关系的不同供应商，不得参加同一合同项下的政府采购活动。</w:t>
            </w:r>
          </w:p>
          <w:p>
            <w:pPr>
              <w:pStyle w:val="35"/>
              <w:widowControl/>
              <w:spacing w:line="360" w:lineRule="auto"/>
              <w:rPr>
                <w:rFonts w:hint="eastAsia" w:ascii="宋体" w:hAnsi="宋体" w:eastAsia="宋体" w:cs="宋体"/>
                <w:sz w:val="24"/>
              </w:rPr>
            </w:pPr>
            <w:r>
              <w:rPr>
                <w:rFonts w:hint="eastAsia" w:ascii="宋体" w:hAnsi="宋体" w:eastAsia="宋体" w:cs="宋体"/>
                <w:sz w:val="24"/>
              </w:rPr>
              <w:t>（2）除单一来源采购项目外，为采购项目提供整体设计、规范编制或者项目管理、监理、检测等服务的供应商，不得再参加该采购项目的其他采购活动；</w:t>
            </w:r>
          </w:p>
          <w:p>
            <w:pPr>
              <w:pStyle w:val="35"/>
              <w:widowControl/>
              <w:spacing w:line="360" w:lineRule="auto"/>
              <w:rPr>
                <w:rFonts w:hint="eastAsia" w:ascii="宋体" w:hAnsi="宋体" w:eastAsia="宋体" w:cs="宋体"/>
                <w:sz w:val="24"/>
              </w:rPr>
            </w:pPr>
            <w:r>
              <w:rPr>
                <w:rFonts w:hint="eastAsia" w:ascii="宋体" w:hAnsi="宋体" w:eastAsia="宋体" w:cs="宋体"/>
                <w:sz w:val="24"/>
              </w:rPr>
              <w:t>（3）投标单位须在“信用中国”（www.creditchina.gov.cn）和中国政府采购网（www.ccgp.gov.cn ）网站上未被列入失信被执行人、重大税收违法案件当事人名单以及政府采购严重违法失信行为记录名单里；</w:t>
            </w:r>
          </w:p>
          <w:p>
            <w:pPr>
              <w:pStyle w:val="35"/>
              <w:widowControl/>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2、本项目的特定资格要求：（1）投标人具有有效的《餐饮服务许可证》或《食品经营许可证》。（2）本项目为中小企业预留资金项目，参加投标的投标供应商需符合财政部、工业和信息化部《关于印发&lt;政府采购促进中小企业发展管理办法&gt;的通知》（财库【2020】46号）对中小企业的要求，并提供《中小企业声明函》。（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若供应商为监狱企业、残疾人福利企业，提供相应证明材料后享受中小企业同等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restart"/>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6</w:t>
            </w:r>
          </w:p>
        </w:tc>
        <w:tc>
          <w:tcPr>
            <w:tcW w:w="1609" w:type="dxa"/>
            <w:vMerge w:val="restart"/>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sz w:val="24"/>
                <w:highlight w:val="yellow"/>
              </w:rPr>
            </w:pPr>
            <w:r>
              <w:rPr>
                <w:rFonts w:hint="eastAsia" w:ascii="宋体" w:hAnsi="宋体" w:eastAsia="宋体" w:cs="宋体"/>
                <w:b/>
                <w:kern w:val="0"/>
                <w:sz w:val="24"/>
              </w:rPr>
              <w:t>投标文件的组成部分</w:t>
            </w:r>
          </w:p>
        </w:tc>
        <w:tc>
          <w:tcPr>
            <w:tcW w:w="70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封面</w:t>
            </w:r>
          </w:p>
        </w:tc>
        <w:tc>
          <w:tcPr>
            <w:tcW w:w="6098" w:type="dxa"/>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宋体" w:hAnsi="宋体" w:eastAsia="宋体" w:cs="宋体"/>
                <w:kern w:val="0"/>
                <w:sz w:val="24"/>
              </w:rPr>
            </w:pPr>
            <w:r>
              <w:rPr>
                <w:rFonts w:hint="eastAsia" w:ascii="宋体" w:hAnsi="宋体" w:eastAsia="宋体" w:cs="宋体"/>
                <w:kern w:val="0"/>
                <w:sz w:val="24"/>
              </w:rPr>
              <w:t>投标文件封面；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6" w:type="dxa"/>
            <w:vMerge w:val="continue"/>
            <w:tcBorders>
              <w:top w:val="single" w:color="auto" w:sz="4" w:space="0"/>
              <w:left w:val="single" w:color="auto" w:sz="4" w:space="0"/>
              <w:bottom w:val="single" w:color="auto" w:sz="4" w:space="0"/>
              <w:right w:val="single" w:color="auto" w:sz="4" w:space="0"/>
            </w:tcBorders>
            <w:vAlign w:val="center"/>
          </w:tcPr>
          <w:p>
            <w:pPr>
              <w:pStyle w:val="35"/>
              <w:widowControl/>
              <w:jc w:val="left"/>
              <w:rPr>
                <w:rFonts w:ascii="宋体" w:hAnsi="宋体" w:eastAsia="宋体" w:cs="宋体"/>
                <w:b/>
                <w:kern w:val="0"/>
                <w:sz w:val="24"/>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5"/>
              <w:widowControl/>
              <w:jc w:val="left"/>
              <w:rPr>
                <w:rFonts w:ascii="宋体" w:hAnsi="宋体" w:eastAsia="宋体" w:cs="宋体"/>
                <w:sz w:val="24"/>
                <w:highlight w:val="yellow"/>
              </w:rPr>
            </w:pPr>
          </w:p>
        </w:tc>
        <w:tc>
          <w:tcPr>
            <w:tcW w:w="70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资格审查材料</w:t>
            </w:r>
          </w:p>
        </w:tc>
        <w:tc>
          <w:tcPr>
            <w:tcW w:w="6098" w:type="dxa"/>
            <w:tcBorders>
              <w:top w:val="single" w:color="auto" w:sz="4" w:space="0"/>
              <w:left w:val="single" w:color="auto" w:sz="4" w:space="0"/>
              <w:bottom w:val="single" w:color="auto" w:sz="4" w:space="0"/>
              <w:right w:val="single" w:color="auto" w:sz="4" w:space="0"/>
            </w:tcBorders>
            <w:vAlign w:val="center"/>
          </w:tcPr>
          <w:p>
            <w:pPr>
              <w:pStyle w:val="36"/>
              <w:numPr>
                <w:ilvl w:val="0"/>
                <w:numId w:val="2"/>
              </w:numPr>
              <w:spacing w:line="360" w:lineRule="auto"/>
              <w:rPr>
                <w:rFonts w:ascii="宋体" w:hAnsi="宋体" w:eastAsia="宋体" w:cs="宋体"/>
                <w:kern w:val="0"/>
                <w:sz w:val="24"/>
              </w:rPr>
            </w:pPr>
            <w:bookmarkStart w:id="13" w:name="EBc05db149ce834ff3a8532bd8eac5c4b5"/>
            <w:bookmarkEnd w:id="13"/>
            <w:r>
              <w:rPr>
                <w:rFonts w:hint="eastAsia" w:ascii="宋体" w:hAnsi="宋体" w:eastAsia="宋体" w:cs="宋体"/>
                <w:kern w:val="0"/>
                <w:sz w:val="24"/>
              </w:rPr>
              <w:t>营业执照、组织机构代码证（“三证合一”的只需提供营业执照）、税务登记证（“三证合一”的只需提供营业执照）；（自然人提供身份证明文件）</w:t>
            </w:r>
          </w:p>
          <w:p>
            <w:pPr>
              <w:pStyle w:val="36"/>
              <w:numPr>
                <w:ilvl w:val="0"/>
                <w:numId w:val="2"/>
              </w:numPr>
              <w:spacing w:line="360" w:lineRule="auto"/>
              <w:rPr>
                <w:rFonts w:ascii="宋体" w:hAnsi="宋体" w:eastAsia="宋体" w:cs="宋体"/>
                <w:kern w:val="0"/>
                <w:sz w:val="24"/>
              </w:rPr>
            </w:pPr>
            <w:r>
              <w:rPr>
                <w:rFonts w:hint="eastAsia" w:ascii="宋体" w:hAnsi="宋体" w:eastAsia="宋体" w:cs="宋体"/>
                <w:kern w:val="0"/>
                <w:sz w:val="24"/>
              </w:rPr>
              <w:t>有效的《餐饮服务许可证》或《食品经营许可证》</w:t>
            </w:r>
          </w:p>
          <w:p>
            <w:pPr>
              <w:pStyle w:val="36"/>
              <w:numPr>
                <w:ilvl w:val="0"/>
                <w:numId w:val="2"/>
              </w:numPr>
              <w:spacing w:line="360" w:lineRule="auto"/>
              <w:rPr>
                <w:rFonts w:ascii="宋体" w:hAnsi="宋体" w:eastAsia="宋体" w:cs="宋体"/>
                <w:kern w:val="0"/>
                <w:sz w:val="24"/>
              </w:rPr>
            </w:pPr>
            <w:r>
              <w:rPr>
                <w:rFonts w:hint="eastAsia" w:ascii="宋体" w:hAnsi="宋体" w:eastAsia="宋体" w:cs="宋体"/>
                <w:kern w:val="0"/>
                <w:sz w:val="24"/>
              </w:rPr>
              <w:t>法定代表人身份证明及授权委托书；</w:t>
            </w:r>
          </w:p>
          <w:p>
            <w:pPr>
              <w:pStyle w:val="36"/>
              <w:spacing w:line="360" w:lineRule="auto"/>
              <w:rPr>
                <w:rFonts w:hint="eastAsia" w:ascii="宋体" w:hAnsi="宋体" w:eastAsia="宋体" w:cs="宋体"/>
                <w:kern w:val="0"/>
                <w:sz w:val="24"/>
              </w:rPr>
            </w:pPr>
            <w:r>
              <w:rPr>
                <w:rFonts w:hint="eastAsia" w:ascii="宋体" w:hAnsi="宋体" w:eastAsia="宋体" w:cs="宋体"/>
                <w:kern w:val="0"/>
                <w:sz w:val="24"/>
                <w:lang w:val="en-US" w:eastAsia="zh-CN"/>
              </w:rPr>
              <w:t>4</w:t>
            </w:r>
            <w:r>
              <w:rPr>
                <w:rFonts w:hint="eastAsia" w:ascii="宋体" w:hAnsi="宋体" w:eastAsia="宋体" w:cs="宋体"/>
                <w:kern w:val="0"/>
                <w:sz w:val="24"/>
              </w:rPr>
              <w:t>、投标保证金；</w:t>
            </w:r>
          </w:p>
          <w:p>
            <w:pPr>
              <w:pStyle w:val="36"/>
              <w:spacing w:line="360" w:lineRule="auto"/>
              <w:rPr>
                <w:rFonts w:ascii="宋体" w:hAnsi="宋体" w:eastAsia="宋体" w:cs="宋体"/>
                <w:kern w:val="0"/>
                <w:sz w:val="24"/>
              </w:rPr>
            </w:pPr>
            <w:r>
              <w:rPr>
                <w:rFonts w:hint="eastAsia" w:ascii="宋体" w:hAnsi="宋体" w:eastAsia="宋体" w:cs="宋体"/>
                <w:kern w:val="0"/>
                <w:sz w:val="24"/>
                <w:lang w:val="en-US" w:eastAsia="zh-CN"/>
              </w:rPr>
              <w:t>5、</w:t>
            </w:r>
            <w:r>
              <w:rPr>
                <w:rFonts w:hint="eastAsia" w:ascii="宋体" w:hAnsi="宋体" w:eastAsia="宋体" w:cs="宋体"/>
                <w:sz w:val="24"/>
              </w:rPr>
              <w:t>近三年内，在政府采购活动中无恶意围标、串标记录</w:t>
            </w:r>
            <w:r>
              <w:rPr>
                <w:rFonts w:hint="eastAsia" w:ascii="宋体" w:hAnsi="宋体" w:eastAsia="宋体" w:cs="宋体"/>
                <w:sz w:val="24"/>
                <w:lang w:val="en-US" w:eastAsia="zh-CN"/>
              </w:rPr>
              <w:t>的承诺函</w:t>
            </w:r>
            <w:r>
              <w:rPr>
                <w:rFonts w:hint="eastAsia" w:ascii="宋体" w:hAnsi="宋体" w:eastAsia="宋体" w:cs="宋体"/>
                <w:kern w:val="0"/>
                <w:sz w:val="24"/>
              </w:rPr>
              <w:t> </w:t>
            </w:r>
          </w:p>
          <w:p>
            <w:pPr>
              <w:pStyle w:val="36"/>
              <w:spacing w:line="360" w:lineRule="auto"/>
              <w:rPr>
                <w:rFonts w:ascii="宋体" w:hAnsi="宋体" w:eastAsia="宋体" w:cs="宋体"/>
                <w:kern w:val="0"/>
                <w:sz w:val="24"/>
              </w:rPr>
            </w:pPr>
            <w:r>
              <w:rPr>
                <w:rFonts w:hint="eastAsia" w:ascii="宋体" w:hAnsi="宋体" w:eastAsia="宋体" w:cs="宋体"/>
                <w:kern w:val="0"/>
                <w:sz w:val="24"/>
                <w:lang w:val="en-US" w:eastAsia="zh-CN"/>
              </w:rPr>
              <w:t>6</w:t>
            </w:r>
            <w:r>
              <w:rPr>
                <w:rFonts w:hint="eastAsia" w:ascii="宋体" w:hAnsi="宋体" w:eastAsia="宋体" w:cs="宋体"/>
                <w:kern w:val="0"/>
                <w:sz w:val="24"/>
              </w:rPr>
              <w:t>、中、小微企业声明函（中、小、微型企业产品价格需扣除的须提供）；</w:t>
            </w:r>
          </w:p>
          <w:p>
            <w:pPr>
              <w:pStyle w:val="36"/>
              <w:spacing w:line="360" w:lineRule="auto"/>
              <w:rPr>
                <w:rFonts w:ascii="宋体" w:hAnsi="宋体" w:eastAsia="宋体" w:cs="宋体"/>
                <w:kern w:val="0"/>
                <w:sz w:val="24"/>
              </w:rPr>
            </w:pPr>
            <w:r>
              <w:rPr>
                <w:rFonts w:hint="eastAsia" w:ascii="宋体" w:hAnsi="宋体" w:eastAsia="宋体" w:cs="宋体"/>
                <w:kern w:val="0"/>
                <w:sz w:val="24"/>
                <w:lang w:val="en-US" w:eastAsia="zh-CN"/>
              </w:rPr>
              <w:t>7</w:t>
            </w:r>
            <w:r>
              <w:rPr>
                <w:rFonts w:hint="eastAsia" w:ascii="宋体" w:hAnsi="宋体" w:eastAsia="宋体" w:cs="宋体"/>
                <w:kern w:val="0"/>
                <w:sz w:val="24"/>
              </w:rPr>
              <w:t>、投标人认为有必要提供的声明及文件资料： </w:t>
            </w:r>
          </w:p>
          <w:p>
            <w:pPr>
              <w:pStyle w:val="36"/>
              <w:spacing w:line="360" w:lineRule="auto"/>
              <w:rPr>
                <w:rFonts w:ascii="宋体" w:hAnsi="宋体" w:eastAsia="宋体" w:cs="宋体"/>
                <w:kern w:val="0"/>
                <w:sz w:val="24"/>
              </w:rPr>
            </w:pPr>
            <w:r>
              <w:rPr>
                <w:rFonts w:hint="eastAsia" w:ascii="宋体" w:hAnsi="宋体" w:eastAsia="宋体" w:cs="宋体"/>
                <w:kern w:val="0"/>
                <w:sz w:val="24"/>
                <w:lang w:val="en-US" w:eastAsia="zh-CN"/>
              </w:rPr>
              <w:t>8</w:t>
            </w:r>
            <w:r>
              <w:rPr>
                <w:rFonts w:hint="eastAsia" w:ascii="宋体" w:hAnsi="宋体" w:eastAsia="宋体" w:cs="宋体"/>
                <w:kern w:val="0"/>
                <w:sz w:val="24"/>
              </w:rPr>
              <w:t>、《中华人民共和国政府采购法》第二十二条应当具备的条件；并在投标文件中提供下列材料：</w:t>
            </w:r>
          </w:p>
          <w:p>
            <w:pPr>
              <w:pStyle w:val="36"/>
              <w:spacing w:line="360" w:lineRule="auto"/>
              <w:rPr>
                <w:rFonts w:ascii="宋体" w:hAnsi="宋体" w:eastAsia="宋体" w:cs="宋体"/>
                <w:kern w:val="0"/>
                <w:sz w:val="24"/>
              </w:rPr>
            </w:pPr>
            <w:r>
              <w:rPr>
                <w:rFonts w:hint="eastAsia" w:ascii="宋体" w:hAnsi="宋体" w:eastAsia="宋体" w:cs="宋体"/>
                <w:kern w:val="0"/>
                <w:sz w:val="24"/>
              </w:rPr>
              <w:t>①具有独立承担民事责任的能力；</w:t>
            </w:r>
          </w:p>
          <w:p>
            <w:pPr>
              <w:pStyle w:val="36"/>
              <w:spacing w:line="360" w:lineRule="auto"/>
              <w:rPr>
                <w:rFonts w:ascii="宋体" w:hAnsi="宋体" w:eastAsia="宋体" w:cs="宋体"/>
                <w:kern w:val="0"/>
                <w:sz w:val="24"/>
              </w:rPr>
            </w:pPr>
            <w:r>
              <w:rPr>
                <w:rFonts w:hint="eastAsia" w:ascii="宋体" w:hAnsi="宋体" w:eastAsia="宋体" w:cs="宋体"/>
                <w:kern w:val="0"/>
                <w:sz w:val="24"/>
              </w:rPr>
              <w:t>（法人或者其他组织的营业执照等证明文件，自然人的身份证明）</w:t>
            </w:r>
          </w:p>
          <w:p>
            <w:pPr>
              <w:pStyle w:val="36"/>
              <w:spacing w:line="360" w:lineRule="auto"/>
              <w:rPr>
                <w:rFonts w:ascii="宋体" w:hAnsi="宋体" w:eastAsia="宋体" w:cs="宋体"/>
                <w:kern w:val="0"/>
                <w:sz w:val="24"/>
              </w:rPr>
            </w:pPr>
            <w:r>
              <w:rPr>
                <w:rFonts w:hint="eastAsia" w:ascii="宋体" w:hAnsi="宋体" w:eastAsia="宋体" w:cs="宋体"/>
                <w:kern w:val="0"/>
                <w:sz w:val="24"/>
              </w:rPr>
              <w:t>②具有良好的商业信誉和健全的财务会计制度；</w:t>
            </w:r>
          </w:p>
          <w:p>
            <w:pPr>
              <w:pStyle w:val="36"/>
              <w:spacing w:line="360" w:lineRule="auto"/>
              <w:rPr>
                <w:rFonts w:ascii="宋体" w:hAnsi="宋体" w:eastAsia="宋体" w:cs="宋体"/>
                <w:kern w:val="0"/>
                <w:sz w:val="24"/>
              </w:rPr>
            </w:pPr>
            <w:r>
              <w:rPr>
                <w:rFonts w:hint="eastAsia" w:ascii="宋体" w:hAnsi="宋体" w:eastAsia="宋体" w:cs="宋体"/>
                <w:kern w:val="0"/>
                <w:sz w:val="24"/>
              </w:rPr>
              <w:t>（1、投标单位在“信用中国”（www.creditchina.gov.cn）和中国政府采购网（www.ccgp.gov.cn ）网站上：1）未被列入失信被执行人；2）未被列入重大税收违法案件当事人名单的投标人；3）未被列入政府采购严重违法失信行为记录名单；2、供应商是法人的应提供经审计的上一年度</w:t>
            </w:r>
            <w:r>
              <w:rPr>
                <w:rFonts w:hint="eastAsia" w:ascii="宋体" w:hAnsi="宋体" w:eastAsia="宋体" w:cs="宋体"/>
                <w:kern w:val="0"/>
                <w:sz w:val="24"/>
                <w:szCs w:val="24"/>
                <w:lang w:eastAsia="zh-CN" w:bidi="ar-SA"/>
              </w:rPr>
              <w:t>（</w:t>
            </w:r>
            <w:r>
              <w:rPr>
                <w:rFonts w:hint="eastAsia" w:ascii="宋体" w:hAnsi="宋体" w:eastAsia="宋体" w:cs="宋体"/>
                <w:kern w:val="0"/>
                <w:sz w:val="24"/>
                <w:szCs w:val="24"/>
                <w:lang w:val="en-US" w:eastAsia="zh-CN" w:bidi="ar-SA"/>
              </w:rPr>
              <w:t>2020年度</w:t>
            </w:r>
            <w:r>
              <w:rPr>
                <w:rFonts w:hint="eastAsia" w:ascii="宋体" w:hAnsi="宋体" w:eastAsia="宋体" w:cs="宋体"/>
                <w:kern w:val="0"/>
                <w:sz w:val="24"/>
                <w:szCs w:val="24"/>
                <w:lang w:eastAsia="zh-CN" w:bidi="ar-SA"/>
              </w:rPr>
              <w:t>）</w:t>
            </w:r>
            <w:r>
              <w:rPr>
                <w:rFonts w:hint="eastAsia" w:ascii="宋体" w:hAnsi="宋体" w:eastAsia="宋体" w:cs="宋体"/>
                <w:kern w:val="0"/>
                <w:sz w:val="24"/>
              </w:rPr>
              <w:t>的财务报告，成立年限不足一年的提供近期的财务报表和其基本开户银行出具的资信证明；部分其他组织或自然人，没有经审计的财务报告，应当提供银行出具的资信证明。）</w:t>
            </w:r>
          </w:p>
          <w:p>
            <w:pPr>
              <w:pStyle w:val="36"/>
              <w:spacing w:line="360" w:lineRule="auto"/>
              <w:rPr>
                <w:rFonts w:ascii="宋体" w:hAnsi="宋体" w:eastAsia="宋体" w:cs="宋体"/>
                <w:kern w:val="0"/>
                <w:sz w:val="24"/>
              </w:rPr>
            </w:pPr>
            <w:r>
              <w:rPr>
                <w:rFonts w:hint="eastAsia" w:ascii="宋体" w:hAnsi="宋体" w:eastAsia="宋体" w:cs="宋体"/>
                <w:kern w:val="0"/>
                <w:sz w:val="24"/>
              </w:rPr>
              <w:t>③具有履行合同所必需的设备和专业技术能力；</w:t>
            </w:r>
          </w:p>
          <w:p>
            <w:pPr>
              <w:pStyle w:val="36"/>
              <w:spacing w:line="360" w:lineRule="auto"/>
              <w:rPr>
                <w:rFonts w:ascii="宋体" w:hAnsi="宋体" w:eastAsia="宋体" w:cs="宋体"/>
                <w:kern w:val="0"/>
                <w:sz w:val="24"/>
              </w:rPr>
            </w:pPr>
            <w:r>
              <w:rPr>
                <w:rFonts w:hint="eastAsia" w:ascii="宋体" w:hAnsi="宋体" w:eastAsia="宋体" w:cs="宋体"/>
                <w:kern w:val="0"/>
                <w:sz w:val="24"/>
              </w:rPr>
              <w:t>（提供具有履行合同所必需的设备和专业技术能力相关证明材料或声明；）</w:t>
            </w:r>
          </w:p>
          <w:p>
            <w:pPr>
              <w:pStyle w:val="36"/>
              <w:spacing w:line="360" w:lineRule="auto"/>
              <w:rPr>
                <w:rFonts w:ascii="宋体" w:hAnsi="宋体" w:eastAsia="宋体" w:cs="宋体"/>
                <w:kern w:val="0"/>
                <w:sz w:val="24"/>
              </w:rPr>
            </w:pPr>
            <w:r>
              <w:rPr>
                <w:rFonts w:hint="eastAsia" w:ascii="宋体" w:hAnsi="宋体" w:eastAsia="宋体" w:cs="宋体"/>
                <w:kern w:val="0"/>
                <w:sz w:val="24"/>
              </w:rPr>
              <w:t>④有依法缴纳税收和社会保障资金的良好记录；</w:t>
            </w:r>
          </w:p>
          <w:p>
            <w:pPr>
              <w:pStyle w:val="36"/>
              <w:spacing w:line="360" w:lineRule="auto"/>
              <w:rPr>
                <w:rFonts w:ascii="宋体" w:hAnsi="宋体" w:eastAsia="宋体" w:cs="宋体"/>
                <w:kern w:val="0"/>
                <w:sz w:val="24"/>
              </w:rPr>
            </w:pPr>
            <w:r>
              <w:rPr>
                <w:rFonts w:hint="eastAsia" w:ascii="宋体" w:hAnsi="宋体" w:eastAsia="宋体" w:cs="宋体"/>
                <w:kern w:val="0"/>
                <w:sz w:val="24"/>
              </w:rPr>
              <w:t>(1、提供近一年任意三个月的缴纳税收证明资料（银行回执单不予认可）。2、提供社保机构出具的近半年内任意一个月社保缴纳证明（必须提供社保机构出具的缴纳证明，银行的缴纳回执单等不予认可</w:t>
            </w:r>
            <w:r>
              <w:rPr>
                <w:rFonts w:hint="eastAsia" w:ascii="宋体" w:hAnsi="宋体" w:eastAsia="宋体" w:cs="宋体"/>
                <w:kern w:val="0"/>
                <w:sz w:val="24"/>
                <w:lang w:eastAsia="zh-CN"/>
              </w:rPr>
              <w:t>，通过其他有权机构代缴代扣的，还需提供代缴代扣协议</w:t>
            </w:r>
            <w:r>
              <w:rPr>
                <w:rFonts w:hint="eastAsia" w:ascii="宋体" w:hAnsi="宋体" w:eastAsia="宋体" w:cs="宋体"/>
                <w:kern w:val="0"/>
                <w:sz w:val="24"/>
              </w:rPr>
              <w:t>）；其他组织和自然人也需提供上述证明。）</w:t>
            </w:r>
          </w:p>
          <w:p>
            <w:pPr>
              <w:pStyle w:val="36"/>
              <w:spacing w:line="360" w:lineRule="auto"/>
              <w:rPr>
                <w:rFonts w:ascii="宋体" w:hAnsi="宋体" w:eastAsia="宋体" w:cs="宋体"/>
                <w:kern w:val="0"/>
                <w:sz w:val="24"/>
              </w:rPr>
            </w:pPr>
            <w:r>
              <w:rPr>
                <w:rFonts w:hint="eastAsia" w:ascii="宋体" w:hAnsi="宋体" w:eastAsia="宋体" w:cs="宋体"/>
                <w:kern w:val="0"/>
                <w:sz w:val="24"/>
              </w:rPr>
              <w:t>⑤参加政府采购活动前三年内，在经营活动中没有重大违法记录；</w:t>
            </w:r>
          </w:p>
          <w:p>
            <w:pPr>
              <w:pStyle w:val="36"/>
              <w:spacing w:line="360" w:lineRule="auto"/>
              <w:rPr>
                <w:rFonts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b w:val="0"/>
                <w:bCs/>
                <w:kern w:val="2"/>
                <w:sz w:val="24"/>
                <w:szCs w:val="24"/>
                <w:lang w:val="en-US" w:eastAsia="zh-CN" w:bidi="ar-SA"/>
              </w:rPr>
              <w:t>提供参加政府采购活动前三年内,在经营活动中没有重大违法记录的声明书；</w:t>
            </w:r>
            <w:r>
              <w:rPr>
                <w:rFonts w:hint="eastAsia" w:ascii="宋体" w:hAnsi="宋体" w:eastAsia="宋体" w:cs="宋体"/>
                <w:kern w:val="0"/>
                <w:sz w:val="24"/>
              </w:rPr>
              <w:t>）</w:t>
            </w:r>
          </w:p>
          <w:p>
            <w:pPr>
              <w:pStyle w:val="35"/>
              <w:spacing w:line="360" w:lineRule="auto"/>
              <w:rPr>
                <w:rFonts w:hint="eastAsia" w:ascii="宋体" w:hAnsi="宋体" w:eastAsia="宋体" w:cs="宋体"/>
                <w:kern w:val="0"/>
                <w:sz w:val="24"/>
                <w:highlight w:val="green"/>
                <w:lang w:eastAsia="zh-CN"/>
              </w:rPr>
            </w:pPr>
            <w:r>
              <w:rPr>
                <w:rFonts w:hint="eastAsia" w:ascii="宋体" w:hAnsi="宋体" w:eastAsia="宋体" w:cs="宋体"/>
                <w:kern w:val="0"/>
                <w:sz w:val="24"/>
              </w:rPr>
              <w:t>⑥法律、行政法规规定的其他条件</w:t>
            </w:r>
            <w:r>
              <w:rPr>
                <w:rFonts w:hint="eastAsia" w:ascii="宋体" w:hAnsi="宋体" w:eastAsia="宋体" w:cs="宋体"/>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736" w:type="dxa"/>
            <w:vMerge w:val="continue"/>
            <w:tcBorders>
              <w:top w:val="single" w:color="auto" w:sz="4" w:space="0"/>
              <w:left w:val="single" w:color="auto" w:sz="4" w:space="0"/>
              <w:bottom w:val="single" w:color="auto" w:sz="4" w:space="0"/>
              <w:right w:val="single" w:color="auto" w:sz="4" w:space="0"/>
            </w:tcBorders>
            <w:vAlign w:val="center"/>
          </w:tcPr>
          <w:p>
            <w:pPr>
              <w:pStyle w:val="35"/>
              <w:widowControl/>
              <w:jc w:val="left"/>
              <w:rPr>
                <w:rFonts w:ascii="宋体" w:hAnsi="宋体" w:eastAsia="宋体" w:cs="宋体"/>
                <w:b/>
                <w:kern w:val="0"/>
                <w:sz w:val="24"/>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5"/>
              <w:widowControl/>
              <w:jc w:val="left"/>
              <w:rPr>
                <w:rFonts w:ascii="宋体" w:hAnsi="宋体" w:eastAsia="宋体" w:cs="宋体"/>
                <w:sz w:val="24"/>
                <w:highlight w:val="yellow"/>
              </w:rPr>
            </w:pPr>
          </w:p>
        </w:tc>
        <w:tc>
          <w:tcPr>
            <w:tcW w:w="70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商务文件</w:t>
            </w:r>
          </w:p>
        </w:tc>
        <w:tc>
          <w:tcPr>
            <w:tcW w:w="6098" w:type="dxa"/>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宋体" w:hAnsi="宋体" w:eastAsia="宋体" w:cs="宋体"/>
                <w:kern w:val="0"/>
                <w:sz w:val="24"/>
              </w:rPr>
            </w:pPr>
            <w:r>
              <w:rPr>
                <w:rFonts w:hint="eastAsia" w:ascii="宋体" w:hAnsi="宋体" w:eastAsia="宋体" w:cs="宋体"/>
                <w:kern w:val="0"/>
                <w:sz w:val="24"/>
              </w:rPr>
              <w:t>☆投标函；</w:t>
            </w:r>
          </w:p>
          <w:p>
            <w:pPr>
              <w:pStyle w:val="35"/>
              <w:spacing w:line="360" w:lineRule="auto"/>
              <w:rPr>
                <w:rFonts w:ascii="宋体" w:hAnsi="宋体" w:eastAsia="宋体" w:cs="宋体"/>
                <w:kern w:val="0"/>
                <w:sz w:val="24"/>
              </w:rPr>
            </w:pPr>
            <w:r>
              <w:rPr>
                <w:rFonts w:hint="eastAsia" w:ascii="宋体" w:hAnsi="宋体" w:eastAsia="宋体" w:cs="宋体"/>
                <w:kern w:val="0"/>
                <w:sz w:val="24"/>
              </w:rPr>
              <w:t>☆开标一览表；</w:t>
            </w:r>
          </w:p>
          <w:p>
            <w:pPr>
              <w:pStyle w:val="35"/>
              <w:spacing w:line="360" w:lineRule="auto"/>
              <w:rPr>
                <w:rFonts w:ascii="宋体" w:hAnsi="宋体" w:eastAsia="宋体" w:cs="宋体"/>
                <w:kern w:val="0"/>
                <w:sz w:val="24"/>
              </w:rPr>
            </w:pPr>
            <w:r>
              <w:rPr>
                <w:rFonts w:hint="eastAsia" w:ascii="宋体" w:hAnsi="宋体" w:eastAsia="宋体" w:cs="宋体"/>
                <w:kern w:val="0"/>
                <w:sz w:val="24"/>
              </w:rPr>
              <w:t>☆投标报价明细表</w:t>
            </w:r>
            <w:r>
              <w:rPr>
                <w:rFonts w:hint="eastAsia" w:ascii="宋体" w:hAnsi="宋体" w:eastAsia="宋体" w:cs="宋体"/>
                <w:sz w:val="24"/>
              </w:rPr>
              <w:t>；</w:t>
            </w:r>
          </w:p>
          <w:p>
            <w:pPr>
              <w:pStyle w:val="35"/>
              <w:spacing w:line="360" w:lineRule="auto"/>
              <w:rPr>
                <w:rFonts w:ascii="宋体" w:hAnsi="宋体" w:eastAsia="宋体" w:cs="宋体"/>
                <w:kern w:val="0"/>
                <w:sz w:val="24"/>
              </w:rPr>
            </w:pPr>
            <w:r>
              <w:rPr>
                <w:rFonts w:hint="eastAsia" w:ascii="宋体" w:hAnsi="宋体" w:eastAsia="宋体" w:cs="宋体"/>
                <w:kern w:val="0"/>
                <w:sz w:val="24"/>
              </w:rPr>
              <w:t>☆服务承诺书；</w:t>
            </w:r>
          </w:p>
          <w:p>
            <w:pPr>
              <w:pStyle w:val="35"/>
              <w:spacing w:line="360" w:lineRule="auto"/>
              <w:rPr>
                <w:rFonts w:ascii="宋体" w:hAnsi="宋体" w:eastAsia="宋体" w:cs="宋体"/>
                <w:kern w:val="0"/>
                <w:sz w:val="24"/>
              </w:rPr>
            </w:pPr>
            <w:r>
              <w:rPr>
                <w:rFonts w:hint="eastAsia" w:ascii="宋体" w:hAnsi="宋体" w:eastAsia="宋体" w:cs="宋体"/>
                <w:kern w:val="0"/>
                <w:sz w:val="24"/>
              </w:rPr>
              <w:t>商务条款偏离说明表；</w:t>
            </w:r>
          </w:p>
          <w:p>
            <w:pPr>
              <w:pStyle w:val="35"/>
              <w:spacing w:line="360" w:lineRule="auto"/>
              <w:rPr>
                <w:rFonts w:ascii="宋体" w:hAnsi="宋体" w:eastAsia="宋体" w:cs="宋体"/>
                <w:kern w:val="0"/>
                <w:sz w:val="24"/>
                <w:u w:val="single"/>
              </w:rPr>
            </w:pPr>
            <w:r>
              <w:rPr>
                <w:rFonts w:hint="eastAsia" w:ascii="宋体" w:hAnsi="宋体" w:eastAsia="宋体" w:cs="宋体"/>
                <w:kern w:val="0"/>
                <w:sz w:val="24"/>
              </w:rPr>
              <w:t>投标人认为有必要提供的声明及文件资料；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736" w:type="dxa"/>
            <w:vMerge w:val="continue"/>
            <w:tcBorders>
              <w:top w:val="single" w:color="auto" w:sz="4" w:space="0"/>
              <w:left w:val="single" w:color="auto" w:sz="4" w:space="0"/>
              <w:bottom w:val="single" w:color="auto" w:sz="4" w:space="0"/>
              <w:right w:val="single" w:color="auto" w:sz="4" w:space="0"/>
            </w:tcBorders>
            <w:vAlign w:val="center"/>
          </w:tcPr>
          <w:p>
            <w:pPr>
              <w:pStyle w:val="35"/>
              <w:widowControl/>
              <w:jc w:val="left"/>
              <w:rPr>
                <w:rFonts w:ascii="宋体" w:hAnsi="宋体" w:eastAsia="宋体" w:cs="宋体"/>
                <w:b/>
                <w:kern w:val="0"/>
                <w:sz w:val="24"/>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5"/>
              <w:widowControl/>
              <w:jc w:val="left"/>
              <w:rPr>
                <w:rFonts w:ascii="宋体" w:hAnsi="宋体" w:eastAsia="宋体" w:cs="宋体"/>
                <w:sz w:val="24"/>
                <w:highlight w:val="yellow"/>
              </w:rPr>
            </w:pPr>
          </w:p>
        </w:tc>
        <w:tc>
          <w:tcPr>
            <w:tcW w:w="70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color w:val="auto"/>
                <w:kern w:val="0"/>
                <w:sz w:val="24"/>
              </w:rPr>
            </w:pPr>
            <w:r>
              <w:rPr>
                <w:rFonts w:hint="eastAsia" w:ascii="宋体" w:hAnsi="宋体" w:eastAsia="宋体" w:cs="宋体"/>
                <w:b/>
                <w:color w:val="auto"/>
                <w:kern w:val="0"/>
                <w:sz w:val="24"/>
              </w:rPr>
              <w:t>技</w:t>
            </w:r>
          </w:p>
          <w:p>
            <w:pPr>
              <w:pStyle w:val="35"/>
              <w:spacing w:line="360" w:lineRule="auto"/>
              <w:jc w:val="center"/>
              <w:rPr>
                <w:rFonts w:ascii="宋体" w:hAnsi="宋体" w:eastAsia="宋体" w:cs="宋体"/>
                <w:b/>
                <w:color w:val="auto"/>
                <w:kern w:val="0"/>
                <w:sz w:val="24"/>
              </w:rPr>
            </w:pPr>
            <w:r>
              <w:rPr>
                <w:rFonts w:hint="eastAsia" w:ascii="宋体" w:hAnsi="宋体" w:eastAsia="宋体" w:cs="宋体"/>
                <w:b/>
                <w:color w:val="auto"/>
                <w:kern w:val="0"/>
                <w:sz w:val="24"/>
              </w:rPr>
              <w:t>术</w:t>
            </w:r>
          </w:p>
          <w:p>
            <w:pPr>
              <w:pStyle w:val="35"/>
              <w:spacing w:line="360" w:lineRule="auto"/>
              <w:jc w:val="center"/>
              <w:rPr>
                <w:rFonts w:ascii="宋体" w:hAnsi="宋体" w:eastAsia="宋体" w:cs="宋体"/>
                <w:b/>
                <w:color w:val="auto"/>
                <w:kern w:val="0"/>
                <w:sz w:val="24"/>
              </w:rPr>
            </w:pPr>
            <w:r>
              <w:rPr>
                <w:rFonts w:hint="eastAsia" w:ascii="宋体" w:hAnsi="宋体" w:eastAsia="宋体" w:cs="宋体"/>
                <w:b/>
                <w:color w:val="auto"/>
                <w:kern w:val="0"/>
                <w:sz w:val="24"/>
              </w:rPr>
              <w:t>文件</w:t>
            </w:r>
          </w:p>
        </w:tc>
        <w:tc>
          <w:tcPr>
            <w:tcW w:w="60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kern w:val="0"/>
                <w:sz w:val="24"/>
              </w:rPr>
            </w:pPr>
            <w:r>
              <w:rPr>
                <w:rFonts w:hint="eastAsia" w:ascii="宋体" w:hAnsi="宋体"/>
                <w:color w:val="auto"/>
                <w:kern w:val="0"/>
                <w:sz w:val="24"/>
              </w:rPr>
              <w:t>投标人自行编写的技术文件：</w:t>
            </w:r>
          </w:p>
          <w:p>
            <w:pPr>
              <w:spacing w:line="360" w:lineRule="auto"/>
              <w:rPr>
                <w:rFonts w:ascii="宋体" w:hAnsi="宋体"/>
                <w:color w:val="auto"/>
                <w:kern w:val="0"/>
                <w:sz w:val="24"/>
              </w:rPr>
            </w:pPr>
            <w:r>
              <w:rPr>
                <w:rFonts w:hint="eastAsia" w:ascii="宋体" w:hAnsi="宋体"/>
                <w:color w:val="auto"/>
                <w:kern w:val="0"/>
                <w:sz w:val="24"/>
              </w:rPr>
              <w:t>{①</w:t>
            </w:r>
            <w:r>
              <w:rPr>
                <w:rFonts w:hint="eastAsia" w:ascii="宋体" w:hAnsi="宋体"/>
                <w:color w:val="auto"/>
                <w:kern w:val="0"/>
                <w:sz w:val="24"/>
                <w:lang w:val="en-US" w:eastAsia="zh-CN"/>
              </w:rPr>
              <w:t>供餐要求</w:t>
            </w:r>
            <w:r>
              <w:rPr>
                <w:rFonts w:hint="eastAsia" w:ascii="宋体" w:hAnsi="宋体"/>
                <w:color w:val="auto"/>
                <w:kern w:val="0"/>
                <w:sz w:val="24"/>
              </w:rPr>
              <w:t>；</w:t>
            </w:r>
          </w:p>
          <w:p>
            <w:pPr>
              <w:spacing w:line="360" w:lineRule="auto"/>
              <w:rPr>
                <w:rFonts w:ascii="宋体" w:hAnsi="宋体"/>
                <w:color w:val="auto"/>
                <w:kern w:val="0"/>
                <w:sz w:val="24"/>
              </w:rPr>
            </w:pPr>
            <w:r>
              <w:rPr>
                <w:rFonts w:hint="eastAsia" w:ascii="宋体" w:hAnsi="宋体"/>
                <w:color w:val="auto"/>
                <w:kern w:val="0"/>
                <w:sz w:val="24"/>
              </w:rPr>
              <w:t>②</w:t>
            </w:r>
            <w:r>
              <w:rPr>
                <w:rFonts w:hint="eastAsia" w:ascii="宋体" w:hAnsi="宋体"/>
                <w:color w:val="auto"/>
                <w:kern w:val="0"/>
                <w:sz w:val="24"/>
                <w:lang w:val="en-US" w:eastAsia="zh-CN"/>
              </w:rPr>
              <w:t>服务方案</w:t>
            </w:r>
            <w:r>
              <w:rPr>
                <w:rFonts w:hint="eastAsia" w:ascii="宋体" w:hAnsi="宋体"/>
                <w:color w:val="auto"/>
                <w:kern w:val="0"/>
                <w:sz w:val="24"/>
              </w:rPr>
              <w:t>；</w:t>
            </w:r>
          </w:p>
          <w:p>
            <w:pPr>
              <w:spacing w:line="360" w:lineRule="auto"/>
              <w:rPr>
                <w:rFonts w:ascii="宋体" w:hAnsi="宋体"/>
                <w:color w:val="auto"/>
                <w:kern w:val="0"/>
                <w:sz w:val="24"/>
              </w:rPr>
            </w:pPr>
            <w:r>
              <w:rPr>
                <w:rFonts w:hint="eastAsia" w:ascii="宋体" w:hAnsi="宋体"/>
                <w:color w:val="auto"/>
                <w:kern w:val="0"/>
                <w:sz w:val="24"/>
              </w:rPr>
              <w:t>③</w:t>
            </w:r>
            <w:r>
              <w:rPr>
                <w:rFonts w:hint="eastAsia" w:ascii="宋体" w:hAnsi="宋体"/>
                <w:color w:val="auto"/>
                <w:kern w:val="0"/>
                <w:sz w:val="24"/>
                <w:lang w:val="en-US" w:eastAsia="zh-CN"/>
              </w:rPr>
              <w:t>人员配备</w:t>
            </w:r>
            <w:r>
              <w:rPr>
                <w:rFonts w:hint="eastAsia" w:ascii="宋体" w:hAnsi="宋体"/>
                <w:color w:val="auto"/>
                <w:kern w:val="0"/>
                <w:sz w:val="24"/>
              </w:rPr>
              <w:t>；</w:t>
            </w:r>
          </w:p>
          <w:p>
            <w:pPr>
              <w:spacing w:line="360" w:lineRule="auto"/>
              <w:rPr>
                <w:rFonts w:hint="default" w:ascii="宋体" w:hAnsi="宋体" w:eastAsia="宋体"/>
                <w:color w:val="auto"/>
                <w:kern w:val="0"/>
                <w:sz w:val="24"/>
                <w:lang w:val="en-US" w:eastAsia="zh-CN"/>
              </w:rPr>
            </w:pPr>
            <w:r>
              <w:rPr>
                <w:rFonts w:hint="eastAsia" w:ascii="宋体" w:hAnsi="宋体"/>
                <w:color w:val="auto"/>
                <w:kern w:val="0"/>
                <w:sz w:val="24"/>
              </w:rPr>
              <w:t>④</w:t>
            </w:r>
            <w:r>
              <w:rPr>
                <w:rFonts w:hint="eastAsia" w:ascii="宋体" w:hAnsi="宋体"/>
                <w:color w:val="auto"/>
                <w:kern w:val="0"/>
                <w:sz w:val="24"/>
                <w:lang w:val="en-US" w:eastAsia="zh-CN"/>
              </w:rPr>
              <w:t>食堂原材料采购及卫生要求</w:t>
            </w:r>
            <w:r>
              <w:rPr>
                <w:rFonts w:hint="eastAsia" w:ascii="宋体" w:hAnsi="宋体"/>
                <w:color w:val="auto"/>
                <w:kern w:val="0"/>
                <w:sz w:val="24"/>
              </w:rPr>
              <w:t>；</w:t>
            </w:r>
          </w:p>
          <w:p>
            <w:pPr>
              <w:spacing w:line="360" w:lineRule="auto"/>
              <w:rPr>
                <w:rFonts w:ascii="宋体" w:hAnsi="宋体" w:cs="宋体"/>
                <w:color w:val="auto"/>
                <w:kern w:val="0"/>
                <w:sz w:val="24"/>
                <w:u w:val="single"/>
              </w:rPr>
            </w:pPr>
            <w:r>
              <w:rPr>
                <w:rFonts w:hint="eastAsia" w:ascii="宋体" w:hAnsi="宋体"/>
                <w:color w:val="auto"/>
                <w:kern w:val="0"/>
                <w:sz w:val="24"/>
              </w:rPr>
              <w:t>⑤技术规范偏离表；}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36" w:type="dxa"/>
            <w:vMerge w:val="continue"/>
            <w:tcBorders>
              <w:top w:val="single" w:color="auto" w:sz="4" w:space="0"/>
              <w:left w:val="single" w:color="auto" w:sz="4" w:space="0"/>
              <w:bottom w:val="single" w:color="auto" w:sz="4" w:space="0"/>
              <w:right w:val="single" w:color="auto" w:sz="4" w:space="0"/>
            </w:tcBorders>
            <w:vAlign w:val="center"/>
          </w:tcPr>
          <w:p>
            <w:pPr>
              <w:pStyle w:val="35"/>
              <w:widowControl/>
              <w:jc w:val="left"/>
              <w:rPr>
                <w:rFonts w:ascii="宋体" w:hAnsi="宋体" w:eastAsia="宋体" w:cs="宋体"/>
                <w:b/>
                <w:kern w:val="0"/>
                <w:sz w:val="24"/>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pPr>
              <w:pStyle w:val="35"/>
              <w:widowControl/>
              <w:jc w:val="left"/>
              <w:rPr>
                <w:rFonts w:ascii="宋体" w:hAnsi="宋体" w:eastAsia="宋体" w:cs="宋体"/>
                <w:sz w:val="24"/>
                <w:highlight w:val="yellow"/>
              </w:rPr>
            </w:pPr>
          </w:p>
        </w:tc>
        <w:tc>
          <w:tcPr>
            <w:tcW w:w="70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color w:val="auto"/>
                <w:kern w:val="0"/>
                <w:sz w:val="24"/>
              </w:rPr>
            </w:pPr>
            <w:r>
              <w:rPr>
                <w:rFonts w:hint="eastAsia" w:ascii="宋体" w:hAnsi="宋体" w:eastAsia="宋体" w:cs="宋体"/>
                <w:b/>
                <w:color w:val="auto"/>
                <w:kern w:val="0"/>
                <w:sz w:val="24"/>
              </w:rPr>
              <w:t>服务文件</w:t>
            </w:r>
          </w:p>
        </w:tc>
        <w:tc>
          <w:tcPr>
            <w:tcW w:w="60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kern w:val="0"/>
                <w:sz w:val="24"/>
              </w:rPr>
            </w:pPr>
            <w:r>
              <w:rPr>
                <w:rFonts w:hint="eastAsia" w:ascii="宋体" w:hAnsi="宋体"/>
                <w:color w:val="auto"/>
                <w:kern w:val="0"/>
                <w:sz w:val="24"/>
              </w:rPr>
              <w:t>投标人自行编写的服务文件：</w:t>
            </w:r>
          </w:p>
          <w:p>
            <w:pPr>
              <w:spacing w:line="360" w:lineRule="auto"/>
              <w:rPr>
                <w:rFonts w:ascii="宋体" w:hAnsi="宋体"/>
                <w:color w:val="auto"/>
                <w:kern w:val="0"/>
                <w:sz w:val="24"/>
              </w:rPr>
            </w:pPr>
            <w:r>
              <w:rPr>
                <w:rFonts w:hint="eastAsia" w:ascii="宋体" w:hAnsi="宋体"/>
                <w:color w:val="auto"/>
                <w:kern w:val="0"/>
                <w:sz w:val="24"/>
              </w:rPr>
              <w:t>{①后续服务:</w:t>
            </w:r>
          </w:p>
          <w:p>
            <w:pPr>
              <w:spacing w:line="360" w:lineRule="auto"/>
              <w:rPr>
                <w:rFonts w:ascii="宋体" w:hAnsi="宋体"/>
                <w:color w:val="auto"/>
                <w:kern w:val="0"/>
                <w:sz w:val="24"/>
              </w:rPr>
            </w:pPr>
            <w:r>
              <w:rPr>
                <w:rFonts w:hint="eastAsia" w:ascii="宋体" w:hAnsi="宋体"/>
                <w:color w:val="auto"/>
                <w:kern w:val="0"/>
                <w:sz w:val="24"/>
              </w:rPr>
              <w:t>&lt;1&gt;后续服务的程序、内容、措施</w:t>
            </w:r>
            <w:r>
              <w:rPr>
                <w:rFonts w:hint="eastAsia" w:ascii="宋体" w:hAnsi="宋体"/>
                <w:color w:val="auto"/>
                <w:kern w:val="0"/>
                <w:sz w:val="24"/>
                <w:lang w:eastAsia="zh-CN"/>
              </w:rPr>
              <w:t>、</w:t>
            </w:r>
            <w:r>
              <w:rPr>
                <w:rFonts w:hint="eastAsia" w:ascii="宋体" w:hAnsi="宋体"/>
                <w:color w:val="auto"/>
                <w:kern w:val="0"/>
                <w:sz w:val="24"/>
              </w:rPr>
              <w:t>合理化建议</w:t>
            </w:r>
            <w:r>
              <w:rPr>
                <w:rFonts w:hint="eastAsia" w:ascii="宋体" w:hAnsi="宋体"/>
                <w:color w:val="auto"/>
                <w:kern w:val="0"/>
                <w:sz w:val="24"/>
                <w:lang w:val="en-US" w:eastAsia="zh-CN"/>
              </w:rPr>
              <w:t>及优惠条款</w:t>
            </w:r>
            <w:r>
              <w:rPr>
                <w:rFonts w:hint="eastAsia" w:ascii="宋体" w:hAnsi="宋体"/>
                <w:color w:val="auto"/>
                <w:kern w:val="0"/>
                <w:sz w:val="24"/>
              </w:rPr>
              <w:t>；</w:t>
            </w:r>
          </w:p>
          <w:p>
            <w:pPr>
              <w:spacing w:line="360" w:lineRule="auto"/>
              <w:rPr>
                <w:rFonts w:ascii="宋体" w:hAnsi="宋体"/>
                <w:color w:val="auto"/>
                <w:kern w:val="0"/>
                <w:sz w:val="24"/>
              </w:rPr>
            </w:pPr>
            <w:r>
              <w:rPr>
                <w:rFonts w:hint="eastAsia" w:ascii="宋体" w:hAnsi="宋体"/>
                <w:color w:val="auto"/>
                <w:kern w:val="0"/>
                <w:sz w:val="24"/>
              </w:rPr>
              <w:t>&lt;2&gt;响应时间和技术支持情况；</w:t>
            </w:r>
          </w:p>
          <w:p>
            <w:pPr>
              <w:spacing w:line="360" w:lineRule="auto"/>
              <w:rPr>
                <w:rFonts w:ascii="宋体" w:hAnsi="宋体" w:cs="宋体"/>
                <w:color w:val="auto"/>
                <w:kern w:val="0"/>
                <w:sz w:val="24"/>
              </w:rPr>
            </w:pPr>
            <w:r>
              <w:rPr>
                <w:rFonts w:hint="eastAsia" w:ascii="宋体" w:hAnsi="宋体"/>
                <w:color w:val="auto"/>
                <w:kern w:val="0"/>
                <w:sz w:val="24"/>
              </w:rPr>
              <w:t>②服务项目偏离表。}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7</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sz w:val="24"/>
              </w:rPr>
            </w:pPr>
            <w:r>
              <w:rPr>
                <w:rFonts w:hint="eastAsia" w:ascii="宋体" w:hAnsi="宋体" w:eastAsia="宋体" w:cs="宋体"/>
                <w:b/>
                <w:sz w:val="24"/>
              </w:rPr>
              <w:t>是否允许联合体投标</w:t>
            </w:r>
          </w:p>
        </w:tc>
        <w:tc>
          <w:tcPr>
            <w:tcW w:w="6098" w:type="dxa"/>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rPr>
                <w:rFonts w:ascii="宋体" w:hAnsi="宋体" w:eastAsia="宋体" w:cs="宋体"/>
                <w:kern w:val="0"/>
                <w:sz w:val="24"/>
              </w:rPr>
            </w:pPr>
            <w:bookmarkStart w:id="14" w:name="EB0f86f5f9a6b44b37825cf035703cfc15"/>
            <w:bookmarkEnd w:id="14"/>
            <w:r>
              <w:rPr>
                <w:rFonts w:hint="eastAsia" w:ascii="宋体" w:hAnsi="宋体" w:eastAsia="宋体" w:cs="宋体"/>
                <w:kern w:val="0"/>
                <w:sz w:val="24"/>
              </w:rPr>
              <w:t>☐是。</w:t>
            </w:r>
          </w:p>
          <w:p>
            <w:pPr>
              <w:pStyle w:val="35"/>
              <w:autoSpaceDE w:val="0"/>
              <w:autoSpaceDN w:val="0"/>
              <w:adjustRightInd w:val="0"/>
              <w:spacing w:line="360" w:lineRule="auto"/>
              <w:rPr>
                <w:rFonts w:ascii="宋体" w:hAnsi="宋体" w:eastAsia="宋体" w:cs="宋体"/>
                <w:kern w:val="0"/>
                <w:sz w:val="24"/>
              </w:rPr>
            </w:pPr>
            <w:bookmarkStart w:id="15" w:name="EBbabddb5118a847b6bdf4b49ae8647b6b"/>
            <w:bookmarkEnd w:id="15"/>
            <w:r>
              <w:rPr>
                <w:rFonts w:hint="eastAsia" w:ascii="宋体" w:hAnsi="宋体" w:eastAsia="宋体" w:cs="宋体"/>
                <w:sz w:val="24"/>
              </w:rPr>
              <w:sym w:font="Wingdings" w:char="00FE"/>
            </w:r>
            <w:r>
              <w:rPr>
                <w:rFonts w:hint="eastAsia" w:ascii="宋体" w:hAnsi="宋体" w:eastAsia="宋体"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8</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sz w:val="24"/>
              </w:rPr>
            </w:pPr>
            <w:r>
              <w:rPr>
                <w:rFonts w:hint="eastAsia" w:ascii="宋体" w:hAnsi="宋体" w:eastAsia="宋体" w:cs="宋体"/>
                <w:b/>
                <w:sz w:val="24"/>
              </w:rPr>
              <w:t>是否允许投标人将项目非主体、非关键性工作交由他人完成</w:t>
            </w:r>
          </w:p>
        </w:tc>
        <w:tc>
          <w:tcPr>
            <w:tcW w:w="6098" w:type="dxa"/>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宋体" w:hAnsi="宋体" w:eastAsia="宋体" w:cs="宋体"/>
                <w:kern w:val="0"/>
                <w:sz w:val="24"/>
              </w:rPr>
            </w:pPr>
            <w:bookmarkStart w:id="16" w:name="EB65a901bb2d1e4b94a96b402959e5078f"/>
            <w:bookmarkEnd w:id="16"/>
            <w:bookmarkStart w:id="17" w:name="EB46de3bf2b5e44d249096c9a68bd8cf71"/>
            <w:bookmarkEnd w:id="17"/>
            <w:r>
              <w:rPr>
                <w:rFonts w:hint="eastAsia" w:ascii="宋体" w:hAnsi="宋体" w:eastAsia="宋体" w:cs="宋体"/>
                <w:sz w:val="24"/>
              </w:rPr>
              <w:sym w:font="Wingdings" w:char="00FE"/>
            </w:r>
            <w:r>
              <w:rPr>
                <w:rFonts w:hint="eastAsia" w:ascii="宋体" w:hAnsi="宋体" w:eastAsia="宋体" w:cs="宋体"/>
                <w:kern w:val="0"/>
                <w:sz w:val="24"/>
              </w:rPr>
              <w:t>否。</w:t>
            </w:r>
          </w:p>
          <w:p>
            <w:pPr>
              <w:pStyle w:val="35"/>
              <w:autoSpaceDE w:val="0"/>
              <w:autoSpaceDN w:val="0"/>
              <w:adjustRightInd w:val="0"/>
              <w:spacing w:line="360" w:lineRule="auto"/>
              <w:rPr>
                <w:rFonts w:ascii="宋体" w:hAnsi="宋体" w:eastAsia="宋体" w:cs="宋体"/>
                <w:kern w:val="0"/>
                <w:sz w:val="24"/>
                <w:highlight w:val="green"/>
              </w:rPr>
            </w:pPr>
            <w:r>
              <w:rPr>
                <w:rFonts w:hint="eastAsia" w:ascii="宋体" w:hAnsi="宋体" w:eastAsia="宋体" w:cs="宋体"/>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9</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sz w:val="24"/>
                <w:highlight w:val="yellow"/>
              </w:rPr>
            </w:pPr>
            <w:r>
              <w:rPr>
                <w:rFonts w:hint="eastAsia" w:ascii="宋体" w:hAnsi="宋体" w:eastAsia="宋体" w:cs="宋体"/>
                <w:b/>
                <w:sz w:val="24"/>
              </w:rPr>
              <w:t>踏勘现场</w:t>
            </w:r>
          </w:p>
        </w:tc>
        <w:tc>
          <w:tcPr>
            <w:tcW w:w="6098" w:type="dxa"/>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360" w:lineRule="auto"/>
              <w:rPr>
                <w:rFonts w:ascii="宋体" w:hAnsi="宋体" w:eastAsia="宋体" w:cs="宋体"/>
                <w:kern w:val="0"/>
                <w:sz w:val="24"/>
              </w:rPr>
            </w:pPr>
            <w:bookmarkStart w:id="18" w:name="EB3654e13cae20475eac84fa83364d7833"/>
            <w:bookmarkEnd w:id="18"/>
            <w:r>
              <w:rPr>
                <w:rFonts w:hint="eastAsia" w:ascii="宋体" w:hAnsi="宋体" w:eastAsia="宋体" w:cs="宋体"/>
                <w:sz w:val="24"/>
              </w:rPr>
              <w:sym w:font="Wingdings" w:char="00FE"/>
            </w:r>
            <w:r>
              <w:rPr>
                <w:rFonts w:hint="eastAsia" w:ascii="宋体" w:hAnsi="宋体" w:eastAsia="宋体" w:cs="宋体"/>
                <w:kern w:val="0"/>
                <w:sz w:val="24"/>
              </w:rPr>
              <w:t>自行踏勘</w:t>
            </w:r>
          </w:p>
          <w:p>
            <w:pPr>
              <w:pStyle w:val="35"/>
              <w:autoSpaceDE w:val="0"/>
              <w:autoSpaceDN w:val="0"/>
              <w:adjustRightInd w:val="0"/>
              <w:spacing w:line="360" w:lineRule="auto"/>
              <w:rPr>
                <w:rFonts w:ascii="宋体" w:hAnsi="宋体" w:eastAsia="宋体" w:cs="宋体"/>
                <w:kern w:val="0"/>
                <w:sz w:val="24"/>
              </w:rPr>
            </w:pPr>
            <w:r>
              <w:rPr>
                <w:rFonts w:hint="eastAsia" w:ascii="宋体" w:hAnsi="宋体" w:eastAsia="宋体" w:cs="宋体"/>
                <w:kern w:val="0"/>
                <w:sz w:val="24"/>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10</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sz w:val="24"/>
              </w:rPr>
            </w:pPr>
            <w:r>
              <w:rPr>
                <w:rFonts w:hint="eastAsia" w:ascii="宋体" w:hAnsi="宋体" w:eastAsia="宋体" w:cs="宋体"/>
                <w:b/>
                <w:sz w:val="24"/>
              </w:rPr>
              <w:t>答疑接受时间</w:t>
            </w:r>
          </w:p>
        </w:tc>
        <w:tc>
          <w:tcPr>
            <w:tcW w:w="6098" w:type="dxa"/>
            <w:tcBorders>
              <w:top w:val="single" w:color="auto" w:sz="4" w:space="0"/>
              <w:left w:val="single" w:color="auto" w:sz="4" w:space="0"/>
              <w:bottom w:val="single" w:color="auto" w:sz="4" w:space="0"/>
              <w:right w:val="single" w:color="auto" w:sz="4" w:space="0"/>
            </w:tcBorders>
            <w:vAlign w:val="center"/>
          </w:tcPr>
          <w:p>
            <w:pPr>
              <w:pStyle w:val="35"/>
              <w:spacing w:after="200" w:line="360" w:lineRule="auto"/>
              <w:rPr>
                <w:rFonts w:hint="eastAsia" w:ascii="宋体" w:hAnsi="宋体" w:eastAsia="宋体" w:cs="宋体"/>
                <w:bCs/>
                <w:sz w:val="24"/>
                <w:lang w:eastAsia="zh-CN"/>
              </w:rPr>
            </w:pPr>
            <w:bookmarkStart w:id="19" w:name="EB17a0b1178f4e475ebd3db773a983cd6b"/>
            <w:bookmarkEnd w:id="19"/>
            <w:r>
              <w:rPr>
                <w:rFonts w:hint="eastAsia" w:ascii="宋体" w:hAnsi="宋体" w:eastAsia="宋体" w:cs="宋体"/>
                <w:bCs/>
                <w:sz w:val="24"/>
                <w:u w:val="single"/>
              </w:rPr>
              <w:t>202</w:t>
            </w:r>
            <w:r>
              <w:rPr>
                <w:rFonts w:hint="eastAsia" w:ascii="宋体" w:hAnsi="宋体" w:eastAsia="宋体" w:cs="宋体"/>
                <w:bCs/>
                <w:sz w:val="24"/>
                <w:u w:val="single"/>
                <w:lang w:val="en-US" w:eastAsia="zh-CN"/>
              </w:rPr>
              <w:t>2</w:t>
            </w:r>
            <w:r>
              <w:rPr>
                <w:rFonts w:hint="eastAsia" w:ascii="宋体" w:hAnsi="宋体" w:eastAsia="宋体" w:cs="宋体"/>
                <w:bCs/>
                <w:sz w:val="24"/>
                <w:u w:val="single"/>
              </w:rPr>
              <w:t>年</w:t>
            </w:r>
            <w:r>
              <w:rPr>
                <w:rFonts w:hint="eastAsia" w:ascii="宋体" w:hAnsi="宋体" w:eastAsia="宋体" w:cs="宋体"/>
                <w:bCs/>
                <w:sz w:val="24"/>
                <w:u w:val="single"/>
                <w:lang w:val="en-US" w:eastAsia="zh-CN"/>
              </w:rPr>
              <w:t>1</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29</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 xml:space="preserve">19：00 </w:t>
            </w:r>
            <w:r>
              <w:rPr>
                <w:rFonts w:hint="eastAsia" w:ascii="宋体" w:hAnsi="宋体" w:eastAsia="宋体" w:cs="宋体"/>
                <w:bCs/>
                <w:sz w:val="24"/>
              </w:rPr>
              <w:t>（北京时间）前</w:t>
            </w:r>
            <w:r>
              <w:rPr>
                <w:rFonts w:hint="eastAsia" w:ascii="宋体" w:hAnsi="宋体" w:eastAsia="宋体" w:cs="宋体"/>
                <w:bCs/>
                <w:sz w:val="24"/>
                <w:lang w:eastAsia="zh-CN"/>
              </w:rPr>
              <w:t>接受投标人疑问或澄清要求</w:t>
            </w:r>
            <w:r>
              <w:rPr>
                <w:rFonts w:hint="eastAsia" w:ascii="宋体" w:hAnsi="宋体" w:eastAsia="宋体" w:cs="宋体"/>
                <w:bCs/>
                <w:sz w:val="24"/>
              </w:rPr>
              <w:t>（逾期不予受理）</w:t>
            </w:r>
            <w:r>
              <w:rPr>
                <w:rFonts w:hint="eastAsia" w:ascii="宋体" w:hAnsi="宋体" w:eastAsia="宋体" w:cs="宋体"/>
                <w:bCs/>
                <w:sz w:val="24"/>
                <w:lang w:eastAsia="zh-CN"/>
              </w:rPr>
              <w:t>。</w:t>
            </w:r>
          </w:p>
          <w:p>
            <w:pPr>
              <w:pStyle w:val="36"/>
              <w:autoSpaceDE w:val="0"/>
              <w:autoSpaceDN w:val="0"/>
              <w:adjustRightInd w:val="0"/>
              <w:spacing w:after="200" w:line="360" w:lineRule="auto"/>
              <w:rPr>
                <w:rFonts w:hint="eastAsia" w:ascii="宋体" w:hAnsi="宋体" w:eastAsia="宋体" w:cs="宋体"/>
                <w:sz w:val="24"/>
                <w:lang w:eastAsia="zh-CN"/>
              </w:rPr>
            </w:pPr>
            <w:r>
              <w:rPr>
                <w:rFonts w:hint="eastAsia" w:ascii="宋体" w:hAnsi="宋体" w:eastAsia="宋体" w:cs="宋体"/>
                <w:kern w:val="0"/>
                <w:sz w:val="24"/>
              </w:rPr>
              <w:t>联系人：</w:t>
            </w:r>
            <w:r>
              <w:rPr>
                <w:rFonts w:hint="eastAsia" w:ascii="宋体" w:hAnsi="宋体" w:eastAsia="宋体" w:cs="宋体"/>
                <w:kern w:val="0"/>
                <w:sz w:val="24"/>
                <w:u w:val="single"/>
                <w:lang w:val="en-US" w:eastAsia="zh-CN"/>
              </w:rPr>
              <w:t>柳叶、郝剑波</w:t>
            </w:r>
          </w:p>
          <w:p>
            <w:pPr>
              <w:pStyle w:val="36"/>
              <w:autoSpaceDE w:val="0"/>
              <w:autoSpaceDN w:val="0"/>
              <w:adjustRightInd w:val="0"/>
              <w:spacing w:after="200" w:line="360" w:lineRule="auto"/>
              <w:rPr>
                <w:rFonts w:ascii="宋体" w:hAnsi="宋体" w:eastAsia="宋体" w:cs="宋体"/>
                <w:kern w:val="0"/>
                <w:sz w:val="24"/>
              </w:rPr>
            </w:pPr>
            <w:r>
              <w:rPr>
                <w:rFonts w:hint="eastAsia" w:ascii="宋体" w:hAnsi="宋体" w:eastAsia="宋体" w:cs="宋体"/>
                <w:kern w:val="0"/>
                <w:sz w:val="24"/>
              </w:rPr>
              <w:t>联系电话：</w:t>
            </w:r>
            <w:r>
              <w:rPr>
                <w:rFonts w:hint="eastAsia" w:ascii="宋体" w:hAnsi="宋体" w:eastAsia="宋体" w:cs="宋体"/>
                <w:sz w:val="24"/>
                <w:u w:val="single"/>
              </w:rPr>
              <w:t>13779351779、18742918891</w:t>
            </w:r>
            <w:r>
              <w:rPr>
                <w:rFonts w:hint="eastAsia" w:ascii="宋体" w:hAnsi="宋体" w:eastAsia="宋体" w:cs="宋体"/>
                <w:kern w:val="0"/>
                <w:sz w:val="24"/>
                <w:u w:val="single"/>
              </w:rPr>
              <w:t xml:space="preserve"> </w:t>
            </w:r>
          </w:p>
          <w:p>
            <w:pPr>
              <w:pStyle w:val="35"/>
              <w:spacing w:after="200" w:line="360" w:lineRule="auto"/>
              <w:rPr>
                <w:rFonts w:ascii="宋体" w:hAnsi="宋体" w:eastAsia="宋体" w:cs="宋体"/>
                <w:sz w:val="24"/>
              </w:rPr>
            </w:pPr>
            <w:r>
              <w:rPr>
                <w:rFonts w:hint="eastAsia" w:ascii="宋体" w:hAnsi="宋体" w:eastAsia="宋体" w:cs="宋体"/>
                <w:kern w:val="0"/>
                <w:sz w:val="24"/>
              </w:rPr>
              <w:t>提交方式：</w:t>
            </w:r>
            <w:r>
              <w:rPr>
                <w:rFonts w:hint="eastAsia" w:ascii="宋体" w:hAnsi="宋体" w:eastAsia="宋体" w:cs="宋体"/>
                <w:kern w:val="0"/>
                <w:sz w:val="24"/>
                <w:u w:val="single"/>
              </w:rPr>
              <w:t>在投标单位登陆平台上提交，并将纸质版文件加盖公章送至新疆德利得工程管理有限公司</w:t>
            </w:r>
          </w:p>
          <w:p>
            <w:pPr>
              <w:pStyle w:val="35"/>
              <w:autoSpaceDE w:val="0"/>
              <w:autoSpaceDN w:val="0"/>
              <w:adjustRightInd w:val="0"/>
              <w:spacing w:line="360" w:lineRule="auto"/>
              <w:rPr>
                <w:rFonts w:ascii="宋体" w:hAnsi="宋体" w:eastAsia="宋体" w:cs="宋体"/>
                <w:kern w:val="0"/>
                <w:sz w:val="24"/>
              </w:rPr>
            </w:pPr>
            <w:r>
              <w:rPr>
                <w:rFonts w:hint="eastAsia" w:ascii="宋体" w:hAnsi="宋体" w:eastAsia="宋体" w:cs="宋体"/>
                <w:b/>
                <w:bCs/>
                <w:sz w:val="24"/>
              </w:rPr>
              <w:t>注：澄清、修改文件发出后，投标人必须使用最新的澄清文件制作电子投标文件，否则将无法完成上传。由此造成的一切后果由投标供应商自行承担。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11</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sz w:val="24"/>
              </w:rPr>
            </w:pPr>
            <w:r>
              <w:rPr>
                <w:rFonts w:hint="eastAsia" w:ascii="宋体" w:hAnsi="宋体" w:eastAsia="宋体" w:cs="宋体"/>
                <w:b/>
                <w:sz w:val="24"/>
              </w:rPr>
              <w:t>投标有效期</w:t>
            </w:r>
          </w:p>
        </w:tc>
        <w:tc>
          <w:tcPr>
            <w:tcW w:w="6098" w:type="dxa"/>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宋体" w:hAnsi="宋体" w:eastAsia="宋体" w:cs="宋体"/>
                <w:b/>
                <w:bCs/>
                <w:sz w:val="24"/>
              </w:rPr>
            </w:pPr>
            <w:r>
              <w:rPr>
                <w:rFonts w:hint="eastAsia" w:ascii="宋体" w:hAnsi="宋体" w:eastAsia="宋体" w:cs="宋体"/>
                <w:sz w:val="24"/>
                <w:lang w:val="zh-CN"/>
              </w:rPr>
              <w:t>自投标截止之日起</w:t>
            </w:r>
            <w:bookmarkStart w:id="20" w:name="EB8c89669a7b2d4e7d97b13873e077b2f7"/>
            <w:bookmarkEnd w:id="20"/>
            <w:r>
              <w:rPr>
                <w:rFonts w:hint="eastAsia" w:ascii="宋体" w:hAnsi="宋体" w:eastAsia="宋体" w:cs="宋体"/>
                <w:kern w:val="0"/>
                <w:sz w:val="24"/>
                <w:u w:val="single"/>
              </w:rPr>
              <w:t>90</w:t>
            </w:r>
            <w:r>
              <w:rPr>
                <w:rFonts w:hint="eastAsia" w:ascii="宋体" w:hAnsi="宋体" w:eastAsia="宋体" w:cs="宋体"/>
                <w:sz w:val="24"/>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12</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sz w:val="24"/>
              </w:rPr>
            </w:pPr>
            <w:r>
              <w:rPr>
                <w:rFonts w:hint="eastAsia" w:ascii="宋体" w:hAnsi="宋体" w:eastAsia="宋体" w:cs="宋体"/>
                <w:b/>
                <w:kern w:val="0"/>
                <w:sz w:val="24"/>
              </w:rPr>
              <w:t>投标截止时间（开标时间）</w:t>
            </w:r>
          </w:p>
        </w:tc>
        <w:tc>
          <w:tcPr>
            <w:tcW w:w="6098" w:type="dxa"/>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宋体" w:hAnsi="宋体" w:eastAsia="宋体" w:cs="宋体"/>
                <w:sz w:val="24"/>
              </w:rPr>
            </w:pPr>
            <w:r>
              <w:rPr>
                <w:rFonts w:hint="eastAsia" w:ascii="宋体" w:hAnsi="宋体" w:eastAsia="宋体" w:cs="宋体"/>
                <w:sz w:val="24"/>
              </w:rPr>
              <w:t>截止时间：</w:t>
            </w:r>
            <w:bookmarkStart w:id="21" w:name="EB63b5c568556649b2bb3803aea9efb797"/>
            <w:bookmarkEnd w:id="21"/>
            <w:r>
              <w:rPr>
                <w:rFonts w:hint="eastAsia" w:ascii="宋体" w:hAnsi="宋体" w:eastAsia="宋体" w:cs="宋体"/>
                <w:sz w:val="24"/>
              </w:rPr>
              <w:t>2022年2月</w:t>
            </w:r>
            <w:r>
              <w:rPr>
                <w:rFonts w:hint="eastAsia" w:ascii="宋体" w:hAnsi="宋体" w:eastAsia="宋体" w:cs="宋体"/>
                <w:sz w:val="24"/>
                <w:lang w:val="en-US" w:eastAsia="zh-CN"/>
              </w:rPr>
              <w:t>15</w:t>
            </w:r>
            <w:r>
              <w:rPr>
                <w:rFonts w:hint="eastAsia" w:ascii="宋体" w:hAnsi="宋体" w:eastAsia="宋体" w:cs="宋体"/>
                <w:sz w:val="24"/>
              </w:rPr>
              <w:t>日10时30分（北京时间）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13</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投标人在投标截止</w:t>
            </w:r>
          </w:p>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时间前提交的文件</w:t>
            </w:r>
          </w:p>
        </w:tc>
        <w:tc>
          <w:tcPr>
            <w:tcW w:w="6098" w:type="dxa"/>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宋体" w:hAnsi="宋体" w:eastAsia="宋体" w:cs="宋体"/>
                <w:sz w:val="24"/>
              </w:rPr>
            </w:pPr>
            <w:r>
              <w:rPr>
                <w:rFonts w:hint="eastAsia" w:ascii="宋体" w:hAnsi="宋体" w:eastAsia="宋体" w:cs="宋体"/>
                <w:sz w:val="24"/>
              </w:rPr>
              <w:t>投标文件（具体要求见本表第14项）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14</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投标文件份数</w:t>
            </w:r>
          </w:p>
        </w:tc>
        <w:tc>
          <w:tcPr>
            <w:tcW w:w="6098" w:type="dxa"/>
            <w:tcBorders>
              <w:top w:val="single" w:color="auto" w:sz="4" w:space="0"/>
              <w:left w:val="single" w:color="auto" w:sz="4" w:space="0"/>
              <w:bottom w:val="single" w:color="auto" w:sz="4" w:space="0"/>
              <w:right w:val="single" w:color="auto" w:sz="4" w:space="0"/>
            </w:tcBorders>
            <w:vAlign w:val="top"/>
          </w:tcPr>
          <w:p>
            <w:pPr>
              <w:pStyle w:val="35"/>
              <w:widowControl/>
              <w:autoSpaceDE w:val="0"/>
              <w:autoSpaceDN w:val="0"/>
              <w:spacing w:line="360" w:lineRule="exact"/>
              <w:rPr>
                <w:rFonts w:hint="eastAsia"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highlight w:val="white"/>
              </w:rPr>
              <w:t>采用不见面开标：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1．本项目采用不见面开标、</w:t>
            </w:r>
            <w:r>
              <w:rPr>
                <w:rFonts w:hint="eastAsia" w:ascii="宋体" w:hAnsi="宋体" w:cs="宋体"/>
                <w:sz w:val="24"/>
                <w:szCs w:val="24"/>
                <w:vertAlign w:val="baseline"/>
                <w:lang w:val="en-US" w:eastAsia="zh-CN"/>
              </w:rPr>
              <w:t>供应商</w:t>
            </w:r>
            <w:r>
              <w:rPr>
                <w:rFonts w:hint="eastAsia" w:ascii="宋体" w:hAnsi="宋体" w:eastAsia="宋体" w:cs="宋体"/>
                <w:sz w:val="24"/>
                <w:szCs w:val="24"/>
                <w:vertAlign w:val="baseline"/>
                <w:lang w:val="en-US" w:eastAsia="zh-CN"/>
              </w:rPr>
              <w:t>需要递交电子</w:t>
            </w:r>
            <w:r>
              <w:rPr>
                <w:rFonts w:hint="eastAsia" w:ascii="宋体" w:hAnsi="宋体" w:cs="宋体"/>
                <w:sz w:val="24"/>
                <w:szCs w:val="24"/>
                <w:vertAlign w:val="baseline"/>
                <w:lang w:val="en-US" w:eastAsia="zh-CN"/>
              </w:rPr>
              <w:t>响应文件</w:t>
            </w:r>
            <w:r>
              <w:rPr>
                <w:rFonts w:hint="eastAsia" w:ascii="宋体" w:hAnsi="宋体" w:eastAsia="宋体" w:cs="宋体"/>
                <w:sz w:val="24"/>
                <w:szCs w:val="24"/>
                <w:vertAlign w:val="baseline"/>
                <w:lang w:val="en-US" w:eastAsia="zh-CN"/>
              </w:rPr>
              <w:t>，加密的电子</w:t>
            </w:r>
            <w:r>
              <w:rPr>
                <w:rFonts w:hint="eastAsia" w:ascii="宋体" w:hAnsi="宋体" w:cs="宋体"/>
                <w:sz w:val="24"/>
                <w:szCs w:val="24"/>
                <w:vertAlign w:val="baseline"/>
                <w:lang w:val="en-US" w:eastAsia="zh-CN"/>
              </w:rPr>
              <w:t>响应文件</w:t>
            </w:r>
            <w:r>
              <w:rPr>
                <w:rFonts w:hint="eastAsia" w:ascii="宋体" w:hAnsi="宋体" w:eastAsia="宋体" w:cs="宋体"/>
                <w:sz w:val="24"/>
                <w:szCs w:val="24"/>
                <w:vertAlign w:val="baseline"/>
                <w:lang w:val="en-US" w:eastAsia="zh-CN"/>
              </w:rPr>
              <w:t>，在投标截止时间前通过政采云平台上传到指定位置。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ascii="宋体" w:hAnsi="宋体" w:eastAsia="宋体" w:cs="宋体"/>
                <w:kern w:val="0"/>
                <w:sz w:val="24"/>
              </w:rPr>
            </w:pPr>
            <w:r>
              <w:rPr>
                <w:rFonts w:hint="eastAsia" w:ascii="宋体" w:hAnsi="宋体" w:eastAsia="宋体" w:cs="宋体"/>
                <w:sz w:val="24"/>
                <w:szCs w:val="24"/>
                <w:vertAlign w:val="baseline"/>
                <w:lang w:val="en-US" w:eastAsia="zh-CN"/>
              </w:rPr>
              <w:t>2.本项目采用远程不见面交易的模式。开标当日，</w:t>
            </w:r>
            <w:r>
              <w:rPr>
                <w:rFonts w:hint="eastAsia" w:ascii="宋体" w:hAnsi="宋体" w:cs="宋体"/>
                <w:sz w:val="24"/>
                <w:szCs w:val="24"/>
                <w:vertAlign w:val="baseline"/>
                <w:lang w:val="en-US" w:eastAsia="zh-CN"/>
              </w:rPr>
              <w:t>供应商</w:t>
            </w:r>
            <w:r>
              <w:rPr>
                <w:rFonts w:hint="eastAsia" w:ascii="宋体" w:hAnsi="宋体" w:eastAsia="宋体" w:cs="宋体"/>
                <w:sz w:val="24"/>
                <w:szCs w:val="24"/>
                <w:vertAlign w:val="baseline"/>
                <w:lang w:val="en-US" w:eastAsia="zh-CN"/>
              </w:rPr>
              <w:t>无需到达开标现场，仅需在任意地点通过政采云平台完成远程解密、提疑澄清、开标唱标、结果公布等交互环节。</w:t>
            </w:r>
            <w:r>
              <w:rPr>
                <w:rFonts w:hint="eastAsia" w:ascii="宋体" w:hAnsi="宋体" w:cs="宋体"/>
                <w:sz w:val="24"/>
                <w:szCs w:val="24"/>
                <w:vertAlign w:val="baseline"/>
                <w:lang w:val="en-US" w:eastAsia="zh-CN"/>
              </w:rPr>
              <w:t>供应商</w:t>
            </w:r>
            <w:r>
              <w:rPr>
                <w:rFonts w:hint="eastAsia" w:ascii="宋体" w:hAnsi="宋体" w:eastAsia="宋体" w:cs="宋体"/>
                <w:sz w:val="24"/>
                <w:szCs w:val="24"/>
                <w:vertAlign w:val="baseline"/>
                <w:lang w:val="en-US" w:eastAsia="zh-CN"/>
              </w:rPr>
              <w:t>必须使用能正确解密</w:t>
            </w:r>
            <w:r>
              <w:rPr>
                <w:rFonts w:hint="eastAsia" w:ascii="宋体" w:hAnsi="宋体" w:cs="宋体"/>
                <w:sz w:val="24"/>
                <w:szCs w:val="24"/>
                <w:vertAlign w:val="baseline"/>
                <w:lang w:val="en-US" w:eastAsia="zh-CN"/>
              </w:rPr>
              <w:t>响应文件</w:t>
            </w:r>
            <w:r>
              <w:rPr>
                <w:rFonts w:hint="eastAsia" w:ascii="宋体" w:hAnsi="宋体" w:eastAsia="宋体" w:cs="宋体"/>
                <w:sz w:val="24"/>
                <w:szCs w:val="24"/>
                <w:vertAlign w:val="baseline"/>
                <w:lang w:val="en-US" w:eastAsia="zh-CN"/>
              </w:rPr>
              <w:t>的“CA锁”在规定的时间内完成远程解密，因</w:t>
            </w:r>
            <w:r>
              <w:rPr>
                <w:rFonts w:hint="eastAsia" w:ascii="宋体" w:hAnsi="宋体" w:cs="宋体"/>
                <w:sz w:val="24"/>
                <w:szCs w:val="24"/>
                <w:vertAlign w:val="baseline"/>
                <w:lang w:val="en-US" w:eastAsia="zh-CN"/>
              </w:rPr>
              <w:t>供应商</w:t>
            </w:r>
            <w:r>
              <w:rPr>
                <w:rFonts w:hint="eastAsia" w:ascii="宋体" w:hAnsi="宋体" w:eastAsia="宋体" w:cs="宋体"/>
                <w:sz w:val="24"/>
                <w:szCs w:val="24"/>
                <w:vertAlign w:val="baseline"/>
                <w:lang w:val="en-US" w:eastAsia="zh-CN"/>
              </w:rPr>
              <w:t>原因未能解密、解密失败或解密超时，视为</w:t>
            </w:r>
            <w:r>
              <w:rPr>
                <w:rFonts w:hint="eastAsia" w:ascii="宋体" w:hAnsi="宋体" w:cs="宋体"/>
                <w:sz w:val="24"/>
                <w:szCs w:val="24"/>
                <w:vertAlign w:val="baseline"/>
                <w:lang w:val="en-US" w:eastAsia="zh-CN"/>
              </w:rPr>
              <w:t>供应商</w:t>
            </w:r>
            <w:r>
              <w:rPr>
                <w:rFonts w:hint="eastAsia" w:ascii="宋体" w:hAnsi="宋体" w:eastAsia="宋体" w:cs="宋体"/>
                <w:sz w:val="24"/>
                <w:szCs w:val="24"/>
                <w:vertAlign w:val="baseline"/>
                <w:lang w:val="en-US" w:eastAsia="zh-CN"/>
              </w:rPr>
              <w:t>撤销其</w:t>
            </w:r>
            <w:r>
              <w:rPr>
                <w:rFonts w:hint="eastAsia" w:ascii="宋体" w:hAnsi="宋体" w:cs="宋体"/>
                <w:sz w:val="24"/>
                <w:szCs w:val="24"/>
                <w:vertAlign w:val="baseline"/>
                <w:lang w:val="en-US" w:eastAsia="zh-CN"/>
              </w:rPr>
              <w:t>响应文件</w:t>
            </w:r>
            <w:r>
              <w:rPr>
                <w:rFonts w:hint="eastAsia" w:ascii="宋体" w:hAnsi="宋体" w:eastAsia="宋体" w:cs="宋体"/>
                <w:sz w:val="24"/>
                <w:szCs w:val="24"/>
                <w:vertAlign w:val="baseline"/>
                <w:lang w:val="en-US" w:eastAsia="zh-CN"/>
              </w:rPr>
              <w:t>，系统内</w:t>
            </w:r>
            <w:r>
              <w:rPr>
                <w:rFonts w:hint="eastAsia" w:ascii="宋体" w:hAnsi="宋体" w:cs="宋体"/>
                <w:sz w:val="24"/>
                <w:szCs w:val="24"/>
                <w:vertAlign w:val="baseline"/>
                <w:lang w:val="en-US" w:eastAsia="zh-CN"/>
              </w:rPr>
              <w:t>响应文件</w:t>
            </w:r>
            <w:r>
              <w:rPr>
                <w:rFonts w:hint="eastAsia" w:ascii="宋体" w:hAnsi="宋体" w:eastAsia="宋体" w:cs="宋体"/>
                <w:sz w:val="24"/>
                <w:szCs w:val="24"/>
                <w:vertAlign w:val="baseline"/>
                <w:lang w:val="en-US" w:eastAsia="zh-CN"/>
              </w:rPr>
              <w:t>将被退回；因采购人原因或网上招投标平台发生故障，导致无法按时完成</w:t>
            </w:r>
            <w:r>
              <w:rPr>
                <w:rFonts w:hint="eastAsia" w:ascii="宋体" w:hAnsi="宋体" w:cs="宋体"/>
                <w:sz w:val="24"/>
                <w:szCs w:val="24"/>
                <w:vertAlign w:val="baseline"/>
                <w:lang w:val="en-US" w:eastAsia="zh-CN"/>
              </w:rPr>
              <w:t>响应文件</w:t>
            </w:r>
            <w:r>
              <w:rPr>
                <w:rFonts w:hint="eastAsia" w:ascii="宋体" w:hAnsi="宋体" w:eastAsia="宋体" w:cs="宋体"/>
                <w:sz w:val="24"/>
                <w:szCs w:val="24"/>
                <w:vertAlign w:val="baseline"/>
                <w:lang w:val="en-US" w:eastAsia="zh-CN"/>
              </w:rPr>
              <w:t>解密或开、评标工作无法进行的，可根据实际情况相应延迟解密时间或调整开、评标时间（友情提示：若</w:t>
            </w:r>
            <w:r>
              <w:rPr>
                <w:rFonts w:hint="eastAsia" w:ascii="宋体" w:hAnsi="宋体" w:cs="宋体"/>
                <w:sz w:val="24"/>
                <w:szCs w:val="24"/>
                <w:vertAlign w:val="baseline"/>
                <w:lang w:val="en-US" w:eastAsia="zh-CN"/>
              </w:rPr>
              <w:t>供应商</w:t>
            </w:r>
            <w:r>
              <w:rPr>
                <w:rFonts w:hint="eastAsia" w:ascii="宋体" w:hAnsi="宋体" w:eastAsia="宋体" w:cs="宋体"/>
                <w:sz w:val="24"/>
                <w:szCs w:val="24"/>
                <w:vertAlign w:val="baseline"/>
                <w:lang w:val="en-US" w:eastAsia="zh-CN"/>
              </w:rPr>
              <w:t>已领取副锁（含多把副锁）请注意正副锁的使用差别，务必使用生成</w:t>
            </w:r>
            <w:r>
              <w:rPr>
                <w:rFonts w:hint="eastAsia" w:ascii="宋体" w:hAnsi="宋体" w:cs="宋体"/>
                <w:sz w:val="24"/>
                <w:szCs w:val="24"/>
                <w:vertAlign w:val="baseline"/>
                <w:lang w:val="en-US" w:eastAsia="zh-CN"/>
              </w:rPr>
              <w:t>响应文件</w:t>
            </w:r>
            <w:r>
              <w:rPr>
                <w:rFonts w:hint="eastAsia" w:ascii="宋体" w:hAnsi="宋体" w:eastAsia="宋体" w:cs="宋体"/>
                <w:sz w:val="24"/>
                <w:szCs w:val="24"/>
                <w:vertAlign w:val="baseline"/>
                <w:lang w:val="en-US" w:eastAsia="zh-CN"/>
              </w:rPr>
              <w:t>的那把锁解密）。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15</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开标时间及地点</w:t>
            </w:r>
          </w:p>
        </w:tc>
        <w:tc>
          <w:tcPr>
            <w:tcW w:w="60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☑采用不见面开标：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kern w:val="2"/>
                <w:sz w:val="24"/>
                <w:szCs w:val="24"/>
                <w:u w:val="single"/>
                <w:vertAlign w:val="baseline"/>
                <w:lang w:val="en-US" w:eastAsia="zh-CN" w:bidi="ar-SA"/>
              </w:rPr>
            </w:pPr>
            <w:r>
              <w:rPr>
                <w:rFonts w:hint="eastAsia" w:ascii="宋体" w:hAnsi="宋体" w:eastAsia="宋体" w:cs="宋体"/>
                <w:kern w:val="2"/>
                <w:sz w:val="24"/>
                <w:szCs w:val="24"/>
                <w:vertAlign w:val="baseline"/>
                <w:lang w:val="en-US" w:eastAsia="zh-CN" w:bidi="ar-SA"/>
              </w:rPr>
              <w:t>开标时间：</w:t>
            </w:r>
            <w:r>
              <w:rPr>
                <w:rFonts w:hint="eastAsia" w:ascii="宋体" w:hAnsi="宋体" w:eastAsia="宋体" w:cs="宋体"/>
                <w:kern w:val="2"/>
                <w:sz w:val="24"/>
                <w:szCs w:val="24"/>
                <w:u w:val="single"/>
                <w:vertAlign w:val="baseline"/>
                <w:lang w:val="en-US" w:eastAsia="zh-CN" w:bidi="ar-SA"/>
              </w:rPr>
              <w:t>同投标截止时间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kern w:val="2"/>
                <w:sz w:val="24"/>
                <w:szCs w:val="24"/>
                <w:u w:val="single"/>
                <w:vertAlign w:val="baseline"/>
                <w:lang w:val="en-US" w:eastAsia="zh-CN" w:bidi="ar-SA"/>
              </w:rPr>
            </w:pPr>
            <w:r>
              <w:rPr>
                <w:rFonts w:hint="eastAsia" w:ascii="宋体" w:hAnsi="宋体" w:eastAsia="宋体" w:cs="宋体"/>
                <w:kern w:val="2"/>
                <w:sz w:val="24"/>
                <w:szCs w:val="24"/>
                <w:vertAlign w:val="baseline"/>
                <w:lang w:val="en-US" w:eastAsia="zh-CN" w:bidi="ar-SA"/>
              </w:rPr>
              <w:t>开标地点：</w:t>
            </w:r>
            <w:r>
              <w:rPr>
                <w:rFonts w:hint="eastAsia" w:ascii="宋体" w:hAnsi="宋体" w:eastAsia="宋体" w:cs="宋体"/>
                <w:kern w:val="2"/>
                <w:sz w:val="24"/>
                <w:szCs w:val="24"/>
                <w:u w:val="single"/>
                <w:vertAlign w:val="baseline"/>
                <w:lang w:val="en-US" w:eastAsia="zh-CN" w:bidi="ar-SA"/>
              </w:rPr>
              <w:t>政采云平台开标大厅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不见面开标默认解密时长：</w:t>
            </w:r>
            <w:r>
              <w:rPr>
                <w:rFonts w:hint="eastAsia" w:ascii="宋体" w:hAnsi="宋体" w:cs="宋体"/>
                <w:kern w:val="2"/>
                <w:sz w:val="24"/>
                <w:szCs w:val="24"/>
                <w:u w:val="single"/>
                <w:vertAlign w:val="baseline"/>
                <w:lang w:val="en-US" w:eastAsia="zh-CN" w:bidi="ar-SA"/>
              </w:rPr>
              <w:t>3</w:t>
            </w:r>
            <w:r>
              <w:rPr>
                <w:rFonts w:hint="eastAsia" w:ascii="宋体" w:hAnsi="宋体" w:eastAsia="宋体" w:cs="宋体"/>
                <w:kern w:val="2"/>
                <w:sz w:val="24"/>
                <w:szCs w:val="24"/>
                <w:u w:val="single"/>
                <w:vertAlign w:val="baseline"/>
                <w:lang w:val="en-US" w:eastAsia="zh-CN" w:bidi="ar-SA"/>
              </w:rPr>
              <w:t xml:space="preserve">0分钟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kern w:val="2"/>
                <w:sz w:val="24"/>
                <w:szCs w:val="24"/>
                <w:u w:val="single"/>
                <w:vertAlign w:val="baseline"/>
                <w:lang w:val="en-US" w:eastAsia="zh-CN" w:bidi="ar-SA"/>
              </w:rPr>
            </w:pPr>
            <w:r>
              <w:rPr>
                <w:rFonts w:hint="eastAsia" w:ascii="宋体" w:hAnsi="宋体" w:eastAsia="宋体" w:cs="宋体"/>
                <w:kern w:val="2"/>
                <w:sz w:val="24"/>
                <w:szCs w:val="24"/>
                <w:vertAlign w:val="baseline"/>
                <w:lang w:val="en-US" w:eastAsia="zh-CN" w:bidi="ar-SA"/>
              </w:rPr>
              <w:t>关于能否延长解密时间的约定：</w:t>
            </w:r>
            <w:r>
              <w:rPr>
                <w:rFonts w:hint="eastAsia" w:ascii="宋体" w:hAnsi="宋体" w:eastAsia="宋体" w:cs="宋体"/>
                <w:kern w:val="2"/>
                <w:sz w:val="24"/>
                <w:szCs w:val="24"/>
                <w:u w:val="single"/>
                <w:vertAlign w:val="baseline"/>
                <w:lang w:val="en-US" w:eastAsia="zh-CN" w:bidi="ar-SA"/>
              </w:rPr>
              <w:t>不延长解密时长。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kern w:val="2"/>
                <w:sz w:val="24"/>
                <w:szCs w:val="24"/>
                <w:u w:val="single"/>
                <w:vertAlign w:val="baseline"/>
                <w:lang w:val="en-US" w:eastAsia="zh-CN" w:bidi="ar-SA"/>
              </w:rPr>
            </w:pPr>
            <w:r>
              <w:rPr>
                <w:rFonts w:hint="eastAsia" w:ascii="宋体" w:hAnsi="宋体" w:eastAsia="宋体" w:cs="宋体"/>
                <w:kern w:val="2"/>
                <w:sz w:val="24"/>
                <w:szCs w:val="24"/>
                <w:vertAlign w:val="baseline"/>
                <w:lang w:val="en-US" w:eastAsia="zh-CN" w:bidi="ar-SA"/>
              </w:rPr>
              <w:t>供应商报价确认：</w:t>
            </w:r>
            <w:r>
              <w:rPr>
                <w:rFonts w:hint="eastAsia" w:ascii="宋体" w:hAnsi="宋体" w:eastAsia="宋体" w:cs="宋体"/>
                <w:kern w:val="2"/>
                <w:sz w:val="24"/>
                <w:szCs w:val="24"/>
                <w:u w:val="single"/>
                <w:vertAlign w:val="baseline"/>
                <w:lang w:val="en-US" w:eastAsia="zh-CN" w:bidi="ar-SA"/>
              </w:rPr>
              <w:t>供应商对报价开标记录表进行电子签章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ascii="宋体" w:hAnsi="宋体" w:eastAsia="宋体" w:cs="宋体"/>
                <w:sz w:val="24"/>
              </w:rPr>
            </w:pPr>
            <w:r>
              <w:rPr>
                <w:rFonts w:hint="eastAsia" w:ascii="宋体" w:hAnsi="宋体" w:eastAsia="宋体" w:cs="宋体"/>
                <w:kern w:val="2"/>
                <w:sz w:val="24"/>
                <w:szCs w:val="24"/>
                <w:vertAlign w:val="baseline"/>
                <w:lang w:val="en-US" w:eastAsia="zh-CN" w:bidi="ar-SA"/>
              </w:rPr>
              <w:t>电子签章时长：</w:t>
            </w:r>
            <w:r>
              <w:rPr>
                <w:rFonts w:hint="eastAsia" w:ascii="宋体" w:hAnsi="宋体" w:eastAsia="宋体" w:cs="宋体"/>
                <w:kern w:val="2"/>
                <w:sz w:val="24"/>
                <w:szCs w:val="24"/>
                <w:u w:val="single"/>
                <w:vertAlign w:val="baseline"/>
                <w:lang w:val="en-US" w:eastAsia="zh-CN" w:bidi="ar-SA"/>
              </w:rPr>
              <w:t>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16</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评标委员会的组成</w:t>
            </w:r>
          </w:p>
        </w:tc>
        <w:tc>
          <w:tcPr>
            <w:tcW w:w="6098" w:type="dxa"/>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宋体" w:hAnsi="宋体" w:eastAsia="宋体" w:cs="宋体"/>
                <w:sz w:val="24"/>
              </w:rPr>
            </w:pPr>
            <w:r>
              <w:rPr>
                <w:rFonts w:hint="eastAsia" w:ascii="宋体" w:hAnsi="宋体" w:eastAsia="宋体" w:cs="宋体"/>
                <w:sz w:val="24"/>
              </w:rPr>
              <w:t>评标委员会构成：</w:t>
            </w:r>
            <w:bookmarkStart w:id="22" w:name="EB3f0c29cb8f8242048d3ab4e38d30f235"/>
            <w:bookmarkEnd w:id="22"/>
            <w:r>
              <w:rPr>
                <w:rFonts w:hint="eastAsia" w:ascii="宋体" w:hAnsi="宋体" w:eastAsia="宋体" w:cs="宋体"/>
                <w:color w:val="auto"/>
                <w:kern w:val="0"/>
                <w:sz w:val="24"/>
                <w:u w:val="single"/>
              </w:rPr>
              <w:t>7</w:t>
            </w:r>
            <w:r>
              <w:rPr>
                <w:rFonts w:hint="eastAsia" w:ascii="宋体" w:hAnsi="宋体" w:eastAsia="宋体" w:cs="宋体"/>
                <w:color w:val="auto"/>
                <w:sz w:val="24"/>
              </w:rPr>
              <w:t>人，其中招标</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rPr>
              <w:t>人代表</w:t>
            </w:r>
            <w:bookmarkStart w:id="23" w:name="EB1dccf8155053468b961a92163090aec3"/>
            <w:bookmarkEnd w:id="23"/>
            <w:r>
              <w:rPr>
                <w:rFonts w:hint="eastAsia" w:ascii="宋体" w:hAnsi="宋体" w:eastAsia="宋体" w:cs="宋体"/>
                <w:color w:val="auto"/>
                <w:sz w:val="24"/>
              </w:rPr>
              <w:t>人评委</w:t>
            </w:r>
          </w:p>
          <w:p>
            <w:pPr>
              <w:pStyle w:val="35"/>
              <w:spacing w:line="360" w:lineRule="auto"/>
              <w:rPr>
                <w:rFonts w:ascii="宋体" w:hAnsi="宋体" w:eastAsia="宋体" w:cs="宋体"/>
                <w:sz w:val="24"/>
                <w:highlight w:val="green"/>
              </w:rPr>
            </w:pPr>
            <w:r>
              <w:rPr>
                <w:rFonts w:hint="eastAsia" w:ascii="宋体" w:hAnsi="宋体" w:eastAsia="宋体" w:cs="宋体"/>
                <w:sz w:val="24"/>
              </w:rPr>
              <w:t>确定方式：</w:t>
            </w:r>
            <w:bookmarkStart w:id="24" w:name="EBa6c2783a0e5147c8b3ec5246f7ef3cfa"/>
            <w:bookmarkEnd w:id="24"/>
            <w:r>
              <w:rPr>
                <w:rFonts w:hint="eastAsia" w:ascii="宋体" w:hAnsi="宋体" w:eastAsia="宋体" w:cs="宋体"/>
                <w:sz w:val="24"/>
              </w:rPr>
              <w:t>在兵团政采云专家库中抽取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36" w:type="dxa"/>
            <w:vMerge w:val="restart"/>
            <w:tcBorders>
              <w:top w:val="single" w:color="auto" w:sz="4" w:space="0"/>
              <w:left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17</w:t>
            </w:r>
          </w:p>
        </w:tc>
        <w:tc>
          <w:tcPr>
            <w:tcW w:w="2315" w:type="dxa"/>
            <w:gridSpan w:val="2"/>
            <w:vMerge w:val="restart"/>
            <w:tcBorders>
              <w:top w:val="single" w:color="auto" w:sz="4" w:space="0"/>
              <w:left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投标保证金</w:t>
            </w:r>
          </w:p>
        </w:tc>
        <w:tc>
          <w:tcPr>
            <w:tcW w:w="6098" w:type="dxa"/>
            <w:tcBorders>
              <w:top w:val="single" w:color="auto" w:sz="4" w:space="0"/>
              <w:left w:val="single" w:color="auto" w:sz="4" w:space="0"/>
              <w:bottom w:val="single" w:color="auto" w:sz="4" w:space="0"/>
              <w:right w:val="single" w:color="auto" w:sz="4" w:space="0"/>
            </w:tcBorders>
            <w:vAlign w:val="center"/>
          </w:tcPr>
          <w:p>
            <w:pPr>
              <w:pStyle w:val="41"/>
              <w:spacing w:after="200" w:line="288" w:lineRule="auto"/>
              <w:ind w:firstLine="2"/>
              <w:rPr>
                <w:rFonts w:ascii="宋体" w:hAnsi="宋体" w:eastAsia="宋体" w:cs="宋体"/>
                <w:kern w:val="0"/>
                <w:sz w:val="24"/>
              </w:rPr>
            </w:pPr>
            <w:r>
              <w:rPr>
                <w:rFonts w:hint="eastAsia" w:ascii="宋体" w:hAnsi="宋体" w:eastAsia="宋体" w:cs="宋体"/>
                <w:sz w:val="24"/>
                <w:szCs w:val="24"/>
              </w:rPr>
              <w:t>缴纳方式：电汇、网银转账、保函等非现金形式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36" w:type="dxa"/>
            <w:vMerge w:val="continue"/>
            <w:tcBorders>
              <w:left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p>
        </w:tc>
        <w:tc>
          <w:tcPr>
            <w:tcW w:w="2315" w:type="dxa"/>
            <w:gridSpan w:val="2"/>
            <w:vMerge w:val="continue"/>
            <w:tcBorders>
              <w:left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p>
        </w:tc>
        <w:tc>
          <w:tcPr>
            <w:tcW w:w="6098" w:type="dxa"/>
            <w:tcBorders>
              <w:top w:val="single" w:color="auto" w:sz="4" w:space="0"/>
              <w:left w:val="single" w:color="auto" w:sz="4" w:space="0"/>
              <w:bottom w:val="single" w:color="auto" w:sz="4" w:space="0"/>
              <w:right w:val="single" w:color="auto" w:sz="4" w:space="0"/>
            </w:tcBorders>
            <w:vAlign w:val="center"/>
          </w:tcPr>
          <w:p>
            <w:pPr>
              <w:pStyle w:val="49"/>
              <w:spacing w:after="200" w:line="288" w:lineRule="auto"/>
              <w:rPr>
                <w:rFonts w:ascii="宋体" w:hAnsi="宋体" w:eastAsia="宋体" w:cs="宋体"/>
                <w:sz w:val="24"/>
                <w:szCs w:val="24"/>
              </w:rPr>
            </w:pPr>
            <w:r>
              <w:rPr>
                <w:rFonts w:hint="eastAsia" w:ascii="宋体" w:hAnsi="宋体" w:eastAsia="宋体" w:cs="宋体"/>
                <w:kern w:val="0"/>
                <w:sz w:val="24"/>
                <w:szCs w:val="24"/>
              </w:rPr>
              <w:t>金额（小写）：</w:t>
            </w:r>
            <w:r>
              <w:rPr>
                <w:rFonts w:hint="eastAsia" w:ascii="宋体" w:hAnsi="宋体" w:eastAsia="宋体" w:cs="宋体"/>
                <w:kern w:val="0"/>
                <w:sz w:val="24"/>
                <w:szCs w:val="24"/>
                <w:lang w:val="en-US" w:eastAsia="zh-CN"/>
              </w:rPr>
              <w:t>260000</w:t>
            </w:r>
            <w:r>
              <w:rPr>
                <w:rFonts w:hint="eastAsia" w:ascii="宋体" w:hAnsi="宋体" w:eastAsia="宋体" w:cs="宋体"/>
                <w:kern w:val="0"/>
                <w:sz w:val="24"/>
                <w:szCs w:val="24"/>
              </w:rPr>
              <w:t>元</w:t>
            </w:r>
          </w:p>
          <w:p>
            <w:pPr>
              <w:pStyle w:val="41"/>
              <w:spacing w:after="200" w:line="288" w:lineRule="auto"/>
              <w:ind w:firstLine="2"/>
              <w:rPr>
                <w:rFonts w:ascii="宋体" w:hAnsi="宋体" w:eastAsia="宋体" w:cs="宋体"/>
                <w:kern w:val="0"/>
                <w:sz w:val="24"/>
              </w:rPr>
            </w:pPr>
            <w:r>
              <w:rPr>
                <w:rFonts w:hint="eastAsia" w:ascii="宋体" w:hAnsi="宋体" w:eastAsia="宋体" w:cs="宋体"/>
                <w:kern w:val="0"/>
                <w:sz w:val="24"/>
                <w:szCs w:val="24"/>
              </w:rPr>
              <w:t>金额（大写）：</w:t>
            </w:r>
            <w:r>
              <w:rPr>
                <w:rFonts w:hint="eastAsia" w:ascii="宋体" w:hAnsi="宋体" w:eastAsia="宋体" w:cs="宋体"/>
                <w:kern w:val="0"/>
                <w:sz w:val="24"/>
                <w:szCs w:val="24"/>
                <w:lang w:val="en-US" w:eastAsia="zh-CN"/>
              </w:rPr>
              <w:t>贰拾陆万</w:t>
            </w:r>
            <w:r>
              <w:rPr>
                <w:rFonts w:hint="eastAsia" w:ascii="宋体" w:hAnsi="宋体" w:eastAsia="宋体" w:cs="宋体"/>
                <w:kern w:val="0"/>
                <w:sz w:val="24"/>
                <w:szCs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2" w:hRule="atLeast"/>
          <w:jc w:val="center"/>
        </w:trPr>
        <w:tc>
          <w:tcPr>
            <w:tcW w:w="736" w:type="dxa"/>
            <w:vMerge w:val="continue"/>
            <w:tcBorders>
              <w:left w:val="single" w:color="auto" w:sz="4" w:space="0"/>
              <w:right w:val="single" w:color="auto" w:sz="4" w:space="0"/>
            </w:tcBorders>
            <w:vAlign w:val="center"/>
          </w:tcPr>
          <w:p>
            <w:pPr>
              <w:pStyle w:val="35"/>
              <w:spacing w:line="360" w:lineRule="auto"/>
              <w:rPr>
                <w:rFonts w:ascii="宋体" w:hAnsi="宋体" w:eastAsia="宋体" w:cs="宋体"/>
                <w:sz w:val="24"/>
              </w:rPr>
            </w:pPr>
          </w:p>
        </w:tc>
        <w:tc>
          <w:tcPr>
            <w:tcW w:w="2315" w:type="dxa"/>
            <w:gridSpan w:val="2"/>
            <w:vMerge w:val="continue"/>
            <w:tcBorders>
              <w:left w:val="single" w:color="auto" w:sz="4" w:space="0"/>
              <w:right w:val="single" w:color="auto" w:sz="4" w:space="0"/>
            </w:tcBorders>
            <w:vAlign w:val="center"/>
          </w:tcPr>
          <w:p>
            <w:pPr>
              <w:pStyle w:val="35"/>
              <w:spacing w:line="360" w:lineRule="auto"/>
              <w:rPr>
                <w:rFonts w:ascii="宋体" w:hAnsi="宋体" w:eastAsia="宋体" w:cs="宋体"/>
                <w:sz w:val="24"/>
              </w:rPr>
            </w:pPr>
          </w:p>
        </w:tc>
        <w:tc>
          <w:tcPr>
            <w:tcW w:w="6098"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收款单位：新疆德利得工程管理有限公司</w:t>
            </w:r>
          </w:p>
          <w:p>
            <w:pPr>
              <w:pStyle w:val="49"/>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开户银行：石河子国民村镇银行有限责任公司</w:t>
            </w:r>
          </w:p>
          <w:p>
            <w:pPr>
              <w:pStyle w:val="49"/>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银行账号：60810101302068966</w:t>
            </w:r>
          </w:p>
          <w:p>
            <w:pPr>
              <w:pStyle w:val="49"/>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注：（1）投标保证金可以网银转账的形式由供应商的基本账户(个体工商户除外)缴纳至招标代理机构给定的基本账户，如未从基本账户缴纳的视为无效。</w:t>
            </w:r>
          </w:p>
          <w:p>
            <w:pPr>
              <w:pStyle w:val="49"/>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(2)以非供应商名义缴纳的投标保证金无效。未按时足额交纳保证金的，其响应文件将被拒绝（★）。其有效期应不低于投标有效期。不接受以现金形式提交的保证金。</w:t>
            </w:r>
          </w:p>
          <w:p>
            <w:pPr>
              <w:pStyle w:val="49"/>
              <w:keepNext w:val="0"/>
              <w:keepLines w:val="0"/>
              <w:pageBreakBefore w:val="0"/>
              <w:widowControl w:val="0"/>
              <w:kinsoku/>
              <w:wordWrap/>
              <w:overflowPunct/>
              <w:topLinePunct w:val="0"/>
              <w:autoSpaceDE/>
              <w:autoSpaceDN/>
              <w:bidi w:val="0"/>
              <w:spacing w:after="200" w:line="360" w:lineRule="auto"/>
              <w:textAlignment w:val="auto"/>
              <w:rPr>
                <w:rFonts w:hint="eastAsia" w:ascii="宋体" w:hAnsi="宋体" w:eastAsia="宋体" w:cs="宋体"/>
                <w:color w:val="auto"/>
                <w:sz w:val="24"/>
                <w:szCs w:val="24"/>
              </w:rPr>
            </w:pPr>
            <w:r>
              <w:rPr>
                <w:rFonts w:hint="eastAsia" w:ascii="宋体" w:hAnsi="宋体" w:eastAsia="宋体" w:cs="宋体"/>
                <w:sz w:val="24"/>
                <w:szCs w:val="24"/>
                <w:lang w:val="en-US" w:eastAsia="zh-CN"/>
              </w:rPr>
              <w:t>(3)投标保证金必须在投标截止时间（开标时间）前缴纳至新疆德利得工程管理有限公司保证金账户。供应商需自行评估因异地、跨行、公休日等因素造成的投标保证金到账延迟风险，并承担相应责任。</w:t>
            </w:r>
            <w:r>
              <w:rPr>
                <w:rFonts w:hint="eastAsia" w:ascii="宋体" w:hAnsi="宋体" w:eastAsia="宋体" w:cs="宋体"/>
                <w:color w:val="auto"/>
                <w:sz w:val="24"/>
                <w:szCs w:val="24"/>
              </w:rPr>
              <w:t>打款时需在备注上注明项目名称。</w:t>
            </w:r>
          </w:p>
          <w:p>
            <w:pPr>
              <w:pStyle w:val="54"/>
              <w:keepNext w:val="0"/>
              <w:keepLines w:val="0"/>
              <w:pageBreakBefore w:val="0"/>
              <w:widowControl w:val="0"/>
              <w:kinsoku/>
              <w:wordWrap/>
              <w:overflowPunct/>
              <w:topLinePunct w:val="0"/>
              <w:autoSpaceDE/>
              <w:autoSpaceDN/>
              <w:bidi w:val="0"/>
              <w:adjustRightInd w:val="0"/>
              <w:snapToGrid w:val="0"/>
              <w:spacing w:before="120" w:beforeLines="50" w:line="360" w:lineRule="auto"/>
              <w:textAlignment w:val="auto"/>
              <w:rPr>
                <w:rFonts w:ascii="宋体" w:hAnsi="宋体" w:eastAsia="宋体" w:cs="宋体"/>
                <w:kern w:val="0"/>
                <w:sz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000000"/>
                <w:sz w:val="24"/>
                <w:szCs w:val="24"/>
                <w:highlight w:val="white"/>
              </w:rPr>
              <w:t>为简化手续，优化流程，采用电子支付方式提交投标保证金的，在退还时，按原路退回，收取时不开具收据，退还时也不要求提交收据。请各投标单位在</w:t>
            </w:r>
            <w:r>
              <w:rPr>
                <w:rFonts w:hint="eastAsia" w:ascii="宋体" w:hAnsi="宋体" w:eastAsia="宋体" w:cs="宋体"/>
                <w:color w:val="000000"/>
                <w:sz w:val="24"/>
                <w:szCs w:val="24"/>
                <w:highlight w:val="white"/>
                <w:lang w:eastAsia="zh-CN"/>
              </w:rPr>
              <w:t>响应文件</w:t>
            </w:r>
            <w:r>
              <w:rPr>
                <w:rFonts w:hint="eastAsia" w:ascii="宋体" w:hAnsi="宋体" w:eastAsia="宋体" w:cs="宋体"/>
                <w:color w:val="000000"/>
                <w:sz w:val="24"/>
                <w:szCs w:val="24"/>
                <w:highlight w:val="white"/>
              </w:rPr>
              <w:t>中提供开户许可证或退款账户信息。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18</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中小微型企业</w:t>
            </w:r>
          </w:p>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有关政策</w:t>
            </w:r>
          </w:p>
        </w:tc>
        <w:tc>
          <w:tcPr>
            <w:tcW w:w="6098" w:type="dxa"/>
            <w:tcBorders>
              <w:top w:val="single" w:color="auto" w:sz="4" w:space="0"/>
              <w:left w:val="single" w:color="auto" w:sz="4" w:space="0"/>
              <w:bottom w:val="single" w:color="auto" w:sz="4" w:space="0"/>
              <w:right w:val="single" w:color="auto" w:sz="4" w:space="0"/>
            </w:tcBorders>
            <w:vAlign w:val="center"/>
          </w:tcPr>
          <w:p>
            <w:pPr>
              <w:pStyle w:val="25"/>
              <w:spacing w:line="360" w:lineRule="auto"/>
              <w:rPr>
                <w:rFonts w:ascii="宋体" w:hAnsi="宋体" w:cs="宋体"/>
                <w:sz w:val="24"/>
                <w:szCs w:val="24"/>
              </w:rPr>
            </w:pPr>
            <w:r>
              <w:rPr>
                <w:rFonts w:hint="eastAsia" w:ascii="宋体" w:hAnsi="宋体" w:cs="宋体"/>
                <w:sz w:val="24"/>
                <w:szCs w:val="24"/>
              </w:rPr>
              <w:t>(1)根据财政部、工业和信息化部发布的关于印发《政府采购促进中小企业发展管理办法》的通知（</w:t>
            </w:r>
            <w:r>
              <w:rPr>
                <w:rFonts w:hint="eastAsia" w:ascii="宋体" w:hAnsi="宋体"/>
                <w:sz w:val="24"/>
              </w:rPr>
              <w:t>兵财库【2021】7号、财库【2020】46号</w:t>
            </w:r>
            <w:r>
              <w:rPr>
                <w:rFonts w:hint="eastAsia" w:ascii="宋体" w:hAnsi="宋体" w:cs="宋体"/>
                <w:sz w:val="24"/>
                <w:szCs w:val="24"/>
              </w:rPr>
              <w:t>）规定执行；</w:t>
            </w:r>
          </w:p>
          <w:p>
            <w:pPr>
              <w:pStyle w:val="25"/>
              <w:spacing w:line="360" w:lineRule="auto"/>
              <w:rPr>
                <w:rFonts w:ascii="宋体" w:hAnsi="宋体" w:cs="宋体"/>
                <w:kern w:val="0"/>
                <w:sz w:val="24"/>
                <w:szCs w:val="24"/>
              </w:rPr>
            </w:pPr>
            <w:r>
              <w:rPr>
                <w:rFonts w:hint="eastAsia" w:ascii="宋体" w:hAnsi="宋体" w:cs="宋体"/>
                <w:sz w:val="24"/>
                <w:szCs w:val="24"/>
              </w:rPr>
              <w:t>(2)价格扣除幅度：价格给予</w:t>
            </w:r>
            <w:r>
              <w:rPr>
                <w:rFonts w:hint="eastAsia" w:ascii="宋体" w:hAnsi="宋体" w:cs="宋体"/>
                <w:sz w:val="24"/>
                <w:szCs w:val="24"/>
                <w:u w:val="single"/>
              </w:rPr>
              <w:t xml:space="preserve">  6  </w:t>
            </w:r>
            <w:r>
              <w:rPr>
                <w:rFonts w:hint="eastAsia" w:ascii="宋体" w:hAnsi="宋体" w:cs="宋体"/>
                <w:sz w:val="24"/>
                <w:szCs w:val="24"/>
              </w:rPr>
              <w:t>%的扣除。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19</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技术部分是否采用</w:t>
            </w:r>
          </w:p>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“暗标”评审方式</w:t>
            </w:r>
          </w:p>
        </w:tc>
        <w:tc>
          <w:tcPr>
            <w:tcW w:w="6098" w:type="dxa"/>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宋体" w:hAnsi="宋体" w:eastAsia="宋体" w:cs="宋体"/>
                <w:kern w:val="0"/>
                <w:sz w:val="24"/>
              </w:rPr>
            </w:pPr>
            <w:bookmarkStart w:id="25" w:name="EB6b9b19d6907e432b9afa43d195c134f7"/>
            <w:bookmarkEnd w:id="25"/>
            <w:r>
              <w:rPr>
                <w:rFonts w:hint="eastAsia" w:ascii="宋体" w:hAnsi="宋体"/>
                <w:kern w:val="0"/>
                <w:sz w:val="24"/>
              </w:rPr>
              <w:t>☑</w:t>
            </w:r>
            <w:r>
              <w:rPr>
                <w:rFonts w:hint="eastAsia" w:ascii="宋体" w:hAnsi="宋体" w:eastAsia="宋体" w:cs="宋体"/>
                <w:kern w:val="0"/>
                <w:sz w:val="24"/>
              </w:rPr>
              <w:t>否</w:t>
            </w:r>
          </w:p>
          <w:p>
            <w:pPr>
              <w:pStyle w:val="35"/>
              <w:spacing w:line="360" w:lineRule="auto"/>
              <w:rPr>
                <w:rFonts w:ascii="宋体" w:hAnsi="宋体" w:eastAsia="宋体" w:cs="宋体"/>
                <w:kern w:val="0"/>
                <w:sz w:val="24"/>
                <w:highlight w:val="green"/>
              </w:rPr>
            </w:pPr>
            <w:r>
              <w:rPr>
                <w:rFonts w:hint="eastAsia" w:ascii="宋体" w:hAnsi="宋体" w:eastAsia="宋体" w:cs="宋体"/>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20</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评审方法</w:t>
            </w:r>
          </w:p>
        </w:tc>
        <w:tc>
          <w:tcPr>
            <w:tcW w:w="6098" w:type="dxa"/>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宋体" w:hAnsi="宋体" w:eastAsia="宋体" w:cs="宋体"/>
                <w:kern w:val="0"/>
                <w:sz w:val="24"/>
              </w:rPr>
            </w:pPr>
            <w:bookmarkStart w:id="26" w:name="EB2e2814636ed449638e31aec0b86a9c79"/>
            <w:bookmarkEnd w:id="26"/>
            <w:r>
              <w:rPr>
                <w:rFonts w:hint="eastAsia" w:ascii="宋体" w:hAnsi="宋体"/>
                <w:kern w:val="0"/>
                <w:sz w:val="24"/>
              </w:rPr>
              <w:t>☑</w:t>
            </w:r>
            <w:r>
              <w:rPr>
                <w:rFonts w:hint="eastAsia" w:ascii="宋体" w:hAnsi="宋体" w:eastAsia="宋体" w:cs="宋体"/>
                <w:kern w:val="0"/>
                <w:sz w:val="24"/>
              </w:rPr>
              <w:t xml:space="preserve">资格后审         </w:t>
            </w:r>
            <w:bookmarkStart w:id="27" w:name="EB5195853e4e84408dabe7b38250913457"/>
            <w:bookmarkEnd w:id="27"/>
            <w:r>
              <w:rPr>
                <w:rFonts w:hint="eastAsia" w:ascii="宋体" w:hAnsi="宋体" w:eastAsia="宋体" w:cs="宋体"/>
                <w:kern w:val="0"/>
                <w:sz w:val="24"/>
              </w:rPr>
              <w:t>☐资格预审</w:t>
            </w:r>
          </w:p>
          <w:p>
            <w:pPr>
              <w:pStyle w:val="36"/>
              <w:spacing w:line="360" w:lineRule="auto"/>
              <w:rPr>
                <w:rFonts w:ascii="宋体" w:hAnsi="宋体" w:eastAsia="宋体" w:cs="宋体"/>
                <w:kern w:val="0"/>
                <w:sz w:val="24"/>
              </w:rPr>
            </w:pPr>
            <w:bookmarkStart w:id="28" w:name="EB5c39ed08c4e342aeacec8cbe6387f2ef"/>
            <w:bookmarkEnd w:id="28"/>
            <w:r>
              <w:rPr>
                <w:rFonts w:hint="eastAsia" w:ascii="宋体" w:hAnsi="宋体"/>
                <w:kern w:val="0"/>
                <w:sz w:val="24"/>
              </w:rPr>
              <w:t>☑</w:t>
            </w:r>
            <w:r>
              <w:rPr>
                <w:rFonts w:hint="eastAsia" w:ascii="宋体" w:hAnsi="宋体" w:eastAsia="宋体" w:cs="宋体"/>
                <w:kern w:val="0"/>
                <w:sz w:val="24"/>
              </w:rPr>
              <w:t xml:space="preserve">综合评分法       </w:t>
            </w:r>
            <w:bookmarkStart w:id="29" w:name="EB133c7794490f47f2984bbb8eeafc51a9"/>
            <w:bookmarkEnd w:id="29"/>
            <w:r>
              <w:rPr>
                <w:rFonts w:hint="eastAsia" w:ascii="宋体" w:hAnsi="宋体" w:eastAsia="宋体" w:cs="宋体"/>
                <w:kern w:val="0"/>
                <w:sz w:val="24"/>
              </w:rPr>
              <w:t>☐最低评标价法</w:t>
            </w:r>
          </w:p>
          <w:p>
            <w:pPr>
              <w:pStyle w:val="35"/>
              <w:spacing w:line="360" w:lineRule="auto"/>
              <w:rPr>
                <w:rFonts w:ascii="宋体" w:hAnsi="宋体" w:eastAsia="宋体" w:cs="宋体"/>
                <w:kern w:val="0"/>
                <w:sz w:val="24"/>
              </w:rPr>
            </w:pPr>
            <w:r>
              <w:rPr>
                <w:rFonts w:hint="eastAsia" w:ascii="宋体" w:hAnsi="宋体" w:eastAsia="宋体" w:cs="宋体"/>
                <w:kern w:val="0"/>
                <w:sz w:val="24"/>
              </w:rPr>
              <w:t>注：</w:t>
            </w:r>
          </w:p>
          <w:p>
            <w:pPr>
              <w:pStyle w:val="35"/>
              <w:spacing w:line="360" w:lineRule="auto"/>
              <w:rPr>
                <w:rFonts w:ascii="宋体" w:hAnsi="宋体" w:eastAsia="宋体" w:cs="宋体"/>
                <w:sz w:val="24"/>
              </w:rPr>
            </w:pPr>
            <w:r>
              <w:rPr>
                <w:rFonts w:hint="eastAsia" w:ascii="宋体" w:hAnsi="宋体" w:eastAsia="宋体" w:cs="宋体"/>
                <w:sz w:val="24"/>
              </w:rPr>
              <w:t>1、最低评标价法，是指以价格为主要因素确定中标供应商的评标方法，即在全部满足招标文件实质性要求前提下，依据统一的价格要素评定最低报价，以提出最低报价的投标人作为中标候选供应商或者中标供应商的评标方法。投标报价相同的，按技术指标优劣顺序排列，技术指标较优的一方为中标人。</w:t>
            </w:r>
          </w:p>
          <w:p>
            <w:pPr>
              <w:pStyle w:val="35"/>
              <w:spacing w:line="360" w:lineRule="auto"/>
              <w:rPr>
                <w:rFonts w:ascii="宋体" w:hAnsi="宋体" w:eastAsia="宋体" w:cs="宋体"/>
                <w:kern w:val="0"/>
                <w:sz w:val="24"/>
              </w:rPr>
            </w:pPr>
            <w:r>
              <w:rPr>
                <w:rFonts w:hint="eastAsia" w:ascii="宋体" w:hAnsi="宋体" w:eastAsia="宋体" w:cs="宋体"/>
                <w:kern w:val="0"/>
                <w:sz w:val="24"/>
              </w:rPr>
              <w:t>2、综合评分法是指在最大限度地满足招标文件实质性要求前提下，按照招标文件中规定的评分细则评审后，以评标最终最高得分的投标人作为中标人的评标方法。每一投标人的最终得分为所有评委评分的算术平均值</w:t>
            </w:r>
            <w:r>
              <w:rPr>
                <w:rFonts w:hint="eastAsia" w:ascii="宋体" w:hAnsi="宋体" w:eastAsia="宋体" w:cs="宋体"/>
                <w:b/>
                <w:kern w:val="0"/>
                <w:sz w:val="24"/>
              </w:rPr>
              <w:t>。</w:t>
            </w:r>
            <w:r>
              <w:rPr>
                <w:rFonts w:hint="eastAsia" w:ascii="宋体" w:hAnsi="宋体" w:eastAsia="宋体" w:cs="宋体"/>
                <w:kern w:val="0"/>
                <w:sz w:val="24"/>
              </w:rPr>
              <w:t>得分相同的，报价较低的一方为中标人。得分且投标报价相同的，技术指标较优的一方为中标人。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21</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履约保证金</w:t>
            </w:r>
          </w:p>
        </w:tc>
        <w:tc>
          <w:tcPr>
            <w:tcW w:w="6098" w:type="dxa"/>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宋体" w:hAnsi="宋体" w:eastAsia="宋体" w:cs="宋体"/>
                <w:bCs/>
                <w:kern w:val="0"/>
                <w:sz w:val="24"/>
              </w:rPr>
            </w:pPr>
            <w:r>
              <w:rPr>
                <w:rFonts w:hint="eastAsia" w:ascii="宋体" w:hAnsi="宋体" w:eastAsia="宋体" w:cs="宋体"/>
                <w:bCs/>
                <w:kern w:val="0"/>
                <w:sz w:val="24"/>
              </w:rPr>
              <w:t>履约保证金的交纳必须以公对公账户进行电汇或转账，否则不予认可。</w:t>
            </w:r>
          </w:p>
          <w:p>
            <w:pPr>
              <w:pStyle w:val="35"/>
              <w:spacing w:line="360" w:lineRule="auto"/>
              <w:rPr>
                <w:rFonts w:ascii="宋体" w:hAnsi="宋体" w:eastAsia="宋体" w:cs="宋体"/>
                <w:sz w:val="24"/>
              </w:rPr>
            </w:pPr>
            <w:r>
              <w:rPr>
                <w:rFonts w:hint="eastAsia" w:ascii="宋体" w:hAnsi="宋体" w:eastAsia="宋体" w:cs="宋体"/>
                <w:sz w:val="24"/>
              </w:rPr>
              <w:t>交纳时间：</w:t>
            </w:r>
            <w:bookmarkStart w:id="30" w:name="EBfb003ce0ac7c4f2a8a1f0e179dc46858"/>
            <w:bookmarkEnd w:id="30"/>
            <w:r>
              <w:rPr>
                <w:rFonts w:hint="eastAsia" w:ascii="宋体" w:hAnsi="宋体" w:eastAsia="宋体" w:cs="宋体"/>
                <w:sz w:val="24"/>
                <w:u w:val="single"/>
              </w:rPr>
              <w:t>签订合同前向采购单位缴纳</w:t>
            </w:r>
          </w:p>
          <w:p>
            <w:pPr>
              <w:pStyle w:val="35"/>
              <w:spacing w:line="360" w:lineRule="auto"/>
              <w:rPr>
                <w:rFonts w:ascii="宋体" w:hAnsi="宋体" w:eastAsia="宋体" w:cs="宋体"/>
                <w:sz w:val="24"/>
              </w:rPr>
            </w:pPr>
            <w:r>
              <w:rPr>
                <w:rFonts w:hint="eastAsia" w:ascii="宋体" w:hAnsi="宋体" w:eastAsia="宋体" w:cs="宋体"/>
                <w:sz w:val="24"/>
              </w:rPr>
              <w:t>交纳金额：</w:t>
            </w:r>
            <w:bookmarkStart w:id="31" w:name="EBb797809d3e0544a293f4a59adb8fff2f"/>
            <w:bookmarkEnd w:id="31"/>
            <w:r>
              <w:rPr>
                <w:rFonts w:hint="eastAsia" w:ascii="宋体" w:hAnsi="宋体" w:eastAsia="宋体" w:cs="宋体"/>
                <w:sz w:val="24"/>
                <w:u w:val="single"/>
                <w:lang w:val="en-US" w:eastAsia="zh-CN"/>
              </w:rPr>
              <w:t>100000元（大写：壹拾万元整）</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pStyle w:val="35"/>
              <w:spacing w:line="360" w:lineRule="auto"/>
              <w:rPr>
                <w:rFonts w:ascii="宋体" w:hAnsi="宋体" w:eastAsia="宋体" w:cs="宋体"/>
                <w:sz w:val="24"/>
              </w:rPr>
            </w:pPr>
            <w:r>
              <w:rPr>
                <w:rFonts w:hint="eastAsia" w:ascii="宋体" w:hAnsi="宋体" w:eastAsia="宋体" w:cs="宋体"/>
                <w:sz w:val="24"/>
              </w:rPr>
              <w:t>具体汇款信息请在中标后于采购单位负责人联系。</w:t>
            </w:r>
          </w:p>
          <w:p>
            <w:pPr>
              <w:pStyle w:val="35"/>
              <w:spacing w:line="360" w:lineRule="auto"/>
              <w:rPr>
                <w:rFonts w:ascii="宋体" w:hAnsi="宋体" w:eastAsia="宋体" w:cs="宋体"/>
                <w:kern w:val="0"/>
                <w:sz w:val="24"/>
              </w:rPr>
            </w:pPr>
            <w:r>
              <w:rPr>
                <w:rFonts w:hint="eastAsia" w:ascii="宋体" w:hAnsi="宋体" w:eastAsia="宋体" w:cs="宋体"/>
                <w:sz w:val="24"/>
              </w:rPr>
              <w:t>项目完成验收合格无质量问题后无息退还。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22</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代理服务费</w:t>
            </w:r>
          </w:p>
        </w:tc>
        <w:tc>
          <w:tcPr>
            <w:tcW w:w="6098" w:type="dxa"/>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宋体" w:hAnsi="宋体" w:eastAsia="宋体" w:cs="宋体"/>
                <w:sz w:val="24"/>
              </w:rPr>
            </w:pPr>
            <w:bookmarkStart w:id="32" w:name="EBab54cac318db41e28e6dac8386188fc3"/>
            <w:bookmarkEnd w:id="32"/>
            <w:r>
              <w:rPr>
                <w:rFonts w:hint="eastAsia" w:ascii="宋体" w:hAnsi="宋体" w:eastAsia="宋体" w:cs="宋体"/>
                <w:sz w:val="24"/>
              </w:rPr>
              <w:t>☑缴纳</w:t>
            </w:r>
          </w:p>
          <w:p>
            <w:pPr>
              <w:pStyle w:val="36"/>
              <w:spacing w:line="360" w:lineRule="auto"/>
              <w:rPr>
                <w:rFonts w:ascii="宋体" w:hAnsi="宋体" w:eastAsia="宋体" w:cs="宋体"/>
                <w:color w:val="auto"/>
                <w:kern w:val="0"/>
                <w:sz w:val="24"/>
              </w:rPr>
            </w:pPr>
            <w:r>
              <w:rPr>
                <w:rFonts w:hint="eastAsia" w:ascii="宋体" w:hAnsi="宋体" w:eastAsia="宋体" w:cs="宋体"/>
                <w:sz w:val="24"/>
              </w:rPr>
              <w:t>交纳时间：</w:t>
            </w:r>
            <w:bookmarkStart w:id="33" w:name="EB38aee35c8bb7443381a66f9cccb3a2a3"/>
            <w:bookmarkEnd w:id="33"/>
            <w:r>
              <w:rPr>
                <w:rFonts w:hint="eastAsia" w:ascii="宋体" w:hAnsi="宋体" w:eastAsia="宋体" w:cs="宋体"/>
                <w:sz w:val="24"/>
              </w:rPr>
              <w:t>投标人中标后，</w:t>
            </w:r>
            <w:r>
              <w:rPr>
                <w:rFonts w:hint="eastAsia" w:ascii="宋体" w:hAnsi="宋体" w:eastAsia="宋体" w:cs="宋体"/>
                <w:color w:val="auto"/>
                <w:sz w:val="24"/>
              </w:rPr>
              <w:t>于领取中标通知书前交纳</w:t>
            </w:r>
            <w:r>
              <w:rPr>
                <w:rFonts w:hint="eastAsia" w:ascii="宋体" w:hAnsi="宋体" w:eastAsia="宋体" w:cs="宋体"/>
                <w:color w:val="auto"/>
                <w:sz w:val="24"/>
                <w:lang w:eastAsia="zh-CN"/>
              </w:rPr>
              <w:t>代理服务费及相关费用。</w:t>
            </w:r>
          </w:p>
          <w:p>
            <w:pPr>
              <w:pStyle w:val="36"/>
              <w:spacing w:line="360" w:lineRule="auto"/>
              <w:rPr>
                <w:rFonts w:ascii="宋体" w:hAnsi="宋体" w:eastAsia="宋体" w:cs="宋体"/>
                <w:kern w:val="0"/>
                <w:sz w:val="24"/>
              </w:rPr>
            </w:pPr>
            <w:r>
              <w:rPr>
                <w:rFonts w:hint="eastAsia" w:ascii="宋体" w:hAnsi="宋体" w:eastAsia="宋体" w:cs="宋体"/>
                <w:kern w:val="0"/>
                <w:sz w:val="24"/>
              </w:rPr>
              <w:t>交纳标准：</w:t>
            </w:r>
            <w:bookmarkStart w:id="34" w:name="EB2141701fe45e43ecb43361d4713eb39b"/>
            <w:bookmarkEnd w:id="34"/>
            <w:r>
              <w:rPr>
                <w:rFonts w:hint="eastAsia" w:ascii="宋体" w:hAnsi="宋体" w:eastAsia="宋体" w:cs="宋体"/>
                <w:b w:val="0"/>
                <w:bCs/>
                <w:color w:val="auto"/>
                <w:sz w:val="24"/>
              </w:rPr>
              <w:t>按国家发改委计价格[2002]1980号文件及发改办价格[2003]857 号文件《关于招标代理服务收费有关问题的通知》规定计取。</w:t>
            </w:r>
          </w:p>
          <w:p>
            <w:pPr>
              <w:pStyle w:val="36"/>
              <w:spacing w:line="360" w:lineRule="auto"/>
              <w:rPr>
                <w:rFonts w:ascii="宋体" w:hAnsi="宋体" w:eastAsia="宋体" w:cs="宋体"/>
                <w:kern w:val="0"/>
                <w:sz w:val="24"/>
              </w:rPr>
            </w:pPr>
            <w:r>
              <w:rPr>
                <w:rFonts w:hint="eastAsia" w:ascii="宋体" w:hAnsi="宋体" w:eastAsia="宋体" w:cs="宋体"/>
                <w:kern w:val="0"/>
                <w:sz w:val="24"/>
              </w:rPr>
              <w:t>收款单位：</w:t>
            </w:r>
            <w:bookmarkStart w:id="35" w:name="EBa94519f5e7f94c1db4507693bf3fefc2"/>
            <w:bookmarkEnd w:id="35"/>
            <w:r>
              <w:rPr>
                <w:rFonts w:hint="eastAsia" w:ascii="宋体" w:hAnsi="宋体" w:eastAsia="宋体" w:cs="宋体"/>
                <w:kern w:val="0"/>
                <w:sz w:val="24"/>
              </w:rPr>
              <w:t>新疆德利得工程管理有限公司</w:t>
            </w:r>
          </w:p>
          <w:p>
            <w:pPr>
              <w:pStyle w:val="36"/>
              <w:spacing w:line="360" w:lineRule="auto"/>
              <w:rPr>
                <w:rFonts w:ascii="宋体" w:hAnsi="宋体" w:eastAsia="宋体" w:cs="宋体"/>
                <w:sz w:val="24"/>
              </w:rPr>
            </w:pPr>
            <w:r>
              <w:rPr>
                <w:rFonts w:hint="eastAsia" w:ascii="宋体" w:hAnsi="宋体" w:eastAsia="宋体" w:cs="宋体"/>
                <w:kern w:val="0"/>
                <w:sz w:val="24"/>
              </w:rPr>
              <w:t>开户银行：</w:t>
            </w:r>
            <w:bookmarkStart w:id="36" w:name="EBbfacb37dc2c2498da257185623f5f353"/>
            <w:bookmarkEnd w:id="36"/>
            <w:r>
              <w:rPr>
                <w:rFonts w:hint="eastAsia" w:ascii="宋体" w:hAnsi="宋体" w:eastAsia="宋体" w:cs="宋体"/>
                <w:kern w:val="0"/>
                <w:sz w:val="24"/>
              </w:rPr>
              <w:t>石河子国民村镇银行有限责任公司</w:t>
            </w:r>
          </w:p>
          <w:p>
            <w:pPr>
              <w:pStyle w:val="35"/>
              <w:spacing w:line="360" w:lineRule="auto"/>
              <w:rPr>
                <w:rFonts w:ascii="宋体" w:hAnsi="宋体" w:eastAsia="宋体" w:cs="宋体"/>
                <w:sz w:val="24"/>
              </w:rPr>
            </w:pPr>
            <w:r>
              <w:rPr>
                <w:rFonts w:hint="eastAsia" w:ascii="宋体" w:hAnsi="宋体" w:eastAsia="宋体" w:cs="宋体"/>
                <w:kern w:val="0"/>
                <w:sz w:val="24"/>
              </w:rPr>
              <w:t>银行账号：</w:t>
            </w:r>
            <w:bookmarkStart w:id="37" w:name="EB2b8a345789a347598e463f256362e819"/>
            <w:bookmarkEnd w:id="37"/>
            <w:r>
              <w:rPr>
                <w:rFonts w:hint="eastAsia" w:ascii="宋体" w:hAnsi="宋体" w:eastAsia="宋体" w:cs="宋体"/>
                <w:kern w:val="0"/>
                <w:sz w:val="24"/>
              </w:rPr>
              <w:t>60810101302068966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23</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场地服务费</w:t>
            </w:r>
          </w:p>
        </w:tc>
        <w:tc>
          <w:tcPr>
            <w:tcW w:w="6098" w:type="dxa"/>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宋体" w:hAnsi="宋体" w:eastAsia="宋体" w:cs="宋体"/>
                <w:sz w:val="24"/>
              </w:rPr>
            </w:pPr>
            <w:bookmarkStart w:id="38" w:name="EB7dfe3b1190d64d418e01d0e21f4920d5"/>
            <w:bookmarkEnd w:id="38"/>
            <w:r>
              <w:rPr>
                <w:rFonts w:hint="eastAsia" w:ascii="宋体" w:hAnsi="宋体" w:eastAsia="宋体" w:cs="宋体"/>
                <w:sz w:val="24"/>
              </w:rPr>
              <w:t>☑不缴纳</w:t>
            </w:r>
          </w:p>
          <w:p>
            <w:pPr>
              <w:pStyle w:val="35"/>
              <w:spacing w:line="360" w:lineRule="auto"/>
              <w:rPr>
                <w:rFonts w:ascii="宋体" w:hAnsi="宋体" w:eastAsia="宋体" w:cs="宋体"/>
                <w:sz w:val="24"/>
                <w:highlight w:val="green"/>
              </w:rPr>
            </w:pPr>
            <w:bookmarkStart w:id="39" w:name="EBd65399319f7a40bbb8fb3e004ca97d66"/>
            <w:bookmarkEnd w:id="39"/>
            <w:r>
              <w:rPr>
                <w:rFonts w:hint="eastAsia" w:ascii="宋体" w:hAnsi="宋体" w:eastAsia="宋体" w:cs="宋体"/>
                <w:sz w:val="24"/>
              </w:rPr>
              <w:t>☐缴纳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24</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color w:val="auto"/>
                <w:kern w:val="0"/>
                <w:sz w:val="24"/>
              </w:rPr>
            </w:pPr>
            <w:r>
              <w:rPr>
                <w:rFonts w:hint="eastAsia" w:ascii="宋体" w:hAnsi="宋体" w:eastAsia="宋体" w:cs="宋体"/>
                <w:b/>
                <w:color w:val="auto"/>
                <w:kern w:val="0"/>
                <w:sz w:val="24"/>
              </w:rPr>
              <w:t>合同公证费</w:t>
            </w:r>
          </w:p>
        </w:tc>
        <w:tc>
          <w:tcPr>
            <w:tcW w:w="6098" w:type="dxa"/>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宋体" w:hAnsi="宋体" w:eastAsia="宋体" w:cs="宋体"/>
                <w:color w:val="auto"/>
                <w:sz w:val="24"/>
              </w:rPr>
            </w:pPr>
            <w:bookmarkStart w:id="40" w:name="EBc76fa37fba724b3f91217c2faa8df057"/>
            <w:bookmarkEnd w:id="40"/>
            <w:r>
              <w:rPr>
                <w:rFonts w:hint="eastAsia" w:ascii="宋体" w:hAnsi="宋体" w:eastAsia="宋体" w:cs="宋体"/>
                <w:color w:val="auto"/>
                <w:sz w:val="24"/>
              </w:rPr>
              <w:sym w:font="Wingdings" w:char="00FE"/>
            </w:r>
            <w:r>
              <w:rPr>
                <w:rFonts w:hint="eastAsia" w:ascii="宋体" w:hAnsi="宋体" w:eastAsia="宋体" w:cs="宋体"/>
                <w:color w:val="auto"/>
                <w:sz w:val="24"/>
              </w:rPr>
              <w:t>不缴纳</w:t>
            </w:r>
          </w:p>
          <w:p>
            <w:pPr>
              <w:pStyle w:val="35"/>
              <w:spacing w:line="360" w:lineRule="auto"/>
              <w:rPr>
                <w:rFonts w:ascii="宋体" w:hAnsi="宋体" w:eastAsia="宋体" w:cs="宋体"/>
                <w:color w:val="auto"/>
                <w:kern w:val="0"/>
                <w:sz w:val="24"/>
              </w:rPr>
            </w:pPr>
            <w:r>
              <w:rPr>
                <w:rFonts w:hint="eastAsia" w:ascii="宋体" w:hAnsi="宋体" w:eastAsia="宋体" w:cs="宋体"/>
                <w:color w:val="auto"/>
                <w:sz w:val="24"/>
              </w:rPr>
              <w:t>☐缴纳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25</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争议的解决</w:t>
            </w:r>
          </w:p>
        </w:tc>
        <w:tc>
          <w:tcPr>
            <w:tcW w:w="6098" w:type="dxa"/>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宋体" w:hAnsi="宋体" w:eastAsia="宋体" w:cs="宋体"/>
                <w:sz w:val="24"/>
                <w:highlight w:val="green"/>
              </w:rPr>
            </w:pPr>
            <w:bookmarkStart w:id="41" w:name="EB99761000dd4b46ac86a3f3daaf46418a"/>
            <w:bookmarkEnd w:id="41"/>
            <w:r>
              <w:rPr>
                <w:rFonts w:hint="eastAsia" w:ascii="宋体" w:hAnsi="宋体" w:eastAsia="宋体" w:cs="宋体"/>
                <w:kern w:val="0"/>
                <w:sz w:val="24"/>
              </w:rPr>
              <w:t>双方首先应当协商解决，如未能达成一致，应向采购人所在地人民法院提出诉讼。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26</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现场陈述</w:t>
            </w:r>
          </w:p>
        </w:tc>
        <w:tc>
          <w:tcPr>
            <w:tcW w:w="6098" w:type="dxa"/>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宋体" w:hAnsi="宋体" w:eastAsia="宋体" w:cs="宋体"/>
                <w:sz w:val="24"/>
              </w:rPr>
            </w:pPr>
            <w:bookmarkStart w:id="42" w:name="EBb04aba7a60c0423082f0862a0509ef85"/>
            <w:bookmarkEnd w:id="42"/>
            <w:r>
              <w:rPr>
                <w:rFonts w:hint="eastAsia" w:ascii="宋体" w:hAnsi="宋体" w:eastAsia="宋体" w:cs="宋体"/>
                <w:sz w:val="24"/>
              </w:rPr>
              <w:t>☑不需要</w:t>
            </w:r>
          </w:p>
          <w:p>
            <w:pPr>
              <w:pStyle w:val="35"/>
              <w:spacing w:line="360" w:lineRule="auto"/>
              <w:rPr>
                <w:rFonts w:ascii="宋体" w:hAnsi="宋体" w:eastAsia="宋体" w:cs="宋体"/>
                <w:sz w:val="24"/>
              </w:rPr>
            </w:pPr>
            <w:r>
              <w:rPr>
                <w:rFonts w:hint="eastAsia" w:ascii="宋体" w:hAnsi="宋体" w:eastAsia="宋体" w:cs="宋体"/>
                <w:sz w:val="24"/>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27</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jc w:val="center"/>
              <w:rPr>
                <w:rFonts w:ascii="宋体" w:hAnsi="宋体" w:eastAsia="宋体" w:cs="宋体"/>
                <w:b/>
                <w:kern w:val="0"/>
                <w:sz w:val="24"/>
              </w:rPr>
            </w:pPr>
            <w:r>
              <w:rPr>
                <w:rFonts w:hint="eastAsia" w:ascii="宋体" w:hAnsi="宋体" w:eastAsia="宋体" w:cs="宋体"/>
                <w:b/>
                <w:kern w:val="0"/>
                <w:sz w:val="24"/>
              </w:rPr>
              <w:t>项目预算</w:t>
            </w:r>
          </w:p>
        </w:tc>
        <w:tc>
          <w:tcPr>
            <w:tcW w:w="6098" w:type="dxa"/>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rPr>
                <w:rFonts w:ascii="宋体" w:hAnsi="宋体" w:eastAsia="宋体" w:cs="宋体"/>
                <w:sz w:val="24"/>
                <w:lang w:val="zh-CN"/>
              </w:rPr>
            </w:pPr>
            <w:r>
              <w:rPr>
                <w:rFonts w:hint="eastAsia" w:ascii="宋体" w:hAnsi="宋体" w:eastAsia="宋体" w:cs="宋体"/>
                <w:sz w:val="24"/>
                <w:lang w:val="zh-CN"/>
              </w:rPr>
              <w:t>本项目预算为</w:t>
            </w:r>
            <w:bookmarkStart w:id="43" w:name="EB6ff913d7fe684300aae0adca6e231c96"/>
            <w:bookmarkEnd w:id="43"/>
            <w:r>
              <w:rPr>
                <w:rFonts w:hint="eastAsia" w:ascii="宋体" w:hAnsi="宋体" w:eastAsia="宋体" w:cs="宋体"/>
                <w:kern w:val="0"/>
                <w:sz w:val="24"/>
                <w:u w:val="single"/>
                <w:lang w:eastAsia="zh-CN"/>
              </w:rPr>
              <w:t>13000000</w:t>
            </w:r>
            <w:r>
              <w:rPr>
                <w:rFonts w:hint="eastAsia" w:ascii="宋体" w:hAnsi="宋体" w:eastAsia="宋体" w:cs="宋体"/>
                <w:kern w:val="0"/>
                <w:sz w:val="24"/>
                <w:u w:val="single"/>
              </w:rPr>
              <w:t>元</w:t>
            </w:r>
            <w:r>
              <w:rPr>
                <w:rFonts w:hint="eastAsia" w:ascii="宋体" w:hAnsi="宋体" w:eastAsia="宋体" w:cs="宋体"/>
                <w:sz w:val="24"/>
                <w:lang w:val="zh-CN"/>
              </w:rPr>
              <w:t>，最高限价</w:t>
            </w:r>
            <w:bookmarkStart w:id="44" w:name="EBce6b0e6ab77b41a59f46888836ff3623"/>
            <w:bookmarkEnd w:id="44"/>
            <w:r>
              <w:rPr>
                <w:rFonts w:hint="eastAsia" w:ascii="宋体" w:hAnsi="宋体" w:eastAsia="宋体" w:cs="宋体"/>
                <w:kern w:val="0"/>
                <w:sz w:val="24"/>
                <w:u w:val="single"/>
                <w:lang w:eastAsia="zh-CN"/>
              </w:rPr>
              <w:t>13000000</w:t>
            </w:r>
            <w:r>
              <w:rPr>
                <w:rFonts w:hint="eastAsia" w:ascii="宋体" w:hAnsi="宋体" w:eastAsia="宋体" w:cs="宋体"/>
                <w:kern w:val="0"/>
                <w:sz w:val="24"/>
                <w:u w:val="single"/>
              </w:rPr>
              <w:t>元</w:t>
            </w:r>
          </w:p>
          <w:p>
            <w:pPr>
              <w:pStyle w:val="35"/>
              <w:autoSpaceDE w:val="0"/>
              <w:autoSpaceDN w:val="0"/>
              <w:adjustRightInd w:val="0"/>
              <w:spacing w:line="360" w:lineRule="auto"/>
              <w:rPr>
                <w:rFonts w:ascii="宋体" w:hAnsi="宋体" w:eastAsia="宋体" w:cs="宋体"/>
                <w:sz w:val="24"/>
                <w:lang w:val="zh-CN"/>
              </w:rPr>
            </w:pPr>
            <w:r>
              <w:rPr>
                <w:rFonts w:hint="eastAsia" w:ascii="宋体" w:hAnsi="宋体" w:eastAsia="宋体" w:cs="宋体"/>
                <w:b/>
                <w:bCs/>
                <w:sz w:val="24"/>
              </w:rPr>
              <w:t>注：1、</w:t>
            </w:r>
            <w:r>
              <w:rPr>
                <w:rFonts w:hint="eastAsia" w:ascii="宋体" w:hAnsi="宋体" w:eastAsia="宋体" w:cs="宋体"/>
                <w:b/>
                <w:bCs/>
                <w:sz w:val="24"/>
                <w:lang w:val="zh-CN"/>
              </w:rPr>
              <w:t>投标人投标报价超过项目预算的按无效投标处理。</w:t>
            </w:r>
            <w:r>
              <w:rPr>
                <w:rFonts w:hint="eastAsia" w:ascii="宋体" w:hAnsi="宋体" w:eastAsia="宋体" w:cs="宋体"/>
                <w:b/>
                <w:bCs/>
                <w:sz w:val="24"/>
              </w:rPr>
              <w:t>2、</w:t>
            </w:r>
            <w:r>
              <w:rPr>
                <w:rFonts w:hint="eastAsia" w:ascii="宋体" w:hAnsi="宋体" w:eastAsia="宋体" w:cs="宋体"/>
                <w:b/>
                <w:bCs/>
                <w:sz w:val="24"/>
                <w:lang w:val="zh-CN"/>
              </w:rPr>
              <w:t>本项目不接受选择性报价，对于出现的政采云平台开标唱标环节经投标供应商确认的投标报价与投标文件中开标一览表的报价不一致的现象，视作选择性报价，将被作为无效投标处理。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28</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pStyle w:val="41"/>
              <w:adjustRightInd w:val="0"/>
              <w:snapToGrid w:val="0"/>
              <w:spacing w:before="156" w:beforeLines="50" w:after="200" w:line="360" w:lineRule="auto"/>
              <w:jc w:val="center"/>
              <w:rPr>
                <w:rFonts w:ascii="宋体" w:hAnsi="宋体" w:eastAsia="宋体" w:cs="宋体"/>
                <w:b/>
                <w:color w:val="auto"/>
                <w:kern w:val="0"/>
                <w:sz w:val="24"/>
                <w:szCs w:val="24"/>
              </w:rPr>
            </w:pPr>
            <w:r>
              <w:rPr>
                <w:rFonts w:hint="eastAsia" w:ascii="宋体" w:hAnsi="宋体" w:eastAsia="宋体" w:cs="宋体"/>
                <w:b/>
                <w:bCs/>
                <w:color w:val="auto"/>
                <w:kern w:val="0"/>
                <w:sz w:val="24"/>
                <w:szCs w:val="24"/>
              </w:rPr>
              <w:t>服务期</w:t>
            </w:r>
          </w:p>
        </w:tc>
        <w:tc>
          <w:tcPr>
            <w:tcW w:w="6098" w:type="dxa"/>
            <w:tcBorders>
              <w:top w:val="single" w:color="auto" w:sz="4" w:space="0"/>
              <w:left w:val="single" w:color="auto" w:sz="4" w:space="0"/>
              <w:bottom w:val="single" w:color="auto" w:sz="4" w:space="0"/>
              <w:right w:val="single" w:color="auto" w:sz="4" w:space="0"/>
            </w:tcBorders>
            <w:vAlign w:val="center"/>
          </w:tcPr>
          <w:p>
            <w:pPr>
              <w:pStyle w:val="41"/>
              <w:spacing w:after="200" w:line="276" w:lineRule="auto"/>
              <w:rPr>
                <w:rFonts w:ascii="宋体" w:hAnsi="宋体" w:eastAsia="宋体" w:cs="宋体"/>
                <w:color w:val="auto"/>
                <w:sz w:val="24"/>
                <w:szCs w:val="24"/>
                <w:lang w:val="zh-CN"/>
              </w:rPr>
            </w:pPr>
            <w:r>
              <w:rPr>
                <w:rFonts w:hint="eastAsia" w:ascii="宋体" w:hAnsi="宋体" w:eastAsia="宋体" w:cs="宋体"/>
                <w:color w:val="auto"/>
                <w:sz w:val="24"/>
                <w:szCs w:val="24"/>
              </w:rPr>
              <w:t>自合同签订之日起</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pStyle w:val="36"/>
              <w:spacing w:line="360" w:lineRule="auto"/>
              <w:jc w:val="center"/>
              <w:rPr>
                <w:rFonts w:ascii="宋体" w:hAnsi="宋体" w:eastAsia="宋体" w:cs="宋体"/>
                <w:b/>
                <w:kern w:val="0"/>
                <w:sz w:val="24"/>
              </w:rPr>
            </w:pPr>
            <w:r>
              <w:rPr>
                <w:rFonts w:hint="eastAsia" w:ascii="宋体" w:hAnsi="宋体" w:eastAsia="宋体" w:cs="宋体"/>
                <w:b/>
                <w:kern w:val="0"/>
                <w:sz w:val="24"/>
              </w:rPr>
              <w:t>29</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pStyle w:val="46"/>
              <w:adjustRightInd w:val="0"/>
              <w:snapToGrid w:val="0"/>
              <w:spacing w:before="156" w:beforeLines="50" w:after="200"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质量要求</w:t>
            </w:r>
          </w:p>
        </w:tc>
        <w:tc>
          <w:tcPr>
            <w:tcW w:w="6098" w:type="dxa"/>
            <w:tcBorders>
              <w:top w:val="single" w:color="auto" w:sz="4" w:space="0"/>
              <w:left w:val="single" w:color="auto" w:sz="4" w:space="0"/>
              <w:bottom w:val="single" w:color="auto" w:sz="4" w:space="0"/>
              <w:right w:val="single" w:color="auto" w:sz="4" w:space="0"/>
            </w:tcBorders>
            <w:vAlign w:val="center"/>
          </w:tcPr>
          <w:p>
            <w:pPr>
              <w:pStyle w:val="46"/>
              <w:spacing w:after="200" w:line="276" w:lineRule="auto"/>
              <w:rPr>
                <w:rFonts w:ascii="宋体" w:hAnsi="宋体" w:eastAsia="宋体" w:cs="宋体"/>
                <w:sz w:val="24"/>
                <w:szCs w:val="24"/>
              </w:rPr>
            </w:pPr>
            <w:r>
              <w:rPr>
                <w:rFonts w:hint="eastAsia" w:ascii="宋体" w:hAnsi="宋体" w:eastAsia="宋体" w:cs="宋体"/>
                <w:sz w:val="24"/>
                <w:szCs w:val="24"/>
              </w:rPr>
              <w:t xml:space="preserve">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pStyle w:val="36"/>
              <w:spacing w:line="360" w:lineRule="auto"/>
              <w:jc w:val="center"/>
              <w:rPr>
                <w:rFonts w:ascii="宋体" w:hAnsi="宋体" w:eastAsia="宋体" w:cs="宋体"/>
                <w:b/>
                <w:kern w:val="0"/>
                <w:sz w:val="24"/>
              </w:rPr>
            </w:pPr>
            <w:r>
              <w:rPr>
                <w:rFonts w:hint="eastAsia" w:ascii="宋体" w:hAnsi="宋体" w:eastAsia="宋体" w:cs="宋体"/>
                <w:b/>
                <w:kern w:val="0"/>
                <w:sz w:val="24"/>
              </w:rPr>
              <w:t>30</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pStyle w:val="41"/>
              <w:adjustRightInd w:val="0"/>
              <w:snapToGrid w:val="0"/>
              <w:spacing w:before="156" w:beforeLines="50" w:after="200" w:line="360" w:lineRule="auto"/>
              <w:jc w:val="center"/>
              <w:rPr>
                <w:rFonts w:ascii="宋体" w:hAnsi="宋体" w:eastAsia="宋体" w:cs="宋体"/>
                <w:b/>
                <w:bCs/>
                <w:color w:val="auto"/>
                <w:kern w:val="0"/>
                <w:sz w:val="24"/>
                <w:szCs w:val="24"/>
              </w:rPr>
            </w:pPr>
            <w:r>
              <w:rPr>
                <w:rFonts w:hint="eastAsia" w:ascii="宋体" w:hAnsi="宋体" w:eastAsia="宋体" w:cs="宋体"/>
                <w:b/>
                <w:bCs/>
                <w:color w:val="auto"/>
                <w:sz w:val="24"/>
                <w:szCs w:val="24"/>
              </w:rPr>
              <w:t>付款方式</w:t>
            </w:r>
          </w:p>
        </w:tc>
        <w:tc>
          <w:tcPr>
            <w:tcW w:w="6098" w:type="dxa"/>
            <w:tcBorders>
              <w:top w:val="single" w:color="auto" w:sz="4" w:space="0"/>
              <w:left w:val="single" w:color="auto" w:sz="4" w:space="0"/>
              <w:bottom w:val="single" w:color="auto" w:sz="4" w:space="0"/>
              <w:right w:val="single" w:color="auto" w:sz="4" w:space="0"/>
            </w:tcBorders>
            <w:vAlign w:val="center"/>
          </w:tcPr>
          <w:p>
            <w:pPr>
              <w:pStyle w:val="41"/>
              <w:wordWrap w:val="0"/>
              <w:spacing w:after="200" w:line="276"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在第一个月试运行期间，甲方按照每天每餐实际就餐人数和每天每餐实际开餐标准，据实结算。即（早餐标准*当日早餐刷卡人数+午餐标准*当日午餐刷卡人数+晚餐标准*当日晚餐刷卡人数）*当月开餐天数=实际结算数额。由乙方提供发票（普通发票），在次月的15日前支付给乙方。</w:t>
            </w:r>
          </w:p>
          <w:p>
            <w:pPr>
              <w:pStyle w:val="41"/>
              <w:wordWrap w:val="0"/>
              <w:spacing w:after="200" w:line="276" w:lineRule="auto"/>
              <w:jc w:val="left"/>
              <w:rPr>
                <w:rFonts w:ascii="宋体" w:hAnsi="宋体" w:eastAsia="宋体" w:cs="宋体"/>
                <w:color w:val="auto"/>
                <w:sz w:val="24"/>
                <w:szCs w:val="24"/>
              </w:rPr>
            </w:pPr>
            <w:r>
              <w:rPr>
                <w:rFonts w:hint="eastAsia" w:ascii="宋体" w:hAnsi="宋体" w:eastAsia="宋体" w:cs="宋体"/>
                <w:color w:val="auto"/>
                <w:sz w:val="24"/>
                <w:szCs w:val="24"/>
              </w:rPr>
              <w:t>合同正式执行后，乙方每月的服务达到双方约定的就餐人数，即视为考核通过。甲方按照每天每餐实际就餐人数和每天每餐实际开餐标准，据实结算。即（早餐标准*当日早餐刷卡人数+午餐标准*当日午餐刷卡人数+晚餐标准*当日晚餐刷卡人数）*当月开餐天数=实际结算数额。由乙方提供发票（普通发票），在次月的15日前支付给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31</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jc w:val="center"/>
              <w:rPr>
                <w:rFonts w:ascii="宋体" w:hAnsi="宋体" w:eastAsia="宋体" w:cs="宋体"/>
                <w:b/>
                <w:kern w:val="0"/>
                <w:sz w:val="24"/>
              </w:rPr>
            </w:pPr>
            <w:r>
              <w:rPr>
                <w:rFonts w:hint="eastAsia" w:ascii="宋体" w:hAnsi="宋体" w:eastAsia="宋体" w:cs="宋体"/>
                <w:b/>
                <w:kern w:val="0"/>
                <w:sz w:val="24"/>
              </w:rPr>
              <w:t>其他</w:t>
            </w:r>
          </w:p>
        </w:tc>
        <w:tc>
          <w:tcPr>
            <w:tcW w:w="6098" w:type="dxa"/>
            <w:tcBorders>
              <w:top w:val="single" w:color="auto" w:sz="4" w:space="0"/>
              <w:left w:val="single" w:color="auto" w:sz="4" w:space="0"/>
              <w:bottom w:val="single" w:color="auto" w:sz="4" w:space="0"/>
              <w:right w:val="single" w:color="auto" w:sz="4" w:space="0"/>
            </w:tcBorders>
            <w:vAlign w:val="center"/>
          </w:tcPr>
          <w:p>
            <w:pPr>
              <w:pStyle w:val="36"/>
              <w:numPr>
                <w:ilvl w:val="0"/>
                <w:numId w:val="3"/>
              </w:numPr>
              <w:autoSpaceDE w:val="0"/>
              <w:autoSpaceDN w:val="0"/>
              <w:adjustRightInd w:val="0"/>
              <w:spacing w:line="360" w:lineRule="auto"/>
              <w:rPr>
                <w:rFonts w:ascii="宋体" w:hAnsi="宋体" w:eastAsia="宋体" w:cs="宋体"/>
                <w:sz w:val="24"/>
              </w:rPr>
            </w:pPr>
            <w:r>
              <w:rPr>
                <w:rFonts w:hint="eastAsia" w:ascii="宋体" w:hAnsi="宋体" w:eastAsia="宋体" w:cs="宋体"/>
                <w:sz w:val="24"/>
              </w:rPr>
              <w:t>各投标人必须针对</w:t>
            </w:r>
            <w:r>
              <w:rPr>
                <w:rFonts w:hint="eastAsia" w:ascii="宋体" w:hAnsi="宋体" w:eastAsia="宋体" w:cs="宋体"/>
                <w:sz w:val="24"/>
                <w:lang w:val="en-US" w:eastAsia="zh-CN"/>
              </w:rPr>
              <w:t>本</w:t>
            </w:r>
            <w:r>
              <w:rPr>
                <w:rFonts w:hint="eastAsia" w:ascii="宋体" w:hAnsi="宋体" w:eastAsia="宋体" w:cs="宋体"/>
                <w:sz w:val="24"/>
              </w:rPr>
              <w:t>项目编制投标文件并报价，投标文件必须满足招标文件份数与制作等要求，否则将导致投标被拒绝。</w:t>
            </w:r>
          </w:p>
          <w:p>
            <w:pPr>
              <w:pStyle w:val="36"/>
              <w:numPr>
                <w:ilvl w:val="0"/>
                <w:numId w:val="3"/>
              </w:numPr>
              <w:autoSpaceDE w:val="0"/>
              <w:autoSpaceDN w:val="0"/>
              <w:adjustRightInd w:val="0"/>
              <w:spacing w:line="360" w:lineRule="auto"/>
              <w:rPr>
                <w:rFonts w:ascii="宋体" w:hAnsi="宋体" w:eastAsia="宋体" w:cs="宋体"/>
                <w:sz w:val="24"/>
              </w:rPr>
            </w:pPr>
            <w:r>
              <w:rPr>
                <w:rFonts w:hint="eastAsia" w:ascii="宋体" w:hAnsi="宋体" w:eastAsia="宋体" w:cs="宋体"/>
                <w:sz w:val="24"/>
                <w:lang w:val="zh-CN"/>
              </w:rPr>
              <w:t>本项目的招标投标活动以及相关当事人须接受财政监督部门依法实施的监督。</w:t>
            </w:r>
          </w:p>
          <w:p>
            <w:pPr>
              <w:pStyle w:val="36"/>
              <w:numPr>
                <w:ilvl w:val="0"/>
                <w:numId w:val="3"/>
              </w:numPr>
              <w:autoSpaceDE w:val="0"/>
              <w:autoSpaceDN w:val="0"/>
              <w:adjustRightInd w:val="0"/>
              <w:spacing w:line="360" w:lineRule="auto"/>
              <w:rPr>
                <w:rFonts w:ascii="宋体" w:hAnsi="宋体" w:eastAsia="宋体" w:cs="宋体"/>
                <w:sz w:val="24"/>
              </w:rPr>
            </w:pPr>
            <w:r>
              <w:rPr>
                <w:rFonts w:hint="eastAsia" w:ascii="宋体" w:hAnsi="宋体" w:eastAsia="宋体" w:cs="宋体"/>
                <w:sz w:val="24"/>
              </w:rPr>
              <w:t>各投标单位在网上及时查询本项目的澄清、修改和补充等内容，如未及时查询相关内容，造成后果自行承担。</w:t>
            </w:r>
          </w:p>
          <w:p>
            <w:pPr>
              <w:pStyle w:val="36"/>
              <w:numPr>
                <w:ilvl w:val="0"/>
                <w:numId w:val="3"/>
              </w:numPr>
              <w:autoSpaceDE w:val="0"/>
              <w:autoSpaceDN w:val="0"/>
              <w:adjustRightInd w:val="0"/>
              <w:spacing w:line="360" w:lineRule="auto"/>
              <w:rPr>
                <w:rFonts w:ascii="宋体" w:hAnsi="宋体" w:eastAsia="宋体" w:cs="宋体"/>
                <w:sz w:val="24"/>
              </w:rPr>
            </w:pPr>
            <w:r>
              <w:rPr>
                <w:rFonts w:hint="eastAsia" w:ascii="宋体" w:hAnsi="宋体" w:eastAsia="宋体" w:cs="宋体"/>
                <w:sz w:val="24"/>
              </w:rPr>
              <w:t>逾期上传/送达的或者未上传/未送达指定地点的投标文件，</w:t>
            </w:r>
            <w:r>
              <w:rPr>
                <w:rFonts w:hint="eastAsia" w:ascii="宋体" w:hAnsi="宋体" w:eastAsia="宋体" w:cs="宋体"/>
                <w:sz w:val="24"/>
                <w:lang w:val="en-US" w:eastAsia="zh-CN"/>
              </w:rPr>
              <w:t>采购</w:t>
            </w:r>
            <w:r>
              <w:rPr>
                <w:rFonts w:hint="eastAsia" w:ascii="宋体" w:hAnsi="宋体" w:eastAsia="宋体" w:cs="宋体"/>
                <w:sz w:val="24"/>
              </w:rPr>
              <w:t>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b/>
                <w:kern w:val="0"/>
                <w:sz w:val="24"/>
              </w:rPr>
              <w:t>32</w:t>
            </w:r>
          </w:p>
        </w:tc>
        <w:tc>
          <w:tcPr>
            <w:tcW w:w="2315" w:type="dxa"/>
            <w:gridSpan w:val="2"/>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jc w:val="center"/>
              <w:rPr>
                <w:rFonts w:ascii="宋体" w:hAnsi="宋体" w:eastAsia="宋体" w:cs="宋体"/>
                <w:b/>
                <w:kern w:val="0"/>
                <w:sz w:val="24"/>
              </w:rPr>
            </w:pPr>
            <w:r>
              <w:rPr>
                <w:rFonts w:hint="eastAsia" w:ascii="宋体" w:hAnsi="宋体" w:eastAsia="宋体" w:cs="宋体"/>
                <w:b/>
                <w:bCs/>
                <w:kern w:val="0"/>
                <w:sz w:val="24"/>
              </w:rPr>
              <w:t>招标人补充的其他内容</w:t>
            </w:r>
          </w:p>
        </w:tc>
        <w:tc>
          <w:tcPr>
            <w:tcW w:w="6098" w:type="dxa"/>
            <w:tcBorders>
              <w:top w:val="single" w:color="auto" w:sz="4" w:space="0"/>
              <w:left w:val="single" w:color="auto" w:sz="4" w:space="0"/>
              <w:bottom w:val="single" w:color="auto" w:sz="4" w:space="0"/>
              <w:right w:val="single" w:color="auto" w:sz="4" w:space="0"/>
            </w:tcBorders>
            <w:vAlign w:val="center"/>
          </w:tcPr>
          <w:p>
            <w:pPr>
              <w:pStyle w:val="35"/>
              <w:numPr>
                <w:ilvl w:val="0"/>
                <w:numId w:val="4"/>
              </w:numPr>
              <w:autoSpaceDE w:val="0"/>
              <w:autoSpaceDN w:val="0"/>
              <w:adjustRightInd w:val="0"/>
              <w:spacing w:line="360" w:lineRule="auto"/>
              <w:rPr>
                <w:rFonts w:hint="eastAsia" w:ascii="宋体" w:hAnsi="宋体" w:eastAsia="宋体" w:cs="宋体"/>
                <w:b/>
                <w:bCs/>
                <w:color w:val="auto"/>
                <w:sz w:val="24"/>
                <w:szCs w:val="24"/>
                <w:vertAlign w:val="baseline"/>
                <w:lang w:val="en-US" w:eastAsia="zh-CN"/>
              </w:rPr>
            </w:pPr>
            <w:bookmarkStart w:id="45" w:name="EB5de6db3070cf40db8b4846f11f653c14"/>
            <w:bookmarkEnd w:id="45"/>
            <w:r>
              <w:rPr>
                <w:rFonts w:hint="eastAsia" w:ascii="宋体" w:hAnsi="宋体" w:eastAsia="宋体" w:cs="宋体"/>
                <w:b/>
                <w:bCs/>
                <w:color w:val="auto"/>
                <w:sz w:val="24"/>
                <w:szCs w:val="24"/>
                <w:vertAlign w:val="baseline"/>
                <w:lang w:val="en-US" w:eastAsia="zh-CN"/>
              </w:rPr>
              <w:t>请将纸质版标书（3份，1正2副，双面打印并签章，密封在档案袋中）及未加密的电子投标文件（文件格式为.PDF，3份U盘介质）做好标示，分别密封并签章（投标人应在密封袋上注明项目名称和投标人名称）。通过邮寄的方式递交，必须在规定的投标截止时间之前送达到新疆德利得工程管理有限公司（石河子市34小区78橦三楼）。</w:t>
            </w:r>
          </w:p>
          <w:p>
            <w:pPr>
              <w:pStyle w:val="35"/>
              <w:autoSpaceDE w:val="0"/>
              <w:autoSpaceDN w:val="0"/>
              <w:adjustRightInd w:val="0"/>
              <w:spacing w:line="360" w:lineRule="auto"/>
              <w:rPr>
                <w:rFonts w:ascii="宋体" w:hAnsi="宋体" w:eastAsia="宋体" w:cs="宋体"/>
                <w:sz w:val="24"/>
                <w:highlight w:val="gree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本项目为电子招投标，请各单位在制作完电子投标文件时及时在投标截止时间前上传电子版加密投标文件。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宋体" w:hAnsi="宋体" w:eastAsia="宋体" w:cs="宋体"/>
                <w:b/>
                <w:kern w:val="0"/>
                <w:sz w:val="24"/>
              </w:rPr>
            </w:pPr>
            <w:r>
              <w:rPr>
                <w:rFonts w:hint="eastAsia" w:ascii="宋体" w:hAnsi="宋体" w:eastAsia="宋体" w:cs="宋体"/>
                <w:kern w:val="0"/>
                <w:sz w:val="24"/>
              </w:rPr>
              <w:t>注意事项</w:t>
            </w:r>
          </w:p>
        </w:tc>
        <w:tc>
          <w:tcPr>
            <w:tcW w:w="8413" w:type="dxa"/>
            <w:gridSpan w:val="3"/>
            <w:tcBorders>
              <w:top w:val="single" w:color="auto" w:sz="4" w:space="0"/>
              <w:left w:val="single" w:color="auto" w:sz="4" w:space="0"/>
              <w:bottom w:val="single" w:color="auto" w:sz="4" w:space="0"/>
              <w:right w:val="single" w:color="auto" w:sz="4" w:space="0"/>
            </w:tcBorders>
            <w:vAlign w:val="center"/>
          </w:tcPr>
          <w:p>
            <w:pPr>
              <w:pStyle w:val="103"/>
              <w:spacing w:line="360" w:lineRule="auto"/>
              <w:contextualSpacing/>
              <w:rPr>
                <w:rFonts w:ascii="宋体" w:hAnsi="宋体" w:eastAsia="宋体" w:cs="宋体"/>
                <w:sz w:val="24"/>
                <w:highlight w:val="green"/>
              </w:rPr>
            </w:pPr>
            <w:bookmarkStart w:id="46" w:name="EB41dfe38d81d947088300a87cef519167"/>
            <w:bookmarkEnd w:id="46"/>
            <w:r>
              <w:rPr>
                <w:rFonts w:hint="eastAsia" w:ascii="宋体" w:hAnsi="宋体" w:eastAsia="宋体" w:cs="宋体"/>
                <w:color w:val="auto"/>
                <w:sz w:val="24"/>
                <w:szCs w:val="24"/>
              </w:rPr>
              <w:t>根据《财政部关于在政府采购活动中查询及使用信用记录有关问题的通知》财库〔2016〕125号的规定，各供应商应在本项目采购公告发布之日起到响应文件递交截止时间期间，通过“信用中国”网站（</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"qq://txfile/"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www.creditchina.gov.cn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）、中国政府采购网（</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"qq://txfile/"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www.ccgp.gov.cn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）等渠道查询主体信用记录，并将信用信息查询记录作为响应文件组成部分。</w:t>
            </w:r>
          </w:p>
        </w:tc>
      </w:tr>
    </w:tbl>
    <w:p>
      <w:pPr>
        <w:pStyle w:val="35"/>
        <w:spacing w:line="360" w:lineRule="auto"/>
        <w:rPr>
          <w:rFonts w:ascii="宋体" w:hAnsi="宋体" w:eastAsia="宋体"/>
          <w:kern w:val="0"/>
          <w:sz w:val="24"/>
          <w:szCs w:val="22"/>
        </w:rPr>
      </w:pPr>
      <w:r>
        <w:rPr>
          <w:rFonts w:hint="eastAsia" w:ascii="宋体" w:hAnsi="宋体" w:eastAsia="宋体"/>
          <w:kern w:val="0"/>
          <w:sz w:val="24"/>
          <w:szCs w:val="22"/>
        </w:rPr>
        <w:t>注：1、本表中加☆项目若有缺失或无效，将导致投标无效且不允许在开标后补正；</w:t>
      </w:r>
    </w:p>
    <w:p>
      <w:pPr>
        <w:pStyle w:val="35"/>
        <w:spacing w:line="360" w:lineRule="auto"/>
        <w:ind w:firstLine="480" w:firstLineChars="200"/>
        <w:rPr>
          <w:rFonts w:ascii="宋体" w:hAnsi="宋体" w:eastAsia="宋体"/>
          <w:kern w:val="0"/>
          <w:sz w:val="24"/>
          <w:szCs w:val="22"/>
        </w:rPr>
      </w:pPr>
      <w:r>
        <w:rPr>
          <w:rFonts w:hint="eastAsia" w:ascii="宋体" w:hAnsi="宋体" w:eastAsia="宋体"/>
          <w:kern w:val="0"/>
          <w:sz w:val="24"/>
          <w:szCs w:val="22"/>
        </w:rPr>
        <w:t>2、本表内容与招标文件其它内容不一致的，应当以本表内容为准。</w:t>
      </w:r>
    </w:p>
    <w:p>
      <w:pPr>
        <w:pStyle w:val="35"/>
        <w:spacing w:line="360" w:lineRule="auto"/>
        <w:ind w:firstLine="480" w:firstLineChars="200"/>
        <w:rPr>
          <w:rFonts w:ascii="宋体" w:hAnsi="宋体" w:eastAsia="宋体"/>
          <w:kern w:val="0"/>
          <w:sz w:val="24"/>
          <w:szCs w:val="22"/>
        </w:rPr>
      </w:pPr>
      <w:r>
        <w:rPr>
          <w:rFonts w:hint="eastAsia" w:ascii="宋体" w:hAnsi="宋体" w:eastAsia="宋体"/>
          <w:kern w:val="0"/>
          <w:sz w:val="24"/>
          <w:szCs w:val="22"/>
        </w:rPr>
        <w:t>3、本表中“</w:t>
      </w:r>
      <w:r>
        <w:rPr>
          <w:rFonts w:ascii="宋体" w:hAnsi="宋体"/>
          <w:kern w:val="0"/>
          <w:sz w:val="24"/>
        </w:rPr>
        <w:fldChar w:fldCharType="begin"/>
      </w:r>
      <w:r>
        <w:rPr>
          <w:rFonts w:ascii="宋体" w:hAnsi="宋体"/>
          <w:kern w:val="0"/>
          <w:sz w:val="24"/>
        </w:rPr>
        <w:instrText xml:space="preserve"> eq \o\ac(</w:instrText>
      </w:r>
      <w:r>
        <w:rPr>
          <w:rFonts w:hint="eastAsia" w:ascii="宋体" w:hAnsi="宋体"/>
          <w:kern w:val="0"/>
          <w:sz w:val="24"/>
        </w:rPr>
        <w:instrText xml:space="preserve">□</w:instrText>
      </w:r>
      <w:r>
        <w:rPr>
          <w:rFonts w:ascii="宋体" w:hAnsi="宋体"/>
          <w:kern w:val="0"/>
          <w:sz w:val="24"/>
        </w:rPr>
        <w:instrText xml:space="preserve">,</w:instrText>
      </w:r>
      <w:r>
        <w:rPr>
          <w:rFonts w:hint="eastAsia" w:ascii="宋体" w:hAnsi="宋体"/>
          <w:kern w:val="0"/>
          <w:sz w:val="24"/>
        </w:rPr>
        <w:instrText xml:space="preserve">√</w:instrText>
      </w:r>
      <w:r>
        <w:rPr>
          <w:rFonts w:ascii="宋体" w:hAnsi="宋体"/>
          <w:kern w:val="0"/>
          <w:sz w:val="24"/>
        </w:rPr>
        <w:instrText xml:space="preserve">)</w:instrText>
      </w:r>
      <w:r>
        <w:rPr>
          <w:rFonts w:ascii="宋体" w:hAnsi="宋体"/>
          <w:kern w:val="0"/>
          <w:sz w:val="24"/>
        </w:rPr>
        <w:fldChar w:fldCharType="end"/>
      </w:r>
      <w:r>
        <w:rPr>
          <w:rFonts w:hint="eastAsia" w:ascii="宋体" w:hAnsi="宋体" w:eastAsia="宋体"/>
          <w:kern w:val="0"/>
          <w:sz w:val="24"/>
          <w:szCs w:val="22"/>
        </w:rPr>
        <w:t>”标示选择使用该项，“□”标示不选择使用该项。</w:t>
      </w:r>
    </w:p>
    <w:p>
      <w:pPr>
        <w:spacing w:line="500" w:lineRule="exact"/>
        <w:outlineLvl w:val="1"/>
        <w:rPr>
          <w:rFonts w:ascii="宋体" w:hAnsi="宋体"/>
          <w:b/>
          <w:szCs w:val="28"/>
        </w:rPr>
      </w:pPr>
      <w:bookmarkStart w:id="47" w:name="_Toc256000003"/>
      <w:bookmarkStart w:id="48" w:name="EB25a5329124b74315b236b5ababbb0bae"/>
    </w:p>
    <w:p>
      <w:pPr>
        <w:pStyle w:val="5"/>
        <w:rPr>
          <w:rFonts w:ascii="宋体" w:hAnsi="宋体"/>
          <w:b/>
          <w:szCs w:val="28"/>
        </w:rPr>
      </w:pPr>
    </w:p>
    <w:p>
      <w:pPr>
        <w:rPr>
          <w:rFonts w:ascii="宋体" w:hAnsi="宋体"/>
          <w:b/>
          <w:szCs w:val="28"/>
        </w:rPr>
      </w:pPr>
    </w:p>
    <w:p>
      <w:pPr>
        <w:pStyle w:val="5"/>
        <w:rPr>
          <w:rFonts w:ascii="宋体" w:hAnsi="宋体"/>
          <w:b/>
          <w:szCs w:val="28"/>
        </w:rPr>
      </w:pPr>
    </w:p>
    <w:p>
      <w:pPr>
        <w:rPr>
          <w:rFonts w:ascii="宋体" w:hAnsi="宋体"/>
          <w:b/>
          <w:szCs w:val="28"/>
        </w:rPr>
      </w:pPr>
    </w:p>
    <w:p>
      <w:pPr>
        <w:pStyle w:val="5"/>
      </w:pPr>
    </w:p>
    <w:p>
      <w:pPr>
        <w:pStyle w:val="5"/>
        <w:rPr>
          <w:rFonts w:ascii="宋体" w:hAnsi="宋体"/>
          <w:b/>
          <w:szCs w:val="28"/>
        </w:rPr>
      </w:pPr>
    </w:p>
    <w:p>
      <w:pPr>
        <w:rPr>
          <w:rFonts w:ascii="宋体" w:hAnsi="宋体"/>
          <w:b/>
          <w:szCs w:val="28"/>
        </w:rPr>
      </w:pPr>
    </w:p>
    <w:p>
      <w:pPr>
        <w:pStyle w:val="2"/>
        <w:rPr>
          <w:rFonts w:ascii="宋体" w:hAnsi="宋体"/>
          <w:b/>
          <w:szCs w:val="28"/>
        </w:rPr>
      </w:pPr>
    </w:p>
    <w:p>
      <w:pPr>
        <w:pStyle w:val="2"/>
        <w:rPr>
          <w:rFonts w:ascii="宋体" w:hAnsi="宋体"/>
          <w:b/>
          <w:szCs w:val="28"/>
        </w:rPr>
      </w:pPr>
    </w:p>
    <w:p>
      <w:pPr>
        <w:pStyle w:val="2"/>
        <w:rPr>
          <w:rFonts w:ascii="宋体" w:hAnsi="宋体"/>
          <w:b/>
          <w:szCs w:val="28"/>
        </w:rPr>
      </w:pPr>
    </w:p>
    <w:p>
      <w:pPr>
        <w:pStyle w:val="2"/>
        <w:rPr>
          <w:rFonts w:ascii="宋体" w:hAnsi="宋体"/>
          <w:b/>
          <w:szCs w:val="28"/>
        </w:rPr>
      </w:pPr>
    </w:p>
    <w:p>
      <w:pPr>
        <w:pStyle w:val="2"/>
        <w:rPr>
          <w:rFonts w:ascii="宋体" w:hAnsi="宋体"/>
          <w:b/>
          <w:szCs w:val="28"/>
        </w:rPr>
      </w:pPr>
    </w:p>
    <w:p>
      <w:pPr>
        <w:pStyle w:val="2"/>
        <w:rPr>
          <w:rFonts w:ascii="宋体" w:hAnsi="宋体"/>
          <w:b/>
          <w:szCs w:val="28"/>
        </w:rPr>
      </w:pPr>
    </w:p>
    <w:p>
      <w:pPr>
        <w:pStyle w:val="2"/>
        <w:rPr>
          <w:rFonts w:ascii="宋体" w:hAnsi="宋体"/>
          <w:b/>
          <w:szCs w:val="28"/>
        </w:rPr>
      </w:pPr>
    </w:p>
    <w:p>
      <w:pPr>
        <w:pStyle w:val="2"/>
        <w:rPr>
          <w:rFonts w:ascii="宋体" w:hAnsi="宋体"/>
          <w:b/>
          <w:szCs w:val="28"/>
        </w:rPr>
      </w:pPr>
    </w:p>
    <w:p>
      <w:pPr>
        <w:pStyle w:val="2"/>
        <w:rPr>
          <w:rFonts w:ascii="宋体" w:hAnsi="宋体"/>
          <w:b/>
          <w:szCs w:val="28"/>
        </w:rPr>
      </w:pPr>
    </w:p>
    <w:p>
      <w:pPr>
        <w:pStyle w:val="2"/>
        <w:rPr>
          <w:rFonts w:ascii="宋体" w:hAnsi="宋体"/>
          <w:b/>
          <w:szCs w:val="28"/>
        </w:rPr>
      </w:pPr>
    </w:p>
    <w:p>
      <w:pPr>
        <w:pStyle w:val="2"/>
        <w:rPr>
          <w:rFonts w:ascii="宋体" w:hAnsi="宋体"/>
          <w:b/>
          <w:szCs w:val="28"/>
        </w:rPr>
      </w:pPr>
    </w:p>
    <w:p>
      <w:pPr>
        <w:pStyle w:val="2"/>
        <w:rPr>
          <w:rFonts w:ascii="宋体" w:hAnsi="宋体"/>
          <w:b/>
          <w:szCs w:val="28"/>
        </w:rPr>
      </w:pPr>
    </w:p>
    <w:p>
      <w:pPr>
        <w:pStyle w:val="2"/>
        <w:rPr>
          <w:rFonts w:ascii="宋体" w:hAnsi="宋体"/>
          <w:b/>
          <w:szCs w:val="28"/>
        </w:rPr>
      </w:pPr>
    </w:p>
    <w:p>
      <w:pPr>
        <w:pStyle w:val="2"/>
        <w:rPr>
          <w:rFonts w:ascii="宋体" w:hAnsi="宋体"/>
          <w:b/>
          <w:szCs w:val="28"/>
        </w:rPr>
      </w:pPr>
    </w:p>
    <w:p>
      <w:pPr>
        <w:pStyle w:val="2"/>
        <w:rPr>
          <w:rFonts w:ascii="宋体" w:hAnsi="宋体"/>
          <w:b/>
          <w:szCs w:val="28"/>
        </w:rPr>
      </w:pPr>
    </w:p>
    <w:p>
      <w:pPr>
        <w:pStyle w:val="2"/>
        <w:rPr>
          <w:rFonts w:ascii="宋体" w:hAnsi="宋体"/>
          <w:b/>
          <w:szCs w:val="28"/>
        </w:rPr>
      </w:pPr>
    </w:p>
    <w:p>
      <w:pPr>
        <w:pStyle w:val="2"/>
        <w:rPr>
          <w:rFonts w:ascii="宋体" w:hAnsi="宋体"/>
          <w:b/>
          <w:szCs w:val="28"/>
        </w:rPr>
      </w:pPr>
    </w:p>
    <w:p>
      <w:pPr>
        <w:pStyle w:val="2"/>
        <w:rPr>
          <w:rFonts w:ascii="宋体" w:hAnsi="宋体"/>
          <w:b/>
          <w:szCs w:val="28"/>
        </w:rPr>
      </w:pPr>
    </w:p>
    <w:p>
      <w:pPr>
        <w:pStyle w:val="2"/>
        <w:rPr>
          <w:rFonts w:ascii="宋体" w:hAnsi="宋体"/>
          <w:b/>
          <w:szCs w:val="28"/>
        </w:rPr>
      </w:pPr>
    </w:p>
    <w:p>
      <w:pPr>
        <w:pStyle w:val="2"/>
        <w:rPr>
          <w:rFonts w:ascii="宋体" w:hAnsi="宋体"/>
          <w:b/>
          <w:szCs w:val="28"/>
        </w:rPr>
      </w:pPr>
    </w:p>
    <w:p>
      <w:pPr>
        <w:pStyle w:val="2"/>
        <w:rPr>
          <w:rFonts w:ascii="宋体" w:hAnsi="宋体"/>
          <w:b/>
          <w:szCs w:val="28"/>
        </w:rPr>
      </w:pPr>
    </w:p>
    <w:p>
      <w:pPr>
        <w:pStyle w:val="2"/>
        <w:rPr>
          <w:rFonts w:ascii="宋体" w:hAnsi="宋体"/>
          <w:b/>
          <w:szCs w:val="28"/>
        </w:rPr>
      </w:pPr>
    </w:p>
    <w:p>
      <w:pPr>
        <w:pStyle w:val="2"/>
        <w:rPr>
          <w:rFonts w:ascii="宋体" w:hAnsi="宋体"/>
          <w:b/>
          <w:szCs w:val="28"/>
        </w:rPr>
      </w:pPr>
    </w:p>
    <w:p>
      <w:pPr>
        <w:pStyle w:val="2"/>
        <w:rPr>
          <w:rFonts w:ascii="宋体" w:hAnsi="宋体"/>
          <w:b/>
          <w:szCs w:val="28"/>
        </w:rPr>
      </w:pPr>
    </w:p>
    <w:p>
      <w:pPr>
        <w:pStyle w:val="2"/>
        <w:rPr>
          <w:rFonts w:ascii="宋体" w:hAnsi="宋体"/>
          <w:b/>
          <w:szCs w:val="28"/>
        </w:rPr>
      </w:pPr>
    </w:p>
    <w:p>
      <w:pPr>
        <w:pStyle w:val="5"/>
        <w:rPr>
          <w:rFonts w:ascii="宋体" w:hAnsi="宋体"/>
          <w:b/>
          <w:szCs w:val="28"/>
        </w:rPr>
      </w:pPr>
    </w:p>
    <w:p>
      <w:pPr>
        <w:spacing w:line="500" w:lineRule="exact"/>
        <w:jc w:val="center"/>
        <w:outlineLvl w:val="1"/>
        <w:rPr>
          <w:rFonts w:ascii="宋体" w:hAnsi="宋体"/>
          <w:b/>
          <w:sz w:val="30"/>
          <w:szCs w:val="30"/>
        </w:rPr>
      </w:pPr>
      <w:r>
        <w:rPr>
          <w:rFonts w:hint="eastAsia" w:ascii="宋体" w:hAnsi="宋体"/>
          <w:b/>
          <w:sz w:val="30"/>
          <w:szCs w:val="30"/>
        </w:rPr>
        <w:t>投标人须知正文部分</w:t>
      </w:r>
      <w:bookmarkEnd w:id="47"/>
    </w:p>
    <w:p>
      <w:pPr>
        <w:keepNext/>
        <w:keepLines/>
        <w:adjustRightInd w:val="0"/>
        <w:spacing w:line="360" w:lineRule="auto"/>
        <w:outlineLvl w:val="2"/>
        <w:rPr>
          <w:rFonts w:ascii="宋体" w:hAnsi="宋体"/>
          <w:b/>
          <w:bCs/>
          <w:kern w:val="0"/>
          <w:sz w:val="24"/>
        </w:rPr>
      </w:pPr>
      <w:bookmarkStart w:id="49" w:name="_Toc256000004"/>
      <w:r>
        <w:rPr>
          <w:rFonts w:hint="eastAsia" w:ascii="宋体" w:hAnsi="宋体"/>
          <w:b/>
          <w:bCs/>
          <w:kern w:val="0"/>
          <w:sz w:val="24"/>
        </w:rPr>
        <w:t>一、总则</w:t>
      </w:r>
      <w:bookmarkEnd w:id="49"/>
    </w:p>
    <w:p>
      <w:pPr>
        <w:spacing w:line="360" w:lineRule="auto"/>
        <w:rPr>
          <w:rFonts w:ascii="宋体" w:hAnsi="宋体"/>
          <w:b/>
          <w:sz w:val="24"/>
        </w:rPr>
      </w:pPr>
      <w:r>
        <w:rPr>
          <w:rFonts w:hint="eastAsia" w:ascii="宋体" w:hAnsi="宋体"/>
          <w:b/>
          <w:sz w:val="24"/>
        </w:rPr>
        <w:t>1.说明</w:t>
      </w:r>
    </w:p>
    <w:p>
      <w:pPr>
        <w:spacing w:line="360" w:lineRule="auto"/>
        <w:ind w:firstLine="480" w:firstLineChars="200"/>
        <w:rPr>
          <w:rFonts w:ascii="宋体" w:hAnsi="宋体"/>
          <w:sz w:val="24"/>
        </w:rPr>
      </w:pPr>
      <w:r>
        <w:rPr>
          <w:rFonts w:hint="eastAsia" w:ascii="宋体" w:hAnsi="宋体"/>
          <w:sz w:val="24"/>
        </w:rPr>
        <w:t>1.1 本招标文件适用于本次招标采购项目的招标投标。</w:t>
      </w:r>
    </w:p>
    <w:p>
      <w:pPr>
        <w:spacing w:line="360" w:lineRule="auto"/>
        <w:rPr>
          <w:rFonts w:ascii="宋体" w:hAnsi="宋体"/>
          <w:b/>
          <w:sz w:val="24"/>
        </w:rPr>
      </w:pPr>
      <w:r>
        <w:rPr>
          <w:rFonts w:hint="eastAsia" w:ascii="宋体" w:hAnsi="宋体"/>
          <w:b/>
          <w:sz w:val="24"/>
        </w:rPr>
        <w:t>2.定义</w:t>
      </w:r>
    </w:p>
    <w:p>
      <w:pPr>
        <w:spacing w:line="360" w:lineRule="auto"/>
        <w:ind w:firstLine="480" w:firstLineChars="200"/>
        <w:rPr>
          <w:rFonts w:ascii="宋体" w:hAnsi="宋体"/>
          <w:sz w:val="24"/>
        </w:rPr>
      </w:pPr>
      <w:r>
        <w:rPr>
          <w:rFonts w:hint="eastAsia" w:ascii="宋体" w:hAnsi="宋体"/>
          <w:sz w:val="24"/>
        </w:rPr>
        <w:t>2.1 “采购人”名称见本招标文件第二部分“投标人须知前附表”。</w:t>
      </w:r>
    </w:p>
    <w:p>
      <w:pPr>
        <w:spacing w:line="360" w:lineRule="auto"/>
        <w:ind w:firstLine="480" w:firstLineChars="200"/>
        <w:rPr>
          <w:rFonts w:ascii="宋体" w:hAnsi="宋体"/>
          <w:sz w:val="24"/>
        </w:rPr>
      </w:pPr>
      <w:r>
        <w:rPr>
          <w:rFonts w:hint="eastAsia" w:ascii="宋体" w:hAnsi="宋体"/>
          <w:sz w:val="24"/>
        </w:rPr>
        <w:t>2.2 “采购代理机构”名称见本招标文件第二部分“投标人须知前附表”。</w:t>
      </w:r>
    </w:p>
    <w:p>
      <w:pPr>
        <w:spacing w:line="360" w:lineRule="auto"/>
        <w:ind w:firstLine="480" w:firstLineChars="200"/>
        <w:rPr>
          <w:rFonts w:ascii="宋体" w:hAnsi="宋体"/>
          <w:sz w:val="24"/>
        </w:rPr>
      </w:pPr>
      <w:r>
        <w:rPr>
          <w:rFonts w:hint="eastAsia" w:ascii="宋体" w:hAnsi="宋体"/>
          <w:sz w:val="24"/>
        </w:rPr>
        <w:t>2.3 “服务”指招标文件第三部分所述投标人应该履行的承诺和义务。</w:t>
      </w:r>
    </w:p>
    <w:p>
      <w:pPr>
        <w:spacing w:line="360" w:lineRule="auto"/>
        <w:ind w:firstLine="480" w:firstLineChars="200"/>
        <w:rPr>
          <w:rFonts w:ascii="宋体" w:hAnsi="宋体"/>
          <w:sz w:val="24"/>
        </w:rPr>
      </w:pPr>
      <w:r>
        <w:rPr>
          <w:rFonts w:hint="eastAsia" w:ascii="宋体" w:hAnsi="宋体"/>
          <w:sz w:val="24"/>
        </w:rPr>
        <w:t>2.4 “潜在投标人”指符合招标文件各项规定的供应商。</w:t>
      </w:r>
    </w:p>
    <w:p>
      <w:pPr>
        <w:spacing w:line="360" w:lineRule="auto"/>
        <w:ind w:firstLine="480" w:firstLineChars="200"/>
        <w:rPr>
          <w:rFonts w:ascii="宋体" w:hAnsi="宋体"/>
          <w:sz w:val="24"/>
        </w:rPr>
      </w:pPr>
      <w:r>
        <w:rPr>
          <w:rFonts w:hint="eastAsia" w:ascii="宋体" w:hAnsi="宋体"/>
          <w:sz w:val="24"/>
        </w:rPr>
        <w:t>2.5 “投标人”指符合招标文件规定并参加投标的供应商。</w:t>
      </w:r>
    </w:p>
    <w:p>
      <w:pPr>
        <w:spacing w:line="360" w:lineRule="auto"/>
        <w:ind w:firstLine="480" w:firstLineChars="200"/>
        <w:rPr>
          <w:rFonts w:ascii="宋体" w:hAnsi="宋体"/>
          <w:sz w:val="24"/>
        </w:rPr>
      </w:pPr>
      <w:r>
        <w:rPr>
          <w:rFonts w:hint="eastAsia" w:ascii="宋体" w:hAnsi="宋体"/>
          <w:sz w:val="24"/>
        </w:rPr>
        <w:t>2.6 “投标人公章”在投标文件中指与投标人标准公章一致的投标人电子签章。</w:t>
      </w:r>
    </w:p>
    <w:p>
      <w:pPr>
        <w:spacing w:line="360" w:lineRule="auto"/>
        <w:ind w:firstLine="480" w:firstLineChars="200"/>
        <w:rPr>
          <w:rFonts w:ascii="宋体" w:hAnsi="宋体"/>
          <w:sz w:val="24"/>
        </w:rPr>
      </w:pPr>
      <w:r>
        <w:rPr>
          <w:rFonts w:hint="eastAsia" w:ascii="宋体" w:hAnsi="宋体"/>
          <w:sz w:val="24"/>
        </w:rPr>
        <w:t>2.7 “电子投标文件”指利用政采云平台提供的“电子投标文件制作工具</w:t>
      </w:r>
      <w:r>
        <w:rPr>
          <w:rFonts w:ascii="宋体" w:hAnsi="宋体"/>
          <w:sz w:val="24"/>
        </w:rPr>
        <w:t>”</w:t>
      </w:r>
      <w:r>
        <w:rPr>
          <w:rFonts w:hint="eastAsia" w:ascii="宋体" w:hAnsi="宋体"/>
          <w:sz w:val="24"/>
        </w:rPr>
        <w:t>编制加密和未加密的投标文件。</w:t>
      </w:r>
    </w:p>
    <w:p>
      <w:pPr>
        <w:spacing w:line="360" w:lineRule="auto"/>
        <w:rPr>
          <w:rFonts w:ascii="宋体" w:hAnsi="宋体"/>
          <w:b/>
          <w:sz w:val="24"/>
        </w:rPr>
      </w:pPr>
      <w:r>
        <w:rPr>
          <w:rFonts w:hint="eastAsia" w:ascii="宋体" w:hAnsi="宋体"/>
          <w:b/>
          <w:sz w:val="24"/>
        </w:rPr>
        <w:t>3.合格投标人的条件</w:t>
      </w:r>
    </w:p>
    <w:p>
      <w:pPr>
        <w:spacing w:line="360" w:lineRule="auto"/>
        <w:ind w:firstLine="480" w:firstLineChars="200"/>
        <w:rPr>
          <w:rFonts w:ascii="宋体" w:hAnsi="宋体"/>
          <w:sz w:val="24"/>
        </w:rPr>
      </w:pPr>
      <w:r>
        <w:rPr>
          <w:rFonts w:hint="eastAsia" w:ascii="宋体" w:hAnsi="宋体"/>
          <w:sz w:val="24"/>
        </w:rPr>
        <w:t>3.1 具有本项目实施能力，符合、承认并承诺履行本文件各项规定的国内法人、其他组织或自然人均可参加投标。</w:t>
      </w:r>
    </w:p>
    <w:p>
      <w:pPr>
        <w:spacing w:line="360" w:lineRule="auto"/>
        <w:ind w:firstLine="480" w:firstLineChars="200"/>
        <w:rPr>
          <w:rFonts w:ascii="宋体" w:hAnsi="宋体"/>
          <w:sz w:val="24"/>
        </w:rPr>
      </w:pPr>
      <w:r>
        <w:rPr>
          <w:rFonts w:hint="eastAsia" w:ascii="宋体" w:hAnsi="宋体"/>
          <w:sz w:val="24"/>
        </w:rPr>
        <w:t>3.2 遵守有关的国家法律、法规和条例，具备《中华人民共和国政府采购法》和本文件中规定的条件：</w:t>
      </w:r>
    </w:p>
    <w:p>
      <w:pPr>
        <w:spacing w:line="360" w:lineRule="auto"/>
        <w:ind w:firstLine="480" w:firstLineChars="200"/>
        <w:rPr>
          <w:rFonts w:ascii="宋体" w:hAnsi="宋体"/>
          <w:sz w:val="24"/>
        </w:rPr>
      </w:pPr>
      <w:r>
        <w:rPr>
          <w:rFonts w:hint="eastAsia" w:ascii="宋体" w:hAnsi="宋体"/>
          <w:sz w:val="24"/>
        </w:rPr>
        <w:t xml:space="preserve">1)具有独立承担民事责任的能力； </w:t>
      </w:r>
    </w:p>
    <w:p>
      <w:pPr>
        <w:spacing w:line="360" w:lineRule="auto"/>
        <w:ind w:firstLine="480" w:firstLineChars="200"/>
        <w:rPr>
          <w:rFonts w:ascii="宋体" w:hAnsi="宋体"/>
          <w:sz w:val="24"/>
        </w:rPr>
      </w:pPr>
      <w:r>
        <w:rPr>
          <w:rFonts w:hint="eastAsia" w:ascii="宋体" w:hAnsi="宋体"/>
          <w:sz w:val="24"/>
        </w:rPr>
        <w:t>2)具有良好的商业信誉和健全的财务会计制度；</w:t>
      </w:r>
    </w:p>
    <w:p>
      <w:pPr>
        <w:spacing w:line="360" w:lineRule="auto"/>
        <w:ind w:firstLine="480" w:firstLineChars="200"/>
        <w:rPr>
          <w:rFonts w:ascii="宋体" w:hAnsi="宋体"/>
          <w:sz w:val="24"/>
        </w:rPr>
      </w:pPr>
      <w:r>
        <w:rPr>
          <w:rFonts w:hint="eastAsia" w:ascii="宋体" w:hAnsi="宋体"/>
          <w:sz w:val="24"/>
        </w:rPr>
        <w:t>3)具有履行合同所必需的设备和专业技术能力；</w:t>
      </w:r>
    </w:p>
    <w:p>
      <w:pPr>
        <w:spacing w:line="360" w:lineRule="auto"/>
        <w:ind w:firstLine="480" w:firstLineChars="200"/>
        <w:rPr>
          <w:rFonts w:ascii="宋体" w:hAnsi="宋体"/>
          <w:sz w:val="24"/>
        </w:rPr>
      </w:pPr>
      <w:r>
        <w:rPr>
          <w:rFonts w:hint="eastAsia" w:ascii="宋体" w:hAnsi="宋体"/>
          <w:sz w:val="24"/>
        </w:rPr>
        <w:t>4)具有依法缴纳税收和社会保障资金的良好记录；</w:t>
      </w:r>
    </w:p>
    <w:p>
      <w:pPr>
        <w:spacing w:line="360" w:lineRule="auto"/>
        <w:ind w:firstLine="480" w:firstLineChars="200"/>
        <w:rPr>
          <w:rFonts w:ascii="宋体" w:hAnsi="宋体"/>
          <w:sz w:val="24"/>
        </w:rPr>
      </w:pPr>
      <w:r>
        <w:rPr>
          <w:rFonts w:hint="eastAsia" w:ascii="宋体" w:hAnsi="宋体"/>
          <w:sz w:val="24"/>
        </w:rPr>
        <w:t>5)参加政府采购活动前三年内，在经营活动中没有重大违法记录；</w:t>
      </w:r>
    </w:p>
    <w:p>
      <w:pPr>
        <w:spacing w:line="360" w:lineRule="auto"/>
        <w:ind w:firstLine="480" w:firstLineChars="200"/>
        <w:rPr>
          <w:rFonts w:ascii="宋体" w:hAnsi="宋体"/>
          <w:sz w:val="24"/>
        </w:rPr>
      </w:pPr>
      <w:r>
        <w:rPr>
          <w:rFonts w:hint="eastAsia" w:ascii="宋体" w:hAnsi="宋体"/>
          <w:sz w:val="24"/>
        </w:rPr>
        <w:t>6)法律、行政法规规定的其他条件；</w:t>
      </w:r>
    </w:p>
    <w:p>
      <w:pPr>
        <w:spacing w:line="360" w:lineRule="auto"/>
        <w:ind w:firstLine="480" w:firstLineChars="200"/>
        <w:rPr>
          <w:rFonts w:ascii="宋体" w:hAnsi="宋体"/>
          <w:sz w:val="24"/>
        </w:rPr>
      </w:pPr>
      <w:r>
        <w:rPr>
          <w:rFonts w:hint="eastAsia" w:ascii="宋体" w:hAnsi="宋体"/>
          <w:sz w:val="24"/>
        </w:rPr>
        <w:t>7)具有本招标文件第二部分“投标人须知前附表”中第5项规定的资格条件。</w:t>
      </w:r>
    </w:p>
    <w:p>
      <w:pPr>
        <w:spacing w:line="360" w:lineRule="auto"/>
        <w:ind w:firstLine="480" w:firstLineChars="200"/>
        <w:rPr>
          <w:rFonts w:ascii="宋体" w:hAnsi="宋体"/>
          <w:sz w:val="24"/>
        </w:rPr>
      </w:pPr>
      <w:r>
        <w:rPr>
          <w:rFonts w:hint="eastAsia" w:ascii="宋体" w:hAnsi="宋体"/>
          <w:sz w:val="24"/>
        </w:rPr>
        <w:t>3.3 投标人之间如果存在下列情形之一的，不得同时参加同一包（标段）或者不分包（标段）的同一项目投标：</w:t>
      </w:r>
    </w:p>
    <w:p>
      <w:pPr>
        <w:spacing w:line="360" w:lineRule="auto"/>
        <w:ind w:firstLine="480" w:firstLineChars="200"/>
        <w:rPr>
          <w:rFonts w:ascii="宋体" w:hAnsi="宋体"/>
          <w:sz w:val="24"/>
        </w:rPr>
      </w:pPr>
      <w:r>
        <w:rPr>
          <w:rFonts w:hint="eastAsia" w:ascii="宋体" w:hAnsi="宋体"/>
          <w:sz w:val="24"/>
        </w:rPr>
        <w:t>3.3.1 法定代表人为同一个人的两个及两个以上法人；</w:t>
      </w:r>
    </w:p>
    <w:p>
      <w:pPr>
        <w:spacing w:line="360" w:lineRule="auto"/>
        <w:ind w:firstLine="480" w:firstLineChars="200"/>
        <w:rPr>
          <w:rFonts w:ascii="宋体" w:hAnsi="宋体"/>
          <w:sz w:val="24"/>
        </w:rPr>
      </w:pPr>
      <w:r>
        <w:rPr>
          <w:rFonts w:hint="eastAsia" w:ascii="宋体" w:hAnsi="宋体"/>
          <w:sz w:val="24"/>
        </w:rPr>
        <w:t>3.3.2 母公司、全资子公司及其控股公司；</w:t>
      </w:r>
    </w:p>
    <w:p>
      <w:pPr>
        <w:spacing w:line="360" w:lineRule="auto"/>
        <w:ind w:firstLine="480" w:firstLineChars="200"/>
        <w:rPr>
          <w:rFonts w:ascii="宋体" w:hAnsi="宋体"/>
          <w:sz w:val="24"/>
        </w:rPr>
      </w:pPr>
      <w:r>
        <w:rPr>
          <w:rFonts w:hint="eastAsia" w:ascii="宋体" w:hAnsi="宋体"/>
          <w:sz w:val="24"/>
        </w:rPr>
        <w:t>3.3.3 参加投标的其他组织之间存在特殊的利害关系的；</w:t>
      </w:r>
    </w:p>
    <w:p>
      <w:pPr>
        <w:spacing w:line="360" w:lineRule="auto"/>
        <w:ind w:firstLine="480" w:firstLineChars="200"/>
        <w:rPr>
          <w:rFonts w:ascii="宋体" w:hAnsi="宋体"/>
          <w:sz w:val="24"/>
        </w:rPr>
      </w:pPr>
      <w:r>
        <w:rPr>
          <w:rFonts w:hint="eastAsia" w:ascii="宋体" w:hAnsi="宋体"/>
          <w:sz w:val="24"/>
        </w:rPr>
        <w:t>3.3.4 法律和行政法规规定的其他情形。</w:t>
      </w:r>
    </w:p>
    <w:p>
      <w:pPr>
        <w:spacing w:line="360" w:lineRule="auto"/>
        <w:ind w:firstLine="480" w:firstLineChars="200"/>
        <w:rPr>
          <w:rFonts w:ascii="宋体" w:hAnsi="宋体"/>
          <w:sz w:val="24"/>
        </w:rPr>
      </w:pPr>
      <w:r>
        <w:rPr>
          <w:rFonts w:hint="eastAsia" w:ascii="宋体" w:hAnsi="宋体"/>
          <w:sz w:val="24"/>
        </w:rPr>
        <w:t>3.4 投标人须持有《法定代表人授权委托书》。</w:t>
      </w:r>
    </w:p>
    <w:p>
      <w:pPr>
        <w:spacing w:line="360" w:lineRule="auto"/>
        <w:ind w:firstLine="480" w:firstLineChars="200"/>
        <w:rPr>
          <w:rFonts w:ascii="宋体" w:hAnsi="宋体"/>
          <w:sz w:val="24"/>
        </w:rPr>
      </w:pPr>
      <w:r>
        <w:rPr>
          <w:rFonts w:hint="eastAsia" w:ascii="宋体" w:hAnsi="宋体"/>
          <w:sz w:val="24"/>
        </w:rPr>
        <w:t>3.5 投标人在政采云平台内针对本项目下载了</w:t>
      </w:r>
      <w:r>
        <w:rPr>
          <w:rFonts w:ascii="宋体" w:hAnsi="宋体"/>
          <w:kern w:val="0"/>
          <w:sz w:val="24"/>
        </w:rPr>
        <w:t>电子采购文件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3.6 投标人按时足额交纳投标保证金。</w:t>
      </w:r>
    </w:p>
    <w:p>
      <w:pPr>
        <w:spacing w:line="360" w:lineRule="auto"/>
        <w:ind w:firstLine="480" w:firstLineChars="200"/>
        <w:rPr>
          <w:rFonts w:ascii="宋体" w:hAnsi="宋体"/>
          <w:sz w:val="24"/>
        </w:rPr>
      </w:pPr>
      <w:r>
        <w:rPr>
          <w:rFonts w:hint="eastAsia" w:ascii="宋体" w:hAnsi="宋体"/>
          <w:sz w:val="24"/>
        </w:rPr>
        <w:t>3.7 本次招标是否允许由两个以上投标人组成一个联合体以一个投标人身份共同投标，按照招标文件第二部分“投标人须知前附表”中第7项的规定。如果允许，除均应符合上述规定外，还应符合下列要求：</w:t>
      </w:r>
    </w:p>
    <w:p>
      <w:pPr>
        <w:spacing w:line="360" w:lineRule="auto"/>
        <w:ind w:firstLine="480" w:firstLineChars="200"/>
        <w:rPr>
          <w:rFonts w:ascii="宋体" w:hAnsi="宋体"/>
          <w:sz w:val="24"/>
        </w:rPr>
      </w:pPr>
      <w:r>
        <w:rPr>
          <w:rFonts w:hint="eastAsia" w:ascii="宋体" w:hAnsi="宋体"/>
          <w:sz w:val="24"/>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pPr>
        <w:spacing w:line="360" w:lineRule="auto"/>
        <w:ind w:firstLine="480" w:firstLineChars="200"/>
        <w:rPr>
          <w:rFonts w:ascii="宋体" w:hAnsi="宋体"/>
          <w:sz w:val="24"/>
        </w:rPr>
      </w:pPr>
      <w:r>
        <w:rPr>
          <w:rFonts w:hint="eastAsia" w:ascii="宋体" w:hAnsi="宋体"/>
          <w:sz w:val="24"/>
        </w:rPr>
        <w:t>2）联合体各方中至少应当有一方对应满足本项目规定的相应资质条件，并且联合体投标人整体应当符合本项目的资质要求，否则，其提交的联合投标将被拒绝。</w:t>
      </w:r>
    </w:p>
    <w:p>
      <w:pPr>
        <w:spacing w:line="360" w:lineRule="auto"/>
        <w:ind w:firstLine="480" w:firstLineChars="200"/>
        <w:rPr>
          <w:rFonts w:ascii="宋体" w:hAnsi="宋体"/>
          <w:sz w:val="24"/>
        </w:rPr>
      </w:pPr>
      <w:r>
        <w:rPr>
          <w:rFonts w:hint="eastAsia" w:ascii="宋体" w:hAnsi="宋体"/>
          <w:sz w:val="24"/>
        </w:rPr>
        <w:t>3）由不同专业的投标人组成的联合体, 首先以投标的全权代表方的应答材料作为认定资质以及商务评审的依据；涉及行业专属的资质,按照所属行业所对应的投标人的应答材料确定。</w:t>
      </w:r>
    </w:p>
    <w:p>
      <w:pPr>
        <w:spacing w:line="360" w:lineRule="auto"/>
        <w:ind w:firstLine="480" w:firstLineChars="200"/>
        <w:rPr>
          <w:rFonts w:ascii="宋体" w:hAnsi="宋体"/>
          <w:sz w:val="24"/>
        </w:rPr>
      </w:pPr>
      <w:r>
        <w:rPr>
          <w:rFonts w:hint="eastAsia" w:ascii="宋体" w:hAnsi="宋体"/>
          <w:sz w:val="24"/>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pPr>
        <w:spacing w:line="360" w:lineRule="auto"/>
        <w:ind w:firstLine="480" w:firstLineChars="200"/>
        <w:rPr>
          <w:rFonts w:ascii="宋体" w:hAnsi="宋体"/>
          <w:sz w:val="24"/>
        </w:rPr>
      </w:pPr>
      <w:r>
        <w:rPr>
          <w:rFonts w:hint="eastAsia" w:ascii="宋体" w:hAnsi="宋体"/>
          <w:sz w:val="24"/>
        </w:rPr>
        <w:t>5）联合体或其成员不得将其在合同项下的权利或义务全部或部分转让给第三人，有关分包事项或服务委托等须事先取得采购代理机构书面同意并且须遵守相关法律、法规、本次招标的全部相关规定。</w:t>
      </w:r>
    </w:p>
    <w:p>
      <w:pPr>
        <w:spacing w:line="360" w:lineRule="auto"/>
        <w:ind w:firstLine="480" w:firstLineChars="200"/>
        <w:rPr>
          <w:rFonts w:ascii="宋体" w:hAnsi="宋体"/>
          <w:sz w:val="24"/>
        </w:rPr>
      </w:pPr>
      <w:r>
        <w:rPr>
          <w:rFonts w:hint="eastAsia" w:ascii="宋体" w:hAnsi="宋体"/>
          <w:sz w:val="24"/>
        </w:rPr>
        <w:t>6）联合体各方均不得同时再以自己独立的名义单独投标，也不得再同时参加其他的联合体投标。若该等情形被发现，其单独的投标和与此有关的联合体的投标均将被一并拒绝。</w:t>
      </w:r>
    </w:p>
    <w:p>
      <w:pPr>
        <w:tabs>
          <w:tab w:val="left" w:pos="1146"/>
        </w:tabs>
        <w:spacing w:line="360" w:lineRule="auto"/>
        <w:ind w:firstLine="480" w:firstLineChars="200"/>
        <w:rPr>
          <w:rFonts w:ascii="宋体" w:hAnsi="宋体"/>
          <w:sz w:val="24"/>
        </w:rPr>
      </w:pPr>
      <w:r>
        <w:rPr>
          <w:rFonts w:hint="eastAsia" w:ascii="宋体" w:hAnsi="宋体"/>
          <w:sz w:val="24"/>
        </w:rPr>
        <w:t>3.7 投标人不得与采购人、采购代理机构等有利害关系。</w:t>
      </w:r>
    </w:p>
    <w:p>
      <w:pPr>
        <w:spacing w:line="360" w:lineRule="auto"/>
        <w:rPr>
          <w:rFonts w:ascii="宋体" w:hAnsi="宋体"/>
          <w:b/>
          <w:sz w:val="24"/>
        </w:rPr>
      </w:pPr>
      <w:r>
        <w:rPr>
          <w:rFonts w:hint="eastAsia" w:ascii="宋体" w:hAnsi="宋体"/>
          <w:b/>
          <w:sz w:val="24"/>
        </w:rPr>
        <w:t>4.投标费用</w:t>
      </w:r>
    </w:p>
    <w:p>
      <w:pPr>
        <w:spacing w:line="360" w:lineRule="auto"/>
        <w:ind w:firstLine="480" w:firstLineChars="200"/>
        <w:rPr>
          <w:rFonts w:ascii="宋体" w:hAnsi="宋体"/>
          <w:sz w:val="24"/>
        </w:rPr>
      </w:pPr>
      <w:r>
        <w:rPr>
          <w:rFonts w:hint="eastAsia" w:ascii="宋体" w:hAnsi="宋体"/>
          <w:sz w:val="24"/>
        </w:rPr>
        <w:t>4.1 投标人应承担所有与准备和参加投标有关的费用。</w:t>
      </w:r>
    </w:p>
    <w:p>
      <w:pPr>
        <w:spacing w:line="360" w:lineRule="auto"/>
        <w:rPr>
          <w:rFonts w:ascii="宋体" w:hAnsi="宋体"/>
          <w:b/>
          <w:sz w:val="24"/>
        </w:rPr>
      </w:pPr>
      <w:r>
        <w:rPr>
          <w:rFonts w:hint="eastAsia" w:ascii="宋体" w:hAnsi="宋体"/>
          <w:b/>
          <w:sz w:val="24"/>
        </w:rPr>
        <w:t>5.纪律</w:t>
      </w:r>
    </w:p>
    <w:p>
      <w:pPr>
        <w:spacing w:line="360" w:lineRule="auto"/>
        <w:ind w:firstLine="480" w:firstLineChars="200"/>
        <w:rPr>
          <w:rFonts w:ascii="宋体" w:hAnsi="宋体"/>
          <w:sz w:val="24"/>
        </w:rPr>
      </w:pPr>
      <w:r>
        <w:rPr>
          <w:rFonts w:hint="eastAsia" w:ascii="宋体" w:hAnsi="宋体"/>
          <w:sz w:val="24"/>
        </w:rPr>
        <w:t>5.1 投标人的投标行为应遵守中国的有关法律、法规和规章。</w:t>
      </w:r>
    </w:p>
    <w:p>
      <w:pPr>
        <w:spacing w:line="360" w:lineRule="auto"/>
        <w:ind w:firstLine="480" w:firstLineChars="200"/>
        <w:rPr>
          <w:rFonts w:ascii="宋体" w:hAnsi="宋体"/>
          <w:sz w:val="24"/>
        </w:rPr>
      </w:pPr>
      <w:r>
        <w:rPr>
          <w:rFonts w:hint="eastAsia" w:ascii="宋体" w:hAnsi="宋体"/>
          <w:sz w:val="24"/>
        </w:rPr>
        <w:t>5.2 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rPr>
          <w:rFonts w:ascii="宋体" w:hAnsi="宋体"/>
          <w:sz w:val="24"/>
        </w:rPr>
      </w:pPr>
      <w:r>
        <w:rPr>
          <w:rFonts w:hint="eastAsia" w:ascii="宋体" w:hAnsi="宋体"/>
          <w:sz w:val="24"/>
        </w:rPr>
        <w:t>5.2.1 有下列情形之一的，属于投标人相互串通投标：</w:t>
      </w:r>
    </w:p>
    <w:p>
      <w:pPr>
        <w:spacing w:line="360" w:lineRule="auto"/>
        <w:ind w:firstLine="480" w:firstLineChars="200"/>
        <w:rPr>
          <w:rFonts w:ascii="宋体" w:hAnsi="宋体"/>
          <w:sz w:val="24"/>
        </w:rPr>
      </w:pPr>
      <w:r>
        <w:rPr>
          <w:rFonts w:hint="eastAsia" w:ascii="宋体" w:hAnsi="宋体"/>
          <w:sz w:val="24"/>
        </w:rPr>
        <w:t>5.2.1.1 投标人之间协商投标报价等投标文件的实质性内容；</w:t>
      </w:r>
    </w:p>
    <w:p>
      <w:pPr>
        <w:spacing w:line="360" w:lineRule="auto"/>
        <w:ind w:firstLine="480" w:firstLineChars="200"/>
        <w:rPr>
          <w:rFonts w:ascii="宋体" w:hAnsi="宋体"/>
          <w:sz w:val="24"/>
        </w:rPr>
      </w:pPr>
      <w:r>
        <w:rPr>
          <w:rFonts w:hint="eastAsia" w:ascii="宋体" w:hAnsi="宋体"/>
          <w:sz w:val="24"/>
        </w:rPr>
        <w:t>5.2.1.2 投标人之间约定中标人；</w:t>
      </w:r>
    </w:p>
    <w:p>
      <w:pPr>
        <w:spacing w:line="360" w:lineRule="auto"/>
        <w:ind w:firstLine="480" w:firstLineChars="200"/>
        <w:rPr>
          <w:rFonts w:ascii="宋体" w:hAnsi="宋体"/>
          <w:sz w:val="24"/>
        </w:rPr>
      </w:pPr>
      <w:r>
        <w:rPr>
          <w:rFonts w:hint="eastAsia" w:ascii="宋体" w:hAnsi="宋体"/>
          <w:sz w:val="24"/>
        </w:rPr>
        <w:t>5.2.1.3 投标人之间约定部分投标人放弃投标或者中标；</w:t>
      </w:r>
    </w:p>
    <w:p>
      <w:pPr>
        <w:spacing w:line="360" w:lineRule="auto"/>
        <w:ind w:firstLine="480" w:firstLineChars="200"/>
        <w:rPr>
          <w:rFonts w:ascii="宋体" w:hAnsi="宋体"/>
          <w:sz w:val="24"/>
        </w:rPr>
      </w:pPr>
      <w:r>
        <w:rPr>
          <w:rFonts w:hint="eastAsia" w:ascii="宋体" w:hAnsi="宋体"/>
          <w:sz w:val="24"/>
        </w:rPr>
        <w:t>5.2.1.4 属于同一集团、协会、商会等组织成员的投标人按照该组织要求协同投标；</w:t>
      </w:r>
    </w:p>
    <w:p>
      <w:pPr>
        <w:spacing w:line="360" w:lineRule="auto"/>
        <w:ind w:firstLine="480" w:firstLineChars="200"/>
        <w:rPr>
          <w:rFonts w:ascii="宋体" w:hAnsi="宋体"/>
          <w:sz w:val="24"/>
        </w:rPr>
      </w:pPr>
      <w:r>
        <w:rPr>
          <w:rFonts w:hint="eastAsia" w:ascii="宋体" w:hAnsi="宋体"/>
          <w:sz w:val="24"/>
        </w:rPr>
        <w:t>5.2.1.5 投标人之间为谋取中标或者排斥特定投标人而采取的其他联合行动。</w:t>
      </w:r>
    </w:p>
    <w:p>
      <w:pPr>
        <w:spacing w:line="360" w:lineRule="auto"/>
        <w:ind w:firstLine="480" w:firstLineChars="200"/>
        <w:rPr>
          <w:rFonts w:ascii="宋体" w:hAnsi="宋体"/>
          <w:sz w:val="24"/>
        </w:rPr>
      </w:pPr>
      <w:r>
        <w:rPr>
          <w:rFonts w:hint="eastAsia" w:ascii="宋体" w:hAnsi="宋体"/>
          <w:sz w:val="24"/>
        </w:rPr>
        <w:t>5.2.2 有下列情形之一的，视为投标人相互串通投标：</w:t>
      </w:r>
    </w:p>
    <w:p>
      <w:pPr>
        <w:spacing w:line="360" w:lineRule="auto"/>
        <w:ind w:firstLine="480" w:firstLineChars="200"/>
        <w:rPr>
          <w:rFonts w:ascii="宋体" w:hAnsi="宋体"/>
          <w:sz w:val="24"/>
        </w:rPr>
      </w:pPr>
      <w:r>
        <w:rPr>
          <w:rFonts w:hint="eastAsia" w:ascii="宋体" w:hAnsi="宋体"/>
          <w:sz w:val="24"/>
        </w:rPr>
        <w:t>5.2.2.1 不同投标人的投标文件由同一单位或者个人编制；</w:t>
      </w:r>
    </w:p>
    <w:p>
      <w:pPr>
        <w:spacing w:line="360" w:lineRule="auto"/>
        <w:ind w:firstLine="480" w:firstLineChars="200"/>
        <w:rPr>
          <w:rFonts w:ascii="宋体" w:hAnsi="宋体"/>
          <w:sz w:val="24"/>
        </w:rPr>
      </w:pPr>
      <w:r>
        <w:rPr>
          <w:rFonts w:hint="eastAsia" w:ascii="宋体" w:hAnsi="宋体"/>
          <w:sz w:val="24"/>
        </w:rPr>
        <w:t>5.2.2.2 不同投标人委托同一单位或者个人办理投标事宜，或制作电子投标文件的文件制作机器码（mac地址）一致，或制作电子投标文件的文件创建标识码一致；</w:t>
      </w:r>
    </w:p>
    <w:p>
      <w:pPr>
        <w:spacing w:line="360" w:lineRule="auto"/>
        <w:ind w:firstLine="480" w:firstLineChars="200"/>
        <w:rPr>
          <w:rFonts w:ascii="宋体" w:hAnsi="宋体"/>
          <w:sz w:val="24"/>
        </w:rPr>
      </w:pPr>
      <w:r>
        <w:rPr>
          <w:rFonts w:hint="eastAsia" w:ascii="宋体" w:hAnsi="宋体"/>
          <w:sz w:val="24"/>
        </w:rPr>
        <w:t>5.2.2.3 不同投标人的投标文件载明的项目管理成员为同一人；</w:t>
      </w:r>
    </w:p>
    <w:p>
      <w:pPr>
        <w:spacing w:line="360" w:lineRule="auto"/>
        <w:ind w:firstLine="480" w:firstLineChars="200"/>
        <w:rPr>
          <w:rFonts w:ascii="宋体" w:hAnsi="宋体"/>
          <w:sz w:val="24"/>
        </w:rPr>
      </w:pPr>
      <w:r>
        <w:rPr>
          <w:rFonts w:hint="eastAsia" w:ascii="宋体" w:hAnsi="宋体"/>
          <w:sz w:val="24"/>
        </w:rPr>
        <w:t>5.2.2.4 不同投标人的投标文件异常一致或者投标报价呈规律性差异；</w:t>
      </w:r>
    </w:p>
    <w:p>
      <w:pPr>
        <w:spacing w:line="360" w:lineRule="auto"/>
        <w:ind w:firstLine="480" w:firstLineChars="200"/>
        <w:rPr>
          <w:rFonts w:ascii="宋体" w:hAnsi="宋体"/>
          <w:sz w:val="24"/>
        </w:rPr>
      </w:pPr>
      <w:r>
        <w:rPr>
          <w:rFonts w:hint="eastAsia" w:ascii="宋体" w:hAnsi="宋体"/>
          <w:sz w:val="24"/>
        </w:rPr>
        <w:t>5.2.2.5 不同投标人的投标文件相互混装；</w:t>
      </w:r>
    </w:p>
    <w:p>
      <w:pPr>
        <w:spacing w:line="360" w:lineRule="auto"/>
        <w:ind w:firstLine="480" w:firstLineChars="200"/>
        <w:rPr>
          <w:rFonts w:ascii="宋体" w:hAnsi="宋体"/>
          <w:sz w:val="24"/>
        </w:rPr>
      </w:pPr>
      <w:r>
        <w:rPr>
          <w:rFonts w:hint="eastAsia" w:ascii="宋体" w:hAnsi="宋体"/>
          <w:sz w:val="24"/>
        </w:rPr>
        <w:t>5.2.2.6 不同投标人的投标保证金从同一单位或者个人的账户转出。</w:t>
      </w:r>
    </w:p>
    <w:p>
      <w:pPr>
        <w:spacing w:line="360" w:lineRule="auto"/>
        <w:rPr>
          <w:rFonts w:ascii="宋体" w:hAnsi="宋体"/>
          <w:b/>
          <w:sz w:val="24"/>
        </w:rPr>
      </w:pPr>
      <w:r>
        <w:rPr>
          <w:rFonts w:hint="eastAsia" w:ascii="宋体" w:hAnsi="宋体"/>
          <w:b/>
          <w:sz w:val="24"/>
        </w:rPr>
        <w:t>6.通知</w:t>
      </w:r>
    </w:p>
    <w:p>
      <w:pPr>
        <w:spacing w:line="360" w:lineRule="auto"/>
        <w:ind w:firstLine="480" w:firstLineChars="200"/>
        <w:rPr>
          <w:rFonts w:ascii="宋体" w:hAnsi="宋体"/>
          <w:sz w:val="24"/>
        </w:rPr>
      </w:pPr>
      <w:r>
        <w:rPr>
          <w:rFonts w:hint="eastAsia" w:ascii="宋体" w:hAnsi="宋体"/>
          <w:sz w:val="24"/>
        </w:rPr>
        <w:t>6.1 对与本项目有关的通知，采购代理机构将以书面（包括书面材料、信函、传真等，下同）或在本次招标公告刊登的媒体上发布公告并在政采云平台内发送变更通知及/或答疑文件的形式，向潜在投标人发出，传真和电话号码以潜在投标人的登记为准。收到通知的投标人须立即予以回复确认，但投标人未回复或采购代理机构未收到回复时，并不应当被理解为采购代理机构知道或应当知道投标人是否收到通知。因登记有误、传真线路故障或其它任何意外情形，导致所发出的通知延迟送达或无法到达投标人，采购代理机构不因此承担任何责任，有关的招标活动可以继续有效地进行。</w:t>
      </w:r>
    </w:p>
    <w:p>
      <w:pPr>
        <w:rPr>
          <w:highlight w:val="cyan"/>
        </w:rPr>
      </w:pPr>
      <w:bookmarkStart w:id="50" w:name="EBb7ad169f5dca4521a3bb59218ea160eb"/>
      <w:r>
        <w:rPr>
          <w:sz w:val="20"/>
          <w:highlight w:val="white"/>
        </w:rPr>
        <w:t xml:space="preserve"> </w:t>
      </w:r>
      <w:bookmarkEnd w:id="50"/>
      <w:bookmarkStart w:id="51" w:name="EB5329076af7ef4078a7e06f9b6702af2d"/>
      <w:r>
        <w:rPr>
          <w:sz w:val="20"/>
          <w:highlight w:val="white"/>
        </w:rPr>
        <w:t xml:space="preserve"> </w:t>
      </w:r>
      <w:bookmarkEnd w:id="51"/>
      <w:bookmarkStart w:id="52" w:name="EBdd610f0d907f425faf59ac376a8bd170"/>
      <w:r>
        <w:rPr>
          <w:sz w:val="20"/>
          <w:highlight w:val="white"/>
        </w:rPr>
        <w:t xml:space="preserve"> </w:t>
      </w:r>
      <w:bookmarkEnd w:id="52"/>
    </w:p>
    <w:p>
      <w:pPr>
        <w:keepNext/>
        <w:keepLines/>
        <w:adjustRightInd w:val="0"/>
        <w:spacing w:line="360" w:lineRule="auto"/>
        <w:outlineLvl w:val="2"/>
        <w:rPr>
          <w:rFonts w:ascii="宋体" w:hAnsi="宋体"/>
          <w:b/>
          <w:bCs/>
          <w:kern w:val="0"/>
          <w:sz w:val="24"/>
        </w:rPr>
      </w:pPr>
      <w:bookmarkStart w:id="53" w:name="_Toc256000005"/>
      <w:r>
        <w:rPr>
          <w:rFonts w:hint="eastAsia" w:ascii="宋体" w:hAnsi="宋体"/>
          <w:b/>
          <w:bCs/>
          <w:kern w:val="0"/>
          <w:sz w:val="24"/>
        </w:rPr>
        <w:t>二、招标文件</w:t>
      </w:r>
      <w:bookmarkEnd w:id="53"/>
    </w:p>
    <w:p>
      <w:pPr>
        <w:spacing w:line="360" w:lineRule="auto"/>
        <w:rPr>
          <w:rFonts w:ascii="宋体" w:hAnsi="宋体"/>
          <w:b/>
          <w:sz w:val="24"/>
        </w:rPr>
      </w:pPr>
      <w:r>
        <w:rPr>
          <w:rFonts w:hint="eastAsia" w:ascii="宋体" w:hAnsi="宋体"/>
          <w:b/>
          <w:sz w:val="24"/>
        </w:rPr>
        <w:t>7.招标文件组成</w:t>
      </w:r>
    </w:p>
    <w:p>
      <w:pPr>
        <w:spacing w:line="360" w:lineRule="auto"/>
        <w:ind w:firstLine="480" w:firstLineChars="200"/>
        <w:rPr>
          <w:rFonts w:ascii="宋体" w:hAnsi="宋体"/>
          <w:sz w:val="24"/>
        </w:rPr>
      </w:pPr>
      <w:r>
        <w:rPr>
          <w:rFonts w:hint="eastAsia" w:ascii="宋体" w:hAnsi="宋体"/>
          <w:sz w:val="24"/>
        </w:rPr>
        <w:t>7.1 招标文件由招标文件目录所列内容组成。</w:t>
      </w:r>
    </w:p>
    <w:p>
      <w:pPr>
        <w:spacing w:line="360" w:lineRule="auto"/>
        <w:rPr>
          <w:rFonts w:ascii="宋体" w:hAnsi="宋体"/>
          <w:b/>
          <w:sz w:val="24"/>
        </w:rPr>
      </w:pPr>
      <w:r>
        <w:rPr>
          <w:rFonts w:hint="eastAsia" w:ascii="宋体" w:hAnsi="宋体"/>
          <w:b/>
          <w:sz w:val="24"/>
        </w:rPr>
        <w:t>8.踏勘现场</w:t>
      </w:r>
    </w:p>
    <w:p>
      <w:pPr>
        <w:spacing w:line="360" w:lineRule="auto"/>
        <w:ind w:firstLine="480" w:firstLineChars="200"/>
        <w:rPr>
          <w:rFonts w:ascii="宋体" w:hAnsi="宋体"/>
          <w:sz w:val="24"/>
        </w:rPr>
      </w:pPr>
      <w:r>
        <w:rPr>
          <w:rFonts w:hint="eastAsia" w:ascii="宋体" w:hAnsi="宋体"/>
          <w:sz w:val="24"/>
        </w:rPr>
        <w:t>8.1 本项目是否统一组织投标人踏勘现场见招标文件第二部分“投标人须知前附表”中第9项的规定。无论是否统一组织，投标人应对供货现场和周围环境进行勘察，以获取编制投标文件所需的资料。</w:t>
      </w:r>
    </w:p>
    <w:p>
      <w:pPr>
        <w:spacing w:line="360" w:lineRule="auto"/>
        <w:ind w:firstLine="480" w:firstLineChars="200"/>
        <w:rPr>
          <w:rFonts w:ascii="宋体" w:hAnsi="宋体"/>
          <w:sz w:val="24"/>
        </w:rPr>
      </w:pPr>
      <w:r>
        <w:rPr>
          <w:rFonts w:hint="eastAsia" w:ascii="宋体" w:hAnsi="宋体"/>
          <w:sz w:val="24"/>
        </w:rPr>
        <w:t>8.2 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pPr>
        <w:spacing w:line="360" w:lineRule="auto"/>
        <w:ind w:firstLine="480" w:firstLineChars="200"/>
        <w:rPr>
          <w:rFonts w:ascii="宋体" w:hAnsi="宋体"/>
          <w:sz w:val="24"/>
        </w:rPr>
      </w:pPr>
      <w:r>
        <w:rPr>
          <w:rFonts w:hint="eastAsia" w:ascii="宋体" w:hAnsi="宋体"/>
          <w:sz w:val="24"/>
        </w:rPr>
        <w:t>8.3 除非有特殊要求，招标文件不单独提供供货使用地的自然环境、气候条件、公用设施等情况，投标人被视为熟悉上述与履行合同有关的一切情况。</w:t>
      </w:r>
    </w:p>
    <w:p>
      <w:pPr>
        <w:spacing w:line="360" w:lineRule="auto"/>
        <w:ind w:firstLine="480" w:firstLineChars="200"/>
        <w:rPr>
          <w:rFonts w:ascii="宋体" w:hAnsi="宋体"/>
          <w:sz w:val="24"/>
        </w:rPr>
      </w:pPr>
      <w:r>
        <w:rPr>
          <w:rFonts w:hint="eastAsia" w:ascii="宋体" w:hAnsi="宋体"/>
          <w:sz w:val="24"/>
        </w:rPr>
        <w:t>8.4 除采购人原因外，投标人自行负责在踏勘现场中所发生的人员伤亡和财产损失。</w:t>
      </w:r>
    </w:p>
    <w:p>
      <w:pPr>
        <w:spacing w:line="360" w:lineRule="auto"/>
        <w:rPr>
          <w:rFonts w:ascii="宋体" w:hAnsi="宋体"/>
          <w:bCs/>
          <w:sz w:val="24"/>
        </w:rPr>
      </w:pPr>
      <w:r>
        <w:rPr>
          <w:rFonts w:hint="eastAsia" w:ascii="宋体" w:hAnsi="宋体"/>
          <w:b/>
          <w:sz w:val="24"/>
        </w:rPr>
        <w:t>9.知识产权</w:t>
      </w:r>
    </w:p>
    <w:p>
      <w:pPr>
        <w:spacing w:line="360" w:lineRule="auto"/>
        <w:ind w:firstLine="480" w:firstLineChars="200"/>
        <w:rPr>
          <w:rFonts w:ascii="宋体" w:hAnsi="宋体"/>
          <w:sz w:val="24"/>
        </w:rPr>
      </w:pPr>
      <w:r>
        <w:rPr>
          <w:rFonts w:hint="eastAsia" w:ascii="宋体" w:hAnsi="宋体"/>
          <w:sz w:val="24"/>
        </w:rPr>
        <w:t>9.1 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pPr>
        <w:spacing w:line="360" w:lineRule="auto"/>
        <w:ind w:firstLine="480" w:firstLineChars="200"/>
        <w:rPr>
          <w:rFonts w:ascii="宋体" w:hAnsi="宋体"/>
          <w:sz w:val="24"/>
        </w:rPr>
      </w:pPr>
      <w:r>
        <w:rPr>
          <w:rFonts w:hint="eastAsia" w:ascii="宋体" w:hAnsi="宋体"/>
          <w:sz w:val="24"/>
        </w:rPr>
        <w:t>9.2 投标人如欲在项目实施过程中采用自有知识成果，须在投标文件中声明，并提供相关知识产权证明文件。使用该知识成果后，投标人须提供开发接口和开发手册等技术文档。</w:t>
      </w:r>
    </w:p>
    <w:p>
      <w:pPr>
        <w:spacing w:line="360" w:lineRule="auto"/>
        <w:rPr>
          <w:rFonts w:ascii="宋体" w:hAnsi="宋体"/>
          <w:b/>
          <w:sz w:val="24"/>
        </w:rPr>
      </w:pPr>
      <w:r>
        <w:rPr>
          <w:rFonts w:hint="eastAsia" w:ascii="宋体" w:hAnsi="宋体"/>
          <w:b/>
          <w:sz w:val="24"/>
        </w:rPr>
        <w:t>10.答疑及招标文件的澄清和修改</w:t>
      </w:r>
    </w:p>
    <w:p>
      <w:pPr>
        <w:spacing w:line="360" w:lineRule="auto"/>
        <w:ind w:firstLine="480" w:firstLineChars="200"/>
        <w:rPr>
          <w:rFonts w:ascii="宋体" w:hAnsi="宋体"/>
          <w:sz w:val="24"/>
        </w:rPr>
      </w:pPr>
      <w:r>
        <w:rPr>
          <w:rFonts w:hint="eastAsia" w:ascii="宋体" w:hAnsi="宋体"/>
          <w:sz w:val="24"/>
        </w:rPr>
        <w:t>10.1 投标人如果对招标文件有疑问或要求进行澄清的，应按照招标文件第二部分“投标人须知前附表”第10项规定向采购代理机构提出。</w:t>
      </w:r>
      <w:r>
        <w:rPr>
          <w:rFonts w:hint="eastAsia" w:ascii="宋体" w:hAnsi="宋体" w:cs="宋体"/>
          <w:sz w:val="24"/>
        </w:rPr>
        <w:t>提出后，请投标人及时通过政采云平台查看答疑文件或澄清文件。必要时，采购代理机构将组织相关专家召开答疑会，如召开，答疑会安排另行通知。</w:t>
      </w:r>
    </w:p>
    <w:p>
      <w:pPr>
        <w:spacing w:line="360" w:lineRule="auto"/>
        <w:ind w:firstLine="480" w:firstLineChars="200"/>
        <w:rPr>
          <w:rFonts w:ascii="宋体" w:hAnsi="宋体"/>
          <w:sz w:val="24"/>
        </w:rPr>
      </w:pPr>
      <w:r>
        <w:rPr>
          <w:rFonts w:hint="eastAsia" w:ascii="宋体" w:hAnsi="宋体"/>
          <w:sz w:val="24"/>
        </w:rPr>
        <w:t>投标人在规定的时间内未对招标文件提出疑问或要求澄清的，采购代理机构将视其为同意，对在“答疑接受时间”后就招标文件内容提出的疑问及澄清要求将不予受理。</w:t>
      </w:r>
    </w:p>
    <w:p>
      <w:pPr>
        <w:spacing w:line="360" w:lineRule="auto"/>
        <w:ind w:firstLine="480" w:firstLineChars="200"/>
        <w:rPr>
          <w:rFonts w:ascii="宋体" w:hAnsi="宋体"/>
          <w:sz w:val="24"/>
        </w:rPr>
      </w:pPr>
      <w:r>
        <w:rPr>
          <w:rFonts w:hint="eastAsia" w:ascii="宋体" w:hAnsi="宋体"/>
          <w:sz w:val="24"/>
        </w:rPr>
        <w:t>10.2 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pPr>
        <w:spacing w:line="360" w:lineRule="auto"/>
        <w:ind w:firstLine="480" w:firstLineChars="200"/>
        <w:rPr>
          <w:rFonts w:ascii="宋体" w:hAnsi="宋体"/>
          <w:sz w:val="24"/>
        </w:rPr>
      </w:pPr>
      <w:r>
        <w:rPr>
          <w:rFonts w:hint="eastAsia" w:ascii="宋体" w:hAnsi="宋体"/>
          <w:sz w:val="24"/>
        </w:rPr>
        <w:t>特殊情况下，采购代理机构发布澄清、修改文件后，征得投标人同意，可不改变投标截止时间和开标时间。</w:t>
      </w:r>
    </w:p>
    <w:p>
      <w:pPr>
        <w:spacing w:line="360" w:lineRule="auto"/>
        <w:ind w:firstLine="480" w:firstLineChars="200"/>
        <w:rPr>
          <w:rFonts w:ascii="宋体" w:hAnsi="宋体"/>
          <w:sz w:val="24"/>
        </w:rPr>
      </w:pPr>
      <w:r>
        <w:rPr>
          <w:rFonts w:hint="eastAsia" w:ascii="宋体" w:hAnsi="宋体"/>
          <w:sz w:val="24"/>
        </w:rPr>
        <w:t>10.3 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pPr>
        <w:spacing w:line="360" w:lineRule="auto"/>
        <w:ind w:firstLine="480" w:firstLineChars="200"/>
        <w:rPr>
          <w:rFonts w:ascii="宋体" w:hAnsi="宋体"/>
          <w:bCs/>
          <w:sz w:val="24"/>
        </w:rPr>
      </w:pPr>
      <w:r>
        <w:rPr>
          <w:rFonts w:hint="eastAsia" w:ascii="宋体" w:hAnsi="宋体"/>
          <w:sz w:val="24"/>
        </w:rPr>
        <w:t xml:space="preserve">10.4 </w:t>
      </w:r>
      <w:r>
        <w:rPr>
          <w:rFonts w:hint="eastAsia" w:ascii="宋体" w:hAnsi="宋体" w:cs="宋体"/>
          <w:sz w:val="24"/>
        </w:rPr>
        <w:t>采购代理机构对招标文件作出的澄清、修改在兵团政采云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pPr>
        <w:spacing w:line="360" w:lineRule="auto"/>
        <w:ind w:firstLine="480" w:firstLineChars="200"/>
        <w:rPr>
          <w:rFonts w:ascii="宋体" w:hAnsi="宋体"/>
          <w:bCs/>
          <w:sz w:val="24"/>
        </w:rPr>
      </w:pPr>
      <w:r>
        <w:rPr>
          <w:rFonts w:hint="eastAsia" w:ascii="宋体" w:hAnsi="宋体"/>
          <w:bCs/>
          <w:sz w:val="24"/>
        </w:rPr>
        <w:t>10.5 澄清、修改文件发出后，投标人必须使用最新的答疑、澄清文件制作电子投标文件，否则将无法完成上传。</w:t>
      </w:r>
    </w:p>
    <w:p>
      <w:pPr>
        <w:rPr>
          <w:highlight w:val="cyan"/>
        </w:rPr>
      </w:pPr>
      <w:bookmarkStart w:id="54" w:name="EBac939afec8874e7f8a3f1c1c91ecd53a"/>
      <w:r>
        <w:rPr>
          <w:sz w:val="20"/>
          <w:highlight w:val="white"/>
        </w:rPr>
        <w:t xml:space="preserve"> </w:t>
      </w:r>
      <w:bookmarkEnd w:id="54"/>
      <w:bookmarkStart w:id="55" w:name="EB9e0c2cece2d5471cad5c8aca4f2715bc"/>
      <w:r>
        <w:rPr>
          <w:sz w:val="20"/>
          <w:highlight w:val="white"/>
        </w:rPr>
        <w:t xml:space="preserve"> </w:t>
      </w:r>
      <w:bookmarkEnd w:id="55"/>
      <w:bookmarkStart w:id="56" w:name="EBbaf56f3c512d410ca402b14f6cef0c32"/>
      <w:r>
        <w:rPr>
          <w:sz w:val="20"/>
          <w:highlight w:val="white"/>
        </w:rPr>
        <w:t xml:space="preserve"> </w:t>
      </w:r>
      <w:bookmarkEnd w:id="56"/>
    </w:p>
    <w:p>
      <w:pPr>
        <w:keepNext/>
        <w:keepLines/>
        <w:adjustRightInd w:val="0"/>
        <w:spacing w:line="360" w:lineRule="auto"/>
        <w:outlineLvl w:val="2"/>
        <w:rPr>
          <w:rFonts w:ascii="宋体" w:hAnsi="宋体"/>
          <w:b/>
          <w:bCs/>
          <w:kern w:val="0"/>
          <w:sz w:val="24"/>
          <w:szCs w:val="32"/>
        </w:rPr>
      </w:pPr>
      <w:bookmarkStart w:id="57" w:name="_Toc256000006"/>
      <w:r>
        <w:rPr>
          <w:rFonts w:hint="eastAsia" w:ascii="宋体" w:hAnsi="宋体"/>
          <w:b/>
          <w:bCs/>
          <w:kern w:val="0"/>
          <w:sz w:val="24"/>
          <w:szCs w:val="32"/>
        </w:rPr>
        <w:t>三、投标文件</w:t>
      </w:r>
      <w:bookmarkEnd w:id="57"/>
    </w:p>
    <w:p>
      <w:pPr>
        <w:spacing w:line="360" w:lineRule="auto"/>
        <w:rPr>
          <w:rFonts w:ascii="宋体" w:hAnsi="宋体"/>
          <w:b/>
          <w:sz w:val="24"/>
        </w:rPr>
      </w:pPr>
      <w:r>
        <w:rPr>
          <w:rFonts w:hint="eastAsia" w:ascii="宋体" w:hAnsi="宋体"/>
          <w:b/>
          <w:sz w:val="24"/>
        </w:rPr>
        <w:t>11.投标文件的语言及计量单位</w:t>
      </w:r>
    </w:p>
    <w:p>
      <w:pPr>
        <w:spacing w:line="360" w:lineRule="auto"/>
        <w:ind w:firstLine="480" w:firstLineChars="200"/>
        <w:rPr>
          <w:rFonts w:ascii="宋体" w:hAnsi="宋体"/>
          <w:sz w:val="24"/>
        </w:rPr>
      </w:pPr>
      <w:r>
        <w:rPr>
          <w:rFonts w:hint="eastAsia" w:ascii="宋体" w:hAnsi="宋体"/>
          <w:sz w:val="24"/>
        </w:rPr>
        <w:t>11.1 投标人提交的投标文件（包括技术文件和资料、图纸中的说明）以及投标人与采购代理机构就有关投标的所有来往函电均应使用中文简体字。</w:t>
      </w:r>
    </w:p>
    <w:p>
      <w:pPr>
        <w:spacing w:line="360" w:lineRule="auto"/>
        <w:ind w:firstLine="480" w:firstLineChars="200"/>
        <w:rPr>
          <w:rFonts w:ascii="宋体" w:hAnsi="宋体"/>
          <w:sz w:val="24"/>
        </w:rPr>
      </w:pPr>
      <w:r>
        <w:rPr>
          <w:rFonts w:hint="eastAsia" w:ascii="宋体" w:hAnsi="宋体"/>
          <w:sz w:val="24"/>
        </w:rPr>
        <w:t>11.2 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pPr>
        <w:spacing w:line="360" w:lineRule="auto"/>
        <w:ind w:firstLine="480" w:firstLineChars="200"/>
        <w:rPr>
          <w:rFonts w:ascii="宋体" w:hAnsi="宋体"/>
          <w:sz w:val="24"/>
        </w:rPr>
      </w:pPr>
      <w:r>
        <w:rPr>
          <w:rFonts w:hint="eastAsia" w:ascii="宋体" w:hAnsi="宋体"/>
          <w:sz w:val="24"/>
        </w:rPr>
        <w:t>11.3 除非招标文件另有规定，投标文件所使用的计量单位，应使用国家法定计量单位。</w:t>
      </w:r>
    </w:p>
    <w:p>
      <w:pPr>
        <w:spacing w:line="360" w:lineRule="auto"/>
        <w:ind w:firstLine="480" w:firstLineChars="200"/>
        <w:rPr>
          <w:rFonts w:ascii="宋体" w:hAnsi="宋体"/>
          <w:sz w:val="24"/>
        </w:rPr>
      </w:pPr>
      <w:r>
        <w:rPr>
          <w:rFonts w:hint="eastAsia" w:ascii="宋体" w:hAnsi="宋体"/>
          <w:sz w:val="24"/>
        </w:rPr>
        <w:t>11.4 对违反上述规定情形的，评标委员会有权要求投标人限期提供相应文件或决定对其投标予以拒绝。</w:t>
      </w:r>
    </w:p>
    <w:p>
      <w:pPr>
        <w:spacing w:line="360" w:lineRule="auto"/>
        <w:ind w:firstLine="480" w:firstLineChars="200"/>
        <w:rPr>
          <w:rFonts w:ascii="宋体" w:hAnsi="宋体"/>
          <w:sz w:val="24"/>
        </w:rPr>
      </w:pPr>
      <w:r>
        <w:rPr>
          <w:rFonts w:hint="eastAsia" w:ascii="宋体" w:hAnsi="宋体"/>
          <w:sz w:val="24"/>
        </w:rPr>
        <w:t>11.5 电报、电话、传真形式的投标概不接受。投标人的投标文件一律不予退还。</w:t>
      </w:r>
    </w:p>
    <w:p>
      <w:pPr>
        <w:spacing w:line="360" w:lineRule="auto"/>
        <w:rPr>
          <w:rFonts w:ascii="宋体" w:hAnsi="宋体"/>
          <w:b/>
          <w:sz w:val="24"/>
        </w:rPr>
      </w:pPr>
      <w:r>
        <w:rPr>
          <w:rFonts w:hint="eastAsia" w:ascii="宋体" w:hAnsi="宋体"/>
          <w:b/>
          <w:sz w:val="24"/>
        </w:rPr>
        <w:t>12.投标文件组成及编制</w:t>
      </w:r>
    </w:p>
    <w:p>
      <w:pPr>
        <w:spacing w:line="360" w:lineRule="auto"/>
        <w:ind w:firstLine="480" w:firstLineChars="200"/>
        <w:rPr>
          <w:rFonts w:ascii="宋体" w:hAnsi="宋体"/>
          <w:sz w:val="24"/>
        </w:rPr>
      </w:pPr>
      <w:r>
        <w:rPr>
          <w:rFonts w:hint="eastAsia" w:ascii="宋体" w:hAnsi="宋体"/>
          <w:sz w:val="24"/>
        </w:rPr>
        <w:t>12.1 投标文件分为资格审查资料、商务文件、技术文件和服务文件。</w:t>
      </w:r>
    </w:p>
    <w:p>
      <w:pPr>
        <w:spacing w:line="360" w:lineRule="auto"/>
        <w:ind w:firstLine="480" w:firstLineChars="200"/>
        <w:rPr>
          <w:rFonts w:ascii="宋体" w:hAnsi="宋体"/>
          <w:sz w:val="24"/>
        </w:rPr>
      </w:pPr>
      <w:r>
        <w:rPr>
          <w:rFonts w:hint="eastAsia" w:ascii="宋体" w:hAnsi="宋体"/>
          <w:sz w:val="24"/>
        </w:rPr>
        <w:t>商务文件指投标人提交的证明其有资格参加投标和中标后有能力履行合同的文件。技术和服务文件指投标人提交的能够证明其提供的货物及服务符合招标文件规定的文件。本次招标，投标人须按招标文件第二部分“投标人须知前附表”中第6项规定提交资格审查资料、商务文件、技术文件和服务文件，其中加☆项目若有缺失或无效，将导致投标被拒绝且不允许在开标后补正。</w:t>
      </w:r>
    </w:p>
    <w:p>
      <w:pPr>
        <w:spacing w:line="360" w:lineRule="auto"/>
        <w:ind w:firstLine="480" w:firstLineChars="200"/>
        <w:rPr>
          <w:rFonts w:ascii="宋体" w:hAnsi="宋体"/>
          <w:sz w:val="24"/>
        </w:rPr>
      </w:pPr>
      <w:r>
        <w:rPr>
          <w:rFonts w:hint="eastAsia" w:ascii="宋体" w:hAnsi="宋体"/>
          <w:sz w:val="24"/>
        </w:rPr>
        <w:t>12.2 投标人递交的投标文件及相关要求按照招标文件第二部分“投标人须知前附表”中第13、14项的规定。</w:t>
      </w:r>
    </w:p>
    <w:p>
      <w:pPr>
        <w:spacing w:line="360" w:lineRule="auto"/>
        <w:ind w:firstLine="480" w:firstLineChars="200"/>
        <w:rPr>
          <w:rFonts w:ascii="宋体" w:hAnsi="宋体"/>
          <w:sz w:val="24"/>
        </w:rPr>
      </w:pPr>
      <w:r>
        <w:rPr>
          <w:rFonts w:hint="eastAsia" w:ascii="宋体" w:hAnsi="宋体"/>
          <w:sz w:val="24"/>
        </w:rPr>
        <w:t>12.2.1 电子投标文件的编制</w:t>
      </w:r>
    </w:p>
    <w:p>
      <w:pPr>
        <w:spacing w:line="360" w:lineRule="auto"/>
        <w:ind w:firstLine="480" w:firstLineChars="200"/>
        <w:rPr>
          <w:rFonts w:ascii="宋体" w:hAnsi="宋体"/>
          <w:sz w:val="24"/>
        </w:rPr>
      </w:pPr>
      <w:r>
        <w:rPr>
          <w:rFonts w:hint="eastAsia" w:ascii="宋体" w:hAnsi="宋体"/>
          <w:sz w:val="24"/>
        </w:rPr>
        <w:t>12.2.1.1 电子投标文件使用政采云平台提供的投标文件制作工具以及招标文件要求进行制作编制。</w:t>
      </w:r>
      <w:r>
        <w:rPr>
          <w:rFonts w:hint="eastAsia"/>
          <w:sz w:val="24"/>
          <w:highlight w:val="white"/>
        </w:rPr>
        <w:t>投标文件制作时，不同内容按标签提示制作导入，按照招标文件中明确的投标文件目录和格式进行编制，保证目录清晰、内容完整。</w:t>
      </w:r>
      <w:r>
        <w:rPr>
          <w:rFonts w:hint="eastAsia" w:ascii="宋体" w:hAnsi="宋体"/>
          <w:sz w:val="24"/>
          <w:highlight w:val="white"/>
        </w:rPr>
        <w:t>。</w:t>
      </w:r>
    </w:p>
    <w:p>
      <w:pPr>
        <w:spacing w:line="360" w:lineRule="auto"/>
        <w:ind w:firstLine="480" w:firstLineChars="200"/>
        <w:rPr>
          <w:rFonts w:ascii="宋体" w:hAnsi="宋体"/>
          <w:sz w:val="24"/>
        </w:rPr>
      </w:pPr>
      <w:r>
        <w:rPr>
          <w:rFonts w:hint="eastAsia" w:ascii="宋体" w:hAnsi="宋体"/>
          <w:sz w:val="24"/>
        </w:rPr>
        <w:t>12.2.1.2 电子投标文件须使用投标人公章的电子签章以及法定代表人的电子签章。若无电子签章，则视为无效投标。</w:t>
      </w:r>
    </w:p>
    <w:p>
      <w:pPr>
        <w:spacing w:line="360" w:lineRule="auto"/>
        <w:ind w:firstLine="480" w:firstLineChars="200"/>
        <w:rPr>
          <w:rFonts w:ascii="宋体" w:hAnsi="宋体"/>
          <w:sz w:val="24"/>
          <w:highlight w:val="white"/>
        </w:rPr>
      </w:pPr>
      <w:r>
        <w:rPr>
          <w:rFonts w:hint="eastAsia" w:ascii="宋体" w:hAnsi="宋体"/>
          <w:sz w:val="24"/>
          <w:highlight w:val="white"/>
        </w:rPr>
        <w:t>1</w:t>
      </w:r>
      <w:r>
        <w:rPr>
          <w:rFonts w:hint="eastAsia" w:ascii="宋体" w:hAnsi="宋体"/>
          <w:sz w:val="24"/>
        </w:rPr>
        <w:t xml:space="preserve">2.2.1.3 </w:t>
      </w:r>
      <w:r>
        <w:rPr>
          <w:rFonts w:hint="eastAsia" w:ascii="宋体" w:hAnsi="宋体"/>
          <w:sz w:val="24"/>
          <w:highlight w:val="white"/>
        </w:rPr>
        <w:t>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pPr>
        <w:spacing w:line="360" w:lineRule="auto"/>
        <w:ind w:firstLine="480" w:firstLineChars="200"/>
        <w:rPr>
          <w:rFonts w:ascii="宋体" w:hAnsi="宋体"/>
          <w:sz w:val="24"/>
        </w:rPr>
      </w:pPr>
      <w:r>
        <w:rPr>
          <w:rFonts w:hint="eastAsia" w:ascii="宋体" w:hAnsi="宋体"/>
          <w:sz w:val="24"/>
        </w:rPr>
        <w:t xml:space="preserve">12.2.1.4 电子投标文件制作工具在生成加密投标文件时，同时生成非加密投标文件一份。未加密的电子投标文件由投标人使用光盘制作（投标人须保证启用光盘时能正常读取）。 </w:t>
      </w:r>
    </w:p>
    <w:p>
      <w:pPr>
        <w:spacing w:line="360" w:lineRule="auto"/>
        <w:rPr>
          <w:rFonts w:ascii="宋体" w:hAnsi="宋体"/>
          <w:b/>
          <w:sz w:val="24"/>
        </w:rPr>
      </w:pPr>
      <w:r>
        <w:rPr>
          <w:rFonts w:hint="eastAsia" w:ascii="宋体" w:hAnsi="宋体"/>
          <w:b/>
          <w:sz w:val="24"/>
        </w:rPr>
        <w:t>13.投标报价</w:t>
      </w:r>
    </w:p>
    <w:p>
      <w:pPr>
        <w:spacing w:line="360" w:lineRule="auto"/>
        <w:ind w:firstLine="480" w:firstLineChars="200"/>
        <w:rPr>
          <w:rFonts w:ascii="宋体" w:hAnsi="宋体"/>
          <w:sz w:val="24"/>
        </w:rPr>
      </w:pPr>
      <w:r>
        <w:rPr>
          <w:rFonts w:hint="eastAsia" w:ascii="宋体" w:hAnsi="宋体"/>
          <w:sz w:val="24"/>
        </w:rPr>
        <w:t>13.1 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pPr>
        <w:spacing w:line="360" w:lineRule="auto"/>
        <w:ind w:firstLine="480" w:firstLineChars="200"/>
        <w:rPr>
          <w:rFonts w:ascii="宋体" w:hAnsi="宋体"/>
          <w:sz w:val="24"/>
        </w:rPr>
      </w:pPr>
      <w:r>
        <w:rPr>
          <w:rFonts w:hint="eastAsia" w:ascii="宋体" w:hAnsi="宋体"/>
          <w:sz w:val="24"/>
        </w:rPr>
        <w:t>13.2 投标人投报多包的，须对每包分别制作投标文件并报价</w:t>
      </w:r>
      <w:r>
        <w:rPr>
          <w:rFonts w:hint="eastAsia" w:ascii="宋体" w:hAnsi="宋体"/>
          <w:bCs/>
          <w:sz w:val="24"/>
        </w:rPr>
        <w:t>。</w:t>
      </w:r>
    </w:p>
    <w:p>
      <w:pPr>
        <w:spacing w:line="360" w:lineRule="auto"/>
        <w:ind w:firstLine="480" w:firstLineChars="200"/>
        <w:rPr>
          <w:rFonts w:ascii="宋体" w:hAnsi="宋体"/>
          <w:sz w:val="24"/>
        </w:rPr>
      </w:pPr>
      <w:r>
        <w:rPr>
          <w:rFonts w:hint="eastAsia" w:ascii="宋体" w:hAnsi="宋体"/>
          <w:sz w:val="24"/>
        </w:rPr>
        <w:t>13.3 除非招标文件另有规定，不接受可选择或可调整的投标方案和报价，任何有选择的或可调整的投标方案和报价将被视为非响应性投标而被拒绝。对于出现的政采云平台开标唱标环节经投标供应商确认的投标报价与投标文件中开标一览表的报价不一致的现象，视作选择性报价，将被作为无效投标处理。</w:t>
      </w:r>
    </w:p>
    <w:p>
      <w:pPr>
        <w:spacing w:line="360" w:lineRule="auto"/>
        <w:ind w:firstLine="480" w:firstLineChars="200"/>
        <w:rPr>
          <w:rFonts w:ascii="宋体" w:hAnsi="宋体"/>
          <w:sz w:val="24"/>
        </w:rPr>
      </w:pPr>
      <w:r>
        <w:rPr>
          <w:rFonts w:hint="eastAsia" w:ascii="宋体" w:hAnsi="宋体"/>
          <w:sz w:val="24"/>
        </w:rPr>
        <w:t>13.4 本项目是否接受进口产品按照招标文件第二部分“投标人须知前附表中”中第6项的规定。</w:t>
      </w:r>
    </w:p>
    <w:p>
      <w:pPr>
        <w:spacing w:line="360" w:lineRule="auto"/>
        <w:ind w:firstLine="480" w:firstLineChars="200"/>
        <w:rPr>
          <w:rFonts w:ascii="宋体" w:hAnsi="宋体"/>
          <w:sz w:val="24"/>
        </w:rPr>
      </w:pPr>
      <w:r>
        <w:rPr>
          <w:rFonts w:hint="eastAsia" w:ascii="宋体" w:hAnsi="宋体"/>
          <w:sz w:val="24"/>
        </w:rPr>
        <w:t>13.5 本项目是否允许投标人将项目的非主体、非关键性工作交由他人完成按照招标文件第二部分“投标人须知前附表”中第8项的规定。如允许，投标人根据采购项目的实际情况，拟在中标后将中标项目的非主体、非关键性工作交由他人完成，须在技术文件中载明。</w:t>
      </w:r>
    </w:p>
    <w:p>
      <w:pPr>
        <w:spacing w:line="360" w:lineRule="auto"/>
        <w:ind w:firstLine="480" w:firstLineChars="200"/>
        <w:rPr>
          <w:rFonts w:ascii="宋体" w:hAnsi="宋体"/>
          <w:sz w:val="24"/>
        </w:rPr>
      </w:pPr>
      <w:r>
        <w:rPr>
          <w:rFonts w:hint="eastAsia" w:ascii="宋体" w:hAnsi="宋体"/>
          <w:sz w:val="24"/>
        </w:rPr>
        <w:t>13.6 投标人须严格按照报价明细表规定的内容填写货物单价以及其他事项。</w:t>
      </w:r>
    </w:p>
    <w:p>
      <w:pPr>
        <w:spacing w:line="360" w:lineRule="auto"/>
        <w:ind w:firstLine="480" w:firstLineChars="200"/>
        <w:rPr>
          <w:rFonts w:ascii="宋体" w:hAnsi="宋体"/>
          <w:sz w:val="24"/>
        </w:rPr>
      </w:pPr>
      <w:r>
        <w:rPr>
          <w:rFonts w:hint="eastAsia" w:ascii="宋体" w:hAnsi="宋体"/>
          <w:sz w:val="24"/>
        </w:rPr>
        <w:t>13.7 投标人对投标报价若有说明应在投标文件中显著处注明。</w:t>
      </w:r>
    </w:p>
    <w:p>
      <w:pPr>
        <w:spacing w:line="360" w:lineRule="auto"/>
        <w:ind w:firstLine="480" w:firstLineChars="200"/>
        <w:rPr>
          <w:rFonts w:ascii="宋体" w:hAnsi="宋体"/>
          <w:sz w:val="24"/>
        </w:rPr>
      </w:pPr>
      <w:r>
        <w:rPr>
          <w:rFonts w:hint="eastAsia" w:ascii="宋体" w:hAnsi="宋体"/>
          <w:sz w:val="24"/>
        </w:rPr>
        <w:t>除政策性文件规定以外，投标人所报价格在合同实施期间不因市场变化因素而变动。</w:t>
      </w:r>
    </w:p>
    <w:p>
      <w:pPr>
        <w:spacing w:line="360" w:lineRule="auto"/>
        <w:ind w:firstLine="480" w:firstLineChars="200"/>
        <w:rPr>
          <w:rFonts w:ascii="宋体" w:hAnsi="宋体"/>
          <w:sz w:val="24"/>
        </w:rPr>
      </w:pPr>
      <w:r>
        <w:rPr>
          <w:rFonts w:hint="eastAsia" w:ascii="宋体" w:hAnsi="宋体"/>
          <w:sz w:val="24"/>
        </w:rPr>
        <w:t>13.8 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pPr>
        <w:spacing w:line="360" w:lineRule="auto"/>
        <w:ind w:firstLine="480" w:firstLineChars="200"/>
        <w:rPr>
          <w:rFonts w:ascii="宋体" w:hAnsi="宋体"/>
          <w:sz w:val="24"/>
        </w:rPr>
      </w:pPr>
      <w:r>
        <w:rPr>
          <w:rFonts w:hint="eastAsia" w:ascii="宋体" w:hAnsi="宋体"/>
          <w:sz w:val="24"/>
        </w:rPr>
        <w:t>13.9 最低报价不能作为中标的保证。</w:t>
      </w:r>
    </w:p>
    <w:p>
      <w:pPr>
        <w:spacing w:line="360" w:lineRule="auto"/>
        <w:rPr>
          <w:rFonts w:ascii="宋体" w:hAnsi="宋体"/>
          <w:b/>
          <w:sz w:val="24"/>
        </w:rPr>
      </w:pPr>
      <w:r>
        <w:rPr>
          <w:rFonts w:hint="eastAsia" w:ascii="宋体" w:hAnsi="宋体"/>
          <w:b/>
          <w:sz w:val="24"/>
        </w:rPr>
        <w:t>14.投标有效期</w:t>
      </w:r>
    </w:p>
    <w:p>
      <w:pPr>
        <w:spacing w:line="360" w:lineRule="auto"/>
        <w:ind w:firstLine="480" w:firstLineChars="200"/>
        <w:rPr>
          <w:rFonts w:ascii="宋体" w:hAnsi="宋体"/>
          <w:sz w:val="24"/>
        </w:rPr>
      </w:pPr>
      <w:r>
        <w:rPr>
          <w:rFonts w:hint="eastAsia" w:ascii="宋体" w:hAnsi="宋体"/>
          <w:sz w:val="24"/>
        </w:rPr>
        <w:t>14.1 本项目的投标有效期按照招标文件第二部分“投标人须知前附表中”中第11项的规定。投标有效期自开标之日起计算，短于规定期限的投标将按无效投标处理。</w:t>
      </w:r>
    </w:p>
    <w:p>
      <w:pPr>
        <w:spacing w:line="360" w:lineRule="auto"/>
        <w:ind w:firstLine="480" w:firstLineChars="200"/>
        <w:rPr>
          <w:rFonts w:ascii="宋体" w:hAnsi="宋体"/>
          <w:sz w:val="24"/>
        </w:rPr>
      </w:pPr>
      <w:r>
        <w:rPr>
          <w:rFonts w:hint="eastAsia" w:ascii="宋体" w:hAnsi="宋体"/>
          <w:sz w:val="24"/>
        </w:rPr>
        <w:t>14.2 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pPr>
        <w:spacing w:line="360" w:lineRule="auto"/>
        <w:rPr>
          <w:rFonts w:ascii="宋体" w:hAnsi="宋体"/>
          <w:b/>
          <w:sz w:val="24"/>
        </w:rPr>
      </w:pPr>
      <w:r>
        <w:rPr>
          <w:rFonts w:hint="eastAsia" w:ascii="宋体" w:hAnsi="宋体"/>
          <w:b/>
          <w:sz w:val="24"/>
        </w:rPr>
        <w:t>15.投标内容填写说明</w:t>
      </w:r>
    </w:p>
    <w:p>
      <w:pPr>
        <w:spacing w:line="360" w:lineRule="auto"/>
        <w:ind w:firstLine="480" w:firstLineChars="200"/>
        <w:rPr>
          <w:rFonts w:ascii="宋体" w:hAnsi="宋体"/>
          <w:sz w:val="24"/>
        </w:rPr>
      </w:pPr>
      <w:r>
        <w:rPr>
          <w:rFonts w:hint="eastAsia" w:ascii="宋体" w:hAnsi="宋体"/>
          <w:sz w:val="24"/>
        </w:rPr>
        <w:t>15.1 投标人应详细阅读招标文件的全部内容。投标文件须对招标文件中的内容作出实质性和完整的响应，如果投标文件填报的内容不详，或没有提供招标文件中所要求的全部资料及数据，将可能导致投标被拒绝。</w:t>
      </w:r>
    </w:p>
    <w:p>
      <w:pPr>
        <w:spacing w:line="360" w:lineRule="auto"/>
        <w:ind w:firstLine="480" w:firstLineChars="200"/>
        <w:rPr>
          <w:rFonts w:ascii="宋体" w:hAnsi="宋体"/>
          <w:b/>
          <w:sz w:val="24"/>
        </w:rPr>
      </w:pPr>
      <w:r>
        <w:rPr>
          <w:rFonts w:hint="eastAsia" w:ascii="宋体" w:hAnsi="宋体"/>
          <w:sz w:val="24"/>
        </w:rPr>
        <w:t>15.2 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宋体" w:hAnsi="宋体"/>
          <w:b/>
          <w:sz w:val="24"/>
        </w:rPr>
        <w:t>。</w:t>
      </w:r>
    </w:p>
    <w:p>
      <w:pPr>
        <w:spacing w:line="360" w:lineRule="auto"/>
        <w:ind w:firstLine="480" w:firstLineChars="200"/>
        <w:rPr>
          <w:rFonts w:ascii="宋体" w:hAnsi="宋体"/>
          <w:sz w:val="24"/>
        </w:rPr>
      </w:pPr>
      <w:r>
        <w:rPr>
          <w:rFonts w:hint="eastAsia" w:ascii="宋体" w:hAnsi="宋体"/>
          <w:sz w:val="24"/>
        </w:rPr>
        <w:t>15.3 开标一览表为在开标仪式上唱标的内容，要求按格式统一填写，不得自行增减内容。</w:t>
      </w:r>
    </w:p>
    <w:p>
      <w:pPr>
        <w:spacing w:line="360" w:lineRule="auto"/>
        <w:ind w:firstLine="480" w:firstLineChars="200"/>
        <w:rPr>
          <w:rFonts w:ascii="宋体" w:hAnsi="宋体"/>
          <w:sz w:val="24"/>
        </w:rPr>
      </w:pPr>
      <w:r>
        <w:rPr>
          <w:rFonts w:hint="eastAsia" w:ascii="宋体" w:hAnsi="宋体"/>
          <w:sz w:val="24"/>
        </w:rPr>
        <w:t>15.4 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pPr>
        <w:spacing w:line="360" w:lineRule="auto"/>
        <w:ind w:firstLine="480" w:firstLineChars="200"/>
        <w:rPr>
          <w:rFonts w:ascii="宋体" w:hAnsi="宋体"/>
          <w:sz w:val="24"/>
        </w:rPr>
      </w:pPr>
      <w:r>
        <w:rPr>
          <w:rFonts w:hint="eastAsia" w:ascii="宋体" w:hAnsi="宋体"/>
          <w:sz w:val="24"/>
        </w:rPr>
        <w:t>15.5 投标人必须保证投标文件所提供的全部资料真实可靠，并接受采购代理机构或评标委员会对其中任何资料进一步审查的要求。</w:t>
      </w:r>
    </w:p>
    <w:p>
      <w:pPr>
        <w:spacing w:line="360" w:lineRule="auto"/>
        <w:ind w:firstLine="480" w:firstLineChars="200"/>
        <w:rPr>
          <w:rFonts w:ascii="宋体" w:hAnsi="宋体"/>
          <w:b/>
          <w:sz w:val="24"/>
        </w:rPr>
      </w:pPr>
      <w:r>
        <w:rPr>
          <w:rFonts w:hint="eastAsia" w:ascii="宋体" w:hAnsi="宋体"/>
          <w:sz w:val="24"/>
        </w:rPr>
        <w:t>15.6 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pPr>
        <w:spacing w:line="360" w:lineRule="auto"/>
        <w:ind w:firstLine="480" w:firstLineChars="200"/>
        <w:rPr>
          <w:rFonts w:ascii="宋体" w:hAnsi="宋体"/>
          <w:b/>
          <w:kern w:val="0"/>
          <w:sz w:val="24"/>
        </w:rPr>
      </w:pPr>
      <w:r>
        <w:rPr>
          <w:rFonts w:hint="eastAsia" w:ascii="宋体" w:hAnsi="宋体"/>
          <w:sz w:val="24"/>
        </w:rPr>
        <w:t>15.7 本项目</w:t>
      </w:r>
      <w:r>
        <w:rPr>
          <w:rFonts w:hint="eastAsia" w:ascii="宋体" w:hAnsi="宋体"/>
          <w:kern w:val="0"/>
          <w:sz w:val="24"/>
        </w:rPr>
        <w:t>技术部分是否采用“暗标”评审方式</w:t>
      </w:r>
      <w:r>
        <w:rPr>
          <w:rFonts w:hint="eastAsia" w:ascii="宋体" w:hAnsi="宋体"/>
          <w:sz w:val="24"/>
        </w:rPr>
        <w:t>按照招标文件第二部分“投标人须知前附表中”中第19项的规定。如果采用暗标评审方式的，投标人在制作投标文件时应当以能够隐去投标人的身份为原则并需严格遵守以下各项规定：</w:t>
      </w:r>
    </w:p>
    <w:p>
      <w:pPr>
        <w:spacing w:line="360" w:lineRule="auto"/>
        <w:ind w:firstLine="480" w:firstLineChars="200"/>
        <w:rPr>
          <w:rFonts w:ascii="宋体" w:hAnsi="宋体"/>
          <w:sz w:val="24"/>
        </w:rPr>
      </w:pPr>
      <w:r>
        <w:rPr>
          <w:rFonts w:hint="eastAsia" w:ascii="宋体" w:hAnsi="宋体"/>
          <w:sz w:val="24"/>
        </w:rPr>
        <w:t>15.7.1 技术部分中纳入“暗标”部分的内容：样品。</w:t>
      </w:r>
    </w:p>
    <w:p>
      <w:pPr>
        <w:spacing w:line="360" w:lineRule="auto"/>
        <w:ind w:firstLine="480" w:firstLineChars="200"/>
        <w:rPr>
          <w:rFonts w:ascii="宋体" w:hAnsi="宋体"/>
          <w:sz w:val="24"/>
        </w:rPr>
      </w:pPr>
      <w:r>
        <w:rPr>
          <w:rFonts w:hint="eastAsia" w:ascii="宋体" w:hAnsi="宋体"/>
          <w:sz w:val="24"/>
        </w:rPr>
        <w:t>15.7.2 暗标的编制要求</w:t>
      </w:r>
    </w:p>
    <w:p>
      <w:pPr>
        <w:spacing w:line="360" w:lineRule="auto"/>
        <w:ind w:firstLine="480" w:firstLineChars="200"/>
        <w:rPr>
          <w:rFonts w:ascii="宋体" w:hAnsi="宋体"/>
          <w:sz w:val="24"/>
        </w:rPr>
      </w:pPr>
      <w:r>
        <w:rPr>
          <w:rFonts w:hint="eastAsia" w:ascii="宋体" w:hAnsi="宋体"/>
          <w:sz w:val="24"/>
        </w:rPr>
        <w:t>15.7.2.1 投标文件技术部分全部内容中不能出现任何本投标人的名称和其它可识别投标人身份的字符、企业徽标或符号、人员名称以及其他特殊标记等（如有此类文件应放于商务文件“用于评审的证明材料”中），否则将导致投标被拒绝。</w:t>
      </w:r>
    </w:p>
    <w:p>
      <w:pPr>
        <w:spacing w:line="360" w:lineRule="auto"/>
        <w:ind w:firstLine="480" w:firstLineChars="200"/>
        <w:rPr>
          <w:rFonts w:ascii="宋体" w:hAnsi="宋体"/>
          <w:sz w:val="24"/>
        </w:rPr>
      </w:pPr>
      <w:r>
        <w:rPr>
          <w:rFonts w:hint="eastAsia" w:ascii="宋体" w:hAnsi="宋体"/>
          <w:sz w:val="24"/>
        </w:rPr>
        <w:t>15.7.2.2 页面设置及字体要求：采用标准A4纸张，上下页边距为2.54cm，左右页边距为3.17cm，装订线位置为左；不得设置页码；正文使用四号宋体字，单倍行距，段前段后0行间距；标题为二号黑体字，图、表中的字体统一用宋体小四，1.5倍行距，段前段后0行间距。</w:t>
      </w:r>
    </w:p>
    <w:p>
      <w:pPr>
        <w:spacing w:line="360" w:lineRule="auto"/>
        <w:ind w:firstLine="480" w:firstLineChars="200"/>
        <w:rPr>
          <w:rFonts w:ascii="宋体" w:hAnsi="宋体"/>
          <w:sz w:val="24"/>
        </w:rPr>
      </w:pPr>
      <w:r>
        <w:rPr>
          <w:rFonts w:hint="eastAsia" w:ascii="宋体" w:hAnsi="宋体"/>
          <w:sz w:val="24"/>
        </w:rPr>
        <w:t>15.7.2.3 任何情况下，技术部分（“暗标”部分）中不得出现任何投标人的审阅或者批注痕迹，否则将导致投标被拒绝。</w:t>
      </w:r>
    </w:p>
    <w:p>
      <w:pPr>
        <w:rPr>
          <w:highlight w:val="cyan"/>
        </w:rPr>
      </w:pPr>
      <w:bookmarkStart w:id="58" w:name="EB72d461685b9944a695e7c9740d61788e"/>
      <w:r>
        <w:rPr>
          <w:sz w:val="20"/>
          <w:highlight w:val="white"/>
        </w:rPr>
        <w:t xml:space="preserve"> </w:t>
      </w:r>
      <w:bookmarkEnd w:id="58"/>
      <w:bookmarkStart w:id="59" w:name="EBe595676a889240e6b9627a8204925a3e"/>
      <w:r>
        <w:rPr>
          <w:sz w:val="20"/>
          <w:highlight w:val="white"/>
        </w:rPr>
        <w:t xml:space="preserve"> </w:t>
      </w:r>
      <w:bookmarkEnd w:id="59"/>
      <w:bookmarkStart w:id="60" w:name="EB4f3eccb3b0eb41a5a5ac39abf7d322b5"/>
      <w:r>
        <w:rPr>
          <w:sz w:val="20"/>
          <w:highlight w:val="white"/>
        </w:rPr>
        <w:t xml:space="preserve"> </w:t>
      </w:r>
      <w:bookmarkEnd w:id="60"/>
    </w:p>
    <w:p>
      <w:pPr>
        <w:keepNext/>
        <w:keepLines/>
        <w:adjustRightInd w:val="0"/>
        <w:spacing w:line="360" w:lineRule="auto"/>
        <w:outlineLvl w:val="2"/>
        <w:rPr>
          <w:rFonts w:ascii="宋体" w:hAnsi="宋体"/>
          <w:b/>
          <w:bCs/>
          <w:kern w:val="0"/>
          <w:sz w:val="24"/>
          <w:szCs w:val="32"/>
        </w:rPr>
      </w:pPr>
      <w:bookmarkStart w:id="61" w:name="_Toc256000007"/>
      <w:r>
        <w:rPr>
          <w:rFonts w:hint="eastAsia" w:ascii="宋体" w:hAnsi="宋体"/>
          <w:b/>
          <w:bCs/>
          <w:kern w:val="0"/>
          <w:sz w:val="24"/>
          <w:szCs w:val="32"/>
        </w:rPr>
        <w:t>四、投标保证金</w:t>
      </w:r>
      <w:bookmarkEnd w:id="61"/>
    </w:p>
    <w:p>
      <w:pPr>
        <w:spacing w:line="360" w:lineRule="auto"/>
        <w:rPr>
          <w:rFonts w:ascii="宋体" w:hAnsi="宋体"/>
          <w:b/>
          <w:sz w:val="24"/>
        </w:rPr>
      </w:pPr>
      <w:r>
        <w:rPr>
          <w:rFonts w:hint="eastAsia" w:ascii="宋体" w:hAnsi="宋体"/>
          <w:b/>
          <w:sz w:val="24"/>
        </w:rPr>
        <w:t xml:space="preserve">16.投标保证金 </w:t>
      </w:r>
    </w:p>
    <w:p>
      <w:pPr>
        <w:spacing w:line="360" w:lineRule="auto"/>
        <w:ind w:firstLine="480" w:firstLineChars="200"/>
        <w:rPr>
          <w:rFonts w:ascii="宋体" w:hAnsi="宋体"/>
          <w:sz w:val="24"/>
        </w:rPr>
      </w:pPr>
      <w:r>
        <w:rPr>
          <w:rFonts w:hint="eastAsia" w:ascii="宋体" w:hAnsi="宋体"/>
          <w:sz w:val="24"/>
        </w:rPr>
        <w:t>16.1 投标人应按照招标文件第二部分“投标人须知前附表”中第17项的规定交纳。投标保证金须于到账截止时间前到帐，并经采购代理机构确认。</w:t>
      </w:r>
    </w:p>
    <w:p>
      <w:pPr>
        <w:spacing w:line="360" w:lineRule="auto"/>
        <w:ind w:firstLine="480" w:firstLineChars="200"/>
        <w:rPr>
          <w:rFonts w:ascii="宋体" w:hAnsi="宋体"/>
          <w:sz w:val="24"/>
        </w:rPr>
      </w:pPr>
      <w:r>
        <w:rPr>
          <w:rFonts w:hint="eastAsia" w:ascii="宋体" w:hAnsi="宋体"/>
          <w:sz w:val="24"/>
        </w:rPr>
        <w:t>16.2 采购代理机构不接收以现金或汇票等其他形式递交的投标保证金。未按要求提交投标保证金的，将被视为无效投标。</w:t>
      </w:r>
    </w:p>
    <w:p>
      <w:pPr>
        <w:spacing w:line="360" w:lineRule="auto"/>
        <w:ind w:firstLine="480" w:firstLineChars="200"/>
        <w:rPr>
          <w:rFonts w:hint="eastAsia" w:ascii="宋体" w:hAnsi="宋体" w:eastAsia="宋体"/>
          <w:sz w:val="24"/>
        </w:rPr>
      </w:pPr>
      <w:r>
        <w:rPr>
          <w:rFonts w:hint="eastAsia" w:ascii="宋体" w:hAnsi="宋体"/>
          <w:sz w:val="24"/>
        </w:rPr>
        <w:t xml:space="preserve">16.3 </w:t>
      </w:r>
      <w:r>
        <w:rPr>
          <w:rFonts w:hint="eastAsia" w:ascii="宋体" w:hAnsi="宋体" w:eastAsia="宋体"/>
          <w:sz w:val="24"/>
        </w:rPr>
        <w:t>未</w:t>
      </w:r>
      <w:r>
        <w:rPr>
          <w:rFonts w:hint="eastAsia" w:ascii="宋体" w:hAnsi="宋体" w:cs="宋体"/>
          <w:sz w:val="24"/>
        </w:rPr>
        <w:t>中标的投标人</w:t>
      </w:r>
      <w:r>
        <w:rPr>
          <w:rFonts w:hint="eastAsia" w:ascii="宋体" w:hAnsi="宋体" w:eastAsia="宋体"/>
          <w:sz w:val="24"/>
        </w:rPr>
        <w:t>保证金在中标通知书发出之日起5个工作日内退还；如有质疑或投诉，政府采购代理机构将在质疑和投诉处理完毕后5个工作日内，按照保证金的来款渠道原路退还至</w:t>
      </w:r>
      <w:r>
        <w:rPr>
          <w:rFonts w:hint="eastAsia" w:ascii="宋体" w:hAnsi="宋体" w:eastAsia="宋体"/>
          <w:sz w:val="24"/>
          <w:lang w:val="en-US" w:eastAsia="zh-CN"/>
        </w:rPr>
        <w:t>投标人</w:t>
      </w:r>
      <w:r>
        <w:rPr>
          <w:rFonts w:hint="eastAsia" w:ascii="宋体" w:hAnsi="宋体" w:eastAsia="宋体"/>
          <w:sz w:val="24"/>
        </w:rPr>
        <w:t>缴纳保证金的企业银行账户内。中标人的投标保证金将在交纳履约保证金并与采购人签订合同，并将合同原件报采购代理机构后5个工作日内</w:t>
      </w:r>
      <w:r>
        <w:rPr>
          <w:rFonts w:hint="eastAsia" w:ascii="宋体" w:hAnsi="宋体" w:cs="宋体"/>
          <w:sz w:val="24"/>
        </w:rPr>
        <w:t>退还。</w:t>
      </w:r>
    </w:p>
    <w:p>
      <w:pPr>
        <w:pStyle w:val="35"/>
        <w:spacing w:line="360" w:lineRule="auto"/>
        <w:ind w:firstLine="480" w:firstLineChars="200"/>
        <w:rPr>
          <w:rFonts w:ascii="宋体" w:hAnsi="宋体" w:eastAsia="宋体"/>
          <w:sz w:val="24"/>
          <w:szCs w:val="22"/>
        </w:rPr>
      </w:pPr>
      <w:r>
        <w:rPr>
          <w:rFonts w:hint="eastAsia" w:ascii="宋体" w:hAnsi="宋体" w:eastAsia="宋体"/>
          <w:sz w:val="24"/>
          <w:szCs w:val="22"/>
        </w:rPr>
        <w:t>16.4 投标保证金退还一律采用网上银行转帐方式退还至投标人的汇款帐户，资金原路返回。</w:t>
      </w:r>
    </w:p>
    <w:p>
      <w:pPr>
        <w:pStyle w:val="35"/>
        <w:spacing w:line="360" w:lineRule="auto"/>
        <w:ind w:firstLine="400" w:firstLineChars="200"/>
        <w:rPr>
          <w:rFonts w:ascii="宋体" w:hAnsi="宋体" w:eastAsia="宋体"/>
          <w:sz w:val="24"/>
          <w:szCs w:val="22"/>
        </w:rPr>
      </w:pPr>
      <w:bookmarkStart w:id="62" w:name="EBa90ba16225e5405a8b55b51f6fbf6913"/>
      <w:r>
        <w:rPr>
          <w:rFonts w:ascii="Calibri" w:hAnsi="Calibri" w:eastAsia="宋体"/>
          <w:sz w:val="20"/>
          <w:szCs w:val="22"/>
          <w:highlight w:val="white"/>
        </w:rPr>
        <w:t xml:space="preserve"> </w:t>
      </w:r>
      <w:bookmarkEnd w:id="62"/>
      <w:r>
        <w:rPr>
          <w:rFonts w:hint="eastAsia" w:ascii="宋体" w:hAnsi="宋体" w:eastAsia="宋体"/>
          <w:sz w:val="24"/>
          <w:szCs w:val="22"/>
        </w:rPr>
        <w:t>16.5开标结束后，转账、电汇、网银形式缴纳的保证金由招标代理或招标人统一办理中标人和未中标人的保证金退还事宜。如本项目招标中遇质疑，投诉，复议等特殊情况，保证金退还时间按相关规定执行。银行电子保函、保险电子保函等形式缴纳的投标保证金按协议执行，无需办理退款手续。</w:t>
      </w:r>
    </w:p>
    <w:p>
      <w:pPr>
        <w:keepNext/>
        <w:keepLines/>
        <w:adjustRightInd w:val="0"/>
        <w:spacing w:line="360" w:lineRule="auto"/>
        <w:outlineLvl w:val="2"/>
        <w:rPr>
          <w:rFonts w:ascii="宋体" w:hAnsi="宋体"/>
          <w:b/>
          <w:bCs/>
          <w:kern w:val="0"/>
          <w:sz w:val="24"/>
          <w:szCs w:val="32"/>
        </w:rPr>
      </w:pPr>
      <w:bookmarkStart w:id="63" w:name="_Toc256000008"/>
      <w:r>
        <w:rPr>
          <w:rFonts w:hint="eastAsia" w:ascii="宋体" w:hAnsi="宋体"/>
          <w:b/>
          <w:bCs/>
          <w:kern w:val="0"/>
          <w:sz w:val="24"/>
          <w:szCs w:val="32"/>
        </w:rPr>
        <w:t>五、投标文件的递交</w:t>
      </w:r>
      <w:bookmarkEnd w:id="63"/>
    </w:p>
    <w:p>
      <w:pPr>
        <w:spacing w:line="360" w:lineRule="auto"/>
        <w:rPr>
          <w:rFonts w:ascii="宋体" w:hAnsi="宋体"/>
          <w:b/>
          <w:sz w:val="24"/>
        </w:rPr>
      </w:pPr>
      <w:r>
        <w:rPr>
          <w:rFonts w:hint="eastAsia" w:ascii="宋体" w:hAnsi="宋体"/>
          <w:b/>
          <w:sz w:val="24"/>
        </w:rPr>
        <w:t>17.投标文件的密封和标记</w:t>
      </w:r>
    </w:p>
    <w:p>
      <w:pPr>
        <w:spacing w:line="360" w:lineRule="auto"/>
        <w:ind w:firstLine="480" w:firstLineChars="200"/>
        <w:rPr>
          <w:rFonts w:ascii="宋体" w:hAnsi="宋体"/>
          <w:sz w:val="24"/>
        </w:rPr>
      </w:pPr>
      <w:r>
        <w:rPr>
          <w:rFonts w:hint="eastAsia" w:ascii="宋体" w:hAnsi="宋体"/>
          <w:sz w:val="24"/>
        </w:rPr>
        <w:t>17.1 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pPr>
        <w:spacing w:line="360" w:lineRule="auto"/>
        <w:ind w:firstLine="480" w:firstLineChars="200"/>
        <w:rPr>
          <w:rFonts w:ascii="宋体" w:hAnsi="宋体"/>
          <w:sz w:val="24"/>
        </w:rPr>
      </w:pPr>
      <w:r>
        <w:rPr>
          <w:rFonts w:hint="eastAsia" w:ascii="宋体" w:hAnsi="宋体"/>
          <w:sz w:val="24"/>
        </w:rPr>
        <w:t>投标截止时间以政采云平台显示的时间为准，逾期系统将自动关闭，未完成上传的投标文件视为逾期送达，将被拒绝。</w:t>
      </w:r>
    </w:p>
    <w:p>
      <w:pPr>
        <w:spacing w:line="360" w:lineRule="auto"/>
        <w:ind w:firstLine="480" w:firstLineChars="200"/>
        <w:rPr>
          <w:rFonts w:ascii="宋体" w:hAnsi="宋体"/>
          <w:sz w:val="24"/>
        </w:rPr>
      </w:pPr>
      <w:r>
        <w:rPr>
          <w:rFonts w:hint="eastAsia" w:ascii="宋体" w:hAnsi="宋体"/>
          <w:sz w:val="24"/>
        </w:rPr>
        <w:t>17.2 未加密的电子投标文件光盘应封装在信封中。封口处加盖投标人公章，封皮上注明项目编号、包号、项目名称、投标人名称，并注明“未加密的电子投标文件”字样。</w:t>
      </w:r>
    </w:p>
    <w:p>
      <w:pPr>
        <w:spacing w:line="360" w:lineRule="auto"/>
        <w:ind w:firstLine="480" w:firstLineChars="200"/>
        <w:rPr>
          <w:rFonts w:ascii="宋体" w:hAnsi="宋体"/>
          <w:sz w:val="24"/>
        </w:rPr>
      </w:pPr>
      <w:r>
        <w:rPr>
          <w:rFonts w:hint="eastAsia" w:ascii="宋体" w:hAnsi="宋体"/>
          <w:sz w:val="24"/>
        </w:rPr>
        <w:t>投标人认为有必要提交的其他资料请于投标截止时间前一并提交。</w:t>
      </w:r>
    </w:p>
    <w:p>
      <w:pPr>
        <w:spacing w:line="360" w:lineRule="auto"/>
        <w:ind w:firstLine="480" w:firstLineChars="200"/>
        <w:rPr>
          <w:rFonts w:ascii="宋体" w:hAnsi="宋体"/>
          <w:sz w:val="24"/>
        </w:rPr>
      </w:pPr>
      <w:r>
        <w:rPr>
          <w:rFonts w:hint="eastAsia" w:ascii="宋体" w:hAnsi="宋体"/>
          <w:sz w:val="24"/>
        </w:rPr>
        <w:t>17.3 如果投标人未按上述要求密封及加写标记，采购代理机构对投标文件的误投和提前启封概不负责。对由此造成提前开封的投标文件，采购代理机构有权予以拒绝，并退回投标人。</w:t>
      </w:r>
    </w:p>
    <w:p>
      <w:pPr>
        <w:spacing w:line="500" w:lineRule="exact"/>
        <w:ind w:firstLine="480" w:firstLineChars="200"/>
        <w:rPr>
          <w:rFonts w:ascii="宋体" w:hAnsi="宋体"/>
          <w:sz w:val="24"/>
        </w:rPr>
      </w:pPr>
      <w:r>
        <w:rPr>
          <w:rFonts w:hint="eastAsia" w:ascii="宋体" w:hAnsi="宋体"/>
          <w:sz w:val="24"/>
        </w:rPr>
        <w:t>17.4是否采用不见面开标方式详见投标人须知前附表，若本项目采用不见面开标，无需提供电子投标文件U盘、纸质投标文件。</w:t>
      </w:r>
    </w:p>
    <w:p>
      <w:pPr>
        <w:spacing w:line="360" w:lineRule="auto"/>
        <w:rPr>
          <w:rFonts w:ascii="宋体" w:hAnsi="宋体"/>
          <w:b/>
          <w:sz w:val="24"/>
        </w:rPr>
      </w:pPr>
      <w:r>
        <w:rPr>
          <w:rFonts w:hint="eastAsia" w:ascii="宋体" w:hAnsi="宋体"/>
          <w:b/>
          <w:sz w:val="24"/>
        </w:rPr>
        <w:t>18.投标文件的递交</w:t>
      </w:r>
    </w:p>
    <w:p>
      <w:pPr>
        <w:spacing w:line="360" w:lineRule="auto"/>
        <w:ind w:firstLine="480" w:firstLineChars="200"/>
        <w:rPr>
          <w:rFonts w:ascii="宋体" w:hAnsi="宋体"/>
          <w:sz w:val="24"/>
        </w:rPr>
      </w:pPr>
      <w:r>
        <w:rPr>
          <w:rFonts w:hint="eastAsia" w:ascii="宋体" w:hAnsi="宋体"/>
          <w:sz w:val="24"/>
        </w:rPr>
        <w:t>18.1 投标人应当在招标文件要求提交投标文件的截止时间前网上投标，并将未加密的电子投标文件光盘密封送达指定开标地点。</w:t>
      </w:r>
    </w:p>
    <w:p>
      <w:pPr>
        <w:spacing w:line="360" w:lineRule="auto"/>
        <w:ind w:firstLine="480" w:firstLineChars="200"/>
        <w:rPr>
          <w:rFonts w:ascii="宋体" w:hAnsi="宋体"/>
          <w:sz w:val="24"/>
        </w:rPr>
      </w:pPr>
      <w:r>
        <w:rPr>
          <w:rFonts w:hint="eastAsia" w:ascii="宋体" w:hAnsi="宋体"/>
          <w:sz w:val="24"/>
        </w:rPr>
        <w:t>18.2 在招标文件要求提交投标文件的截止时间之后送达的投标文件，为无效投标文件，采购代理机构将拒绝接收。</w:t>
      </w:r>
    </w:p>
    <w:p>
      <w:pPr>
        <w:spacing w:line="360" w:lineRule="auto"/>
        <w:ind w:firstLine="480" w:firstLineChars="200"/>
        <w:rPr>
          <w:rFonts w:ascii="宋体" w:hAnsi="宋体"/>
          <w:sz w:val="24"/>
        </w:rPr>
      </w:pPr>
      <w:r>
        <w:rPr>
          <w:rFonts w:hint="eastAsia" w:ascii="宋体" w:hAnsi="宋体"/>
          <w:sz w:val="24"/>
        </w:rPr>
        <w:t>18.3</w:t>
      </w:r>
      <w:r>
        <w:rPr>
          <w:rFonts w:hint="eastAsia" w:ascii="宋体" w:hAnsi="宋体" w:cs="宋体"/>
          <w:sz w:val="24"/>
        </w:rPr>
        <w:t>是否采用不见面开标详见投标人须知前附表，若项目采用不见面开标。只需将加密电子投标文件在投标截止时间前通过政采云平台上传完成。上传时必须得到电脑在“投标文件上传-进行中”标签页下，显示状态为“已上传”的确认回复后方为上传成功。逾期上传的或者未上传到平台的投标文件，采购人不予受理。</w:t>
      </w:r>
    </w:p>
    <w:p>
      <w:pPr>
        <w:spacing w:line="360" w:lineRule="auto"/>
        <w:rPr>
          <w:rFonts w:ascii="宋体" w:hAnsi="宋体"/>
          <w:b/>
          <w:sz w:val="24"/>
        </w:rPr>
      </w:pPr>
      <w:r>
        <w:rPr>
          <w:rFonts w:hint="eastAsia" w:ascii="宋体" w:hAnsi="宋体"/>
          <w:b/>
          <w:sz w:val="24"/>
        </w:rPr>
        <w:t>19.投标文件的修改和撤回</w:t>
      </w:r>
    </w:p>
    <w:p>
      <w:pPr>
        <w:spacing w:line="360" w:lineRule="auto"/>
        <w:ind w:firstLine="480" w:firstLineChars="200"/>
        <w:rPr>
          <w:highlight w:val="cyan"/>
        </w:rPr>
      </w:pPr>
      <w:r>
        <w:rPr>
          <w:rFonts w:hint="eastAsia" w:ascii="宋体" w:hAnsi="宋体"/>
          <w:sz w:val="24"/>
        </w:rPr>
        <w:t>19.1  投标人在递交投标文件后，可以修改或撤回其投标，但这种修改和撤回，必须在规定的投标截止时间前。在投标截止时间后，投标人不得要求修改或撤回其投标文件。</w:t>
      </w:r>
      <w:bookmarkStart w:id="64" w:name="EBdea484bda35746a2b5fd314ad05e57a5"/>
      <w:r>
        <w:rPr>
          <w:sz w:val="20"/>
          <w:highlight w:val="white"/>
        </w:rPr>
        <w:t xml:space="preserve"> </w:t>
      </w:r>
      <w:bookmarkEnd w:id="64"/>
      <w:bookmarkStart w:id="65" w:name="EB81ee8525ba154877a375e0453dfebe72"/>
      <w:r>
        <w:rPr>
          <w:sz w:val="20"/>
          <w:highlight w:val="white"/>
        </w:rPr>
        <w:t xml:space="preserve"> </w:t>
      </w:r>
      <w:bookmarkEnd w:id="65"/>
      <w:bookmarkStart w:id="66" w:name="EB59f3b3240a8b4b64960eecad995cd524"/>
      <w:r>
        <w:rPr>
          <w:sz w:val="20"/>
          <w:highlight w:val="white"/>
        </w:rPr>
        <w:t xml:space="preserve"> </w:t>
      </w:r>
      <w:bookmarkEnd w:id="66"/>
    </w:p>
    <w:p>
      <w:pPr>
        <w:keepNext/>
        <w:keepLines/>
        <w:adjustRightInd w:val="0"/>
        <w:spacing w:line="360" w:lineRule="auto"/>
        <w:outlineLvl w:val="2"/>
        <w:rPr>
          <w:rFonts w:ascii="宋体" w:hAnsi="宋体"/>
          <w:b/>
          <w:bCs/>
          <w:kern w:val="0"/>
          <w:sz w:val="24"/>
          <w:szCs w:val="32"/>
        </w:rPr>
      </w:pPr>
      <w:bookmarkStart w:id="67" w:name="_Toc256000009"/>
      <w:r>
        <w:rPr>
          <w:rFonts w:hint="eastAsia" w:ascii="宋体" w:hAnsi="宋体"/>
          <w:b/>
          <w:bCs/>
          <w:kern w:val="0"/>
          <w:sz w:val="24"/>
          <w:szCs w:val="32"/>
        </w:rPr>
        <w:t>六、开标</w:t>
      </w:r>
      <w:bookmarkEnd w:id="67"/>
    </w:p>
    <w:p>
      <w:pPr>
        <w:spacing w:line="360" w:lineRule="auto"/>
        <w:rPr>
          <w:rFonts w:ascii="宋体" w:hAnsi="宋体"/>
          <w:b/>
          <w:sz w:val="24"/>
        </w:rPr>
      </w:pPr>
      <w:r>
        <w:rPr>
          <w:rFonts w:hint="eastAsia" w:ascii="宋体" w:hAnsi="宋体"/>
          <w:b/>
          <w:sz w:val="24"/>
        </w:rPr>
        <w:t>20.开标</w:t>
      </w:r>
    </w:p>
    <w:p>
      <w:pPr>
        <w:spacing w:line="500" w:lineRule="exact"/>
        <w:rPr>
          <w:rFonts w:ascii="宋体" w:hAnsi="宋体"/>
          <w:b/>
          <w:sz w:val="24"/>
        </w:rPr>
      </w:pPr>
      <w:r>
        <w:rPr>
          <w:rFonts w:hint="eastAsia" w:ascii="宋体" w:hAnsi="宋体"/>
          <w:b/>
          <w:sz w:val="24"/>
          <w:highlight w:val="white"/>
        </w:rPr>
        <w:t>A．采用见面开标方式</w:t>
      </w:r>
    </w:p>
    <w:p>
      <w:pPr>
        <w:spacing w:line="360" w:lineRule="auto"/>
        <w:ind w:firstLine="480" w:firstLineChars="200"/>
        <w:rPr>
          <w:rFonts w:ascii="宋体" w:hAnsi="宋体"/>
          <w:sz w:val="24"/>
        </w:rPr>
      </w:pPr>
      <w:r>
        <w:rPr>
          <w:rFonts w:hint="eastAsia" w:ascii="宋体" w:hAnsi="宋体"/>
          <w:sz w:val="24"/>
        </w:rPr>
        <w:t>20.1 采购代理机构按照招标文件规定的时间、地点主持开标。投标人法定代表人或授权代理人应携带身份证明、电子密钥（电子证书）、未加密的电子投标文件（用信封密封）及应当提交的其他资料参加开标并签到。</w:t>
      </w:r>
    </w:p>
    <w:p>
      <w:pPr>
        <w:spacing w:line="360" w:lineRule="auto"/>
        <w:ind w:firstLine="480" w:firstLineChars="200"/>
        <w:rPr>
          <w:rFonts w:ascii="宋体" w:hAnsi="宋体"/>
          <w:sz w:val="24"/>
        </w:rPr>
      </w:pPr>
      <w:r>
        <w:rPr>
          <w:rFonts w:hint="eastAsia" w:ascii="宋体" w:hAnsi="宋体"/>
          <w:sz w:val="24"/>
        </w:rPr>
        <w:t>20.2 开标前，采购代理机构将会同监督人员或公证人员进行验标（检查网上招标系统正常与否，检查未加密的电子投标文件，检查投标人保证金交纳情况），确认无误后开标。开标时，各投标人应对本单位的加密的电子投标文件现场解密，采购代理机构工作人员在监督人员或公证人员监督下解密所有投标文件。</w:t>
      </w:r>
    </w:p>
    <w:p>
      <w:pPr>
        <w:spacing w:line="360" w:lineRule="auto"/>
        <w:ind w:firstLine="480" w:firstLineChars="200"/>
        <w:rPr>
          <w:rFonts w:ascii="宋体" w:hAnsi="宋体"/>
          <w:sz w:val="24"/>
        </w:rPr>
      </w:pPr>
      <w:r>
        <w:rPr>
          <w:rFonts w:hint="eastAsia" w:ascii="宋体" w:hAnsi="宋体"/>
          <w:sz w:val="24"/>
        </w:rPr>
        <w:t>因网上招标系统故障导致所有投标人均解密失败时，投标人使用未加密的电子投标文件进行开评标。</w:t>
      </w:r>
    </w:p>
    <w:p>
      <w:pPr>
        <w:spacing w:line="360" w:lineRule="auto"/>
        <w:ind w:firstLine="480" w:firstLineChars="200"/>
        <w:rPr>
          <w:rFonts w:ascii="宋体" w:hAnsi="宋体"/>
          <w:sz w:val="24"/>
        </w:rPr>
      </w:pPr>
      <w:r>
        <w:rPr>
          <w:rFonts w:hint="eastAsia" w:ascii="宋体" w:hAnsi="宋体"/>
          <w:sz w:val="24"/>
        </w:rPr>
        <w:t>20.3 开标时，采购代理机构将通过网上开标系统公布投标人名称、投标价格，以及采购代理机构认为合适的其它详细内容。投标人若有报价和优惠未被唱出，应在开标时及时声明或提请注意，否则采购代理机构对此不承担任何责任。</w:t>
      </w:r>
    </w:p>
    <w:p>
      <w:pPr>
        <w:spacing w:line="360" w:lineRule="auto"/>
        <w:ind w:firstLine="480" w:firstLineChars="200"/>
        <w:rPr>
          <w:rFonts w:ascii="宋体" w:hAnsi="宋体"/>
          <w:sz w:val="24"/>
        </w:rPr>
      </w:pPr>
      <w:r>
        <w:rPr>
          <w:rFonts w:hint="eastAsia" w:ascii="宋体" w:hAnsi="宋体"/>
          <w:sz w:val="24"/>
        </w:rPr>
        <w:t>20.4 在评审结束前，未得到采购代理机构允许，投标人法定代表人或授权代理人不得离开开标现场。</w:t>
      </w:r>
    </w:p>
    <w:p>
      <w:pPr>
        <w:spacing w:line="360" w:lineRule="auto"/>
        <w:ind w:firstLine="480" w:firstLineChars="200"/>
        <w:rPr>
          <w:rFonts w:ascii="宋体" w:hAnsi="宋体"/>
          <w:sz w:val="24"/>
        </w:rPr>
      </w:pPr>
      <w:r>
        <w:rPr>
          <w:rFonts w:hint="eastAsia" w:ascii="宋体" w:hAnsi="宋体"/>
          <w:sz w:val="24"/>
        </w:rPr>
        <w:t>20.5 公证员对开标过程进行全程公证。</w:t>
      </w:r>
    </w:p>
    <w:p>
      <w:pPr>
        <w:pStyle w:val="21"/>
        <w:spacing w:line="500" w:lineRule="exact"/>
        <w:rPr>
          <w:rFonts w:ascii="宋体" w:hAnsi="宋体" w:cs="宋体"/>
          <w:sz w:val="24"/>
        </w:rPr>
      </w:pPr>
      <w:r>
        <w:rPr>
          <w:rFonts w:hint="eastAsia" w:ascii="宋体" w:hAnsi="宋体" w:cs="宋体"/>
          <w:b/>
          <w:sz w:val="24"/>
        </w:rPr>
        <w:t>B．采用不见面开标方式</w:t>
      </w:r>
      <w:r>
        <w:rPr>
          <w:rFonts w:hint="eastAsia" w:ascii="宋体" w:hAnsi="宋体" w:cs="宋体"/>
          <w:sz w:val="24"/>
        </w:rPr>
        <w:t>（是否采用详见投标人须知前附表）</w:t>
      </w:r>
    </w:p>
    <w:p>
      <w:pPr>
        <w:pStyle w:val="21"/>
        <w:spacing w:line="500" w:lineRule="exact"/>
        <w:ind w:firstLine="480" w:firstLineChars="200"/>
        <w:rPr>
          <w:rFonts w:ascii="宋体" w:hAnsi="宋体" w:cs="宋体"/>
          <w:sz w:val="24"/>
        </w:rPr>
      </w:pPr>
      <w:r>
        <w:rPr>
          <w:rFonts w:hint="eastAsia" w:ascii="宋体" w:hAnsi="宋体" w:cs="宋体"/>
          <w:sz w:val="24"/>
        </w:rPr>
        <w:t>招标人在规定的投标截止时间（开标时间）和投标人须知前附表规定的地点开标。投标人的法定代表人或其委托代理人无需到达开标现场，仅需在任意地点通过政采云平台开标大厅，使用CA密钥完成远程解密、提疑澄清、开标唱标、结果公布等交互环节。</w:t>
      </w:r>
    </w:p>
    <w:p>
      <w:pPr>
        <w:spacing w:line="360" w:lineRule="auto"/>
        <w:ind w:firstLine="480" w:firstLineChars="200"/>
        <w:rPr>
          <w:highlight w:val="cyan"/>
        </w:rPr>
      </w:pPr>
      <w:r>
        <w:rPr>
          <w:rFonts w:hint="eastAsia" w:ascii="宋体" w:hAnsi="宋体" w:cs="宋体"/>
          <w:sz w:val="24"/>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bookmarkStart w:id="68" w:name="EB762c78e93eba4b72af2df5b3efee4779"/>
      <w:r>
        <w:rPr>
          <w:sz w:val="20"/>
          <w:highlight w:val="white"/>
        </w:rPr>
        <w:t xml:space="preserve"> </w:t>
      </w:r>
      <w:bookmarkEnd w:id="68"/>
      <w:bookmarkStart w:id="69" w:name="EBd11563aac94641bcbce64c740b54f3c6"/>
      <w:r>
        <w:rPr>
          <w:sz w:val="20"/>
          <w:highlight w:val="white"/>
        </w:rPr>
        <w:t xml:space="preserve"> </w:t>
      </w:r>
      <w:bookmarkEnd w:id="69"/>
      <w:bookmarkStart w:id="70" w:name="EBb2fe5bffca4b463885814e2aee93745c"/>
      <w:r>
        <w:rPr>
          <w:sz w:val="20"/>
          <w:highlight w:val="white"/>
        </w:rPr>
        <w:t xml:space="preserve"> </w:t>
      </w:r>
      <w:bookmarkEnd w:id="70"/>
    </w:p>
    <w:p>
      <w:pPr>
        <w:keepNext/>
        <w:keepLines/>
        <w:adjustRightInd w:val="0"/>
        <w:spacing w:line="360" w:lineRule="auto"/>
        <w:outlineLvl w:val="2"/>
        <w:rPr>
          <w:rFonts w:ascii="宋体" w:hAnsi="宋体"/>
          <w:b/>
          <w:bCs/>
          <w:kern w:val="0"/>
          <w:sz w:val="24"/>
          <w:szCs w:val="32"/>
        </w:rPr>
      </w:pPr>
      <w:bookmarkStart w:id="71" w:name="_Toc256000010"/>
      <w:r>
        <w:rPr>
          <w:rFonts w:hint="eastAsia" w:ascii="宋体" w:hAnsi="宋体"/>
          <w:b/>
          <w:bCs/>
          <w:kern w:val="0"/>
          <w:sz w:val="24"/>
          <w:szCs w:val="32"/>
        </w:rPr>
        <w:t>七、评标步骤和要求</w:t>
      </w:r>
      <w:bookmarkEnd w:id="71"/>
    </w:p>
    <w:p>
      <w:pPr>
        <w:spacing w:line="360" w:lineRule="auto"/>
        <w:rPr>
          <w:rFonts w:ascii="宋体" w:hAnsi="宋体"/>
          <w:b/>
          <w:sz w:val="24"/>
        </w:rPr>
      </w:pPr>
      <w:r>
        <w:rPr>
          <w:rFonts w:hint="eastAsia" w:ascii="宋体" w:hAnsi="宋体"/>
          <w:b/>
          <w:sz w:val="24"/>
        </w:rPr>
        <w:t>21.组建评标委员会</w:t>
      </w:r>
    </w:p>
    <w:p>
      <w:pPr>
        <w:spacing w:line="360" w:lineRule="auto"/>
        <w:ind w:firstLine="480" w:firstLineChars="200"/>
        <w:rPr>
          <w:rFonts w:ascii="宋体" w:hAnsi="宋体"/>
          <w:sz w:val="24"/>
        </w:rPr>
      </w:pPr>
      <w:r>
        <w:rPr>
          <w:rFonts w:hint="eastAsia" w:ascii="宋体" w:hAnsi="宋体"/>
          <w:sz w:val="24"/>
        </w:rPr>
        <w:t>21.1 采购代理机构根据有关法律法规和本招标文件的规定，结合招标项目的特点组建评标委员会，对投标文件进行评估和比较。评标委员会由五人以上单数组成，其中经济、技术等方面的专家不少于三分之二。</w:t>
      </w:r>
    </w:p>
    <w:p>
      <w:pPr>
        <w:spacing w:line="360" w:lineRule="auto"/>
        <w:ind w:firstLine="480" w:firstLineChars="200"/>
        <w:rPr>
          <w:rFonts w:ascii="宋体" w:hAnsi="宋体"/>
          <w:sz w:val="24"/>
        </w:rPr>
      </w:pPr>
      <w:r>
        <w:rPr>
          <w:rFonts w:hint="eastAsia" w:ascii="宋体" w:hAnsi="宋体"/>
          <w:sz w:val="24"/>
        </w:rPr>
        <w:t>21.2 参与过本项目的论证专家不得作为评标专家参加评标，采购人不得以专家身份参与评标。</w:t>
      </w:r>
    </w:p>
    <w:p>
      <w:pPr>
        <w:spacing w:line="360" w:lineRule="auto"/>
        <w:rPr>
          <w:rFonts w:ascii="宋体" w:hAnsi="宋体"/>
          <w:b/>
          <w:sz w:val="24"/>
        </w:rPr>
      </w:pPr>
      <w:r>
        <w:rPr>
          <w:rFonts w:hint="eastAsia" w:ascii="宋体" w:hAnsi="宋体"/>
          <w:b/>
          <w:sz w:val="24"/>
        </w:rPr>
        <w:t>22、资格审查</w:t>
      </w:r>
    </w:p>
    <w:p>
      <w:pPr>
        <w:spacing w:line="360" w:lineRule="auto"/>
        <w:ind w:firstLine="480" w:firstLineChars="200"/>
        <w:rPr>
          <w:rFonts w:ascii="宋体" w:hAnsi="宋体"/>
          <w:sz w:val="24"/>
        </w:rPr>
      </w:pPr>
      <w:r>
        <w:rPr>
          <w:rFonts w:hint="eastAsia" w:ascii="宋体" w:hAnsi="宋体"/>
          <w:sz w:val="24"/>
        </w:rPr>
        <w:t>22.1公开招标采购项目开标结束后，采购人或者采购代理机构应当依法对投标人的资格进行审查。合格投标人不足3家的，不得评标。</w:t>
      </w:r>
    </w:p>
    <w:p>
      <w:pPr>
        <w:spacing w:line="360" w:lineRule="auto"/>
        <w:rPr>
          <w:rFonts w:ascii="宋体" w:hAnsi="宋体"/>
          <w:b/>
          <w:sz w:val="24"/>
        </w:rPr>
      </w:pPr>
      <w:r>
        <w:rPr>
          <w:rFonts w:hint="eastAsia" w:ascii="宋体" w:hAnsi="宋体"/>
          <w:b/>
          <w:sz w:val="24"/>
        </w:rPr>
        <w:t>23.初步评审</w:t>
      </w:r>
    </w:p>
    <w:p>
      <w:pPr>
        <w:spacing w:line="360" w:lineRule="auto"/>
        <w:ind w:firstLine="480" w:firstLineChars="200"/>
        <w:rPr>
          <w:rFonts w:ascii="宋体" w:hAnsi="宋体"/>
          <w:sz w:val="24"/>
        </w:rPr>
      </w:pPr>
      <w:r>
        <w:rPr>
          <w:rFonts w:hint="eastAsia" w:ascii="宋体" w:hAnsi="宋体"/>
          <w:sz w:val="24"/>
        </w:rPr>
        <w:t xml:space="preserve">23.1 评标委员会审查投标文件是否符合招标文件的基本要求：内容是否完整、资格证明文件是否合格、文件签署是否齐全、有无计算错误等。 </w:t>
      </w:r>
    </w:p>
    <w:p>
      <w:pPr>
        <w:spacing w:line="360" w:lineRule="auto"/>
        <w:ind w:firstLine="480" w:firstLineChars="200"/>
        <w:rPr>
          <w:rFonts w:ascii="宋体" w:hAnsi="宋体"/>
          <w:sz w:val="24"/>
        </w:rPr>
      </w:pPr>
      <w:r>
        <w:rPr>
          <w:rFonts w:hint="eastAsia" w:ascii="宋体" w:hAnsi="宋体"/>
          <w:sz w:val="24"/>
        </w:rPr>
        <w:t>23.2 评标委员会审查投标文件是否实质上响应招标文件的要求。</w:t>
      </w:r>
    </w:p>
    <w:p>
      <w:pPr>
        <w:spacing w:line="360" w:lineRule="auto"/>
        <w:ind w:firstLine="480" w:firstLineChars="200"/>
        <w:rPr>
          <w:rFonts w:ascii="宋体" w:hAnsi="宋体"/>
          <w:sz w:val="24"/>
        </w:rPr>
      </w:pPr>
      <w:r>
        <w:rPr>
          <w:rFonts w:hint="eastAsia" w:ascii="宋体" w:hAnsi="宋体"/>
          <w:sz w:val="24"/>
        </w:rPr>
        <w:t>1）实质上响应的投标是指与招标文件上的条款、条件和规格相符，没有重大偏离或保留，否则将视为无效投标。</w:t>
      </w:r>
    </w:p>
    <w:p>
      <w:pPr>
        <w:spacing w:line="360" w:lineRule="auto"/>
        <w:ind w:firstLine="480" w:firstLineChars="200"/>
        <w:rPr>
          <w:rFonts w:ascii="宋体" w:hAnsi="宋体"/>
          <w:sz w:val="24"/>
        </w:rPr>
      </w:pPr>
      <w:r>
        <w:rPr>
          <w:rFonts w:hint="eastAsia" w:ascii="宋体" w:hAnsi="宋体"/>
          <w:sz w:val="24"/>
        </w:rPr>
        <w:t>2）重大偏离或保留系指投标货物的质量、数量和交付日期等明显不能满足招标文件的要求，或者实质上与招标文件不一致，纠正这些偏离或保留将对其他实质上响应要求的投标人的竞争地位产生不公正的影响。包括但不限于：</w:t>
      </w:r>
    </w:p>
    <w:p>
      <w:pPr>
        <w:spacing w:line="360" w:lineRule="auto"/>
        <w:ind w:firstLine="480" w:firstLineChars="200"/>
        <w:rPr>
          <w:rFonts w:ascii="宋体" w:hAnsi="宋体"/>
          <w:sz w:val="24"/>
        </w:rPr>
      </w:pPr>
      <w:r>
        <w:rPr>
          <w:rFonts w:hint="eastAsia" w:ascii="宋体" w:hAnsi="宋体"/>
          <w:sz w:val="24"/>
        </w:rPr>
        <w:t>A、招标文件第二部分“投标人须知前附表”第6条“投标文件组成”部分中，带“☆”号部分的证明文件不全或无效的；</w:t>
      </w:r>
    </w:p>
    <w:p>
      <w:pPr>
        <w:spacing w:line="360" w:lineRule="auto"/>
        <w:ind w:firstLine="480" w:firstLineChars="200"/>
        <w:rPr>
          <w:rFonts w:ascii="宋体" w:hAnsi="宋体"/>
          <w:sz w:val="24"/>
        </w:rPr>
      </w:pPr>
      <w:r>
        <w:rPr>
          <w:rFonts w:hint="eastAsia" w:ascii="宋体" w:hAnsi="宋体"/>
          <w:sz w:val="24"/>
        </w:rPr>
        <w:t>B、投标文件未按招标文件的规定签章的；</w:t>
      </w:r>
    </w:p>
    <w:p>
      <w:pPr>
        <w:spacing w:line="360" w:lineRule="auto"/>
        <w:ind w:firstLine="480" w:firstLineChars="200"/>
        <w:rPr>
          <w:rFonts w:ascii="宋体" w:hAnsi="宋体"/>
          <w:sz w:val="24"/>
        </w:rPr>
      </w:pPr>
      <w:r>
        <w:rPr>
          <w:rFonts w:hint="eastAsia" w:ascii="宋体" w:hAnsi="宋体"/>
          <w:sz w:val="24"/>
        </w:rPr>
        <w:t>C、未按投标文件份数要求提交投标文件的；</w:t>
      </w:r>
    </w:p>
    <w:p>
      <w:pPr>
        <w:spacing w:line="360" w:lineRule="auto"/>
        <w:ind w:firstLine="480" w:firstLineChars="200"/>
        <w:rPr>
          <w:rFonts w:ascii="宋体" w:hAnsi="宋体"/>
          <w:sz w:val="24"/>
        </w:rPr>
      </w:pPr>
      <w:r>
        <w:rPr>
          <w:rFonts w:hint="eastAsia" w:ascii="宋体" w:hAnsi="宋体"/>
          <w:sz w:val="24"/>
        </w:rPr>
        <w:t>D、招标文件带“☆”号部分任意一款不满足要求的；</w:t>
      </w:r>
    </w:p>
    <w:p>
      <w:pPr>
        <w:spacing w:line="360" w:lineRule="auto"/>
        <w:ind w:firstLine="480" w:firstLineChars="200"/>
        <w:rPr>
          <w:rFonts w:ascii="宋体" w:hAnsi="宋体"/>
          <w:sz w:val="24"/>
        </w:rPr>
      </w:pPr>
      <w:r>
        <w:rPr>
          <w:rFonts w:hint="eastAsia" w:ascii="宋体" w:hAnsi="宋体"/>
          <w:sz w:val="24"/>
        </w:rPr>
        <w:t>E、报价超过项目预算或经评标委员会认定低于成本的；</w:t>
      </w:r>
    </w:p>
    <w:p>
      <w:pPr>
        <w:spacing w:line="360" w:lineRule="auto"/>
        <w:ind w:firstLine="480" w:firstLineChars="200"/>
        <w:rPr>
          <w:rFonts w:ascii="宋体" w:hAnsi="宋体"/>
          <w:sz w:val="24"/>
        </w:rPr>
      </w:pPr>
      <w:r>
        <w:rPr>
          <w:rFonts w:hint="eastAsia" w:ascii="宋体" w:hAnsi="宋体"/>
          <w:sz w:val="24"/>
        </w:rPr>
        <w:t>F、投标有效期不足的；</w:t>
      </w:r>
    </w:p>
    <w:p>
      <w:pPr>
        <w:spacing w:line="360" w:lineRule="auto"/>
        <w:ind w:firstLine="480" w:firstLineChars="200"/>
        <w:rPr>
          <w:rFonts w:ascii="宋体" w:hAnsi="宋体"/>
          <w:sz w:val="24"/>
        </w:rPr>
      </w:pPr>
      <w:r>
        <w:rPr>
          <w:rFonts w:hint="eastAsia" w:ascii="宋体" w:hAnsi="宋体"/>
          <w:sz w:val="24"/>
        </w:rPr>
        <w:t>G、联合体投标文件未附联合体投标协议书的；</w:t>
      </w:r>
    </w:p>
    <w:p>
      <w:pPr>
        <w:spacing w:line="360" w:lineRule="auto"/>
        <w:ind w:firstLine="480" w:firstLineChars="200"/>
        <w:rPr>
          <w:rFonts w:ascii="宋体" w:hAnsi="宋体"/>
          <w:sz w:val="24"/>
        </w:rPr>
      </w:pPr>
      <w:r>
        <w:rPr>
          <w:rFonts w:hint="eastAsia" w:ascii="宋体" w:hAnsi="宋体"/>
          <w:sz w:val="24"/>
        </w:rPr>
        <w:t>H、不符合招标文件中有关分包规定的；</w:t>
      </w:r>
    </w:p>
    <w:p>
      <w:pPr>
        <w:spacing w:line="360" w:lineRule="auto"/>
        <w:ind w:firstLine="480" w:firstLineChars="200"/>
        <w:rPr>
          <w:rFonts w:ascii="宋体" w:hAnsi="宋体"/>
          <w:sz w:val="24"/>
        </w:rPr>
      </w:pPr>
      <w:r>
        <w:rPr>
          <w:rFonts w:hint="eastAsia" w:ascii="宋体" w:hAnsi="宋体"/>
          <w:sz w:val="24"/>
        </w:rPr>
        <w:t>I、有串通投标或弄虚作假或有其他违法行为的；</w:t>
      </w:r>
    </w:p>
    <w:p>
      <w:pPr>
        <w:spacing w:line="360" w:lineRule="auto"/>
        <w:ind w:firstLine="480" w:firstLineChars="200"/>
        <w:rPr>
          <w:rFonts w:ascii="宋体" w:hAnsi="宋体"/>
          <w:sz w:val="24"/>
        </w:rPr>
      </w:pPr>
      <w:r>
        <w:rPr>
          <w:rFonts w:hint="eastAsia" w:ascii="宋体" w:hAnsi="宋体"/>
          <w:sz w:val="24"/>
        </w:rPr>
        <w:t>J、投标人递交的电子投标文件（加密电子投标文件和未加密电子投标文件）均无法满足正常开标、评标使用功能的；</w:t>
      </w:r>
    </w:p>
    <w:p>
      <w:pPr>
        <w:spacing w:line="360" w:lineRule="auto"/>
        <w:ind w:firstLine="480" w:firstLineChars="200"/>
        <w:rPr>
          <w:rFonts w:ascii="宋体" w:hAnsi="宋体"/>
          <w:sz w:val="24"/>
        </w:rPr>
      </w:pPr>
      <w:r>
        <w:rPr>
          <w:rFonts w:hint="eastAsia" w:ascii="宋体" w:hAnsi="宋体"/>
          <w:sz w:val="24"/>
        </w:rPr>
        <w:t>K、投标人名称或组织结构与领取采购文件时不一致且无有效变更证明的；</w:t>
      </w:r>
    </w:p>
    <w:p>
      <w:pPr>
        <w:spacing w:line="360" w:lineRule="auto"/>
        <w:ind w:firstLine="480" w:firstLineChars="200"/>
        <w:rPr>
          <w:rFonts w:ascii="宋体" w:hAnsi="宋体"/>
          <w:sz w:val="24"/>
        </w:rPr>
      </w:pPr>
      <w:r>
        <w:rPr>
          <w:rFonts w:hint="eastAsia" w:ascii="宋体" w:hAnsi="宋体"/>
          <w:sz w:val="24"/>
        </w:rPr>
        <w:t>L、不符合招标文件中规定的其他实质性要求。</w:t>
      </w:r>
    </w:p>
    <w:p>
      <w:pPr>
        <w:spacing w:line="360" w:lineRule="auto"/>
        <w:ind w:firstLine="480" w:firstLineChars="200"/>
        <w:rPr>
          <w:rFonts w:ascii="宋体" w:hAnsi="宋体"/>
          <w:sz w:val="24"/>
        </w:rPr>
      </w:pPr>
      <w:r>
        <w:rPr>
          <w:rFonts w:hint="eastAsia" w:ascii="宋体" w:hAnsi="宋体"/>
          <w:sz w:val="24"/>
        </w:rPr>
        <w:t>23.3 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pPr>
        <w:spacing w:line="360" w:lineRule="auto"/>
        <w:ind w:firstLine="480" w:firstLineChars="200"/>
        <w:rPr>
          <w:rFonts w:ascii="宋体" w:hAnsi="宋体"/>
          <w:sz w:val="24"/>
        </w:rPr>
      </w:pPr>
      <w:r>
        <w:rPr>
          <w:rFonts w:hint="eastAsia" w:ascii="宋体" w:hAnsi="宋体"/>
          <w:sz w:val="24"/>
        </w:rPr>
        <w:t xml:space="preserve">23.4 初步评审中，对明显的文字和计算错误按下述原则处理，若出现相互矛盾之处，应以排列在先的原则为准优先处理：        </w:t>
      </w:r>
    </w:p>
    <w:p>
      <w:pPr>
        <w:spacing w:line="360" w:lineRule="auto"/>
        <w:ind w:firstLine="480" w:firstLineChars="200"/>
        <w:rPr>
          <w:rFonts w:ascii="宋体" w:hAnsi="宋体"/>
          <w:sz w:val="24"/>
        </w:rPr>
      </w:pPr>
      <w:r>
        <w:rPr>
          <w:rFonts w:hint="eastAsia" w:ascii="宋体" w:hAnsi="宋体"/>
          <w:sz w:val="24"/>
        </w:rPr>
        <w:t>1）投标文件中的开标一览表与明细表内容不一致的，以开标一览表为准。</w:t>
      </w:r>
    </w:p>
    <w:p>
      <w:pPr>
        <w:spacing w:line="360" w:lineRule="auto"/>
        <w:ind w:firstLine="480" w:firstLineChars="200"/>
        <w:rPr>
          <w:rFonts w:ascii="宋体" w:hAnsi="宋体"/>
          <w:sz w:val="24"/>
        </w:rPr>
      </w:pPr>
      <w:r>
        <w:rPr>
          <w:rFonts w:hint="eastAsia" w:ascii="宋体" w:hAnsi="宋体"/>
          <w:sz w:val="24"/>
        </w:rPr>
        <w:t>2）如果以文字表示的数据与数字表示的有差别，以文字为准修正数字。如果大写金额和小写金额不一致的，以大写金额为准；</w:t>
      </w:r>
    </w:p>
    <w:p>
      <w:pPr>
        <w:spacing w:line="360" w:lineRule="auto"/>
        <w:ind w:firstLine="480" w:firstLineChars="200"/>
        <w:rPr>
          <w:rFonts w:ascii="宋体" w:hAnsi="宋体"/>
          <w:sz w:val="24"/>
        </w:rPr>
      </w:pPr>
      <w:r>
        <w:rPr>
          <w:rFonts w:hint="eastAsia" w:ascii="宋体" w:hAnsi="宋体"/>
          <w:sz w:val="24"/>
        </w:rPr>
        <w:t>3）如果单价乘以数量不等于总价，以单价为准修正总价，但单价金额小数点有明显错位的，应以总价为准，并修改单价。如果明细价格相加不等于汇总价格，以明细价格为准。</w:t>
      </w:r>
    </w:p>
    <w:p>
      <w:pPr>
        <w:spacing w:line="360" w:lineRule="auto"/>
        <w:ind w:firstLine="480" w:firstLineChars="200"/>
        <w:rPr>
          <w:rFonts w:ascii="宋体" w:hAnsi="宋体"/>
          <w:sz w:val="24"/>
        </w:rPr>
      </w:pPr>
      <w:r>
        <w:rPr>
          <w:rFonts w:hint="eastAsia" w:ascii="宋体" w:hAnsi="宋体"/>
          <w:sz w:val="24"/>
        </w:rPr>
        <w:t>4）调整后的数据对投标人具有约束力，投标人不同意以上修正，其投标将被拒绝。</w:t>
      </w:r>
    </w:p>
    <w:p>
      <w:pPr>
        <w:spacing w:line="360" w:lineRule="auto"/>
        <w:ind w:firstLine="480" w:firstLineChars="200"/>
        <w:rPr>
          <w:rFonts w:ascii="宋体" w:hAnsi="宋体"/>
          <w:sz w:val="24"/>
        </w:rPr>
      </w:pPr>
      <w:r>
        <w:rPr>
          <w:rFonts w:hint="eastAsia" w:ascii="宋体" w:hAnsi="宋体"/>
          <w:sz w:val="24"/>
        </w:rPr>
        <w:t>23.5 评标委员会对投标文件的判定，只依据投标文件内容本身，不依据其他外来证明。</w:t>
      </w:r>
    </w:p>
    <w:p>
      <w:pPr>
        <w:spacing w:line="360" w:lineRule="auto"/>
        <w:rPr>
          <w:rFonts w:ascii="宋体" w:hAnsi="宋体"/>
          <w:b/>
          <w:sz w:val="24"/>
        </w:rPr>
      </w:pPr>
      <w:r>
        <w:rPr>
          <w:rFonts w:hint="eastAsia" w:ascii="宋体" w:hAnsi="宋体"/>
          <w:b/>
          <w:sz w:val="24"/>
        </w:rPr>
        <w:t>24.投标的澄清</w:t>
      </w:r>
    </w:p>
    <w:p>
      <w:pPr>
        <w:spacing w:line="360" w:lineRule="auto"/>
        <w:ind w:firstLine="480" w:firstLineChars="200"/>
        <w:rPr>
          <w:rFonts w:ascii="宋体" w:hAnsi="宋体"/>
          <w:sz w:val="24"/>
        </w:rPr>
      </w:pPr>
      <w:r>
        <w:rPr>
          <w:rFonts w:hint="eastAsia" w:ascii="宋体" w:hAnsi="宋体"/>
          <w:sz w:val="24"/>
        </w:rPr>
        <w:t>24.1 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pPr>
        <w:spacing w:line="360" w:lineRule="auto"/>
        <w:ind w:firstLine="480" w:firstLineChars="200"/>
        <w:rPr>
          <w:rFonts w:ascii="宋体" w:hAnsi="宋体"/>
          <w:sz w:val="24"/>
        </w:rPr>
      </w:pPr>
      <w:r>
        <w:rPr>
          <w:rFonts w:hint="eastAsia" w:ascii="宋体" w:hAnsi="宋体"/>
          <w:sz w:val="24"/>
        </w:rPr>
        <w:t>24.2 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pPr>
        <w:spacing w:line="360" w:lineRule="auto"/>
        <w:ind w:firstLine="480" w:firstLineChars="200"/>
        <w:rPr>
          <w:rFonts w:ascii="宋体" w:hAnsi="宋体"/>
          <w:sz w:val="24"/>
        </w:rPr>
      </w:pPr>
      <w:r>
        <w:rPr>
          <w:rFonts w:hint="eastAsia" w:ascii="宋体" w:hAnsi="宋体"/>
          <w:sz w:val="24"/>
        </w:rPr>
        <w:t>24.3 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spacing w:line="360" w:lineRule="auto"/>
        <w:ind w:firstLine="480" w:firstLineChars="200"/>
        <w:rPr>
          <w:rFonts w:ascii="宋体" w:hAnsi="宋体"/>
          <w:sz w:val="24"/>
        </w:rPr>
      </w:pPr>
      <w:r>
        <w:rPr>
          <w:rFonts w:hint="eastAsia" w:ascii="宋体" w:hAnsi="宋体"/>
          <w:sz w:val="24"/>
        </w:rPr>
        <w:t>24.4 公开招标采购项目开标结束后，采购人或者采购代理机构应当依法对投标人的资格进行审查。合格投标人不足3家的，不得评标。</w:t>
      </w:r>
    </w:p>
    <w:p>
      <w:pPr>
        <w:spacing w:line="360" w:lineRule="auto"/>
        <w:rPr>
          <w:rFonts w:ascii="宋体" w:hAnsi="宋体"/>
          <w:b/>
          <w:sz w:val="24"/>
        </w:rPr>
      </w:pPr>
      <w:r>
        <w:rPr>
          <w:rFonts w:hint="eastAsia" w:ascii="宋体" w:hAnsi="宋体"/>
          <w:b/>
          <w:sz w:val="24"/>
        </w:rPr>
        <w:t>25.详细评审</w:t>
      </w:r>
    </w:p>
    <w:p>
      <w:pPr>
        <w:spacing w:line="360" w:lineRule="auto"/>
        <w:ind w:firstLine="480" w:firstLineChars="200"/>
        <w:rPr>
          <w:rFonts w:ascii="宋体" w:hAnsi="宋体"/>
          <w:sz w:val="24"/>
        </w:rPr>
      </w:pPr>
      <w:r>
        <w:rPr>
          <w:rFonts w:hint="eastAsia" w:ascii="宋体" w:hAnsi="宋体"/>
          <w:sz w:val="24"/>
        </w:rPr>
        <w:t>25.1 评标委员会只对实质上响应招标文件的投标进行评价和比较；评审应严格按照招标文件第二部分“投标人须知前附表”中第20项规定以及招标文件的要求进行。具体要求等详见招标文件第四部分“评审方法”。</w:t>
      </w:r>
    </w:p>
    <w:p>
      <w:pPr>
        <w:spacing w:line="360" w:lineRule="auto"/>
        <w:ind w:firstLine="480" w:firstLineChars="200"/>
        <w:rPr>
          <w:rFonts w:ascii="宋体" w:hAnsi="宋体"/>
          <w:sz w:val="24"/>
        </w:rPr>
      </w:pPr>
      <w:r>
        <w:rPr>
          <w:rFonts w:hint="eastAsia" w:ascii="宋体" w:hAnsi="宋体"/>
          <w:sz w:val="24"/>
        </w:rPr>
        <w:t>25.2 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pPr>
        <w:spacing w:line="360" w:lineRule="auto"/>
        <w:rPr>
          <w:rFonts w:ascii="宋体" w:hAnsi="宋体"/>
          <w:b/>
          <w:sz w:val="24"/>
        </w:rPr>
      </w:pPr>
      <w:r>
        <w:rPr>
          <w:rFonts w:hint="eastAsia" w:ascii="宋体" w:hAnsi="宋体"/>
          <w:b/>
          <w:sz w:val="24"/>
        </w:rPr>
        <w:t>26.确定中标人</w:t>
      </w:r>
    </w:p>
    <w:p>
      <w:pPr>
        <w:spacing w:line="360" w:lineRule="auto"/>
        <w:ind w:firstLine="480" w:firstLineChars="200"/>
        <w:rPr>
          <w:rFonts w:ascii="宋体" w:hAnsi="宋体"/>
          <w:sz w:val="24"/>
        </w:rPr>
      </w:pPr>
      <w:r>
        <w:rPr>
          <w:rFonts w:hint="eastAsia" w:ascii="宋体" w:hAnsi="宋体"/>
          <w:sz w:val="24"/>
        </w:rPr>
        <w:t>26.1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ind w:firstLine="480" w:firstLineChars="200"/>
        <w:rPr>
          <w:rFonts w:ascii="宋体" w:hAnsi="宋体"/>
          <w:sz w:val="24"/>
        </w:rPr>
      </w:pPr>
      <w:r>
        <w:rPr>
          <w:rFonts w:hint="eastAsia" w:ascii="宋体" w:hAnsi="宋体"/>
          <w:sz w:val="24"/>
        </w:rPr>
        <w:t>26.2 评标委员会根据评审结果及招标文件的规定确定中标人。</w:t>
      </w:r>
    </w:p>
    <w:p>
      <w:pPr>
        <w:spacing w:line="360" w:lineRule="auto"/>
        <w:rPr>
          <w:rFonts w:ascii="宋体" w:hAnsi="宋体"/>
          <w:b/>
          <w:sz w:val="24"/>
        </w:rPr>
      </w:pPr>
      <w:r>
        <w:rPr>
          <w:rFonts w:hint="eastAsia" w:ascii="宋体" w:hAnsi="宋体"/>
          <w:b/>
          <w:sz w:val="24"/>
        </w:rPr>
        <w:t>27.评标过程要求</w:t>
      </w:r>
    </w:p>
    <w:p>
      <w:pPr>
        <w:spacing w:line="360" w:lineRule="auto"/>
        <w:ind w:firstLine="480" w:firstLineChars="200"/>
        <w:rPr>
          <w:rFonts w:ascii="宋体" w:hAnsi="宋体"/>
          <w:sz w:val="24"/>
        </w:rPr>
      </w:pPr>
      <w:r>
        <w:rPr>
          <w:rFonts w:hint="eastAsia" w:ascii="宋体" w:hAnsi="宋体"/>
          <w:sz w:val="24"/>
        </w:rPr>
        <w:t>27.1 开标之后，直到签订合同止，凡是属于审查、澄清、评价和比较投标的有关资料以及定标意向等，均不向投标人或者其他与评标无关的人员透露。</w:t>
      </w:r>
    </w:p>
    <w:p>
      <w:pPr>
        <w:spacing w:line="360" w:lineRule="auto"/>
        <w:ind w:firstLine="480" w:firstLineChars="200"/>
        <w:rPr>
          <w:rFonts w:ascii="宋体" w:hAnsi="宋体"/>
          <w:sz w:val="24"/>
        </w:rPr>
      </w:pPr>
      <w:r>
        <w:rPr>
          <w:rFonts w:hint="eastAsia" w:ascii="宋体" w:hAnsi="宋体"/>
          <w:sz w:val="24"/>
        </w:rPr>
        <w:t>27.2 在确定中标人之前，投标人试图在投标文件审查、澄清、比较和评标时对评标委员会、采购人和采购代理机构施加任何影响都可能导致其投标无效。</w:t>
      </w:r>
    </w:p>
    <w:p>
      <w:pPr>
        <w:spacing w:line="360" w:lineRule="auto"/>
        <w:ind w:firstLine="480" w:firstLineChars="200"/>
        <w:rPr>
          <w:rFonts w:ascii="宋体" w:hAnsi="宋体"/>
          <w:sz w:val="24"/>
        </w:rPr>
      </w:pPr>
      <w:r>
        <w:rPr>
          <w:rFonts w:hint="eastAsia" w:ascii="宋体" w:hAnsi="宋体"/>
          <w:sz w:val="24"/>
        </w:rPr>
        <w:t>27.3 电子招投标的应急措施</w:t>
      </w:r>
    </w:p>
    <w:p>
      <w:pPr>
        <w:spacing w:line="360" w:lineRule="auto"/>
        <w:ind w:firstLine="480" w:firstLineChars="200"/>
        <w:rPr>
          <w:rFonts w:ascii="宋体" w:hAnsi="宋体"/>
          <w:sz w:val="24"/>
        </w:rPr>
      </w:pPr>
      <w:r>
        <w:rPr>
          <w:rFonts w:hint="eastAsia" w:ascii="宋体" w:hAnsi="宋体"/>
          <w:sz w:val="24"/>
        </w:rPr>
        <w:t>27.3.1 电子开标、评标如出现下列原因，导致系统无法正常运行或无法正常评标时，应采取应急措施。</w:t>
      </w:r>
    </w:p>
    <w:p>
      <w:pPr>
        <w:spacing w:line="360" w:lineRule="auto"/>
        <w:ind w:firstLine="480" w:firstLineChars="200"/>
        <w:rPr>
          <w:rFonts w:ascii="宋体" w:hAnsi="宋体"/>
          <w:sz w:val="24"/>
        </w:rPr>
      </w:pPr>
      <w:r>
        <w:rPr>
          <w:rFonts w:hint="eastAsia" w:ascii="宋体" w:hAnsi="宋体"/>
          <w:sz w:val="24"/>
        </w:rPr>
        <w:t>（1）系统服务器发生故障，无法访问或无法使用系统；</w:t>
      </w:r>
    </w:p>
    <w:p>
      <w:pPr>
        <w:spacing w:line="360" w:lineRule="auto"/>
        <w:ind w:firstLine="480" w:firstLineChars="200"/>
        <w:rPr>
          <w:rFonts w:ascii="宋体" w:hAnsi="宋体"/>
          <w:sz w:val="24"/>
        </w:rPr>
      </w:pPr>
      <w:r>
        <w:rPr>
          <w:rFonts w:hint="eastAsia" w:ascii="宋体" w:hAnsi="宋体"/>
          <w:sz w:val="24"/>
        </w:rPr>
        <w:t>（2）系统的软件或数据库出现错误，不能进行正常操作；</w:t>
      </w:r>
    </w:p>
    <w:p>
      <w:pPr>
        <w:spacing w:line="360" w:lineRule="auto"/>
        <w:ind w:firstLine="480" w:firstLineChars="200"/>
        <w:rPr>
          <w:rFonts w:ascii="宋体" w:hAnsi="宋体"/>
          <w:sz w:val="24"/>
        </w:rPr>
      </w:pPr>
      <w:r>
        <w:rPr>
          <w:rFonts w:hint="eastAsia" w:ascii="宋体" w:hAnsi="宋体"/>
          <w:sz w:val="24"/>
        </w:rPr>
        <w:t>（3）系统发现有安全漏洞，有潜在的泄密危险；</w:t>
      </w:r>
    </w:p>
    <w:p>
      <w:pPr>
        <w:spacing w:line="360" w:lineRule="auto"/>
        <w:ind w:firstLine="480" w:firstLineChars="200"/>
        <w:rPr>
          <w:rFonts w:ascii="宋体" w:hAnsi="宋体"/>
          <w:sz w:val="24"/>
        </w:rPr>
      </w:pPr>
      <w:r>
        <w:rPr>
          <w:rFonts w:hint="eastAsia" w:ascii="宋体" w:hAnsi="宋体"/>
          <w:sz w:val="24"/>
        </w:rPr>
        <w:t>（4）病毒发作或受到外来病毒的攻击；</w:t>
      </w:r>
    </w:p>
    <w:p>
      <w:pPr>
        <w:spacing w:line="360" w:lineRule="auto"/>
        <w:ind w:firstLine="480" w:firstLineChars="200"/>
        <w:rPr>
          <w:rFonts w:ascii="宋体" w:hAnsi="宋体"/>
          <w:sz w:val="24"/>
        </w:rPr>
      </w:pPr>
      <w:r>
        <w:rPr>
          <w:rFonts w:hint="eastAsia" w:ascii="宋体" w:hAnsi="宋体"/>
          <w:sz w:val="24"/>
        </w:rPr>
        <w:t>（5）出现其他不可抗拒的客观原因造成开评标系统无法正常使用。</w:t>
      </w:r>
    </w:p>
    <w:p>
      <w:pPr>
        <w:spacing w:line="360" w:lineRule="auto"/>
        <w:ind w:firstLine="480" w:firstLineChars="200"/>
        <w:rPr>
          <w:rFonts w:ascii="宋体" w:hAnsi="宋体"/>
          <w:sz w:val="24"/>
        </w:rPr>
      </w:pPr>
      <w:r>
        <w:rPr>
          <w:rFonts w:hint="eastAsia" w:ascii="宋体" w:hAnsi="宋体"/>
          <w:sz w:val="24"/>
        </w:rPr>
        <w:t>出现上述情况时，应对未开标的暂停开标。已在系统内开标、评标的立即停止。采取应急措施时，必须对原有资料及信息作出妥善保密处理。</w:t>
      </w:r>
    </w:p>
    <w:p>
      <w:pPr>
        <w:spacing w:line="360" w:lineRule="auto"/>
        <w:ind w:firstLine="480" w:firstLineChars="200"/>
        <w:rPr>
          <w:rFonts w:ascii="宋体" w:hAnsi="宋体"/>
          <w:sz w:val="24"/>
        </w:rPr>
      </w:pPr>
      <w:r>
        <w:rPr>
          <w:rFonts w:hint="eastAsia" w:ascii="宋体" w:hAnsi="宋体"/>
          <w:sz w:val="24"/>
        </w:rPr>
        <w:t>27.3.2 因系统原因导致投标人均无法解密电子投标文件时，采购代理机构可在开标现场直接导入投标人在投标截止时间前递交的未加密的电子投标文件进行开标、评标。</w:t>
      </w:r>
    </w:p>
    <w:p>
      <w:pPr>
        <w:spacing w:line="360" w:lineRule="auto"/>
        <w:rPr>
          <w:rFonts w:ascii="宋体" w:hAnsi="宋体"/>
          <w:b/>
          <w:sz w:val="24"/>
        </w:rPr>
      </w:pPr>
      <w:r>
        <w:rPr>
          <w:rFonts w:hint="eastAsia" w:ascii="宋体" w:hAnsi="宋体"/>
          <w:b/>
          <w:sz w:val="24"/>
        </w:rPr>
        <w:t>28.投标人瑕疵滞后发现的处理规则</w:t>
      </w:r>
    </w:p>
    <w:p>
      <w:pPr>
        <w:spacing w:line="360" w:lineRule="auto"/>
        <w:ind w:firstLine="480" w:firstLineChars="200"/>
        <w:rPr>
          <w:rFonts w:ascii="宋体" w:hAnsi="宋体"/>
          <w:sz w:val="24"/>
        </w:rPr>
      </w:pPr>
      <w:r>
        <w:rPr>
          <w:rFonts w:hint="eastAsia" w:ascii="宋体" w:hAnsi="宋体"/>
          <w:sz w:val="24"/>
        </w:rPr>
        <w:t>28.1 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pPr>
        <w:spacing w:line="360" w:lineRule="auto"/>
        <w:rPr>
          <w:rFonts w:ascii="宋体" w:hAnsi="宋体"/>
          <w:b/>
          <w:sz w:val="24"/>
        </w:rPr>
      </w:pPr>
      <w:r>
        <w:rPr>
          <w:rFonts w:hint="eastAsia" w:ascii="宋体" w:hAnsi="宋体"/>
          <w:b/>
          <w:sz w:val="24"/>
        </w:rPr>
        <w:t>29.采购项目废标</w:t>
      </w:r>
    </w:p>
    <w:p>
      <w:pPr>
        <w:spacing w:line="360" w:lineRule="auto"/>
        <w:ind w:firstLine="480" w:firstLineChars="200"/>
        <w:rPr>
          <w:rFonts w:ascii="宋体" w:hAnsi="宋体"/>
          <w:sz w:val="24"/>
        </w:rPr>
      </w:pPr>
      <w:r>
        <w:rPr>
          <w:rFonts w:hint="eastAsia" w:ascii="宋体" w:hAnsi="宋体"/>
          <w:sz w:val="24"/>
        </w:rPr>
        <w:t>29.1 在评标过程中，评标委员会发现有下列情形之一的，应对采购项目予以废标：</w:t>
      </w:r>
    </w:p>
    <w:p>
      <w:pPr>
        <w:spacing w:line="360" w:lineRule="auto"/>
        <w:ind w:firstLine="480" w:firstLineChars="200"/>
        <w:rPr>
          <w:rFonts w:ascii="宋体" w:hAnsi="宋体"/>
          <w:sz w:val="24"/>
        </w:rPr>
      </w:pPr>
      <w:r>
        <w:rPr>
          <w:rFonts w:hint="eastAsia" w:ascii="宋体" w:hAnsi="宋体"/>
          <w:sz w:val="24"/>
        </w:rPr>
        <w:t xml:space="preserve">1）符合专业条件的供应商或者对招标文件作实质响应的供应商数量不足，导致进入详细评审、打分阶段的供应商不足3家的； </w:t>
      </w:r>
    </w:p>
    <w:p>
      <w:pPr>
        <w:spacing w:line="360" w:lineRule="auto"/>
        <w:ind w:firstLine="480" w:firstLineChars="200"/>
        <w:rPr>
          <w:rFonts w:ascii="宋体" w:hAnsi="宋体"/>
          <w:sz w:val="24"/>
        </w:rPr>
      </w:pPr>
      <w:r>
        <w:rPr>
          <w:rFonts w:hint="eastAsia" w:ascii="宋体" w:hAnsi="宋体"/>
          <w:sz w:val="24"/>
        </w:rPr>
        <w:t>2）投标人的报价均超过了采购预算；</w:t>
      </w:r>
    </w:p>
    <w:p>
      <w:pPr>
        <w:spacing w:line="360" w:lineRule="auto"/>
        <w:ind w:firstLine="480" w:firstLineChars="200"/>
        <w:rPr>
          <w:rFonts w:ascii="宋体" w:hAnsi="宋体"/>
          <w:sz w:val="24"/>
        </w:rPr>
      </w:pPr>
      <w:r>
        <w:rPr>
          <w:rFonts w:hint="eastAsia" w:ascii="宋体" w:hAnsi="宋体"/>
          <w:sz w:val="24"/>
        </w:rPr>
        <w:t>3）出现影响采购公正的违法、违规行为的；</w:t>
      </w:r>
    </w:p>
    <w:p>
      <w:pPr>
        <w:spacing w:line="360" w:lineRule="auto"/>
        <w:ind w:firstLine="480" w:firstLineChars="200"/>
        <w:rPr>
          <w:rFonts w:ascii="宋体" w:hAnsi="宋体"/>
          <w:sz w:val="24"/>
        </w:rPr>
      </w:pPr>
      <w:r>
        <w:rPr>
          <w:rFonts w:hint="eastAsia" w:ascii="宋体" w:hAnsi="宋体"/>
          <w:sz w:val="24"/>
        </w:rPr>
        <w:t>4）因重大变故，采购任务取消的。</w:t>
      </w:r>
    </w:p>
    <w:p>
      <w:pPr>
        <w:spacing w:line="360" w:lineRule="auto"/>
        <w:ind w:firstLine="480" w:firstLineChars="200"/>
        <w:rPr>
          <w:rFonts w:ascii="宋体" w:hAnsi="宋体"/>
          <w:sz w:val="24"/>
        </w:rPr>
      </w:pPr>
      <w:r>
        <w:rPr>
          <w:rFonts w:hint="eastAsia" w:ascii="宋体" w:hAnsi="宋体"/>
          <w:sz w:val="24"/>
        </w:rPr>
        <w:t>5）不接受选择性报价，对于出现的政采云平台开标唱标环节经投标供应商确认的投标报价与投标文件中开标一览表的报价不一致的现象，视作选择性报价。</w:t>
      </w:r>
    </w:p>
    <w:p>
      <w:pPr>
        <w:spacing w:line="360" w:lineRule="auto"/>
        <w:rPr>
          <w:rFonts w:ascii="宋体" w:hAnsi="宋体"/>
          <w:sz w:val="24"/>
        </w:rPr>
      </w:pPr>
      <w:r>
        <w:rPr>
          <w:rFonts w:hint="eastAsia" w:ascii="宋体" w:hAnsi="宋体"/>
          <w:sz w:val="24"/>
        </w:rPr>
        <w:t>除前款第四项规定的情形外，项目废标后，如未变更采购方式，采购代理机构将依法重新组织招标。</w:t>
      </w:r>
    </w:p>
    <w:p>
      <w:pPr>
        <w:spacing w:line="360" w:lineRule="auto"/>
        <w:ind w:firstLine="480" w:firstLineChars="200"/>
        <w:rPr>
          <w:rFonts w:ascii="宋体" w:hAnsi="宋体"/>
          <w:sz w:val="24"/>
        </w:rPr>
      </w:pPr>
      <w:r>
        <w:rPr>
          <w:rFonts w:hint="eastAsia" w:ascii="宋体" w:hAnsi="宋体"/>
          <w:sz w:val="24"/>
        </w:rPr>
        <w:t>29.2 有前款第一项规定的情形导致废标时，供应商只有2家的，可以改为竞争性谈判方式，在书面征得供应商同意并报经财政部门核准后，由采购人、采购代理机构按照竞争性谈判方式的程序组织采购。</w:t>
      </w:r>
    </w:p>
    <w:p>
      <w:pPr>
        <w:spacing w:line="360" w:lineRule="auto"/>
        <w:ind w:firstLine="480" w:firstLineChars="200"/>
        <w:rPr>
          <w:rFonts w:ascii="宋体" w:hAnsi="宋体"/>
          <w:sz w:val="24"/>
        </w:rPr>
      </w:pPr>
      <w:r>
        <w:rPr>
          <w:rFonts w:hint="eastAsia" w:ascii="宋体" w:hAnsi="宋体"/>
          <w:sz w:val="24"/>
        </w:rPr>
        <w:t>29.2.1 转为谈判后，若供应商未能在评标委员会指定时间内（原则上不超过60分钟）提交符合要求的补充资料或未作出实质性响应的，投标无效。经过审查符合谈判要求的有效供应商少于两家的，作废标处理。</w:t>
      </w:r>
    </w:p>
    <w:p>
      <w:pPr>
        <w:spacing w:line="360" w:lineRule="auto"/>
        <w:ind w:firstLine="480" w:firstLineChars="200"/>
        <w:rPr>
          <w:rFonts w:ascii="宋体" w:hAnsi="宋体"/>
          <w:sz w:val="24"/>
        </w:rPr>
      </w:pPr>
      <w:r>
        <w:rPr>
          <w:rFonts w:hint="eastAsia" w:ascii="宋体" w:hAnsi="宋体"/>
          <w:sz w:val="24"/>
        </w:rPr>
        <w:t>29.2.2 评标委员会根据采购文件内容与实质性响应采购文件要求的供应商分别进行谈判，并给予所有参加谈判的供应商平等的谈判机会。在谈判过程中，评标委员会可以根据采购文件和谈判情况实质性变动采购需求中的技术、服务要求以及合同草案条款，但不得变动采购文件中的其他内容。实质性变动的内容，须经采购人代表确认。对采购文件作出的实质性变动是采购文件的有效组成部分，评标委员会应当及时以书面形式同时通知所有参加谈判的供应商。</w:t>
      </w:r>
    </w:p>
    <w:p>
      <w:pPr>
        <w:spacing w:line="360" w:lineRule="auto"/>
        <w:ind w:firstLine="480" w:firstLineChars="200"/>
        <w:rPr>
          <w:rFonts w:ascii="宋体" w:hAnsi="宋体"/>
          <w:sz w:val="24"/>
        </w:rPr>
      </w:pPr>
      <w:r>
        <w:rPr>
          <w:rFonts w:hint="eastAsia" w:ascii="宋体" w:hAnsi="宋体"/>
          <w:sz w:val="24"/>
        </w:rPr>
        <w:t>供应商应当按照采购文件的变动情况和评标委员会的要求重新提交响应文件，并由其法定代表人或授权代表签字或者加盖公章。</w:t>
      </w:r>
    </w:p>
    <w:p>
      <w:pPr>
        <w:spacing w:line="360" w:lineRule="auto"/>
        <w:ind w:firstLine="480" w:firstLineChars="200"/>
        <w:rPr>
          <w:rFonts w:ascii="宋体" w:hAnsi="宋体"/>
          <w:sz w:val="24"/>
        </w:rPr>
      </w:pPr>
      <w:r>
        <w:rPr>
          <w:rFonts w:hint="eastAsia" w:ascii="宋体" w:hAnsi="宋体"/>
          <w:sz w:val="24"/>
        </w:rPr>
        <w:t>29.2.3 投标文件的报价视为谈判时的首次报价。谈判结束后，评标委员会应当要求所有继续参加谈判的供应商在规定时间内提交不超过两轮的报价。供应商的各轮报价是供应商报价文件的有效组成部分。除最终报价外，谈判时将公开各供应商每轮报价。</w:t>
      </w:r>
    </w:p>
    <w:p>
      <w:pPr>
        <w:spacing w:line="360" w:lineRule="auto"/>
        <w:ind w:firstLine="480" w:firstLineChars="200"/>
        <w:rPr>
          <w:highlight w:val="cyan"/>
        </w:rPr>
      </w:pPr>
      <w:r>
        <w:rPr>
          <w:rFonts w:hint="eastAsia" w:ascii="宋体" w:hAnsi="宋体"/>
          <w:sz w:val="24"/>
        </w:rPr>
        <w:t>29.2.4 在谈判内容不作实质性变更及重大调整的前提下，供应商次轮报价不得高于上一轮报价，否则将视为重大偏离并导致报价被拒绝。</w:t>
      </w:r>
      <w:bookmarkStart w:id="72" w:name="EB89510c3b3a30480c8610f449b19e4e0a"/>
      <w:r>
        <w:rPr>
          <w:sz w:val="20"/>
          <w:highlight w:val="white"/>
        </w:rPr>
        <w:t xml:space="preserve"> </w:t>
      </w:r>
      <w:bookmarkEnd w:id="72"/>
      <w:bookmarkStart w:id="73" w:name="EBcfcb2aa810f9473284463cee8dd57e95"/>
      <w:r>
        <w:rPr>
          <w:sz w:val="20"/>
          <w:highlight w:val="white"/>
        </w:rPr>
        <w:t xml:space="preserve"> </w:t>
      </w:r>
      <w:bookmarkEnd w:id="73"/>
      <w:bookmarkStart w:id="74" w:name="EBaf0501d4fc0047abb4da5d9e147222a8"/>
      <w:r>
        <w:rPr>
          <w:sz w:val="20"/>
          <w:highlight w:val="white"/>
        </w:rPr>
        <w:t xml:space="preserve"> </w:t>
      </w:r>
      <w:bookmarkEnd w:id="74"/>
    </w:p>
    <w:p>
      <w:pPr>
        <w:keepNext/>
        <w:keepLines/>
        <w:adjustRightInd w:val="0"/>
        <w:spacing w:line="360" w:lineRule="auto"/>
        <w:outlineLvl w:val="2"/>
        <w:rPr>
          <w:rFonts w:ascii="宋体" w:hAnsi="宋体"/>
          <w:b/>
          <w:bCs/>
          <w:kern w:val="0"/>
          <w:sz w:val="24"/>
          <w:szCs w:val="32"/>
        </w:rPr>
      </w:pPr>
      <w:bookmarkStart w:id="75" w:name="_Toc256000011"/>
      <w:r>
        <w:rPr>
          <w:rFonts w:hint="eastAsia" w:ascii="宋体" w:hAnsi="宋体"/>
          <w:b/>
          <w:bCs/>
          <w:kern w:val="0"/>
          <w:sz w:val="24"/>
          <w:szCs w:val="32"/>
        </w:rPr>
        <w:t>八、履约保证金</w:t>
      </w:r>
      <w:bookmarkEnd w:id="75"/>
    </w:p>
    <w:p>
      <w:pPr>
        <w:spacing w:line="360" w:lineRule="auto"/>
        <w:rPr>
          <w:rFonts w:ascii="宋体" w:hAnsi="宋体"/>
          <w:b/>
          <w:sz w:val="24"/>
        </w:rPr>
      </w:pPr>
      <w:r>
        <w:rPr>
          <w:rFonts w:hint="eastAsia" w:ascii="宋体" w:hAnsi="宋体"/>
          <w:b/>
          <w:sz w:val="24"/>
        </w:rPr>
        <w:t>30.履约保证金</w:t>
      </w:r>
    </w:p>
    <w:p>
      <w:pPr>
        <w:spacing w:line="360" w:lineRule="auto"/>
        <w:ind w:firstLine="480" w:firstLineChars="200"/>
        <w:rPr>
          <w:rFonts w:ascii="宋体" w:hAnsi="宋体"/>
          <w:sz w:val="24"/>
        </w:rPr>
      </w:pPr>
      <w:r>
        <w:rPr>
          <w:rFonts w:hint="eastAsia" w:ascii="宋体" w:hAnsi="宋体"/>
          <w:sz w:val="24"/>
        </w:rPr>
        <w:t>30.1 履约保证金按照招标文件第二部分“投标人须知前附表”中第21项规定，在签订合同前交纳。</w:t>
      </w:r>
    </w:p>
    <w:p>
      <w:pPr>
        <w:spacing w:line="360" w:lineRule="auto"/>
        <w:ind w:firstLine="480" w:firstLineChars="200"/>
        <w:rPr>
          <w:highlight w:val="cyan"/>
        </w:rPr>
      </w:pPr>
      <w:r>
        <w:rPr>
          <w:rFonts w:hint="eastAsia" w:ascii="宋体" w:hAnsi="宋体"/>
          <w:sz w:val="24"/>
        </w:rPr>
        <w:t>30.2 中标人在中标公告发布后及时足额交纳履约保证金。</w:t>
      </w:r>
    </w:p>
    <w:p>
      <w:pPr>
        <w:keepNext/>
        <w:keepLines/>
        <w:adjustRightInd w:val="0"/>
        <w:spacing w:line="360" w:lineRule="auto"/>
        <w:outlineLvl w:val="2"/>
        <w:rPr>
          <w:rFonts w:ascii="宋体" w:hAnsi="宋体"/>
          <w:b/>
          <w:bCs/>
          <w:kern w:val="0"/>
          <w:sz w:val="24"/>
          <w:szCs w:val="32"/>
        </w:rPr>
      </w:pPr>
      <w:bookmarkStart w:id="76" w:name="_Toc256000012"/>
      <w:r>
        <w:rPr>
          <w:rFonts w:hint="eastAsia" w:ascii="宋体" w:hAnsi="宋体"/>
          <w:b/>
          <w:bCs/>
          <w:kern w:val="0"/>
          <w:sz w:val="24"/>
          <w:szCs w:val="32"/>
        </w:rPr>
        <w:t>九、代理服务费、公证费</w:t>
      </w:r>
      <w:bookmarkEnd w:id="76"/>
    </w:p>
    <w:p>
      <w:pPr>
        <w:spacing w:line="360" w:lineRule="auto"/>
        <w:rPr>
          <w:rFonts w:ascii="宋体" w:hAnsi="宋体"/>
          <w:b/>
          <w:sz w:val="24"/>
        </w:rPr>
      </w:pPr>
      <w:r>
        <w:rPr>
          <w:rFonts w:hint="eastAsia" w:ascii="宋体" w:hAnsi="宋体"/>
          <w:b/>
          <w:sz w:val="24"/>
        </w:rPr>
        <w:t>31.代理服务费、公证费</w:t>
      </w:r>
    </w:p>
    <w:p>
      <w:pPr>
        <w:spacing w:line="360" w:lineRule="auto"/>
        <w:ind w:firstLine="480" w:firstLineChars="200"/>
        <w:rPr>
          <w:highlight w:val="cyan"/>
        </w:rPr>
      </w:pPr>
      <w:r>
        <w:rPr>
          <w:rFonts w:hint="eastAsia" w:ascii="宋体" w:hAnsi="宋体"/>
          <w:sz w:val="24"/>
        </w:rPr>
        <w:t>31.1 代理服务费、公证费按照招标文件第二部分“投标人须知前附表”中第22项和第24项的规定由中标人交纳，请投标人在测算投标报价时充分考虑这一因素。</w:t>
      </w:r>
      <w:bookmarkStart w:id="77" w:name="EB3d5290ec12874590b73093f235eb4b9c"/>
      <w:r>
        <w:rPr>
          <w:sz w:val="20"/>
          <w:highlight w:val="white"/>
        </w:rPr>
        <w:t xml:space="preserve"> </w:t>
      </w:r>
      <w:bookmarkEnd w:id="77"/>
      <w:bookmarkStart w:id="78" w:name="EBa88a30bffaa84b308ae0078153f9e940"/>
      <w:r>
        <w:rPr>
          <w:sz w:val="20"/>
          <w:highlight w:val="white"/>
        </w:rPr>
        <w:t xml:space="preserve"> </w:t>
      </w:r>
      <w:bookmarkEnd w:id="78"/>
      <w:bookmarkStart w:id="79" w:name="EB8594d7a587344cd4b5015c7adff7aa6f"/>
      <w:r>
        <w:rPr>
          <w:sz w:val="20"/>
          <w:highlight w:val="white"/>
        </w:rPr>
        <w:t xml:space="preserve"> </w:t>
      </w:r>
      <w:bookmarkEnd w:id="79"/>
    </w:p>
    <w:p>
      <w:pPr>
        <w:keepNext/>
        <w:keepLines/>
        <w:adjustRightInd w:val="0"/>
        <w:spacing w:line="360" w:lineRule="auto"/>
        <w:outlineLvl w:val="2"/>
        <w:rPr>
          <w:rFonts w:ascii="宋体" w:hAnsi="宋体"/>
          <w:b/>
          <w:bCs/>
          <w:kern w:val="0"/>
          <w:sz w:val="24"/>
          <w:szCs w:val="32"/>
        </w:rPr>
      </w:pPr>
      <w:bookmarkStart w:id="80" w:name="_Toc256000013"/>
      <w:r>
        <w:rPr>
          <w:rFonts w:hint="eastAsia" w:ascii="宋体" w:hAnsi="宋体"/>
          <w:b/>
          <w:bCs/>
          <w:kern w:val="0"/>
          <w:sz w:val="24"/>
          <w:szCs w:val="32"/>
        </w:rPr>
        <w:t>十、签订、审核合同</w:t>
      </w:r>
      <w:bookmarkEnd w:id="80"/>
    </w:p>
    <w:p>
      <w:pPr>
        <w:spacing w:line="360" w:lineRule="auto"/>
        <w:rPr>
          <w:rFonts w:ascii="宋体" w:hAnsi="宋体"/>
          <w:b/>
          <w:sz w:val="24"/>
        </w:rPr>
      </w:pPr>
      <w:r>
        <w:rPr>
          <w:rFonts w:hint="eastAsia" w:ascii="宋体" w:hAnsi="宋体"/>
          <w:b/>
          <w:sz w:val="24"/>
        </w:rPr>
        <w:t>32.中标通知</w:t>
      </w:r>
    </w:p>
    <w:p>
      <w:pPr>
        <w:spacing w:line="360" w:lineRule="auto"/>
        <w:ind w:firstLine="480" w:firstLineChars="200"/>
        <w:rPr>
          <w:rFonts w:ascii="宋体" w:hAnsi="宋体"/>
          <w:sz w:val="24"/>
        </w:rPr>
      </w:pPr>
      <w:r>
        <w:rPr>
          <w:rFonts w:hint="eastAsia" w:ascii="宋体" w:hAnsi="宋体"/>
          <w:sz w:val="24"/>
        </w:rPr>
        <w:t>32.1 中标人确定后,采购代理机构将在相关政府采购信息发布媒体上发布中标公告，并以书面形式向中标人发出中标通知书，但该中标结果的有效性不依赖于未中标的投标人是否已经收到该通知。中标人应按照上述第21、22、24条的规定交纳履约保证金、代理服务费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pPr>
        <w:spacing w:line="360" w:lineRule="auto"/>
        <w:ind w:firstLine="480" w:firstLineChars="200"/>
        <w:rPr>
          <w:rFonts w:ascii="宋体" w:hAnsi="宋体"/>
          <w:sz w:val="24"/>
        </w:rPr>
      </w:pPr>
      <w:r>
        <w:rPr>
          <w:rFonts w:hint="eastAsia" w:ascii="宋体" w:hAnsi="宋体"/>
          <w:sz w:val="24"/>
        </w:rPr>
        <w:t>32.2 采购代理机构对未中标的投标人不作未中标原因的解释，但中标结果的有效性不以未中标的投标人是否收到相应的通知为前提。</w:t>
      </w:r>
    </w:p>
    <w:p>
      <w:pPr>
        <w:spacing w:line="360" w:lineRule="auto"/>
        <w:ind w:firstLine="480" w:firstLineChars="200"/>
        <w:rPr>
          <w:rFonts w:ascii="宋体" w:hAnsi="宋体"/>
          <w:sz w:val="24"/>
        </w:rPr>
      </w:pPr>
      <w:r>
        <w:rPr>
          <w:rFonts w:hint="eastAsia" w:ascii="宋体" w:hAnsi="宋体"/>
          <w:sz w:val="24"/>
        </w:rPr>
        <w:t>32.3 中标通知书是合同的组成部分。</w:t>
      </w:r>
    </w:p>
    <w:p>
      <w:pPr>
        <w:spacing w:line="360" w:lineRule="auto"/>
        <w:rPr>
          <w:rFonts w:ascii="宋体" w:hAnsi="宋体"/>
          <w:b/>
          <w:sz w:val="24"/>
        </w:rPr>
      </w:pPr>
      <w:r>
        <w:rPr>
          <w:rFonts w:hint="eastAsia" w:ascii="宋体" w:hAnsi="宋体"/>
          <w:b/>
          <w:sz w:val="24"/>
        </w:rPr>
        <w:t>33.签订合同</w:t>
      </w:r>
    </w:p>
    <w:p>
      <w:pPr>
        <w:spacing w:line="360" w:lineRule="auto"/>
        <w:ind w:firstLine="480" w:firstLineChars="200"/>
        <w:rPr>
          <w:rFonts w:ascii="宋体" w:hAnsi="宋体"/>
          <w:sz w:val="24"/>
        </w:rPr>
      </w:pPr>
      <w:r>
        <w:rPr>
          <w:rFonts w:hint="eastAsia" w:ascii="宋体" w:hAnsi="宋体"/>
          <w:sz w:val="24"/>
        </w:rPr>
        <w:t>33.1 中标人须在中标通知书发出之日起30日内与采购人签订采购合同。</w:t>
      </w:r>
    </w:p>
    <w:p>
      <w:pPr>
        <w:spacing w:line="360" w:lineRule="auto"/>
        <w:ind w:firstLine="480" w:firstLineChars="200"/>
        <w:rPr>
          <w:rFonts w:ascii="宋体" w:hAnsi="宋体"/>
          <w:sz w:val="24"/>
        </w:rPr>
      </w:pPr>
      <w:r>
        <w:rPr>
          <w:rFonts w:hint="eastAsia" w:ascii="宋体" w:hAnsi="宋体"/>
          <w:sz w:val="24"/>
        </w:rPr>
        <w:t>33.2 中标人须按照招标文件、投标文件及评标过程中的有关澄清、说明或者补正文件的内容与采购人签订合同。中标人不得再与采购人签订背离合同实质性内容的其他协议或声明。</w:t>
      </w:r>
    </w:p>
    <w:p>
      <w:pPr>
        <w:spacing w:line="360" w:lineRule="auto"/>
        <w:ind w:firstLine="480" w:firstLineChars="200"/>
        <w:rPr>
          <w:rFonts w:ascii="宋体" w:hAnsi="宋体"/>
          <w:sz w:val="24"/>
        </w:rPr>
      </w:pPr>
      <w:r>
        <w:rPr>
          <w:rFonts w:hint="eastAsia" w:ascii="宋体" w:hAnsi="宋体"/>
          <w:sz w:val="24"/>
        </w:rPr>
        <w:t>33.3 采购人如需追加与合同标的相同的货物，在不改变合同其他条款的前提下，提交追加合同的申请报经同级财政部门审核后，可与中标人签订补充合同，但所有补充合同的采购金额不得超过原合同金额的百分之十。</w:t>
      </w:r>
    </w:p>
    <w:p>
      <w:pPr>
        <w:spacing w:line="360" w:lineRule="auto"/>
        <w:ind w:firstLine="480" w:firstLineChars="200"/>
        <w:rPr>
          <w:rFonts w:ascii="宋体" w:hAnsi="宋体"/>
          <w:sz w:val="24"/>
        </w:rPr>
      </w:pPr>
      <w:r>
        <w:rPr>
          <w:rFonts w:hint="eastAsia" w:ascii="宋体" w:hAnsi="宋体"/>
          <w:sz w:val="24"/>
        </w:rPr>
        <w:t>33.4 中标人一旦中标及签订合同后，不得转包，亦不得将合同全部及任何权利、义务向第三方转让。</w:t>
      </w:r>
    </w:p>
    <w:p>
      <w:pPr>
        <w:spacing w:line="360" w:lineRule="auto"/>
        <w:ind w:firstLine="480" w:firstLineChars="200"/>
        <w:rPr>
          <w:rFonts w:ascii="宋体" w:hAnsi="宋体"/>
          <w:sz w:val="24"/>
        </w:rPr>
      </w:pPr>
      <w:r>
        <w:rPr>
          <w:rFonts w:hint="eastAsia" w:ascii="宋体" w:hAnsi="宋体"/>
          <w:sz w:val="24"/>
        </w:rPr>
        <w:t>33.5 中标人不履行合同的，采购人可在报经同级人民政府财政部门核准后，与排位在中标人之后的第一位中标候选供应商签订合同，以此类推；或在报经同级人民政府财政部门核准后重新组织采购。</w:t>
      </w:r>
    </w:p>
    <w:p>
      <w:pPr>
        <w:spacing w:line="360" w:lineRule="auto"/>
        <w:ind w:firstLine="480" w:firstLineChars="200"/>
        <w:rPr>
          <w:rFonts w:ascii="宋体" w:hAnsi="宋体"/>
          <w:sz w:val="24"/>
        </w:rPr>
      </w:pPr>
      <w:r>
        <w:rPr>
          <w:rFonts w:hint="eastAsia" w:ascii="宋体" w:hAnsi="宋体"/>
          <w:sz w:val="24"/>
        </w:rPr>
        <w:t>33.6 违反32.1条、32.2条的规定，给对方造成损失的，应承担赔偿责任。</w:t>
      </w:r>
    </w:p>
    <w:p>
      <w:pPr>
        <w:spacing w:line="360" w:lineRule="auto"/>
        <w:rPr>
          <w:rFonts w:ascii="宋体" w:hAnsi="宋体"/>
          <w:b/>
          <w:sz w:val="24"/>
        </w:rPr>
      </w:pPr>
      <w:r>
        <w:rPr>
          <w:rFonts w:hint="eastAsia" w:ascii="宋体" w:hAnsi="宋体"/>
          <w:b/>
          <w:sz w:val="24"/>
        </w:rPr>
        <w:t>34.审核合同</w:t>
      </w:r>
    </w:p>
    <w:p>
      <w:pPr>
        <w:spacing w:line="360" w:lineRule="auto"/>
        <w:ind w:firstLine="480" w:firstLineChars="200"/>
        <w:rPr>
          <w:highlight w:val="cyan"/>
        </w:rPr>
      </w:pPr>
      <w:r>
        <w:rPr>
          <w:rFonts w:hint="eastAsia" w:ascii="宋体" w:hAnsi="宋体"/>
          <w:sz w:val="24"/>
        </w:rPr>
        <w:t>34.1 中标人持政府采购合同于签订合同之日起3个工作日内到政采云平台进行备案留存。</w:t>
      </w:r>
      <w:bookmarkStart w:id="81" w:name="EB6c0abc09bb1f4a6bbedf613e9381b7f4"/>
      <w:r>
        <w:rPr>
          <w:sz w:val="20"/>
          <w:highlight w:val="white"/>
        </w:rPr>
        <w:t xml:space="preserve"> </w:t>
      </w:r>
      <w:bookmarkEnd w:id="81"/>
      <w:bookmarkStart w:id="82" w:name="EB26d94f6935064ca08c11486392c4dde2"/>
      <w:r>
        <w:rPr>
          <w:sz w:val="20"/>
          <w:highlight w:val="white"/>
        </w:rPr>
        <w:t xml:space="preserve"> </w:t>
      </w:r>
      <w:bookmarkEnd w:id="82"/>
    </w:p>
    <w:p>
      <w:pPr>
        <w:keepNext/>
        <w:keepLines/>
        <w:adjustRightInd w:val="0"/>
        <w:spacing w:line="360" w:lineRule="auto"/>
        <w:outlineLvl w:val="2"/>
        <w:rPr>
          <w:rFonts w:ascii="宋体" w:hAnsi="宋体"/>
          <w:b/>
          <w:bCs/>
          <w:kern w:val="0"/>
          <w:sz w:val="24"/>
          <w:szCs w:val="32"/>
        </w:rPr>
      </w:pPr>
      <w:bookmarkStart w:id="83" w:name="_Toc256000014"/>
      <w:r>
        <w:rPr>
          <w:rFonts w:hint="eastAsia" w:ascii="宋体" w:hAnsi="宋体"/>
          <w:b/>
          <w:bCs/>
          <w:kern w:val="0"/>
          <w:sz w:val="24"/>
          <w:szCs w:val="32"/>
        </w:rPr>
        <w:t>十一、处罚、询问和质疑</w:t>
      </w:r>
      <w:bookmarkEnd w:id="83"/>
      <w:r>
        <w:rPr>
          <w:rFonts w:hint="eastAsia" w:ascii="宋体" w:hAnsi="宋体"/>
          <w:b/>
          <w:bCs/>
          <w:kern w:val="0"/>
          <w:sz w:val="24"/>
          <w:szCs w:val="32"/>
        </w:rPr>
        <w:t xml:space="preserve"> </w:t>
      </w:r>
    </w:p>
    <w:p>
      <w:pPr>
        <w:spacing w:line="360" w:lineRule="auto"/>
        <w:rPr>
          <w:rFonts w:ascii="宋体" w:hAnsi="宋体"/>
          <w:b/>
          <w:sz w:val="24"/>
        </w:rPr>
      </w:pPr>
      <w:r>
        <w:rPr>
          <w:rFonts w:hint="eastAsia" w:ascii="宋体" w:hAnsi="宋体"/>
          <w:b/>
          <w:sz w:val="24"/>
        </w:rPr>
        <w:t>35.处罚</w:t>
      </w:r>
    </w:p>
    <w:p>
      <w:pPr>
        <w:spacing w:line="360" w:lineRule="auto"/>
        <w:ind w:firstLine="480" w:firstLineChars="200"/>
        <w:rPr>
          <w:rFonts w:ascii="宋体" w:hAnsi="宋体"/>
          <w:sz w:val="24"/>
        </w:rPr>
      </w:pPr>
      <w:r>
        <w:rPr>
          <w:rFonts w:hint="eastAsia" w:ascii="宋体" w:hAnsi="宋体"/>
          <w:sz w:val="24"/>
        </w:rPr>
        <w:t>35.1 发生下列情况之一，投标人的保证金不予退还；情节严重的将其列入不良记录名单。</w:t>
      </w:r>
    </w:p>
    <w:p>
      <w:pPr>
        <w:spacing w:line="360" w:lineRule="auto"/>
        <w:ind w:firstLine="480" w:firstLineChars="200"/>
        <w:rPr>
          <w:rFonts w:ascii="宋体" w:hAnsi="宋体"/>
          <w:sz w:val="24"/>
        </w:rPr>
      </w:pPr>
      <w:r>
        <w:rPr>
          <w:rFonts w:hint="eastAsia" w:ascii="宋体" w:hAnsi="宋体"/>
          <w:sz w:val="24"/>
        </w:rPr>
        <w:t>1）开标后在投标有效期内，投标人撤回其投标；</w:t>
      </w:r>
    </w:p>
    <w:p>
      <w:pPr>
        <w:spacing w:line="360" w:lineRule="auto"/>
        <w:ind w:firstLine="480" w:firstLineChars="200"/>
        <w:rPr>
          <w:rFonts w:ascii="宋体" w:hAnsi="宋体"/>
          <w:sz w:val="24"/>
        </w:rPr>
      </w:pPr>
      <w:r>
        <w:rPr>
          <w:rFonts w:hint="eastAsia" w:ascii="宋体" w:hAnsi="宋体"/>
          <w:sz w:val="24"/>
        </w:rPr>
        <w:t>2）中标后无正当理由不与采购人签订合同的；</w:t>
      </w:r>
    </w:p>
    <w:p>
      <w:pPr>
        <w:spacing w:line="360" w:lineRule="auto"/>
        <w:ind w:firstLine="480" w:firstLineChars="200"/>
        <w:rPr>
          <w:rFonts w:ascii="宋体" w:hAnsi="宋体"/>
          <w:sz w:val="24"/>
        </w:rPr>
      </w:pPr>
      <w:r>
        <w:rPr>
          <w:rFonts w:hint="eastAsia" w:ascii="宋体" w:hAnsi="宋体"/>
          <w:sz w:val="24"/>
        </w:rPr>
        <w:t>3）中标人与采购人订立背离合同实质性内容的其他协议；</w:t>
      </w:r>
    </w:p>
    <w:p>
      <w:pPr>
        <w:spacing w:line="360" w:lineRule="auto"/>
        <w:ind w:firstLine="480" w:firstLineChars="200"/>
        <w:rPr>
          <w:rFonts w:ascii="宋体" w:hAnsi="宋体"/>
          <w:sz w:val="24"/>
        </w:rPr>
      </w:pPr>
      <w:r>
        <w:rPr>
          <w:rFonts w:hint="eastAsia" w:ascii="宋体" w:hAnsi="宋体"/>
          <w:sz w:val="24"/>
        </w:rPr>
        <w:t>4）将中标项目转让给他人，或者在投标文件中未说明，且未经采购代理机构同意，将中标项目分包给他人的；</w:t>
      </w:r>
    </w:p>
    <w:p>
      <w:pPr>
        <w:spacing w:line="360" w:lineRule="auto"/>
        <w:ind w:firstLine="480" w:firstLineChars="200"/>
        <w:rPr>
          <w:rFonts w:ascii="宋体" w:hAnsi="宋体"/>
          <w:sz w:val="24"/>
        </w:rPr>
      </w:pPr>
      <w:r>
        <w:rPr>
          <w:rFonts w:hint="eastAsia" w:ascii="宋体" w:hAnsi="宋体"/>
          <w:sz w:val="24"/>
        </w:rPr>
        <w:t>5）存在串通投标行为的；</w:t>
      </w:r>
    </w:p>
    <w:p>
      <w:pPr>
        <w:spacing w:line="360" w:lineRule="auto"/>
        <w:ind w:firstLine="480" w:firstLineChars="200"/>
        <w:rPr>
          <w:rFonts w:ascii="宋体" w:hAnsi="宋体"/>
          <w:sz w:val="24"/>
        </w:rPr>
      </w:pPr>
      <w:r>
        <w:rPr>
          <w:rFonts w:hint="eastAsia" w:ascii="宋体" w:hAnsi="宋体"/>
          <w:sz w:val="24"/>
        </w:rPr>
        <w:t>6）存在弄虚作假或提供虚假材料谋取中标的；</w:t>
      </w:r>
    </w:p>
    <w:p>
      <w:pPr>
        <w:spacing w:line="360" w:lineRule="auto"/>
        <w:ind w:firstLine="480" w:firstLineChars="200"/>
        <w:rPr>
          <w:rFonts w:ascii="宋体" w:hAnsi="宋体"/>
          <w:sz w:val="24"/>
        </w:rPr>
      </w:pPr>
      <w:r>
        <w:rPr>
          <w:rFonts w:hint="eastAsia" w:ascii="宋体" w:hAnsi="宋体"/>
          <w:sz w:val="24"/>
        </w:rPr>
        <w:t>7）投标人其他未按招标文件规定和合同约定履行义务的行为。</w:t>
      </w:r>
    </w:p>
    <w:p>
      <w:pPr>
        <w:spacing w:line="360" w:lineRule="auto"/>
        <w:rPr>
          <w:rFonts w:ascii="宋体" w:hAnsi="宋体"/>
          <w:b/>
          <w:sz w:val="24"/>
        </w:rPr>
      </w:pPr>
      <w:r>
        <w:rPr>
          <w:rFonts w:hint="eastAsia" w:ascii="宋体" w:hAnsi="宋体"/>
          <w:b/>
          <w:sz w:val="24"/>
        </w:rPr>
        <w:t>36.询问</w:t>
      </w:r>
    </w:p>
    <w:p>
      <w:pPr>
        <w:spacing w:line="360" w:lineRule="auto"/>
        <w:ind w:firstLine="480" w:firstLineChars="200"/>
        <w:rPr>
          <w:rFonts w:ascii="宋体" w:hAnsi="宋体"/>
          <w:sz w:val="24"/>
        </w:rPr>
      </w:pPr>
      <w:r>
        <w:rPr>
          <w:rFonts w:hint="eastAsia" w:ascii="宋体" w:hAnsi="宋体"/>
          <w:sz w:val="24"/>
        </w:rPr>
        <w:t>36.1 投标人对采购事项有疑问的，可以向采购人或采购代理机构提出询问。</w:t>
      </w:r>
    </w:p>
    <w:p>
      <w:pPr>
        <w:spacing w:line="360" w:lineRule="auto"/>
        <w:rPr>
          <w:rFonts w:ascii="宋体" w:hAnsi="宋体"/>
          <w:b/>
          <w:sz w:val="24"/>
        </w:rPr>
      </w:pPr>
      <w:r>
        <w:rPr>
          <w:rFonts w:hint="eastAsia" w:ascii="宋体" w:hAnsi="宋体"/>
          <w:b/>
          <w:sz w:val="24"/>
        </w:rPr>
        <w:t>37.投标人有权就招标事宜提出质疑</w:t>
      </w:r>
    </w:p>
    <w:p>
      <w:pPr>
        <w:spacing w:line="360" w:lineRule="auto"/>
        <w:ind w:firstLine="480" w:firstLineChars="200"/>
        <w:rPr>
          <w:rFonts w:ascii="宋体" w:hAnsi="宋体"/>
          <w:sz w:val="24"/>
        </w:rPr>
      </w:pPr>
      <w:r>
        <w:rPr>
          <w:rFonts w:hint="eastAsia" w:ascii="宋体" w:hAnsi="宋体"/>
          <w:sz w:val="24"/>
        </w:rPr>
        <w:t>37.1 投标人认为招标文件、采购过程和中标结果使自已的权益受到损害的，可以在知道或者应知其权益受到损害之日起7个工作日内，以书面形式提出质疑。</w:t>
      </w:r>
    </w:p>
    <w:p>
      <w:pPr>
        <w:spacing w:line="360" w:lineRule="auto"/>
        <w:ind w:firstLine="480" w:firstLineChars="200"/>
        <w:rPr>
          <w:rFonts w:ascii="宋体" w:hAnsi="宋体"/>
          <w:sz w:val="24"/>
        </w:rPr>
      </w:pPr>
      <w:r>
        <w:rPr>
          <w:rFonts w:hint="eastAsia" w:ascii="宋体" w:hAnsi="宋体"/>
          <w:sz w:val="24"/>
        </w:rPr>
        <w:t>37.2 质疑应当按照《中华人民共和国政府采购法》、《中华人民共和国政府采购法实施条例》、《</w:t>
      </w:r>
      <w:r>
        <w:rPr>
          <w:rFonts w:hint="eastAsia" w:ascii="宋体" w:hAnsi="宋体"/>
          <w:kern w:val="0"/>
          <w:sz w:val="24"/>
        </w:rPr>
        <w:t>政府采购质疑和投诉办法</w:t>
      </w:r>
      <w:r>
        <w:rPr>
          <w:rFonts w:hint="eastAsia" w:ascii="宋体" w:hAnsi="宋体"/>
          <w:sz w:val="24"/>
        </w:rPr>
        <w:t>》等法律法规的相关规定，以书面形式向采购代理机构提出。</w:t>
      </w:r>
      <w:r>
        <w:rPr>
          <w:rFonts w:hint="eastAsia" w:ascii="宋体" w:hAnsi="宋体" w:cs="宋体"/>
          <w:b/>
          <w:bCs/>
          <w:sz w:val="24"/>
          <w:szCs w:val="24"/>
        </w:rPr>
        <w:t>供应商在法定质疑期内一次性提出针对同一采购程序环节的质疑</w:t>
      </w:r>
      <w:r>
        <w:rPr>
          <w:rFonts w:hint="eastAsia" w:ascii="宋体" w:hAnsi="宋体" w:cs="宋体"/>
          <w:sz w:val="24"/>
          <w:szCs w:val="24"/>
        </w:rPr>
        <w:t>。</w:t>
      </w:r>
    </w:p>
    <w:p>
      <w:pPr>
        <w:spacing w:line="360" w:lineRule="auto"/>
        <w:ind w:firstLine="480" w:firstLineChars="200"/>
        <w:rPr>
          <w:rFonts w:ascii="宋体" w:hAnsi="宋体"/>
          <w:sz w:val="24"/>
        </w:rPr>
      </w:pPr>
      <w:r>
        <w:rPr>
          <w:rFonts w:hint="eastAsia" w:ascii="宋体" w:hAnsi="宋体"/>
          <w:sz w:val="24"/>
        </w:rPr>
        <w:t>37.3 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pPr>
        <w:spacing w:line="360" w:lineRule="auto"/>
        <w:ind w:firstLine="480" w:firstLineChars="200"/>
        <w:rPr>
          <w:rFonts w:ascii="宋体" w:hAnsi="宋体"/>
          <w:sz w:val="24"/>
        </w:rPr>
      </w:pPr>
      <w:r>
        <w:rPr>
          <w:rFonts w:hint="eastAsia" w:ascii="宋体" w:hAnsi="宋体"/>
          <w:sz w:val="24"/>
        </w:rPr>
        <w:t>37.4 质疑人可以采取直接送达或者邮寄方式提交质疑书。采购代理机构收到质疑书后，对质疑书进行审查，对符合质疑条件的将办理签收手续，自签收质疑书之日起即为受理。</w:t>
      </w:r>
    </w:p>
    <w:p>
      <w:pPr>
        <w:spacing w:line="360" w:lineRule="auto"/>
        <w:ind w:firstLine="480" w:firstLineChars="200"/>
        <w:rPr>
          <w:rFonts w:ascii="宋体" w:hAnsi="宋体"/>
          <w:sz w:val="24"/>
        </w:rPr>
      </w:pPr>
      <w:r>
        <w:rPr>
          <w:rFonts w:hint="eastAsia" w:ascii="宋体" w:hAnsi="宋体"/>
          <w:sz w:val="24"/>
        </w:rPr>
        <w:t>37.5 采购代理机构将在受理书面质疑后7个工作日内审查质疑事项，作出答复或相关处理决定，并以书面形式通知质疑人和其他相关供应商，但答复的内容不涉及商业秘密。</w:t>
      </w:r>
    </w:p>
    <w:p>
      <w:pPr>
        <w:spacing w:line="360" w:lineRule="auto"/>
        <w:ind w:firstLine="480" w:firstLineChars="200"/>
        <w:rPr>
          <w:rFonts w:ascii="宋体" w:hAnsi="宋体"/>
          <w:sz w:val="24"/>
        </w:rPr>
      </w:pPr>
      <w:r>
        <w:rPr>
          <w:rFonts w:hint="eastAsia" w:ascii="宋体" w:hAnsi="宋体"/>
          <w:sz w:val="24"/>
        </w:rPr>
        <w:t>37.6 投标人进行虚假和恶意质疑的，采购代理机构将提请有关部门将其列入不良记录名单，在一至三年内禁止参加政府采购活动，并将处理决定在相关政府采购媒体上公布。</w:t>
      </w:r>
    </w:p>
    <w:p>
      <w:pPr>
        <w:spacing w:line="360" w:lineRule="auto"/>
        <w:ind w:firstLine="480" w:firstLineChars="200"/>
        <w:rPr>
          <w:rFonts w:ascii="宋体" w:hAnsi="宋体"/>
          <w:sz w:val="24"/>
        </w:rPr>
      </w:pPr>
      <w:r>
        <w:rPr>
          <w:rFonts w:hint="eastAsia" w:ascii="宋体" w:hAnsi="宋体"/>
          <w:sz w:val="24"/>
        </w:rPr>
        <w:t>37.7 质疑人对答复不满意以及采购代理机构未在规定的时间内作出答复的，可以在答复期满后15个工作日内向财政部门投拆。</w:t>
      </w:r>
    </w:p>
    <w:p>
      <w:pPr>
        <w:rPr>
          <w:highlight w:val="cyan"/>
        </w:rPr>
      </w:pPr>
      <w:bookmarkStart w:id="84" w:name="EB39c71293e74d40469078ba26d6416c98"/>
      <w:r>
        <w:rPr>
          <w:sz w:val="20"/>
          <w:highlight w:val="white"/>
        </w:rPr>
        <w:t xml:space="preserve"> </w:t>
      </w:r>
      <w:bookmarkEnd w:id="84"/>
      <w:bookmarkStart w:id="85" w:name="EB271efed5eb2c4571a51ef86245b10499"/>
      <w:r>
        <w:rPr>
          <w:sz w:val="20"/>
          <w:highlight w:val="white"/>
        </w:rPr>
        <w:t xml:space="preserve"> </w:t>
      </w:r>
      <w:bookmarkEnd w:id="85"/>
      <w:bookmarkStart w:id="86" w:name="EB1019d0c475354d278c10922fbe210b36"/>
      <w:r>
        <w:rPr>
          <w:sz w:val="20"/>
          <w:highlight w:val="white"/>
        </w:rPr>
        <w:t xml:space="preserve"> </w:t>
      </w:r>
      <w:bookmarkEnd w:id="86"/>
    </w:p>
    <w:p>
      <w:pPr>
        <w:keepNext/>
        <w:keepLines/>
        <w:adjustRightInd w:val="0"/>
        <w:spacing w:line="360" w:lineRule="auto"/>
        <w:outlineLvl w:val="2"/>
        <w:rPr>
          <w:rFonts w:ascii="宋体" w:hAnsi="宋体"/>
          <w:b/>
          <w:bCs/>
          <w:kern w:val="0"/>
          <w:sz w:val="24"/>
          <w:szCs w:val="32"/>
        </w:rPr>
      </w:pPr>
      <w:bookmarkStart w:id="87" w:name="_Toc256000015"/>
      <w:r>
        <w:rPr>
          <w:rFonts w:hint="eastAsia" w:ascii="宋体" w:hAnsi="宋体"/>
          <w:b/>
          <w:bCs/>
          <w:kern w:val="0"/>
          <w:sz w:val="24"/>
          <w:szCs w:val="32"/>
        </w:rPr>
        <w:t>十二、保密和披露</w:t>
      </w:r>
      <w:bookmarkEnd w:id="87"/>
    </w:p>
    <w:p>
      <w:pPr>
        <w:spacing w:line="360" w:lineRule="auto"/>
        <w:rPr>
          <w:rFonts w:ascii="宋体" w:hAnsi="宋体"/>
          <w:b/>
          <w:sz w:val="24"/>
        </w:rPr>
      </w:pPr>
      <w:r>
        <w:rPr>
          <w:rFonts w:hint="eastAsia" w:ascii="宋体" w:hAnsi="宋体"/>
          <w:b/>
          <w:sz w:val="24"/>
        </w:rPr>
        <w:t>38.保密和披露</w:t>
      </w:r>
    </w:p>
    <w:p>
      <w:pPr>
        <w:spacing w:line="360" w:lineRule="auto"/>
        <w:ind w:firstLine="480" w:firstLineChars="200"/>
        <w:rPr>
          <w:rFonts w:ascii="宋体" w:hAnsi="宋体"/>
          <w:sz w:val="24"/>
        </w:rPr>
      </w:pPr>
      <w:r>
        <w:rPr>
          <w:rFonts w:hint="eastAsia" w:ascii="宋体" w:hAnsi="宋体"/>
          <w:sz w:val="24"/>
        </w:rPr>
        <w:t>38.1 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pPr>
        <w:spacing w:line="360" w:lineRule="auto"/>
        <w:ind w:firstLine="480" w:firstLineChars="200"/>
        <w:rPr>
          <w:rFonts w:ascii="宋体" w:hAnsi="宋体"/>
          <w:sz w:val="24"/>
        </w:rPr>
      </w:pPr>
      <w:r>
        <w:rPr>
          <w:rFonts w:hint="eastAsia" w:ascii="宋体" w:hAnsi="宋体"/>
          <w:sz w:val="24"/>
        </w:rPr>
        <w:t>38.2 采购代理机构有权将投标人提供的所有资料向有关政府部门或评审标书的有关人员披露。</w:t>
      </w:r>
    </w:p>
    <w:p>
      <w:pPr>
        <w:spacing w:line="360" w:lineRule="auto"/>
        <w:ind w:firstLine="480" w:firstLineChars="200"/>
        <w:rPr>
          <w:rFonts w:ascii="宋体" w:hAnsi="宋体"/>
          <w:sz w:val="24"/>
        </w:rPr>
      </w:pPr>
      <w:r>
        <w:rPr>
          <w:rFonts w:hint="eastAsia" w:ascii="宋体" w:hAnsi="宋体"/>
          <w:sz w:val="24"/>
        </w:rPr>
        <w:t>38.3 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pPr>
        <w:rPr>
          <w:highlight w:val="cyan"/>
        </w:rPr>
      </w:pPr>
      <w:r>
        <w:rPr>
          <w:sz w:val="20"/>
          <w:highlight w:val="white"/>
        </w:rPr>
        <w:t xml:space="preserve">  </w:t>
      </w:r>
      <w:bookmarkEnd w:id="48"/>
    </w:p>
    <w:p>
      <w:pPr>
        <w:pStyle w:val="6"/>
        <w:numPr>
          <w:ilvl w:val="0"/>
          <w:numId w:val="5"/>
        </w:numPr>
        <w:tabs>
          <w:tab w:val="left" w:pos="0"/>
        </w:tabs>
        <w:spacing w:line="240" w:lineRule="auto"/>
        <w:ind w:left="0" w:leftChars="0" w:firstLine="0" w:firstLineChars="0"/>
        <w:jc w:val="center"/>
        <w:outlineLvl w:val="0"/>
        <w:rPr>
          <w:rFonts w:ascii="宋体" w:hAnsi="宋体"/>
          <w:b/>
          <w:sz w:val="36"/>
        </w:rPr>
      </w:pPr>
      <w:r>
        <w:rPr>
          <w:rFonts w:ascii="宋体" w:hAnsi="宋体"/>
        </w:rPr>
        <w:br w:type="page"/>
      </w:r>
      <w:bookmarkStart w:id="88" w:name="_Toc256000030"/>
      <w:r>
        <w:rPr>
          <w:rFonts w:hint="eastAsia" w:ascii="宋体" w:hAnsi="宋体"/>
          <w:b/>
          <w:sz w:val="36"/>
        </w:rPr>
        <w:t xml:space="preserve">  </w:t>
      </w:r>
      <w:bookmarkEnd w:id="88"/>
      <w:r>
        <w:rPr>
          <w:rFonts w:hint="eastAsia" w:ascii="宋体" w:hAnsi="宋体"/>
          <w:b/>
          <w:sz w:val="36"/>
        </w:rPr>
        <w:t>采购需求</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一、项目简介</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石河子大学医学院第一附属医院在职人员餐厅位于石河子大学医学院第一附属医院职工食堂二楼，建筑面积为1125平米，设有200到220个就餐座位，其中操作间面积约400平方米。另外，二楼有两个包厢，每个包厢约10个座位；二楼设有更衣室、卫生间，有水、电、暖、天然气和部分厨具餐具。地下室可作为库房使用，电梯直达。</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本次餐饮服务外包采购，主要是为第一附属医院在职人员提供一日三餐的工作餐服务。另外，根据医院相关部门的通知，提供部分接待餐的服务，以及按照医院要求为</w:t>
      </w:r>
      <w:r>
        <w:rPr>
          <w:rFonts w:hint="eastAsia" w:ascii="宋体" w:hAnsi="宋体" w:cs="宋体"/>
          <w:color w:val="auto"/>
          <w:sz w:val="24"/>
          <w:szCs w:val="24"/>
          <w:lang w:val="en-US" w:eastAsia="zh-CN"/>
        </w:rPr>
        <w:t>手术室</w:t>
      </w:r>
      <w:r>
        <w:rPr>
          <w:rFonts w:hint="eastAsia" w:ascii="宋体" w:hAnsi="宋体" w:eastAsia="宋体" w:cs="宋体"/>
          <w:color w:val="auto"/>
          <w:sz w:val="24"/>
          <w:szCs w:val="24"/>
        </w:rPr>
        <w:t>提供送餐服务。</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二、采购合同期限</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本次采购合同期限为</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年。</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三、合作方式</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次采购确定的在职人员餐厅合作方式采用整体外包。即餐厅的人员招聘、工资、福利、工会费、社保费用等日常运营管理费用；后厨设备添置和维修保障；主食、副食采购、经营期间的税费、水费、电费、天然气费等等，均由乙方负责。医院承担场地、暖气、物业费用。在经营期间，甲方将新购置一批厨房设备及厨具，与餐厅现有的设备及厨具餐具清单一并移交乙方使用、并具备正常的工作条件。承包期满后，乙方应将上述物品完好交还甲方，如有遗失，损坏，乙方负责赔偿（自然损耗除外）。所有设施、设备、管网等出现问题均由乙方负责解决。</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在合作期间，医院派出管理代表和财务人员一到两名，负责运营期间对主食副食采购的质量、数量，食品安全、食品卫生、防疫等工作的监管，同时协调甲方和乙方的工作。</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在正式运营前</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个月作为试运营阶段。在此期间，主要用于测算每天中午的就餐人数</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午餐现场就餐人数不得少于600人次）。</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w:t>
      </w:r>
      <w:r>
        <w:rPr>
          <w:rFonts w:hint="eastAsia" w:ascii="宋体" w:hAnsi="宋体" w:cs="宋体"/>
          <w:color w:val="auto"/>
          <w:sz w:val="24"/>
          <w:szCs w:val="24"/>
          <w:lang w:val="en-US" w:eastAsia="zh-CN"/>
        </w:rPr>
        <w:t>正式</w:t>
      </w:r>
      <w:r>
        <w:rPr>
          <w:rFonts w:hint="eastAsia" w:ascii="宋体" w:hAnsi="宋体" w:eastAsia="宋体" w:cs="宋体"/>
          <w:color w:val="auto"/>
          <w:sz w:val="24"/>
          <w:szCs w:val="24"/>
        </w:rPr>
        <w:t>运营期间，如果连续三天的午餐就餐人数（次）低于最低就餐人数（次），甲方有权要求乙方在一周内进行整改。或者要求乙方更换主厨和厨师。直至就餐人数达标。如果连续三周午餐就餐人数不达标，医院有权终止合同。并按照招标时应标公司得分的顺序，选择下一家投标单位经营。</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四、供餐标准</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1、在职人员餐厅运行期间，必须保障每天的在职人员就餐，同时按照医院相关部门的通知，保障接待餐</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费用另行支付）</w:t>
      </w:r>
      <w:r>
        <w:rPr>
          <w:rFonts w:hint="eastAsia" w:ascii="宋体" w:hAnsi="宋体" w:eastAsia="宋体" w:cs="宋体"/>
          <w:color w:val="auto"/>
          <w:sz w:val="24"/>
          <w:szCs w:val="24"/>
        </w:rPr>
        <w:t>和</w:t>
      </w:r>
      <w:r>
        <w:rPr>
          <w:rFonts w:hint="eastAsia" w:ascii="宋体" w:hAnsi="宋体" w:cs="宋体"/>
          <w:color w:val="auto"/>
          <w:sz w:val="24"/>
          <w:szCs w:val="24"/>
          <w:lang w:val="en-US" w:eastAsia="zh-CN"/>
        </w:rPr>
        <w:t>手术室</w:t>
      </w:r>
      <w:r>
        <w:rPr>
          <w:rFonts w:hint="eastAsia" w:ascii="宋体" w:hAnsi="宋体" w:eastAsia="宋体" w:cs="宋体"/>
          <w:color w:val="auto"/>
          <w:sz w:val="24"/>
          <w:szCs w:val="24"/>
        </w:rPr>
        <w:t>的送餐服务。限于现场场地，乙方应积极配合甲方的分时段就餐安排，原则上每批次人员就餐时间不超过</w:t>
      </w:r>
      <w:r>
        <w:rPr>
          <w:rFonts w:hint="eastAsia" w:ascii="宋体" w:hAnsi="宋体" w:cs="宋体"/>
          <w:color w:val="auto"/>
          <w:sz w:val="24"/>
          <w:szCs w:val="24"/>
          <w:lang w:val="en-US" w:eastAsia="zh-CN"/>
        </w:rPr>
        <w:t>20分钟</w:t>
      </w:r>
      <w:r>
        <w:rPr>
          <w:rFonts w:hint="eastAsia" w:ascii="宋体" w:hAnsi="宋体" w:eastAsia="宋体" w:cs="宋体"/>
          <w:color w:val="auto"/>
          <w:sz w:val="24"/>
          <w:szCs w:val="24"/>
        </w:rPr>
        <w:t>，乙方应保证每批次就餐人员的主、副食的质量、数量的统一。</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2、甲方人员就餐方式为</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rPr>
        <w:t>餐，其中早餐7元，午餐18元，晚餐5元。其中，午餐</w:t>
      </w:r>
      <w:r>
        <w:rPr>
          <w:rFonts w:hint="eastAsia" w:ascii="宋体" w:hAnsi="宋体" w:eastAsia="宋体" w:cs="宋体"/>
          <w:color w:val="auto"/>
          <w:sz w:val="24"/>
          <w:szCs w:val="24"/>
          <w:lang w:eastAsia="zh-CN"/>
        </w:rPr>
        <w:t>主食不少于4种，</w:t>
      </w:r>
      <w:r>
        <w:rPr>
          <w:rFonts w:hint="eastAsia" w:ascii="宋体" w:hAnsi="宋体" w:cs="宋体"/>
          <w:color w:val="auto"/>
          <w:sz w:val="24"/>
          <w:szCs w:val="24"/>
          <w:lang w:val="en-US" w:eastAsia="zh-CN"/>
        </w:rPr>
        <w:t>菜品</w:t>
      </w:r>
      <w:r>
        <w:rPr>
          <w:rFonts w:hint="eastAsia" w:ascii="宋体" w:hAnsi="宋体" w:cs="宋体"/>
          <w:color w:val="auto"/>
          <w:sz w:val="24"/>
          <w:szCs w:val="24"/>
          <w:lang w:eastAsia="zh-CN"/>
        </w:rPr>
        <w:t>不</w:t>
      </w:r>
      <w:r>
        <w:rPr>
          <w:rFonts w:hint="eastAsia" w:ascii="宋体" w:hAnsi="宋体" w:eastAsia="宋体" w:cs="宋体"/>
          <w:color w:val="auto"/>
          <w:sz w:val="24"/>
          <w:szCs w:val="24"/>
          <w:lang w:eastAsia="zh-CN"/>
        </w:rPr>
        <w:t>少于6种（三荤三素），汤品不少于两种</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此方案为最低标准，乙方可参考此标准择优提供）</w:t>
      </w:r>
      <w:r>
        <w:rPr>
          <w:rFonts w:hint="eastAsia" w:ascii="宋体" w:hAnsi="宋体" w:eastAsia="宋体" w:cs="宋体"/>
          <w:color w:val="auto"/>
          <w:sz w:val="24"/>
          <w:szCs w:val="24"/>
          <w:lang w:eastAsia="zh-CN"/>
        </w:rPr>
        <w:t>。</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杂粮、</w:t>
      </w:r>
      <w:r>
        <w:rPr>
          <w:rFonts w:hint="eastAsia" w:ascii="宋体" w:hAnsi="宋体" w:eastAsia="宋体" w:cs="宋体"/>
          <w:b/>
          <w:bCs/>
          <w:color w:val="auto"/>
          <w:sz w:val="24"/>
          <w:szCs w:val="24"/>
        </w:rPr>
        <w:t>水果不少于两种（可以切块）。</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早餐、晚餐的品种、数量，由乙方在规定的标准中，择优提供。</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3、乙方每周五之前制定出下一周的食谱提前报备给甲方，经甲方确认并发布后执行。每天中午的</w:t>
      </w:r>
      <w:r>
        <w:rPr>
          <w:rFonts w:hint="eastAsia" w:ascii="宋体" w:hAnsi="宋体" w:cs="宋体"/>
          <w:color w:val="auto"/>
          <w:sz w:val="24"/>
          <w:szCs w:val="24"/>
          <w:lang w:val="en-US" w:eastAsia="zh-CN"/>
        </w:rPr>
        <w:t>菜品</w:t>
      </w:r>
      <w:r>
        <w:rPr>
          <w:rFonts w:hint="eastAsia" w:ascii="宋体" w:hAnsi="宋体" w:cs="宋体"/>
          <w:color w:val="auto"/>
          <w:sz w:val="24"/>
          <w:szCs w:val="24"/>
          <w:lang w:eastAsia="zh-CN"/>
        </w:rPr>
        <w:t>种类</w:t>
      </w:r>
      <w:r>
        <w:rPr>
          <w:rFonts w:hint="eastAsia" w:ascii="宋体" w:hAnsi="宋体" w:eastAsia="宋体" w:cs="宋体"/>
          <w:color w:val="auto"/>
          <w:sz w:val="24"/>
          <w:szCs w:val="24"/>
        </w:rPr>
        <w:t>重样</w:t>
      </w:r>
      <w:r>
        <w:rPr>
          <w:rFonts w:hint="eastAsia" w:ascii="宋体" w:hAnsi="宋体" w:cs="宋体"/>
          <w:color w:val="auto"/>
          <w:sz w:val="24"/>
          <w:szCs w:val="24"/>
          <w:lang w:eastAsia="zh-CN"/>
        </w:rPr>
        <w:t>数不超过</w:t>
      </w:r>
      <w:r>
        <w:rPr>
          <w:rFonts w:hint="eastAsia" w:ascii="宋体" w:hAnsi="宋体" w:cs="宋体"/>
          <w:color w:val="auto"/>
          <w:sz w:val="24"/>
          <w:szCs w:val="24"/>
          <w:lang w:val="en-US" w:eastAsia="zh-CN"/>
        </w:rPr>
        <w:t>3种</w:t>
      </w:r>
      <w:r>
        <w:rPr>
          <w:rFonts w:hint="eastAsia" w:ascii="宋体" w:hAnsi="宋体" w:eastAsia="宋体" w:cs="宋体"/>
          <w:color w:val="auto"/>
          <w:sz w:val="24"/>
          <w:szCs w:val="24"/>
        </w:rPr>
        <w:t>。如果任意一方有异议，双方协商后可以变更。</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4、接待餐的安排，按照甲方的通知时间、标准要求执行。</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、合理安排餐饮</w:t>
      </w:r>
      <w:r>
        <w:rPr>
          <w:rFonts w:hint="eastAsia" w:ascii="宋体" w:hAnsi="宋体" w:cs="宋体"/>
          <w:color w:val="auto"/>
          <w:sz w:val="24"/>
          <w:szCs w:val="24"/>
          <w:lang w:val="en-US" w:eastAsia="zh-CN"/>
        </w:rPr>
        <w:t>标准，</w:t>
      </w:r>
      <w:r>
        <w:rPr>
          <w:rFonts w:hint="eastAsia" w:ascii="宋体" w:hAnsi="宋体" w:eastAsia="宋体" w:cs="宋体"/>
          <w:color w:val="auto"/>
          <w:sz w:val="24"/>
          <w:szCs w:val="24"/>
        </w:rPr>
        <w:t>营养搭配合理，保障好就餐人员的食品安全工作。</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、发生重大公共卫生事件或者特殊情况下，按照上级或者当地政府要求，医院院区封闭或者其他需要乙方开展餐饮服务，乙方必须无条件给与支持。</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五、合同价格及支付方式</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本次招采合同控制价格为13000000</w:t>
      </w:r>
      <w:r>
        <w:rPr>
          <w:rFonts w:hint="eastAsia" w:ascii="宋体" w:hAnsi="宋体" w:cs="宋体"/>
          <w:color w:val="auto"/>
          <w:sz w:val="24"/>
          <w:szCs w:val="24"/>
          <w:lang w:eastAsia="zh-CN"/>
        </w:rPr>
        <w:t>元</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壹仟叁佰万</w:t>
      </w:r>
      <w:r>
        <w:rPr>
          <w:rFonts w:hint="eastAsia" w:ascii="宋体" w:hAnsi="宋体" w:eastAsia="宋体" w:cs="宋体"/>
          <w:color w:val="auto"/>
          <w:sz w:val="24"/>
          <w:szCs w:val="24"/>
        </w:rPr>
        <w:t>元）</w:t>
      </w:r>
      <w:r>
        <w:rPr>
          <w:rFonts w:hint="eastAsia" w:ascii="宋体" w:hAnsi="宋体" w:cs="宋体"/>
          <w:color w:val="auto"/>
          <w:sz w:val="24"/>
          <w:szCs w:val="24"/>
          <w:lang w:eastAsia="zh-CN"/>
        </w:rPr>
        <w:t>。</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中，在第一个月试运行期间，甲方按照每天每餐实际就餐人数和每天每餐实际开餐标准，据实结算。即（早餐标准*当日早餐刷卡人数+午餐标准*当日午餐刷卡人数+晚餐标准*当日晚餐刷卡人数）*当月开餐天数=实际结算数额。由乙方提供发票（普通发票），在次月的15日前支付给乙方。</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正式执行后，乙方每月的服务达到双方约定的就餐人数，即视为考核通过。甲方按照每天每餐实际就餐人数和每天每餐实际开餐标准，据实结算。即（早餐标准*当日早餐刷卡人数+午餐标准*当日午餐刷卡人数+晚餐标准*当日晚餐刷卡人数）*当月开餐天数=实际结算数额。由乙方提供发票（普通发票），在次月的15日前支付给乙方。</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六、对乙方企业要求</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乙方应严格执行《中华人民共和国食品安全法》。</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乙方企业对本项目运营管理方案有较强的针对性及计划性，管理规范、切实可行。</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、岗位人员管理方案要求有支撑性，企业对员工的提高及业务水平的升级有良好的保障措施。提供后续持续加强服务的</w:t>
      </w:r>
      <w:r>
        <w:rPr>
          <w:rFonts w:hint="eastAsia" w:ascii="宋体" w:hAnsi="宋体" w:cs="宋体"/>
          <w:color w:val="auto"/>
          <w:sz w:val="24"/>
          <w:szCs w:val="24"/>
          <w:lang w:val="en-US" w:eastAsia="zh-CN"/>
        </w:rPr>
        <w:t>方案</w:t>
      </w:r>
      <w:r>
        <w:rPr>
          <w:rFonts w:hint="eastAsia" w:ascii="宋体" w:hAnsi="宋体" w:eastAsia="宋体" w:cs="宋体"/>
          <w:color w:val="auto"/>
          <w:sz w:val="24"/>
          <w:szCs w:val="24"/>
        </w:rPr>
        <w:t>。</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、在卫生管理方面，乙方企业制定的卫生及安全管理方案可行，科学、完整，针对性强。</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、乙方企业有良好的现场安全管理能力及管理体系支撑，有现场落地执行的案例可参照。</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、乙方对餐厅的质量保障措施要求完整(包含食材的进货来源、制作流程、出品控制及风险识别等)。</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、乙方企业必须制定应急机制方案，完善且切实可行(包括但不限于:如突发接待任务、设备故障、停水、停电</w:t>
      </w:r>
      <w:r>
        <w:rPr>
          <w:rFonts w:hint="eastAsia" w:ascii="宋体" w:hAnsi="宋体" w:cs="宋体"/>
          <w:color w:val="auto"/>
          <w:sz w:val="24"/>
          <w:szCs w:val="24"/>
          <w:lang w:eastAsia="zh-CN"/>
        </w:rPr>
        <w:t>、食品安全</w:t>
      </w:r>
      <w:r>
        <w:rPr>
          <w:rFonts w:hint="eastAsia" w:ascii="宋体" w:hAnsi="宋体" w:eastAsia="宋体" w:cs="宋体"/>
          <w:color w:val="auto"/>
          <w:sz w:val="24"/>
          <w:szCs w:val="24"/>
        </w:rPr>
        <w:t>等突发情况的应急机制及预案)。</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、质量保障要求:具有有效的质量、食品安全、环境的全套管理体系，有严格的质量保障措施。</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七、人员配备要求</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工作人员必须政治上可靠，无犯罪记录。(有辖区社区提供证明，或由乙方提供担保)。爱岗敬业，遵守职业道德。严格遵守考勤等各项管理制度。工作期间工作人员严禁酗酒吸烟，严格执行食品卫生要求和操作要求，严格执行</w:t>
      </w:r>
      <w:r>
        <w:rPr>
          <w:rFonts w:hint="eastAsia" w:ascii="宋体" w:hAnsi="宋体" w:cs="宋体"/>
          <w:color w:val="auto"/>
          <w:sz w:val="24"/>
          <w:szCs w:val="24"/>
          <w:lang w:eastAsia="zh-CN"/>
        </w:rPr>
        <w:t>国家</w:t>
      </w:r>
      <w:r>
        <w:rPr>
          <w:rFonts w:hint="eastAsia" w:ascii="宋体" w:hAnsi="宋体" w:eastAsia="宋体" w:cs="宋体"/>
          <w:color w:val="auto"/>
          <w:sz w:val="24"/>
          <w:szCs w:val="24"/>
        </w:rPr>
        <w:t>的防疫要求</w:t>
      </w:r>
      <w:r>
        <w:rPr>
          <w:rFonts w:hint="eastAsia" w:ascii="宋体" w:hAnsi="宋体" w:cs="宋体"/>
          <w:color w:val="auto"/>
          <w:sz w:val="24"/>
          <w:szCs w:val="24"/>
          <w:lang w:eastAsia="zh-CN"/>
        </w:rPr>
        <w:t>，所有防疫物品和器具均由乙方自行承担</w:t>
      </w:r>
      <w:r>
        <w:rPr>
          <w:rFonts w:hint="eastAsia" w:ascii="宋体" w:hAnsi="宋体" w:eastAsia="宋体" w:cs="宋体"/>
          <w:color w:val="auto"/>
          <w:sz w:val="24"/>
          <w:szCs w:val="24"/>
        </w:rPr>
        <w:t xml:space="preserve">。 </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2、乙方工作人员必须统一着装，个人仪容、仪表、手卫生等必须符合卫生管理和防疫制度标准。</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3、乙方应合理配置工作人员，按需配备专业技术较强的人员，所有人员必须提供从业健康证。有相关的专业技能、专业水平。</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color w:val="auto"/>
        </w:rPr>
      </w:pPr>
      <w:r>
        <w:rPr>
          <w:rFonts w:hint="eastAsia" w:ascii="宋体" w:hAnsi="宋体" w:eastAsia="宋体" w:cs="宋体"/>
          <w:color w:val="auto"/>
          <w:sz w:val="24"/>
          <w:szCs w:val="24"/>
        </w:rPr>
        <w:t>4、乙方工作人员在工作过程中，若因身体原因或违反操作规程发生意外事故和人身伤害(含第三方人)及工伤的相关的责任损失均由乙方自行承担。</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八、食堂原材料采购及卫生要求</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1、食堂主副食材料及调味用品由乙方组织采购，甲方监督</w:t>
      </w:r>
      <w:r>
        <w:rPr>
          <w:rFonts w:hint="eastAsia" w:ascii="宋体" w:hAnsi="宋体" w:cs="宋体"/>
          <w:color w:val="auto"/>
          <w:sz w:val="24"/>
          <w:szCs w:val="24"/>
          <w:lang w:eastAsia="zh-CN"/>
        </w:rPr>
        <w:t>检查</w:t>
      </w:r>
      <w:r>
        <w:rPr>
          <w:rFonts w:hint="eastAsia" w:ascii="宋体" w:hAnsi="宋体" w:eastAsia="宋体" w:cs="宋体"/>
          <w:color w:val="auto"/>
          <w:sz w:val="24"/>
          <w:szCs w:val="24"/>
        </w:rPr>
        <w:t>质量，对采购的食用油、米、面及辅助料进行严格把关。严禁采购“三无”、过期、腐烂变质产品，保证提供的食物新鲜、卫生，并按照卫生防疫部门要求提供相关的证件、检疫报告及有效的票据，供双方检查监督。</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2、乙方务必建立主副食出入库台帐，对每天购进的所有原材料进行登记验收，供甲乙双方进行监督</w:t>
      </w:r>
      <w:r>
        <w:rPr>
          <w:rFonts w:hint="eastAsia" w:ascii="宋体" w:hAnsi="宋体" w:cs="宋体"/>
          <w:color w:val="auto"/>
          <w:sz w:val="24"/>
          <w:szCs w:val="24"/>
          <w:lang w:eastAsia="zh-CN"/>
        </w:rPr>
        <w:t>检查</w:t>
      </w:r>
      <w:r>
        <w:rPr>
          <w:rFonts w:hint="eastAsia" w:ascii="宋体" w:hAnsi="宋体" w:eastAsia="宋体" w:cs="宋体"/>
          <w:color w:val="auto"/>
          <w:sz w:val="24"/>
          <w:szCs w:val="24"/>
        </w:rPr>
        <w:t>。</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3、乙方确保餐厅和操作间的清洁，就餐后的餐具及时清洁、消毒，达到卫生标准，并做好灭蝇、灭蟑、防暑等卫生工作。食品按照标准留样。</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4、乙方负责制定防止食物中毒应急预案，并严格执行，同时定期进行演练。若出现食物中毒等事件由乙方</w:t>
      </w:r>
      <w:r>
        <w:rPr>
          <w:rFonts w:hint="eastAsia" w:ascii="宋体" w:hAnsi="宋体" w:cs="宋体"/>
          <w:color w:val="auto"/>
          <w:sz w:val="24"/>
          <w:szCs w:val="24"/>
          <w:lang w:val="en-US" w:eastAsia="zh-CN"/>
        </w:rPr>
        <w:t>负</w:t>
      </w:r>
      <w:r>
        <w:rPr>
          <w:rFonts w:hint="eastAsia" w:ascii="宋体" w:hAnsi="宋体" w:eastAsia="宋体" w:cs="宋体"/>
          <w:color w:val="auto"/>
          <w:sz w:val="24"/>
          <w:szCs w:val="24"/>
        </w:rPr>
        <w:t>全部责任，并负责诊疗赔偿事宜。</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5、乙方采购的食材</w:t>
      </w:r>
      <w:r>
        <w:rPr>
          <w:rFonts w:hint="eastAsia" w:ascii="宋体" w:hAnsi="宋体" w:cs="宋体"/>
          <w:color w:val="auto"/>
          <w:sz w:val="24"/>
          <w:szCs w:val="24"/>
          <w:lang w:eastAsia="zh-CN"/>
        </w:rPr>
        <w:t>须有固定的采购渠道，</w:t>
      </w:r>
      <w:r>
        <w:rPr>
          <w:rFonts w:hint="eastAsia" w:ascii="宋体" w:hAnsi="宋体" w:eastAsia="宋体" w:cs="宋体"/>
          <w:color w:val="auto"/>
          <w:sz w:val="24"/>
          <w:szCs w:val="24"/>
        </w:rPr>
        <w:t>采购渠道必须符合食品安全法的规定，食材可追溯源头，同时建立食材台帐，索要发票及检验检疫证明，并保证齐全。</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6、乙方应保持经营场所环境整洁，符合卫生要求。配合甲方清理各类废弃物，保障食堂门前道路、环境，噪声等符合要求。</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乙方必须制定对管理区域内的消毒，照明，通风，防暑，防疫，灭“四害”、消防，污水排放等设施的管理制度，严格执行，特别是就餐区的保洁，防疫消毒等工作，必须按照防疫要求严格执行。严禁把有害有毒物品带入工作区或就餐区域内</w:t>
      </w:r>
      <w:r>
        <w:rPr>
          <w:rFonts w:hint="eastAsia" w:ascii="宋体" w:hAnsi="宋体" w:cs="宋体"/>
          <w:color w:val="auto"/>
          <w:sz w:val="24"/>
          <w:szCs w:val="24"/>
          <w:lang w:eastAsia="zh-CN"/>
        </w:rPr>
        <w:t>。</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乙方必须严把供货食材验收及储存关。食品储存应当分类、分架，隔墙离地存放，定期检查，及时处理变质或超过保质期的食品。用于保存食品的冷藏设备，必须贴有标识，生食品、半成品和熟食应按照食品安全法要求分</w:t>
      </w:r>
      <w:r>
        <w:rPr>
          <w:rFonts w:hint="eastAsia" w:ascii="宋体" w:hAnsi="宋体" w:cs="宋体"/>
          <w:color w:val="auto"/>
          <w:sz w:val="24"/>
          <w:szCs w:val="24"/>
          <w:lang w:eastAsia="zh-CN"/>
        </w:rPr>
        <w:t>盒</w:t>
      </w:r>
      <w:r>
        <w:rPr>
          <w:rFonts w:hint="eastAsia" w:ascii="宋体" w:hAnsi="宋体" w:eastAsia="宋体" w:cs="宋体"/>
          <w:color w:val="auto"/>
          <w:sz w:val="24"/>
          <w:szCs w:val="24"/>
        </w:rPr>
        <w:t>存入</w:t>
      </w:r>
      <w:r>
        <w:rPr>
          <w:rFonts w:hint="eastAsia" w:ascii="宋体" w:hAnsi="宋体" w:cs="宋体"/>
          <w:color w:val="auto"/>
          <w:sz w:val="24"/>
          <w:szCs w:val="24"/>
          <w:lang w:val="en-US" w:eastAsia="zh-CN"/>
        </w:rPr>
        <w:t>冰箱</w:t>
      </w:r>
      <w:r>
        <w:rPr>
          <w:rFonts w:hint="eastAsia" w:ascii="宋体" w:hAnsi="宋体" w:eastAsia="宋体" w:cs="宋体"/>
          <w:color w:val="auto"/>
          <w:sz w:val="24"/>
          <w:szCs w:val="24"/>
        </w:rPr>
        <w:t>。食堂剩余食品必须冷藏，冷藏时间不得超过24小时，在确认没有变质的情况下，必须经高温彻底加热后，方可继续供应。</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9、乙方必须在操作间及就餐区，按照垃圾分类管理的要求，使用符合要求的容器存放各类废弃物，并且保证存放容器定期消毒，每天必须清理干净。</w:t>
      </w:r>
      <w:r>
        <w:rPr>
          <w:rFonts w:hint="eastAsia" w:ascii="宋体" w:hAnsi="宋体" w:cs="宋体"/>
          <w:color w:val="auto"/>
          <w:sz w:val="24"/>
          <w:szCs w:val="24"/>
          <w:lang w:val="en-US" w:eastAsia="zh-CN"/>
        </w:rPr>
        <w:t>每月定期清理排烟、化油除油设施。</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九、甲乙双方的责任及义务</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甲方将新购置一批厨房设备及厨具，与餐厅现有的设备及厨具餐具清单一并移交乙方使用、并具备正常的工作条件。承包期满后，乙方应将上述物品完好交还甲方，如有遗失，损坏，乙方负责赔偿（自然损耗除外）。</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2、甲方如果有临时性的服务工作，需要提前通知乙方。如果有接待，甲方负责提前通知乙方接待标准、人员数量、接待时间等。</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、甲方成立</w:t>
      </w:r>
      <w:r>
        <w:rPr>
          <w:rFonts w:hint="eastAsia" w:ascii="宋体" w:hAnsi="宋体" w:cs="宋体"/>
          <w:color w:val="auto"/>
          <w:sz w:val="24"/>
          <w:szCs w:val="24"/>
          <w:lang w:eastAsia="zh-CN"/>
        </w:rPr>
        <w:t>食堂监督</w:t>
      </w:r>
      <w:r>
        <w:rPr>
          <w:rFonts w:hint="eastAsia" w:ascii="宋体" w:hAnsi="宋体" w:eastAsia="宋体" w:cs="宋体"/>
          <w:color w:val="auto"/>
          <w:sz w:val="24"/>
          <w:szCs w:val="24"/>
        </w:rPr>
        <w:t>管理委员会，定期召开会议，对乙方的主副食质量、环境卫生、服务质量及采购渠道进行监督检查，并提出整改意见。</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、乙方按照要求时间每天准时开餐，若因特殊原因不能准时开餐的，需要提前通知甲方。</w:t>
      </w:r>
    </w:p>
    <w:p>
      <w:pPr>
        <w:keepNext w:val="0"/>
        <w:keepLines w:val="0"/>
        <w:pageBreakBefore w:val="0"/>
        <w:widowControl/>
        <w:numPr>
          <w:ilvl w:val="0"/>
          <w:numId w:val="6"/>
        </w:numPr>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履约及</w:t>
      </w:r>
      <w:r>
        <w:rPr>
          <w:rFonts w:hint="eastAsia" w:ascii="宋体" w:hAnsi="宋体" w:eastAsia="宋体" w:cs="宋体"/>
          <w:color w:val="auto"/>
          <w:sz w:val="24"/>
          <w:szCs w:val="24"/>
        </w:rPr>
        <w:t>违约责任</w:t>
      </w:r>
    </w:p>
    <w:p>
      <w:pPr>
        <w:keepNext w:val="0"/>
        <w:keepLines w:val="0"/>
        <w:pageBreakBefore w:val="0"/>
        <w:widowControl/>
        <w:numPr>
          <w:ilvl w:val="0"/>
          <w:numId w:val="0"/>
        </w:numPr>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1、合同签订后，中标方向甲方缴纳履约保证金100000元。</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cs="宋体"/>
          <w:color w:val="auto"/>
          <w:sz w:val="24"/>
          <w:szCs w:val="24"/>
          <w:lang w:eastAsia="zh-CN"/>
        </w:rPr>
        <w:t>按甲方考核标准执行。</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十一</w:t>
      </w:r>
      <w:r>
        <w:rPr>
          <w:rFonts w:hint="eastAsia" w:ascii="宋体" w:hAnsi="宋体" w:eastAsia="宋体" w:cs="宋体"/>
          <w:color w:val="auto"/>
          <w:sz w:val="24"/>
          <w:szCs w:val="24"/>
        </w:rPr>
        <w:t>、其他</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1、其他未尽事宜，双方应协商解决。确有协商不成的，可依照法定程序向石河子市人民法院申请诉讼。</w:t>
      </w:r>
    </w:p>
    <w:p>
      <w:pPr>
        <w:pStyle w:val="5"/>
        <w:rPr>
          <w:color w:val="auto"/>
        </w:rPr>
      </w:pPr>
    </w:p>
    <w:p>
      <w:pPr>
        <w:rPr>
          <w:color w:val="auto"/>
        </w:rPr>
      </w:pPr>
    </w:p>
    <w:p>
      <w:pPr>
        <w:pStyle w:val="5"/>
        <w:rPr>
          <w:color w:val="auto"/>
        </w:rPr>
      </w:pPr>
    </w:p>
    <w:p/>
    <w:p>
      <w:pPr>
        <w:pStyle w:val="5"/>
      </w:pPr>
    </w:p>
    <w:p/>
    <w:p>
      <w:pPr>
        <w:pStyle w:val="5"/>
      </w:pPr>
    </w:p>
    <w:p/>
    <w:p>
      <w:pPr>
        <w:pStyle w:val="5"/>
      </w:pPr>
    </w:p>
    <w:p/>
    <w:p>
      <w:pPr>
        <w:pStyle w:val="5"/>
      </w:pPr>
    </w:p>
    <w:p/>
    <w:p>
      <w:pPr>
        <w:pStyle w:val="5"/>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5"/>
      </w:pPr>
    </w:p>
    <w:p/>
    <w:p>
      <w:pPr>
        <w:pStyle w:val="5"/>
      </w:pPr>
    </w:p>
    <w:p/>
    <w:p>
      <w:pPr>
        <w:pStyle w:val="6"/>
        <w:tabs>
          <w:tab w:val="left" w:pos="0"/>
        </w:tabs>
        <w:spacing w:line="360" w:lineRule="auto"/>
        <w:ind w:left="0" w:leftChars="0" w:firstLine="0" w:firstLineChars="0"/>
        <w:jc w:val="center"/>
        <w:outlineLvl w:val="0"/>
        <w:rPr>
          <w:rFonts w:ascii="宋体" w:hAnsi="宋体"/>
          <w:b/>
          <w:sz w:val="36"/>
        </w:rPr>
      </w:pPr>
      <w:bookmarkStart w:id="89" w:name="_Toc256000031"/>
      <w:r>
        <w:rPr>
          <w:rFonts w:hint="eastAsia" w:ascii="宋体" w:hAnsi="宋体"/>
          <w:b/>
          <w:sz w:val="36"/>
        </w:rPr>
        <w:t>第四部分   评审方法（综合评分法）</w:t>
      </w:r>
      <w:bookmarkEnd w:id="89"/>
    </w:p>
    <w:p>
      <w:pPr>
        <w:spacing w:line="360" w:lineRule="auto"/>
        <w:ind w:firstLine="480" w:firstLineChars="200"/>
        <w:rPr>
          <w:rFonts w:ascii="宋体" w:hAnsi="宋体"/>
          <w:kern w:val="0"/>
          <w:sz w:val="24"/>
        </w:rPr>
      </w:pPr>
      <w:r>
        <w:rPr>
          <w:rFonts w:hint="eastAsia" w:ascii="宋体" w:hAnsi="宋体"/>
          <w:sz w:val="24"/>
        </w:rPr>
        <w:t>本项目评审方法见招标文件第二部分“投标人须知前附表”中第21项的规定。</w:t>
      </w:r>
      <w:r>
        <w:rPr>
          <w:rFonts w:hint="eastAsia" w:ascii="宋体" w:hAnsi="宋体"/>
          <w:kern w:val="0"/>
          <w:sz w:val="24"/>
        </w:rPr>
        <w:t>如果采用综合评分法，评分细则如下：</w:t>
      </w:r>
    </w:p>
    <w:p>
      <w:pPr>
        <w:rPr>
          <w:highlight w:val="red"/>
        </w:rPr>
      </w:pPr>
      <w:bookmarkStart w:id="90" w:name="EBb28a6449d2394405ae581c05a80bd7bd"/>
    </w:p>
    <w:tbl>
      <w:tblPr>
        <w:tblStyle w:val="16"/>
        <w:tblW w:w="8456"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693"/>
        <w:gridCol w:w="1272"/>
        <w:gridCol w:w="1573"/>
        <w:gridCol w:w="3401"/>
        <w:gridCol w:w="756"/>
        <w:gridCol w:w="76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965" w:type="dxa"/>
            <w:gridSpan w:val="2"/>
            <w:vMerge w:val="restart"/>
            <w:tcBorders>
              <w:top w:val="outset" w:color="auto" w:sz="6" w:space="0"/>
              <w:left w:val="outset" w:color="auto" w:sz="6" w:space="0"/>
              <w:bottom w:val="outset" w:color="auto" w:sz="6" w:space="0"/>
              <w:right w:val="outset" w:color="auto" w:sz="6" w:space="0"/>
            </w:tcBorders>
            <w:vAlign w:val="center"/>
          </w:tcPr>
          <w:p>
            <w:pPr>
              <w:pStyle w:val="44"/>
              <w:jc w:val="center"/>
              <w:rPr>
                <w:rFonts w:ascii="宋体" w:hAnsi="宋体" w:eastAsia="宋体" w:cs="宋体"/>
              </w:rPr>
            </w:pPr>
            <w:r>
              <w:rPr>
                <w:rFonts w:hint="eastAsia" w:ascii="宋体" w:hAnsi="宋体" w:eastAsia="宋体" w:cs="宋体"/>
                <w:b/>
              </w:rPr>
              <w:t>评分因素</w:t>
            </w:r>
          </w:p>
        </w:tc>
        <w:tc>
          <w:tcPr>
            <w:tcW w:w="1573" w:type="dxa"/>
            <w:vMerge w:val="restart"/>
            <w:tcBorders>
              <w:top w:val="outset" w:color="auto" w:sz="6" w:space="0"/>
              <w:left w:val="outset" w:color="auto" w:sz="6" w:space="0"/>
              <w:bottom w:val="outset" w:color="auto" w:sz="6" w:space="0"/>
              <w:right w:val="outset" w:color="auto" w:sz="6" w:space="0"/>
            </w:tcBorders>
            <w:vAlign w:val="center"/>
          </w:tcPr>
          <w:p>
            <w:pPr>
              <w:pStyle w:val="44"/>
              <w:jc w:val="center"/>
              <w:rPr>
                <w:rFonts w:ascii="宋体" w:hAnsi="宋体" w:eastAsia="宋体" w:cs="宋体"/>
              </w:rPr>
            </w:pPr>
            <w:r>
              <w:rPr>
                <w:rFonts w:hint="eastAsia" w:ascii="宋体" w:hAnsi="宋体" w:eastAsia="宋体" w:cs="宋体"/>
                <w:b/>
              </w:rPr>
              <w:t>评分点</w:t>
            </w:r>
          </w:p>
        </w:tc>
        <w:tc>
          <w:tcPr>
            <w:tcW w:w="3401" w:type="dxa"/>
            <w:vMerge w:val="restart"/>
            <w:tcBorders>
              <w:top w:val="outset" w:color="auto" w:sz="6" w:space="0"/>
              <w:left w:val="outset" w:color="auto" w:sz="6" w:space="0"/>
              <w:bottom w:val="outset" w:color="auto" w:sz="6" w:space="0"/>
              <w:right w:val="outset" w:color="auto" w:sz="6" w:space="0"/>
            </w:tcBorders>
            <w:vAlign w:val="center"/>
          </w:tcPr>
          <w:p>
            <w:pPr>
              <w:pStyle w:val="44"/>
              <w:jc w:val="center"/>
              <w:rPr>
                <w:rFonts w:ascii="宋体" w:hAnsi="宋体" w:eastAsia="宋体" w:cs="宋体"/>
              </w:rPr>
            </w:pPr>
            <w:r>
              <w:rPr>
                <w:rFonts w:hint="eastAsia" w:ascii="宋体" w:hAnsi="宋体" w:eastAsia="宋体" w:cs="宋体"/>
                <w:b/>
              </w:rPr>
              <w:t>评分标准</w:t>
            </w:r>
          </w:p>
        </w:tc>
        <w:tc>
          <w:tcPr>
            <w:tcW w:w="1517" w:type="dxa"/>
            <w:gridSpan w:val="2"/>
            <w:tcBorders>
              <w:top w:val="outset" w:color="auto" w:sz="6" w:space="0"/>
              <w:left w:val="outset" w:color="auto" w:sz="6" w:space="0"/>
              <w:bottom w:val="outset" w:color="auto" w:sz="6" w:space="0"/>
              <w:right w:val="outset" w:color="auto" w:sz="6" w:space="0"/>
            </w:tcBorders>
            <w:vAlign w:val="center"/>
          </w:tcPr>
          <w:p>
            <w:pPr>
              <w:pStyle w:val="44"/>
              <w:jc w:val="center"/>
              <w:rPr>
                <w:rFonts w:ascii="宋体" w:hAnsi="宋体" w:eastAsia="宋体" w:cs="宋体"/>
              </w:rPr>
            </w:pPr>
            <w:r>
              <w:rPr>
                <w:rFonts w:hint="eastAsia" w:ascii="宋体" w:hAnsi="宋体" w:eastAsia="宋体" w:cs="宋体"/>
                <w:b/>
              </w:rPr>
              <w:t>评审意见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965" w:type="dxa"/>
            <w:gridSpan w:val="2"/>
            <w:vMerge w:val="continue"/>
            <w:tcBorders>
              <w:top w:val="outset" w:color="auto" w:sz="6" w:space="0"/>
              <w:left w:val="outset" w:color="auto" w:sz="6" w:space="0"/>
              <w:bottom w:val="outset" w:color="auto" w:sz="6" w:space="0"/>
              <w:right w:val="outset" w:color="auto" w:sz="6" w:space="0"/>
            </w:tcBorders>
            <w:vAlign w:val="center"/>
          </w:tcPr>
          <w:p>
            <w:pPr>
              <w:pStyle w:val="44"/>
              <w:jc w:val="center"/>
              <w:rPr>
                <w:rFonts w:ascii="宋体" w:hAnsi="宋体" w:eastAsia="宋体" w:cs="宋体"/>
              </w:rPr>
            </w:pPr>
          </w:p>
        </w:tc>
        <w:tc>
          <w:tcPr>
            <w:tcW w:w="1573" w:type="dxa"/>
            <w:vMerge w:val="continue"/>
            <w:tcBorders>
              <w:top w:val="outset" w:color="auto" w:sz="6" w:space="0"/>
              <w:left w:val="outset" w:color="auto" w:sz="6" w:space="0"/>
              <w:bottom w:val="outset" w:color="auto" w:sz="6" w:space="0"/>
              <w:right w:val="outset" w:color="auto" w:sz="6" w:space="0"/>
            </w:tcBorders>
            <w:vAlign w:val="center"/>
          </w:tcPr>
          <w:p>
            <w:pPr>
              <w:pStyle w:val="44"/>
              <w:jc w:val="center"/>
              <w:rPr>
                <w:rFonts w:ascii="宋体" w:hAnsi="宋体" w:eastAsia="宋体" w:cs="宋体"/>
              </w:rPr>
            </w:pPr>
          </w:p>
        </w:tc>
        <w:tc>
          <w:tcPr>
            <w:tcW w:w="3401" w:type="dxa"/>
            <w:vMerge w:val="continue"/>
            <w:tcBorders>
              <w:top w:val="outset" w:color="auto" w:sz="6" w:space="0"/>
              <w:left w:val="outset" w:color="auto" w:sz="6" w:space="0"/>
              <w:bottom w:val="outset" w:color="auto" w:sz="6" w:space="0"/>
              <w:right w:val="outset" w:color="auto" w:sz="6" w:space="0"/>
            </w:tcBorders>
            <w:vAlign w:val="center"/>
          </w:tcPr>
          <w:p>
            <w:pPr>
              <w:pStyle w:val="44"/>
              <w:jc w:val="center"/>
              <w:rPr>
                <w:rFonts w:ascii="宋体" w:hAnsi="宋体" w:eastAsia="宋体" w:cs="宋体"/>
              </w:rPr>
            </w:pPr>
          </w:p>
        </w:tc>
        <w:tc>
          <w:tcPr>
            <w:tcW w:w="756" w:type="dxa"/>
            <w:tcBorders>
              <w:top w:val="outset" w:color="auto" w:sz="6" w:space="0"/>
              <w:left w:val="outset" w:color="auto" w:sz="6" w:space="0"/>
              <w:bottom w:val="outset" w:color="auto" w:sz="6" w:space="0"/>
              <w:right w:val="outset" w:color="auto" w:sz="6" w:space="0"/>
            </w:tcBorders>
            <w:vAlign w:val="center"/>
          </w:tcPr>
          <w:p>
            <w:pPr>
              <w:pStyle w:val="44"/>
              <w:jc w:val="center"/>
              <w:rPr>
                <w:rFonts w:ascii="宋体" w:hAnsi="宋体" w:eastAsia="宋体" w:cs="宋体"/>
              </w:rPr>
            </w:pPr>
            <w:r>
              <w:rPr>
                <w:rFonts w:hint="eastAsia" w:ascii="宋体" w:hAnsi="宋体" w:eastAsia="宋体" w:cs="宋体"/>
                <w:b/>
              </w:rPr>
              <w:t>是</w:t>
            </w:r>
          </w:p>
        </w:tc>
        <w:tc>
          <w:tcPr>
            <w:tcW w:w="761" w:type="dxa"/>
            <w:tcBorders>
              <w:top w:val="outset" w:color="auto" w:sz="6" w:space="0"/>
              <w:left w:val="outset" w:color="auto" w:sz="6" w:space="0"/>
              <w:bottom w:val="outset" w:color="auto" w:sz="6" w:space="0"/>
              <w:right w:val="outset" w:color="auto" w:sz="6" w:space="0"/>
            </w:tcBorders>
            <w:vAlign w:val="center"/>
          </w:tcPr>
          <w:p>
            <w:pPr>
              <w:pStyle w:val="44"/>
              <w:jc w:val="center"/>
              <w:rPr>
                <w:rFonts w:ascii="宋体" w:hAnsi="宋体" w:eastAsia="宋体" w:cs="宋体"/>
              </w:rPr>
            </w:pPr>
            <w:r>
              <w:rPr>
                <w:rFonts w:hint="eastAsia" w:ascii="宋体" w:hAnsi="宋体" w:eastAsia="宋体" w:cs="宋体"/>
                <w:b/>
              </w:rPr>
              <w:t>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3" w:type="dxa"/>
            <w:vMerge w:val="restart"/>
            <w:tcBorders>
              <w:top w:val="outset" w:color="auto" w:sz="6" w:space="0"/>
              <w:left w:val="outset" w:color="auto" w:sz="6" w:space="0"/>
              <w:bottom w:val="outset" w:color="auto" w:sz="6" w:space="0"/>
              <w:right w:val="outset" w:color="auto" w:sz="6" w:space="0"/>
            </w:tcBorders>
            <w:vAlign w:val="center"/>
          </w:tcPr>
          <w:p>
            <w:pPr>
              <w:pStyle w:val="44"/>
              <w:jc w:val="center"/>
              <w:rPr>
                <w:rFonts w:ascii="宋体" w:hAnsi="宋体" w:eastAsia="宋体" w:cs="宋体"/>
              </w:rPr>
            </w:pPr>
            <w:r>
              <w:rPr>
                <w:rFonts w:hint="eastAsia" w:ascii="宋体" w:hAnsi="宋体" w:eastAsia="宋体" w:cs="宋体"/>
              </w:rPr>
              <w:t>初步评审</w:t>
            </w:r>
          </w:p>
        </w:tc>
        <w:tc>
          <w:tcPr>
            <w:tcW w:w="1272" w:type="dxa"/>
            <w:vMerge w:val="restart"/>
            <w:tcBorders>
              <w:top w:val="outset" w:color="auto" w:sz="6" w:space="0"/>
              <w:left w:val="outset" w:color="auto" w:sz="6" w:space="0"/>
              <w:right w:val="outset" w:color="auto" w:sz="6" w:space="0"/>
            </w:tcBorders>
            <w:vAlign w:val="center"/>
          </w:tcPr>
          <w:p>
            <w:pPr>
              <w:pStyle w:val="44"/>
              <w:jc w:val="center"/>
              <w:rPr>
                <w:rFonts w:ascii="宋体" w:hAnsi="宋体" w:eastAsia="宋体" w:cs="宋体"/>
              </w:rPr>
            </w:pPr>
            <w:r>
              <w:rPr>
                <w:rFonts w:hint="eastAsia" w:ascii="宋体" w:hAnsi="宋体" w:eastAsia="宋体" w:cs="宋体"/>
              </w:rPr>
              <w:t>资格检查</w:t>
            </w:r>
          </w:p>
        </w:tc>
        <w:tc>
          <w:tcPr>
            <w:tcW w:w="1573"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营业执照</w:t>
            </w:r>
          </w:p>
        </w:tc>
        <w:tc>
          <w:tcPr>
            <w:tcW w:w="340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是否具备有效的营业执照</w:t>
            </w:r>
          </w:p>
        </w:tc>
        <w:tc>
          <w:tcPr>
            <w:tcW w:w="756"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76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3" w:type="dxa"/>
            <w:vMerge w:val="continue"/>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1272" w:type="dxa"/>
            <w:vMerge w:val="continue"/>
            <w:tcBorders>
              <w:left w:val="outset" w:color="auto" w:sz="6" w:space="0"/>
              <w:right w:val="outset" w:color="auto" w:sz="6" w:space="0"/>
            </w:tcBorders>
            <w:vAlign w:val="center"/>
          </w:tcPr>
          <w:p>
            <w:pPr>
              <w:pStyle w:val="44"/>
              <w:rPr>
                <w:rFonts w:ascii="宋体" w:hAnsi="宋体" w:eastAsia="宋体" w:cs="宋体"/>
              </w:rPr>
            </w:pPr>
          </w:p>
        </w:tc>
        <w:tc>
          <w:tcPr>
            <w:tcW w:w="1573"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法人和授权代表资格</w:t>
            </w:r>
          </w:p>
        </w:tc>
        <w:tc>
          <w:tcPr>
            <w:tcW w:w="340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具有法定代表人资格证明和法定代表人授权委托书</w:t>
            </w:r>
          </w:p>
        </w:tc>
        <w:tc>
          <w:tcPr>
            <w:tcW w:w="756"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76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3" w:type="dxa"/>
            <w:vMerge w:val="continue"/>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1272" w:type="dxa"/>
            <w:vMerge w:val="continue"/>
            <w:tcBorders>
              <w:left w:val="outset" w:color="auto" w:sz="6" w:space="0"/>
              <w:right w:val="outset" w:color="auto" w:sz="6" w:space="0"/>
            </w:tcBorders>
            <w:vAlign w:val="center"/>
          </w:tcPr>
          <w:p>
            <w:pPr>
              <w:pStyle w:val="44"/>
              <w:rPr>
                <w:rFonts w:ascii="宋体" w:hAnsi="宋体" w:eastAsia="宋体" w:cs="宋体"/>
              </w:rPr>
            </w:pPr>
          </w:p>
        </w:tc>
        <w:tc>
          <w:tcPr>
            <w:tcW w:w="1573"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投标保证金</w:t>
            </w:r>
          </w:p>
        </w:tc>
        <w:tc>
          <w:tcPr>
            <w:tcW w:w="340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符合本招标文件关于投标保证金的规定，按时、足额缴纳投标保证金。</w:t>
            </w:r>
          </w:p>
        </w:tc>
        <w:tc>
          <w:tcPr>
            <w:tcW w:w="756"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76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3" w:type="dxa"/>
            <w:vMerge w:val="continue"/>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1272" w:type="dxa"/>
            <w:vMerge w:val="continue"/>
            <w:tcBorders>
              <w:left w:val="outset" w:color="auto" w:sz="6" w:space="0"/>
              <w:right w:val="outset" w:color="auto" w:sz="6" w:space="0"/>
            </w:tcBorders>
            <w:vAlign w:val="center"/>
          </w:tcPr>
          <w:p>
            <w:pPr>
              <w:pStyle w:val="44"/>
              <w:rPr>
                <w:rFonts w:ascii="宋体" w:hAnsi="宋体" w:eastAsia="宋体" w:cs="宋体"/>
              </w:rPr>
            </w:pPr>
          </w:p>
        </w:tc>
        <w:tc>
          <w:tcPr>
            <w:tcW w:w="1573"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独立承担民事责任的能力</w:t>
            </w:r>
          </w:p>
        </w:tc>
        <w:tc>
          <w:tcPr>
            <w:tcW w:w="340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提供法人或者其他组织的营业执照等证明文件，自然人提供身份证明。</w:t>
            </w:r>
          </w:p>
        </w:tc>
        <w:tc>
          <w:tcPr>
            <w:tcW w:w="756"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76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3" w:type="dxa"/>
            <w:vMerge w:val="continue"/>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1272" w:type="dxa"/>
            <w:vMerge w:val="continue"/>
            <w:tcBorders>
              <w:left w:val="outset" w:color="auto" w:sz="6" w:space="0"/>
              <w:right w:val="outset" w:color="auto" w:sz="6" w:space="0"/>
            </w:tcBorders>
            <w:vAlign w:val="center"/>
          </w:tcPr>
          <w:p>
            <w:pPr>
              <w:pStyle w:val="44"/>
              <w:rPr>
                <w:rFonts w:ascii="宋体" w:hAnsi="宋体" w:eastAsia="宋体" w:cs="宋体"/>
              </w:rPr>
            </w:pPr>
          </w:p>
        </w:tc>
        <w:tc>
          <w:tcPr>
            <w:tcW w:w="1573"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商业信誉和财务会计制度</w:t>
            </w:r>
          </w:p>
        </w:tc>
        <w:tc>
          <w:tcPr>
            <w:tcW w:w="340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1、投标单位在“信用中国”（www.creditchina.gov.cn）和中国政府采购网（www.ccgp.gov.cn ）网站上：1）未被列入失信被执行人；2）未被列入重大税收违法案件当事人名单的投标人；3）未被列入政府采购严重违法失信行为记录名单；2、供应商是法人的应提供经审计的上一年度</w:t>
            </w:r>
            <w:r>
              <w:rPr>
                <w:rFonts w:hint="eastAsia" w:ascii="宋体" w:hAnsi="宋体" w:eastAsia="宋体" w:cs="宋体"/>
                <w:kern w:val="0"/>
                <w:sz w:val="24"/>
                <w:szCs w:val="24"/>
                <w:lang w:eastAsia="zh-CN" w:bidi="ar-SA"/>
              </w:rPr>
              <w:t>（</w:t>
            </w:r>
            <w:r>
              <w:rPr>
                <w:rFonts w:hint="eastAsia" w:ascii="宋体" w:hAnsi="宋体" w:eastAsia="宋体" w:cs="宋体"/>
                <w:kern w:val="0"/>
                <w:sz w:val="24"/>
                <w:szCs w:val="24"/>
                <w:lang w:val="en-US" w:eastAsia="zh-CN" w:bidi="ar-SA"/>
              </w:rPr>
              <w:t>2020年度</w:t>
            </w:r>
            <w:r>
              <w:rPr>
                <w:rFonts w:hint="eastAsia" w:ascii="宋体" w:hAnsi="宋体" w:eastAsia="宋体" w:cs="宋体"/>
                <w:kern w:val="0"/>
                <w:sz w:val="24"/>
                <w:szCs w:val="24"/>
                <w:lang w:eastAsia="zh-CN" w:bidi="ar-SA"/>
              </w:rPr>
              <w:t>）</w:t>
            </w:r>
            <w:r>
              <w:rPr>
                <w:rFonts w:hint="eastAsia" w:ascii="宋体" w:hAnsi="宋体" w:eastAsia="宋体" w:cs="宋体"/>
              </w:rPr>
              <w:t>的财务报告，成立年限不足一年的提供近期的财务报表和其基本开户银行出具的资信证明；部分其他组织或自然人，没有经审计的财务报告，应当提供银行出具的资信证明。</w:t>
            </w:r>
          </w:p>
        </w:tc>
        <w:tc>
          <w:tcPr>
            <w:tcW w:w="756"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76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3" w:type="dxa"/>
            <w:vMerge w:val="continue"/>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1272" w:type="dxa"/>
            <w:vMerge w:val="continue"/>
            <w:tcBorders>
              <w:left w:val="outset" w:color="auto" w:sz="6" w:space="0"/>
              <w:right w:val="outset" w:color="auto" w:sz="6" w:space="0"/>
            </w:tcBorders>
            <w:vAlign w:val="center"/>
          </w:tcPr>
          <w:p>
            <w:pPr>
              <w:pStyle w:val="44"/>
              <w:rPr>
                <w:rFonts w:ascii="宋体" w:hAnsi="宋体" w:eastAsia="宋体" w:cs="宋体"/>
              </w:rPr>
            </w:pPr>
          </w:p>
        </w:tc>
        <w:tc>
          <w:tcPr>
            <w:tcW w:w="1573"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履行合同所必需的设备和专业技术能力</w:t>
            </w:r>
          </w:p>
        </w:tc>
        <w:tc>
          <w:tcPr>
            <w:tcW w:w="340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提供具有履行合同所必需的设备和专业技术能力相关证明材料或声明</w:t>
            </w:r>
          </w:p>
        </w:tc>
        <w:tc>
          <w:tcPr>
            <w:tcW w:w="756"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76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3" w:type="dxa"/>
            <w:vMerge w:val="continue"/>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1272" w:type="dxa"/>
            <w:vMerge w:val="continue"/>
            <w:tcBorders>
              <w:left w:val="outset" w:color="auto" w:sz="6" w:space="0"/>
              <w:right w:val="outset" w:color="auto" w:sz="6" w:space="0"/>
            </w:tcBorders>
            <w:vAlign w:val="center"/>
          </w:tcPr>
          <w:p>
            <w:pPr>
              <w:pStyle w:val="44"/>
              <w:rPr>
                <w:rFonts w:ascii="宋体" w:hAnsi="宋体" w:eastAsia="宋体" w:cs="宋体"/>
              </w:rPr>
            </w:pPr>
          </w:p>
        </w:tc>
        <w:tc>
          <w:tcPr>
            <w:tcW w:w="1573"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税收和社会保障资金缴纳记录</w:t>
            </w:r>
          </w:p>
        </w:tc>
        <w:tc>
          <w:tcPr>
            <w:tcW w:w="340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1、提供近一年任意三个月的缴纳税收证明资料（银行回执单不予认可）。2、提供社保机构出具的近半年内任意一个月社保缴纳证明（必须提供社保机构出具的缴纳证明，银行的缴纳回执单等不予认可</w:t>
            </w:r>
            <w:r>
              <w:rPr>
                <w:rFonts w:hint="eastAsia" w:ascii="宋体" w:hAnsi="宋体" w:eastAsia="宋体" w:cs="宋体"/>
                <w:lang w:eastAsia="zh-CN"/>
              </w:rPr>
              <w:t>，</w:t>
            </w:r>
            <w:r>
              <w:rPr>
                <w:rFonts w:hint="eastAsia" w:ascii="宋体" w:hAnsi="宋体" w:eastAsia="宋体" w:cs="宋体"/>
                <w:kern w:val="0"/>
                <w:sz w:val="24"/>
              </w:rPr>
              <w:t>通过其他有权机构代缴代扣的，还需提供代缴代扣协议</w:t>
            </w:r>
            <w:r>
              <w:rPr>
                <w:rFonts w:hint="eastAsia" w:ascii="宋体" w:hAnsi="宋体" w:eastAsia="宋体" w:cs="宋体"/>
              </w:rPr>
              <w:t>）；其他组织和自然人也需提供上述证明。</w:t>
            </w:r>
          </w:p>
        </w:tc>
        <w:tc>
          <w:tcPr>
            <w:tcW w:w="756"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76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3" w:type="dxa"/>
            <w:vMerge w:val="continue"/>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1272" w:type="dxa"/>
            <w:vMerge w:val="continue"/>
            <w:tcBorders>
              <w:left w:val="outset" w:color="auto" w:sz="6" w:space="0"/>
              <w:right w:val="outset" w:color="auto" w:sz="6" w:space="0"/>
            </w:tcBorders>
            <w:vAlign w:val="center"/>
          </w:tcPr>
          <w:p>
            <w:pPr>
              <w:pStyle w:val="44"/>
              <w:rPr>
                <w:rFonts w:ascii="宋体" w:hAnsi="宋体" w:eastAsia="宋体" w:cs="宋体"/>
              </w:rPr>
            </w:pPr>
          </w:p>
        </w:tc>
        <w:tc>
          <w:tcPr>
            <w:tcW w:w="1573"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重大违法记录</w:t>
            </w:r>
          </w:p>
        </w:tc>
        <w:tc>
          <w:tcPr>
            <w:tcW w:w="340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b w:val="0"/>
                <w:bCs/>
                <w:kern w:val="2"/>
                <w:sz w:val="24"/>
                <w:szCs w:val="24"/>
                <w:lang w:val="en-US" w:eastAsia="zh-CN" w:bidi="ar-SA"/>
              </w:rPr>
              <w:t>提供参加政府采购活动前三年内,在经营活动中没有重大违法记录的声明书；</w:t>
            </w:r>
          </w:p>
        </w:tc>
        <w:tc>
          <w:tcPr>
            <w:tcW w:w="756"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76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3" w:type="dxa"/>
            <w:vMerge w:val="continue"/>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1272" w:type="dxa"/>
            <w:vMerge w:val="continue"/>
            <w:tcBorders>
              <w:left w:val="outset" w:color="auto" w:sz="6" w:space="0"/>
              <w:right w:val="outset" w:color="auto" w:sz="6" w:space="0"/>
            </w:tcBorders>
            <w:vAlign w:val="center"/>
          </w:tcPr>
          <w:p>
            <w:pPr>
              <w:pStyle w:val="44"/>
              <w:rPr>
                <w:rFonts w:ascii="宋体" w:hAnsi="宋体" w:eastAsia="宋体" w:cs="宋体"/>
              </w:rPr>
            </w:pPr>
          </w:p>
        </w:tc>
        <w:tc>
          <w:tcPr>
            <w:tcW w:w="1573" w:type="dxa"/>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sz w:val="24"/>
                <w:szCs w:val="24"/>
              </w:rPr>
            </w:pPr>
            <w:r>
              <w:rPr>
                <w:rFonts w:hint="eastAsia" w:ascii="宋体" w:hAnsi="宋体" w:cs="宋体"/>
                <w:sz w:val="24"/>
                <w:szCs w:val="24"/>
              </w:rPr>
              <w:t>特定资质</w:t>
            </w:r>
          </w:p>
        </w:tc>
        <w:tc>
          <w:tcPr>
            <w:tcW w:w="3401" w:type="dxa"/>
            <w:tcBorders>
              <w:top w:val="outset" w:color="auto" w:sz="6" w:space="0"/>
              <w:left w:val="outset" w:color="auto" w:sz="6" w:space="0"/>
              <w:bottom w:val="outset" w:color="auto" w:sz="6" w:space="0"/>
              <w:right w:val="outset" w:color="auto" w:sz="6" w:space="0"/>
            </w:tcBorders>
            <w:vAlign w:val="center"/>
          </w:tcPr>
          <w:p>
            <w:pPr>
              <w:pStyle w:val="44"/>
              <w:rPr>
                <w:rFonts w:hint="eastAsia" w:ascii="宋体" w:hAnsi="宋体" w:eastAsia="宋体" w:cs="宋体"/>
                <w:lang w:eastAsia="zh-CN"/>
              </w:rPr>
            </w:pPr>
            <w:r>
              <w:rPr>
                <w:rFonts w:hint="eastAsia"/>
                <w:lang w:eastAsia="zh-CN"/>
              </w:rPr>
              <w:t>1</w:t>
            </w:r>
            <w:r>
              <w:rPr>
                <w:rFonts w:hint="eastAsia" w:ascii="宋体" w:hAnsi="宋体" w:eastAsia="宋体" w:cs="宋体"/>
                <w:lang w:eastAsia="zh-CN"/>
              </w:rPr>
              <w:t>、单位负责人为同一人或者存在直接控股、管理关系的不同供应商，不得参加同一合同项下的政府采购活动。</w:t>
            </w:r>
          </w:p>
          <w:p>
            <w:pPr>
              <w:pStyle w:val="44"/>
              <w:rPr>
                <w:rFonts w:hint="eastAsia" w:ascii="宋体" w:hAnsi="宋体" w:eastAsia="宋体" w:cs="宋体"/>
                <w:lang w:eastAsia="zh-CN"/>
              </w:rPr>
            </w:pPr>
            <w:r>
              <w:rPr>
                <w:rFonts w:hint="eastAsia" w:ascii="宋体" w:hAnsi="宋体" w:eastAsia="宋体" w:cs="宋体"/>
                <w:lang w:eastAsia="zh-CN"/>
              </w:rPr>
              <w:t>2、除单一来源采购项目外，为采购项目提供整体设计、规范编制或者项目管理、监理、检测等服务的供应商，不得再参加该采购项目的其他采购活动；</w:t>
            </w:r>
          </w:p>
          <w:p>
            <w:pPr>
              <w:pStyle w:val="44"/>
              <w:rPr>
                <w:rFonts w:hint="default"/>
                <w:lang w:val="en-US" w:eastAsia="zh-CN"/>
              </w:rPr>
            </w:pPr>
            <w:r>
              <w:rPr>
                <w:rFonts w:hint="eastAsia" w:ascii="宋体" w:hAnsi="宋体" w:eastAsia="宋体" w:cs="宋体"/>
                <w:lang w:val="en-US" w:eastAsia="zh-CN"/>
              </w:rPr>
              <w:t>3、投标人具有有效的《餐饮服务许可证》或《食品经营许可证》</w:t>
            </w:r>
          </w:p>
        </w:tc>
        <w:tc>
          <w:tcPr>
            <w:tcW w:w="756"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76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3" w:type="dxa"/>
            <w:vMerge w:val="continue"/>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1272" w:type="dxa"/>
            <w:vMerge w:val="continue"/>
            <w:tcBorders>
              <w:left w:val="outset" w:color="auto" w:sz="6" w:space="0"/>
              <w:right w:val="outset" w:color="auto" w:sz="6" w:space="0"/>
            </w:tcBorders>
            <w:vAlign w:val="center"/>
          </w:tcPr>
          <w:p>
            <w:pPr>
              <w:pStyle w:val="44"/>
              <w:rPr>
                <w:rFonts w:ascii="宋体" w:hAnsi="宋体" w:eastAsia="宋体" w:cs="宋体"/>
              </w:rPr>
            </w:pPr>
          </w:p>
        </w:tc>
        <w:tc>
          <w:tcPr>
            <w:tcW w:w="1573" w:type="dxa"/>
            <w:tcBorders>
              <w:top w:val="outset" w:color="auto" w:sz="6" w:space="0"/>
              <w:left w:val="outset" w:color="auto" w:sz="6" w:space="0"/>
              <w:bottom w:val="outset" w:color="auto" w:sz="6" w:space="0"/>
              <w:right w:val="outset" w:color="auto" w:sz="6" w:space="0"/>
            </w:tcBorders>
            <w:vAlign w:val="center"/>
          </w:tcPr>
          <w:p>
            <w:pPr>
              <w:jc w:val="left"/>
              <w:rPr>
                <w:rFonts w:hint="eastAsia" w:ascii="宋体" w:hAnsi="宋体" w:cs="宋体"/>
                <w:sz w:val="24"/>
                <w:szCs w:val="24"/>
              </w:rPr>
            </w:pPr>
            <w:r>
              <w:rPr>
                <w:rFonts w:hint="eastAsia" w:ascii="宋体" w:hAnsi="宋体" w:cs="宋体"/>
                <w:sz w:val="24"/>
                <w:szCs w:val="24"/>
              </w:rPr>
              <w:t>采购政策</w:t>
            </w:r>
          </w:p>
        </w:tc>
        <w:tc>
          <w:tcPr>
            <w:tcW w:w="3401" w:type="dxa"/>
            <w:tcBorders>
              <w:top w:val="outset" w:color="auto" w:sz="6" w:space="0"/>
              <w:left w:val="outset" w:color="auto" w:sz="6" w:space="0"/>
              <w:bottom w:val="outset" w:color="auto" w:sz="6" w:space="0"/>
              <w:right w:val="outset" w:color="auto" w:sz="6" w:space="0"/>
            </w:tcBorders>
            <w:vAlign w:val="center"/>
          </w:tcPr>
          <w:p>
            <w:pPr>
              <w:pStyle w:val="44"/>
              <w:rPr>
                <w:rFonts w:hint="eastAsia" w:ascii="宋体" w:hAnsi="宋体" w:eastAsia="宋体" w:cs="宋体"/>
                <w:lang w:val="en-US" w:eastAsia="zh-CN"/>
              </w:rPr>
            </w:pPr>
            <w:r>
              <w:rPr>
                <w:rFonts w:hint="eastAsia" w:ascii="宋体" w:hAnsi="宋体" w:eastAsia="宋体" w:cs="宋体"/>
                <w:lang w:val="en-US" w:eastAsia="zh-CN"/>
              </w:rPr>
              <w:t>本项目为中小企业预留资金项目，参加投标的投标供应商需符合财政部、工业和信息化部《关于印发&lt;政府采购促进中小企业发展管理办法&gt;的通知》（财库【2020】46号）对中小企业的要求，并提供《中小企业声明函》。（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若供应商为监狱企业、残疾人福利企业，提供相应证明材料后享受中小企业同等政策）。</w:t>
            </w:r>
          </w:p>
        </w:tc>
        <w:tc>
          <w:tcPr>
            <w:tcW w:w="756"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76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3" w:type="dxa"/>
            <w:vMerge w:val="continue"/>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1272" w:type="dxa"/>
            <w:vMerge w:val="restart"/>
            <w:tcBorders>
              <w:top w:val="outset" w:color="auto" w:sz="6" w:space="0"/>
              <w:left w:val="outset" w:color="auto" w:sz="6" w:space="0"/>
              <w:bottom w:val="outset" w:color="auto" w:sz="6" w:space="0"/>
              <w:right w:val="outset" w:color="auto" w:sz="6" w:space="0"/>
            </w:tcBorders>
            <w:vAlign w:val="center"/>
          </w:tcPr>
          <w:p>
            <w:pPr>
              <w:pStyle w:val="44"/>
              <w:jc w:val="center"/>
              <w:rPr>
                <w:rFonts w:ascii="宋体" w:hAnsi="宋体" w:eastAsia="宋体" w:cs="宋体"/>
              </w:rPr>
            </w:pPr>
            <w:r>
              <w:rPr>
                <w:rFonts w:hint="eastAsia" w:ascii="宋体" w:hAnsi="宋体" w:eastAsia="宋体" w:cs="宋体"/>
              </w:rPr>
              <w:t>符合性检查</w:t>
            </w:r>
          </w:p>
        </w:tc>
        <w:tc>
          <w:tcPr>
            <w:tcW w:w="1573"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投标人名称</w:t>
            </w:r>
          </w:p>
        </w:tc>
        <w:tc>
          <w:tcPr>
            <w:tcW w:w="340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是否与营业执照、税务登记证、资质证书一致</w:t>
            </w:r>
          </w:p>
        </w:tc>
        <w:tc>
          <w:tcPr>
            <w:tcW w:w="756"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76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3" w:type="dxa"/>
            <w:vMerge w:val="continue"/>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1272" w:type="dxa"/>
            <w:vMerge w:val="continue"/>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1573"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投标文件签署</w:t>
            </w:r>
          </w:p>
        </w:tc>
        <w:tc>
          <w:tcPr>
            <w:tcW w:w="340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符合招标文件要求在规定区域加盖单位电子公章</w:t>
            </w:r>
          </w:p>
        </w:tc>
        <w:tc>
          <w:tcPr>
            <w:tcW w:w="756"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76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3" w:type="dxa"/>
            <w:vMerge w:val="continue"/>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1272" w:type="dxa"/>
            <w:vMerge w:val="continue"/>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1573"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投标有效期</w:t>
            </w:r>
          </w:p>
        </w:tc>
        <w:tc>
          <w:tcPr>
            <w:tcW w:w="340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符合投标人须知前附表的规定</w:t>
            </w:r>
          </w:p>
        </w:tc>
        <w:tc>
          <w:tcPr>
            <w:tcW w:w="756"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76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3" w:type="dxa"/>
            <w:vMerge w:val="continue"/>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1272" w:type="dxa"/>
            <w:vMerge w:val="continue"/>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1573"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投标报价</w:t>
            </w:r>
          </w:p>
        </w:tc>
        <w:tc>
          <w:tcPr>
            <w:tcW w:w="340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只有一个有效报价且未超过政府采购预算金额；不接受选择性报价，对于出现的政采云平台开标唱标环节经投标供应商确认的投标报价与投标文件中开标一览表的报价不一致的现象，视作选择性报价。</w:t>
            </w:r>
          </w:p>
        </w:tc>
        <w:tc>
          <w:tcPr>
            <w:tcW w:w="756"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76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3" w:type="dxa"/>
            <w:vMerge w:val="continue"/>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1272" w:type="dxa"/>
            <w:vMerge w:val="continue"/>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1573"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商务文件内容</w:t>
            </w:r>
          </w:p>
        </w:tc>
        <w:tc>
          <w:tcPr>
            <w:tcW w:w="340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商务文件按照招标文件规定的内容填写</w:t>
            </w:r>
          </w:p>
        </w:tc>
        <w:tc>
          <w:tcPr>
            <w:tcW w:w="756"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76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3" w:type="dxa"/>
            <w:vMerge w:val="continue"/>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1272" w:type="dxa"/>
            <w:vMerge w:val="continue"/>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1573"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技术文件内容</w:t>
            </w:r>
          </w:p>
        </w:tc>
        <w:tc>
          <w:tcPr>
            <w:tcW w:w="340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技术文件按照招标文件规定的内容填写</w:t>
            </w:r>
          </w:p>
        </w:tc>
        <w:tc>
          <w:tcPr>
            <w:tcW w:w="756"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76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3" w:type="dxa"/>
            <w:vMerge w:val="continue"/>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1272" w:type="dxa"/>
            <w:vMerge w:val="continue"/>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1573"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其他</w:t>
            </w:r>
          </w:p>
        </w:tc>
        <w:tc>
          <w:tcPr>
            <w:tcW w:w="340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投标文件未附有采购人不能接受的附加条件及法律、法规和招标文件规定的其他无效情形</w:t>
            </w:r>
          </w:p>
        </w:tc>
        <w:tc>
          <w:tcPr>
            <w:tcW w:w="756"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76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965" w:type="dxa"/>
            <w:gridSpan w:val="2"/>
            <w:tcBorders>
              <w:top w:val="outset" w:color="auto" w:sz="6" w:space="0"/>
              <w:left w:val="outset" w:color="auto" w:sz="6" w:space="0"/>
              <w:bottom w:val="outset" w:color="auto" w:sz="6" w:space="0"/>
              <w:right w:val="outset" w:color="auto" w:sz="6" w:space="0"/>
            </w:tcBorders>
            <w:vAlign w:val="center"/>
          </w:tcPr>
          <w:p>
            <w:pPr>
              <w:pStyle w:val="44"/>
              <w:jc w:val="center"/>
              <w:rPr>
                <w:rFonts w:ascii="宋体" w:hAnsi="宋体" w:eastAsia="宋体" w:cs="宋体"/>
              </w:rPr>
            </w:pPr>
            <w:r>
              <w:rPr>
                <w:rFonts w:hint="eastAsia" w:ascii="宋体" w:hAnsi="宋体" w:eastAsia="宋体" w:cs="宋体"/>
                <w:b/>
              </w:rPr>
              <w:t>评分因素</w:t>
            </w:r>
          </w:p>
        </w:tc>
        <w:tc>
          <w:tcPr>
            <w:tcW w:w="1573" w:type="dxa"/>
            <w:tcBorders>
              <w:top w:val="outset" w:color="auto" w:sz="6" w:space="0"/>
              <w:left w:val="outset" w:color="auto" w:sz="6" w:space="0"/>
              <w:bottom w:val="outset" w:color="auto" w:sz="6" w:space="0"/>
              <w:right w:val="outset" w:color="auto" w:sz="6" w:space="0"/>
            </w:tcBorders>
            <w:vAlign w:val="center"/>
          </w:tcPr>
          <w:p>
            <w:pPr>
              <w:pStyle w:val="44"/>
              <w:jc w:val="center"/>
              <w:rPr>
                <w:rFonts w:ascii="宋体" w:hAnsi="宋体" w:eastAsia="宋体" w:cs="宋体"/>
              </w:rPr>
            </w:pPr>
            <w:r>
              <w:rPr>
                <w:rFonts w:hint="eastAsia" w:ascii="宋体" w:hAnsi="宋体" w:eastAsia="宋体" w:cs="宋体"/>
                <w:b/>
              </w:rPr>
              <w:t>评分点</w:t>
            </w:r>
          </w:p>
        </w:tc>
        <w:tc>
          <w:tcPr>
            <w:tcW w:w="3401" w:type="dxa"/>
            <w:tcBorders>
              <w:top w:val="outset" w:color="auto" w:sz="6" w:space="0"/>
              <w:left w:val="outset" w:color="auto" w:sz="6" w:space="0"/>
              <w:bottom w:val="outset" w:color="auto" w:sz="6" w:space="0"/>
              <w:right w:val="outset" w:color="auto" w:sz="6" w:space="0"/>
            </w:tcBorders>
            <w:vAlign w:val="center"/>
          </w:tcPr>
          <w:p>
            <w:pPr>
              <w:pStyle w:val="44"/>
              <w:jc w:val="center"/>
              <w:rPr>
                <w:rFonts w:ascii="宋体" w:hAnsi="宋体" w:eastAsia="宋体" w:cs="宋体"/>
              </w:rPr>
            </w:pPr>
            <w:r>
              <w:rPr>
                <w:rFonts w:hint="eastAsia" w:ascii="宋体" w:hAnsi="宋体" w:eastAsia="宋体" w:cs="宋体"/>
                <w:b/>
              </w:rPr>
              <w:t>评分标准</w:t>
            </w:r>
          </w:p>
        </w:tc>
        <w:tc>
          <w:tcPr>
            <w:tcW w:w="1517" w:type="dxa"/>
            <w:gridSpan w:val="2"/>
            <w:tcBorders>
              <w:top w:val="outset" w:color="auto" w:sz="6" w:space="0"/>
              <w:left w:val="outset" w:color="auto" w:sz="6" w:space="0"/>
              <w:bottom w:val="outset" w:color="auto" w:sz="6" w:space="0"/>
              <w:right w:val="outset" w:color="auto" w:sz="6" w:space="0"/>
            </w:tcBorders>
            <w:vAlign w:val="center"/>
          </w:tcPr>
          <w:p>
            <w:pPr>
              <w:pStyle w:val="44"/>
              <w:jc w:val="center"/>
              <w:rPr>
                <w:rFonts w:ascii="宋体" w:hAnsi="宋体" w:eastAsia="宋体" w:cs="宋体"/>
              </w:rPr>
            </w:pPr>
            <w:r>
              <w:rPr>
                <w:rFonts w:hint="eastAsia" w:ascii="宋体" w:hAnsi="宋体" w:eastAsia="宋体" w:cs="宋体"/>
                <w:b/>
              </w:rPr>
              <w:t xml:space="preserve">分值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3" w:type="dxa"/>
            <w:vMerge w:val="restart"/>
            <w:tcBorders>
              <w:top w:val="outset" w:color="auto" w:sz="6" w:space="0"/>
              <w:left w:val="outset" w:color="auto" w:sz="6" w:space="0"/>
              <w:right w:val="outset" w:color="auto" w:sz="6" w:space="0"/>
            </w:tcBorders>
            <w:vAlign w:val="center"/>
          </w:tcPr>
          <w:p>
            <w:pPr>
              <w:pStyle w:val="44"/>
              <w:jc w:val="center"/>
              <w:rPr>
                <w:rFonts w:ascii="宋体" w:hAnsi="宋体" w:eastAsia="宋体" w:cs="宋体"/>
              </w:rPr>
            </w:pPr>
            <w:r>
              <w:rPr>
                <w:rFonts w:hint="eastAsia" w:ascii="宋体" w:hAnsi="宋体" w:eastAsia="宋体" w:cs="宋体"/>
              </w:rPr>
              <w:t>详细评审</w:t>
            </w:r>
          </w:p>
        </w:tc>
        <w:tc>
          <w:tcPr>
            <w:tcW w:w="1272" w:type="dxa"/>
            <w:tcBorders>
              <w:top w:val="outset" w:color="auto" w:sz="6" w:space="0"/>
              <w:left w:val="outset" w:color="auto" w:sz="6" w:space="0"/>
              <w:bottom w:val="outset" w:color="auto" w:sz="6" w:space="0"/>
              <w:right w:val="outset" w:color="auto" w:sz="6" w:space="0"/>
            </w:tcBorders>
            <w:vAlign w:val="center"/>
          </w:tcPr>
          <w:p>
            <w:pPr>
              <w:pStyle w:val="44"/>
              <w:jc w:val="center"/>
              <w:rPr>
                <w:rFonts w:ascii="宋体" w:hAnsi="宋体" w:eastAsia="宋体" w:cs="宋体"/>
              </w:rPr>
            </w:pPr>
            <w:r>
              <w:rPr>
                <w:rFonts w:hint="eastAsia" w:ascii="宋体" w:hAnsi="宋体" w:eastAsia="宋体" w:cs="宋体"/>
              </w:rPr>
              <w:t>价格评审</w:t>
            </w:r>
          </w:p>
        </w:tc>
        <w:tc>
          <w:tcPr>
            <w:tcW w:w="1573" w:type="dxa"/>
            <w:tcBorders>
              <w:top w:val="outset" w:color="auto" w:sz="6" w:space="0"/>
              <w:left w:val="outset" w:color="auto" w:sz="6" w:space="0"/>
              <w:bottom w:val="outset" w:color="auto" w:sz="6" w:space="0"/>
              <w:right w:val="outset" w:color="auto" w:sz="6" w:space="0"/>
            </w:tcBorders>
            <w:vAlign w:val="center"/>
          </w:tcPr>
          <w:p>
            <w:pPr>
              <w:pStyle w:val="44"/>
              <w:rPr>
                <w:rFonts w:hint="eastAsia" w:ascii="宋体" w:hAnsi="宋体" w:eastAsia="宋体" w:cs="宋体"/>
                <w:color w:val="auto"/>
                <w:lang w:eastAsia="zh-CN"/>
              </w:rPr>
            </w:pPr>
            <w:r>
              <w:rPr>
                <w:rFonts w:hint="eastAsia" w:ascii="宋体" w:hAnsi="宋体" w:eastAsia="宋体" w:cs="宋体"/>
                <w:color w:val="auto"/>
              </w:rPr>
              <w:t>投标报价</w:t>
            </w:r>
            <w:r>
              <w:rPr>
                <w:rFonts w:hint="eastAsia" w:ascii="宋体" w:hAnsi="宋体" w:eastAsia="宋体" w:cs="宋体"/>
                <w:color w:val="auto"/>
                <w:lang w:eastAsia="zh-CN"/>
              </w:rPr>
              <w:t>（</w:t>
            </w:r>
            <w:r>
              <w:rPr>
                <w:rFonts w:hint="eastAsia" w:ascii="宋体" w:hAnsi="宋体" w:eastAsia="宋体" w:cs="宋体"/>
                <w:color w:val="auto"/>
                <w:lang w:val="en-US" w:eastAsia="zh-CN"/>
              </w:rPr>
              <w:t>10分</w:t>
            </w:r>
            <w:r>
              <w:rPr>
                <w:rFonts w:hint="eastAsia" w:ascii="宋体" w:hAnsi="宋体" w:eastAsia="宋体" w:cs="宋体"/>
                <w:color w:val="auto"/>
                <w:lang w:eastAsia="zh-CN"/>
              </w:rPr>
              <w:t>）</w:t>
            </w:r>
          </w:p>
        </w:tc>
        <w:tc>
          <w:tcPr>
            <w:tcW w:w="340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color w:val="auto"/>
              </w:rPr>
            </w:pPr>
            <w:r>
              <w:rPr>
                <w:rFonts w:hint="eastAsia" w:ascii="宋体" w:hAnsi="宋体" w:eastAsia="宋体" w:cs="宋体"/>
                <w:color w:val="auto"/>
              </w:rPr>
              <w:t>评标基准价=有效投标报价的最低值，有效投标报价等于基准值的得满分，投标 报价得分=（评标基准价/投标报价）×</w:t>
            </w:r>
            <w:r>
              <w:rPr>
                <w:rFonts w:hint="eastAsia" w:ascii="宋体" w:hAnsi="宋体" w:eastAsia="宋体" w:cs="宋体"/>
                <w:color w:val="auto"/>
                <w:lang w:val="en-US" w:eastAsia="zh-CN"/>
              </w:rPr>
              <w:t>10</w:t>
            </w:r>
            <w:r>
              <w:rPr>
                <w:rFonts w:hint="eastAsia" w:ascii="宋体" w:hAnsi="宋体" w:eastAsia="宋体" w:cs="宋体"/>
                <w:color w:val="auto"/>
              </w:rPr>
              <w:t>。有效投标报价为通过初步审查的供应商报价</w:t>
            </w:r>
          </w:p>
        </w:tc>
        <w:tc>
          <w:tcPr>
            <w:tcW w:w="1517" w:type="dxa"/>
            <w:gridSpan w:val="2"/>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color w:val="auto"/>
              </w:rPr>
            </w:pPr>
            <w:r>
              <w:rPr>
                <w:rFonts w:hint="eastAsia" w:ascii="宋体" w:hAnsi="宋体" w:eastAsia="宋体" w:cs="宋体"/>
                <w:color w:val="auto"/>
              </w:rPr>
              <w:t>10分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3" w:type="dxa"/>
            <w:vMerge w:val="continue"/>
            <w:tcBorders>
              <w:left w:val="outset" w:color="auto" w:sz="6" w:space="0"/>
              <w:right w:val="outset" w:color="auto" w:sz="6" w:space="0"/>
            </w:tcBorders>
            <w:vAlign w:val="center"/>
          </w:tcPr>
          <w:p>
            <w:pPr>
              <w:pStyle w:val="44"/>
              <w:rPr>
                <w:rFonts w:ascii="宋体" w:hAnsi="宋体" w:eastAsia="宋体" w:cs="宋体"/>
              </w:rPr>
            </w:pPr>
          </w:p>
        </w:tc>
        <w:tc>
          <w:tcPr>
            <w:tcW w:w="1272" w:type="dxa"/>
            <w:vMerge w:val="restart"/>
            <w:tcBorders>
              <w:top w:val="outset" w:color="auto" w:sz="6" w:space="0"/>
              <w:left w:val="outset" w:color="auto" w:sz="6" w:space="0"/>
              <w:bottom w:val="outset" w:color="auto" w:sz="6" w:space="0"/>
              <w:right w:val="outset" w:color="auto" w:sz="6" w:space="0"/>
            </w:tcBorders>
            <w:vAlign w:val="center"/>
          </w:tcPr>
          <w:p>
            <w:pPr>
              <w:pStyle w:val="44"/>
              <w:jc w:val="center"/>
              <w:rPr>
                <w:rFonts w:ascii="宋体" w:hAnsi="宋体" w:eastAsia="宋体" w:cs="宋体"/>
              </w:rPr>
            </w:pPr>
            <w:r>
              <w:rPr>
                <w:rFonts w:hint="eastAsia" w:ascii="宋体" w:hAnsi="宋体" w:eastAsia="宋体" w:cs="宋体"/>
              </w:rPr>
              <w:t>商务标评审</w:t>
            </w:r>
          </w:p>
        </w:tc>
        <w:tc>
          <w:tcPr>
            <w:tcW w:w="1573"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企业综合实力（</w:t>
            </w:r>
            <w:r>
              <w:rPr>
                <w:rFonts w:hint="eastAsia" w:ascii="宋体" w:hAnsi="宋体" w:eastAsia="宋体" w:cs="宋体"/>
                <w:lang w:val="en-US" w:eastAsia="zh-CN"/>
              </w:rPr>
              <w:t>12</w:t>
            </w:r>
            <w:r>
              <w:rPr>
                <w:rFonts w:hint="eastAsia" w:ascii="宋体" w:hAnsi="宋体" w:eastAsia="宋体" w:cs="宋体"/>
              </w:rPr>
              <w:t>分）</w:t>
            </w:r>
          </w:p>
        </w:tc>
        <w:tc>
          <w:tcPr>
            <w:tcW w:w="3401" w:type="dxa"/>
            <w:tcBorders>
              <w:top w:val="outset" w:color="auto" w:sz="6" w:space="0"/>
              <w:left w:val="outset" w:color="auto" w:sz="6" w:space="0"/>
              <w:bottom w:val="outset" w:color="auto" w:sz="6" w:space="0"/>
              <w:right w:val="outset" w:color="auto" w:sz="6" w:space="0"/>
            </w:tcBorders>
            <w:vAlign w:val="center"/>
          </w:tcPr>
          <w:p>
            <w:pPr>
              <w:pStyle w:val="44"/>
              <w:numPr>
                <w:ilvl w:val="0"/>
                <w:numId w:val="7"/>
              </w:numPr>
              <w:rPr>
                <w:rFonts w:hint="eastAsia" w:ascii="宋体" w:hAnsi="宋体" w:eastAsia="宋体" w:cs="宋体"/>
                <w:lang w:val="en-US" w:eastAsia="zh-CN"/>
              </w:rPr>
            </w:pPr>
            <w:r>
              <w:rPr>
                <w:rFonts w:hint="eastAsia" w:ascii="宋体" w:hAnsi="宋体" w:eastAsia="宋体" w:cs="宋体"/>
                <w:lang w:val="en-US" w:eastAsia="zh-CN"/>
              </w:rPr>
              <w:t>投标供应商需提供质量管理体系证书、环境管理体系证书、职业健康安全管理体系证书、食品安全管理体系证书，每提供一个得0.5分，最高得2分。</w:t>
            </w:r>
          </w:p>
          <w:p>
            <w:pPr>
              <w:pStyle w:val="44"/>
              <w:numPr>
                <w:ilvl w:val="0"/>
                <w:numId w:val="7"/>
              </w:numPr>
              <w:rPr>
                <w:rFonts w:ascii="宋体" w:hAnsi="宋体" w:eastAsia="宋体" w:cs="宋体"/>
              </w:rPr>
            </w:pPr>
            <w:r>
              <w:rPr>
                <w:rFonts w:hint="eastAsia" w:ascii="宋体" w:hAnsi="宋体" w:eastAsia="宋体" w:cs="宋体"/>
              </w:rPr>
              <w:t>投标供应商提供</w:t>
            </w:r>
            <w:r>
              <w:rPr>
                <w:rFonts w:hint="eastAsia" w:ascii="宋体" w:hAnsi="宋体" w:eastAsia="宋体" w:cs="宋体"/>
                <w:lang w:val="en-US" w:eastAsia="zh-CN"/>
              </w:rPr>
              <w:t>2019年1月1日以来的类似</w:t>
            </w:r>
            <w:r>
              <w:rPr>
                <w:rFonts w:hint="eastAsia" w:ascii="宋体" w:hAnsi="宋体" w:eastAsia="宋体" w:cs="宋体"/>
              </w:rPr>
              <w:t>业绩（</w:t>
            </w:r>
            <w:r>
              <w:rPr>
                <w:rFonts w:hint="eastAsia" w:ascii="宋体" w:hAnsi="宋体" w:eastAsia="宋体" w:cs="宋体"/>
                <w:color w:val="auto"/>
                <w:sz w:val="24"/>
                <w:szCs w:val="24"/>
              </w:rPr>
              <w:t>需提供中标</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成交</w:t>
            </w:r>
            <w:r>
              <w:rPr>
                <w:rFonts w:hint="eastAsia" w:ascii="宋体" w:hAnsi="宋体" w:cs="宋体"/>
                <w:color w:val="auto"/>
                <w:sz w:val="24"/>
                <w:szCs w:val="24"/>
                <w:lang w:eastAsia="zh-CN"/>
              </w:rPr>
              <w:t>）</w:t>
            </w:r>
            <w:r>
              <w:rPr>
                <w:rFonts w:hint="eastAsia" w:ascii="宋体" w:hAnsi="宋体" w:eastAsia="宋体" w:cs="宋体"/>
                <w:color w:val="auto"/>
                <w:sz w:val="24"/>
                <w:szCs w:val="24"/>
              </w:rPr>
              <w:t>通知书及签订的合同（扫描件</w:t>
            </w:r>
            <w:r>
              <w:rPr>
                <w:rFonts w:hint="eastAsia" w:ascii="宋体" w:hAnsi="宋体" w:eastAsia="宋体" w:cs="宋体"/>
              </w:rPr>
              <w:t>），</w:t>
            </w:r>
            <w:r>
              <w:rPr>
                <w:rFonts w:hint="eastAsia" w:ascii="宋体" w:hAnsi="宋体" w:eastAsia="宋体" w:cs="宋体"/>
                <w:lang w:val="en-US" w:eastAsia="zh-CN"/>
              </w:rPr>
              <w:t>同时提供</w:t>
            </w:r>
            <w:r>
              <w:rPr>
                <w:rFonts w:hint="eastAsia" w:ascii="宋体" w:hAnsi="宋体" w:eastAsia="宋体" w:cs="宋体"/>
                <w:color w:val="auto"/>
                <w:sz w:val="24"/>
                <w:szCs w:val="24"/>
              </w:rPr>
              <w:t>中标</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成交</w:t>
            </w:r>
            <w:r>
              <w:rPr>
                <w:rFonts w:hint="eastAsia" w:ascii="宋体" w:hAnsi="宋体" w:cs="宋体"/>
                <w:color w:val="auto"/>
                <w:sz w:val="24"/>
                <w:szCs w:val="24"/>
                <w:lang w:eastAsia="zh-CN"/>
              </w:rPr>
              <w:t>）</w:t>
            </w:r>
            <w:r>
              <w:rPr>
                <w:rFonts w:hint="eastAsia" w:ascii="宋体" w:hAnsi="宋体" w:eastAsia="宋体" w:cs="宋体"/>
                <w:color w:val="auto"/>
                <w:sz w:val="24"/>
                <w:szCs w:val="24"/>
              </w:rPr>
              <w:t>通知书及签订的合同</w:t>
            </w:r>
            <w:r>
              <w:rPr>
                <w:rFonts w:hint="eastAsia" w:ascii="宋体" w:hAnsi="宋体" w:eastAsia="宋体" w:cs="宋体"/>
              </w:rPr>
              <w:t>算一项有效业绩</w:t>
            </w:r>
            <w:r>
              <w:rPr>
                <w:rFonts w:hint="eastAsia" w:ascii="宋体" w:hAnsi="宋体" w:eastAsia="宋体" w:cs="宋体"/>
                <w:lang w:eastAsia="zh-CN"/>
              </w:rPr>
              <w:t>。</w:t>
            </w:r>
            <w:r>
              <w:rPr>
                <w:rFonts w:hint="eastAsia" w:ascii="宋体" w:hAnsi="宋体" w:eastAsia="宋体" w:cs="宋体"/>
              </w:rPr>
              <w:t>扫描件不清晰的；未按要求提供或提供资料不齐全的视为无效）；每提供一个有效业绩得2分，满分得10分。</w:t>
            </w:r>
            <w:r>
              <w:rPr>
                <w:rFonts w:hint="eastAsia" w:ascii="宋体" w:hAnsi="宋体" w:eastAsia="宋体" w:cs="宋体"/>
                <w:lang w:eastAsia="zh-CN"/>
              </w:rPr>
              <w:t>（类似业绩指规模类似的已完成的过往业绩）</w:t>
            </w:r>
          </w:p>
        </w:tc>
        <w:tc>
          <w:tcPr>
            <w:tcW w:w="1517" w:type="dxa"/>
            <w:gridSpan w:val="2"/>
            <w:vMerge w:val="restart"/>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15分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3" w:type="dxa"/>
            <w:vMerge w:val="continue"/>
            <w:tcBorders>
              <w:left w:val="outset" w:color="auto" w:sz="6" w:space="0"/>
              <w:right w:val="outset" w:color="auto" w:sz="6" w:space="0"/>
            </w:tcBorders>
            <w:vAlign w:val="center"/>
          </w:tcPr>
          <w:p>
            <w:pPr>
              <w:pStyle w:val="44"/>
              <w:rPr>
                <w:rFonts w:ascii="宋体" w:hAnsi="宋体" w:eastAsia="宋体" w:cs="宋体"/>
              </w:rPr>
            </w:pPr>
          </w:p>
        </w:tc>
        <w:tc>
          <w:tcPr>
            <w:tcW w:w="1272" w:type="dxa"/>
            <w:vMerge w:val="continue"/>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1573"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服务机构（</w:t>
            </w:r>
            <w:r>
              <w:rPr>
                <w:rFonts w:hint="eastAsia" w:ascii="宋体" w:hAnsi="宋体" w:eastAsia="宋体" w:cs="宋体"/>
                <w:lang w:val="en-US" w:eastAsia="zh-CN"/>
              </w:rPr>
              <w:t>3</w:t>
            </w:r>
            <w:r>
              <w:rPr>
                <w:rFonts w:hint="eastAsia" w:ascii="宋体" w:hAnsi="宋体" w:eastAsia="宋体" w:cs="宋体"/>
              </w:rPr>
              <w:t>分）</w:t>
            </w:r>
          </w:p>
        </w:tc>
        <w:tc>
          <w:tcPr>
            <w:tcW w:w="340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投标供应商有长期稳定的工作场所得</w:t>
            </w:r>
            <w:r>
              <w:rPr>
                <w:rFonts w:hint="eastAsia" w:ascii="宋体" w:hAnsi="宋体" w:eastAsia="宋体" w:cs="宋体"/>
                <w:lang w:val="en-US" w:eastAsia="zh-CN"/>
              </w:rPr>
              <w:t>3</w:t>
            </w:r>
            <w:r>
              <w:rPr>
                <w:rFonts w:hint="eastAsia" w:ascii="宋体" w:hAnsi="宋体" w:eastAsia="宋体" w:cs="宋体"/>
              </w:rPr>
              <w:t>分，提供相关证明材料（提供场地租赁合同复印件或自由房产证明复印件）。</w:t>
            </w:r>
          </w:p>
        </w:tc>
        <w:tc>
          <w:tcPr>
            <w:tcW w:w="1517" w:type="dxa"/>
            <w:gridSpan w:val="2"/>
            <w:vMerge w:val="continue"/>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3" w:type="dxa"/>
            <w:vMerge w:val="continue"/>
            <w:tcBorders>
              <w:left w:val="outset" w:color="auto" w:sz="6" w:space="0"/>
              <w:right w:val="outset" w:color="auto" w:sz="6" w:space="0"/>
            </w:tcBorders>
            <w:vAlign w:val="center"/>
          </w:tcPr>
          <w:p>
            <w:pPr>
              <w:pStyle w:val="44"/>
              <w:rPr>
                <w:rFonts w:ascii="宋体" w:hAnsi="宋体" w:eastAsia="宋体" w:cs="宋体"/>
              </w:rPr>
            </w:pPr>
          </w:p>
        </w:tc>
        <w:tc>
          <w:tcPr>
            <w:tcW w:w="1272" w:type="dxa"/>
            <w:vMerge w:val="restart"/>
            <w:tcBorders>
              <w:top w:val="outset" w:color="auto" w:sz="6" w:space="0"/>
              <w:left w:val="outset" w:color="auto" w:sz="6" w:space="0"/>
              <w:right w:val="outset" w:color="auto" w:sz="6" w:space="0"/>
            </w:tcBorders>
            <w:vAlign w:val="center"/>
          </w:tcPr>
          <w:p>
            <w:pPr>
              <w:pStyle w:val="44"/>
              <w:jc w:val="center"/>
              <w:rPr>
                <w:rFonts w:ascii="宋体" w:hAnsi="宋体" w:eastAsia="宋体" w:cs="宋体"/>
              </w:rPr>
            </w:pPr>
            <w:r>
              <w:rPr>
                <w:rFonts w:hint="eastAsia" w:ascii="宋体" w:hAnsi="宋体" w:eastAsia="宋体" w:cs="宋体"/>
              </w:rPr>
              <w:t>技术标评审</w:t>
            </w:r>
          </w:p>
        </w:tc>
        <w:tc>
          <w:tcPr>
            <w:tcW w:w="1573"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lang w:val="en-US" w:eastAsia="zh-CN"/>
              </w:rPr>
              <w:t>供餐要求</w:t>
            </w:r>
            <w:r>
              <w:rPr>
                <w:rFonts w:hint="eastAsia" w:ascii="宋体" w:hAnsi="宋体" w:eastAsia="宋体" w:cs="宋体"/>
              </w:rPr>
              <w:t>（</w:t>
            </w:r>
            <w:r>
              <w:rPr>
                <w:rFonts w:hint="eastAsia" w:ascii="宋体" w:hAnsi="宋体" w:eastAsia="宋体" w:cs="宋体"/>
                <w:lang w:val="en-US" w:eastAsia="zh-CN"/>
              </w:rPr>
              <w:t>10</w:t>
            </w:r>
            <w:r>
              <w:rPr>
                <w:rFonts w:hint="eastAsia" w:ascii="宋体" w:hAnsi="宋体" w:eastAsia="宋体" w:cs="宋体"/>
              </w:rPr>
              <w:t>分）</w:t>
            </w:r>
          </w:p>
        </w:tc>
        <w:tc>
          <w:tcPr>
            <w:tcW w:w="3401" w:type="dxa"/>
            <w:tcBorders>
              <w:top w:val="outset" w:color="auto" w:sz="6" w:space="0"/>
              <w:left w:val="outset" w:color="auto" w:sz="6" w:space="0"/>
              <w:bottom w:val="outset" w:color="auto" w:sz="6" w:space="0"/>
              <w:right w:val="outset" w:color="auto" w:sz="6" w:space="0"/>
            </w:tcBorders>
            <w:vAlign w:val="center"/>
          </w:tcPr>
          <w:p>
            <w:pPr>
              <w:pStyle w:val="44"/>
              <w:rPr>
                <w:rFonts w:hint="default" w:ascii="宋体" w:hAnsi="宋体" w:eastAsia="宋体" w:cs="宋体"/>
                <w:lang w:val="en-US" w:eastAsia="zh-CN"/>
              </w:rPr>
            </w:pPr>
            <w:r>
              <w:rPr>
                <w:rFonts w:hint="default" w:ascii="宋体" w:hAnsi="宋体" w:eastAsia="宋体" w:cs="宋体"/>
                <w:lang w:val="en-US" w:eastAsia="zh-CN"/>
              </w:rPr>
              <w:t>全部满足采购需求中</w:t>
            </w:r>
            <w:r>
              <w:rPr>
                <w:rFonts w:hint="eastAsia" w:ascii="宋体" w:hAnsi="宋体" w:eastAsia="宋体" w:cs="宋体"/>
                <w:lang w:val="en-US" w:eastAsia="zh-CN"/>
              </w:rPr>
              <w:t>第四条供餐标准（共6项内容）中的</w:t>
            </w:r>
            <w:r>
              <w:rPr>
                <w:rFonts w:hint="default" w:ascii="宋体" w:hAnsi="宋体" w:eastAsia="宋体" w:cs="宋体"/>
                <w:lang w:val="en-US" w:eastAsia="zh-CN"/>
              </w:rPr>
              <w:t>服务要求得满分</w:t>
            </w:r>
            <w:r>
              <w:rPr>
                <w:rFonts w:hint="eastAsia" w:ascii="宋体" w:hAnsi="宋体" w:eastAsia="宋体" w:cs="宋体"/>
                <w:lang w:val="en-US" w:eastAsia="zh-CN"/>
              </w:rPr>
              <w:t>10</w:t>
            </w:r>
            <w:r>
              <w:rPr>
                <w:rFonts w:hint="default" w:ascii="宋体" w:hAnsi="宋体" w:eastAsia="宋体" w:cs="宋体"/>
                <w:lang w:val="en-US" w:eastAsia="zh-CN"/>
              </w:rPr>
              <w:t>分，每有一项低于要求或每缺少一项的扣</w:t>
            </w:r>
            <w:r>
              <w:rPr>
                <w:rFonts w:hint="eastAsia" w:ascii="宋体" w:hAnsi="宋体" w:eastAsia="宋体" w:cs="宋体"/>
                <w:lang w:val="en-US" w:eastAsia="zh-CN"/>
              </w:rPr>
              <w:t>2</w:t>
            </w:r>
            <w:r>
              <w:rPr>
                <w:rFonts w:hint="default" w:ascii="宋体" w:hAnsi="宋体" w:eastAsia="宋体" w:cs="宋体"/>
                <w:lang w:val="en-US" w:eastAsia="zh-CN"/>
              </w:rPr>
              <w:t>分，扣至0分为止。（ 注： 投标供应商须对本招标文件采购要求进行点对点应答，必须在引用本招标文件的基础上,进行逐条逐项答复、说明和解释。）</w:t>
            </w:r>
          </w:p>
        </w:tc>
        <w:tc>
          <w:tcPr>
            <w:tcW w:w="1517" w:type="dxa"/>
            <w:gridSpan w:val="2"/>
            <w:vMerge w:val="restart"/>
            <w:tcBorders>
              <w:top w:val="outset" w:color="auto" w:sz="6" w:space="0"/>
              <w:left w:val="outset" w:color="auto" w:sz="6" w:space="0"/>
              <w:right w:val="outset" w:color="auto" w:sz="6" w:space="0"/>
            </w:tcBorders>
            <w:vAlign w:val="center"/>
          </w:tcPr>
          <w:p>
            <w:pPr>
              <w:pStyle w:val="44"/>
              <w:jc w:val="both"/>
              <w:rPr>
                <w:rFonts w:ascii="宋体" w:hAnsi="宋体" w:eastAsia="宋体" w:cs="宋体"/>
              </w:rPr>
            </w:pPr>
            <w:r>
              <w:rPr>
                <w:rFonts w:hint="eastAsia" w:ascii="宋体" w:hAnsi="宋体" w:eastAsia="宋体" w:cs="宋体"/>
              </w:rPr>
              <w:t>75分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3" w:type="dxa"/>
            <w:vMerge w:val="continue"/>
            <w:tcBorders>
              <w:left w:val="outset" w:color="auto" w:sz="6" w:space="0"/>
              <w:right w:val="outset" w:color="auto" w:sz="6" w:space="0"/>
            </w:tcBorders>
            <w:vAlign w:val="center"/>
          </w:tcPr>
          <w:p>
            <w:pPr>
              <w:pStyle w:val="44"/>
              <w:rPr>
                <w:rFonts w:ascii="宋体" w:hAnsi="宋体" w:eastAsia="宋体" w:cs="宋体"/>
              </w:rPr>
            </w:pPr>
          </w:p>
        </w:tc>
        <w:tc>
          <w:tcPr>
            <w:tcW w:w="1272" w:type="dxa"/>
            <w:vMerge w:val="continue"/>
            <w:tcBorders>
              <w:left w:val="outset" w:color="auto" w:sz="6" w:space="0"/>
              <w:right w:val="outset" w:color="auto" w:sz="6" w:space="0"/>
            </w:tcBorders>
            <w:vAlign w:val="center"/>
          </w:tcPr>
          <w:p>
            <w:pPr>
              <w:pStyle w:val="44"/>
              <w:jc w:val="center"/>
              <w:rPr>
                <w:rFonts w:ascii="宋体" w:hAnsi="宋体" w:eastAsia="宋体" w:cs="宋体"/>
              </w:rPr>
            </w:pPr>
          </w:p>
        </w:tc>
        <w:tc>
          <w:tcPr>
            <w:tcW w:w="1573" w:type="dxa"/>
            <w:tcBorders>
              <w:top w:val="outset" w:color="auto" w:sz="6" w:space="0"/>
              <w:left w:val="outset" w:color="auto" w:sz="6" w:space="0"/>
              <w:bottom w:val="outset" w:color="auto" w:sz="6" w:space="0"/>
              <w:right w:val="outset" w:color="auto" w:sz="6" w:space="0"/>
            </w:tcBorders>
            <w:vAlign w:val="center"/>
          </w:tcPr>
          <w:p>
            <w:pPr>
              <w:pStyle w:val="44"/>
              <w:numPr>
                <w:ilvl w:val="0"/>
                <w:numId w:val="0"/>
              </w:numPr>
              <w:rPr>
                <w:rFonts w:hint="eastAsia"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服务方案（40分）</w:t>
            </w:r>
          </w:p>
        </w:tc>
        <w:tc>
          <w:tcPr>
            <w:tcW w:w="3401" w:type="dxa"/>
            <w:tcBorders>
              <w:top w:val="outset" w:color="auto" w:sz="6" w:space="0"/>
              <w:left w:val="outset" w:color="auto" w:sz="6" w:space="0"/>
              <w:bottom w:val="outset" w:color="auto" w:sz="6" w:space="0"/>
              <w:right w:val="outset" w:color="auto" w:sz="6" w:space="0"/>
            </w:tcBorders>
            <w:vAlign w:val="center"/>
          </w:tcPr>
          <w:p>
            <w:pPr>
              <w:pStyle w:val="44"/>
              <w:numPr>
                <w:ilvl w:val="0"/>
                <w:numId w:val="8"/>
              </w:numPr>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运营管理方案有针对性及计划性，管理规范，得10分；</w:t>
            </w:r>
          </w:p>
          <w:p>
            <w:pPr>
              <w:pStyle w:val="44"/>
              <w:numPr>
                <w:ilvl w:val="0"/>
                <w:numId w:val="8"/>
              </w:numPr>
              <w:rPr>
                <w:rFonts w:hint="eastAsia"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有详细的岗位人员管理方案及业务培训方案，得10分；</w:t>
            </w:r>
          </w:p>
          <w:p>
            <w:pPr>
              <w:pStyle w:val="44"/>
              <w:numPr>
                <w:ilvl w:val="0"/>
                <w:numId w:val="8"/>
              </w:numPr>
              <w:rPr>
                <w:rFonts w:hint="eastAsia"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对餐厅有具体完善的质量保障措施（包含食材的进货来源、制作流程、出品控制及风险识别等），得10分；</w:t>
            </w:r>
          </w:p>
          <w:p>
            <w:pPr>
              <w:pStyle w:val="44"/>
              <w:numPr>
                <w:ilvl w:val="0"/>
                <w:numId w:val="8"/>
              </w:numPr>
              <w:rPr>
                <w:rFonts w:hint="default"/>
                <w:lang w:val="en-US" w:eastAsia="zh-CN"/>
              </w:rPr>
            </w:pPr>
            <w:r>
              <w:rPr>
                <w:rFonts w:hint="eastAsia" w:ascii="Times New Roman" w:hAnsi="Times New Roman" w:eastAsia="Times New Roman" w:cs="Times New Roman"/>
                <w:lang w:val="en-US" w:eastAsia="zh-CN"/>
              </w:rPr>
              <w:t>有针对各种突发事件的应急预案，得10分。</w:t>
            </w:r>
          </w:p>
        </w:tc>
        <w:tc>
          <w:tcPr>
            <w:tcW w:w="1517" w:type="dxa"/>
            <w:gridSpan w:val="2"/>
            <w:vMerge w:val="continue"/>
            <w:tcBorders>
              <w:left w:val="outset" w:color="auto" w:sz="6" w:space="0"/>
              <w:right w:val="outset" w:color="auto" w:sz="6" w:space="0"/>
            </w:tcBorders>
            <w:vAlign w:val="center"/>
          </w:tcPr>
          <w:p>
            <w:pPr>
              <w:pStyle w:val="44"/>
              <w:rPr>
                <w:rFonts w:ascii="宋体" w:hAnsi="宋体" w:eastAsia="宋体" w:cs="宋体"/>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3" w:type="dxa"/>
            <w:vMerge w:val="continue"/>
            <w:tcBorders>
              <w:left w:val="outset" w:color="auto" w:sz="6" w:space="0"/>
              <w:right w:val="outset" w:color="auto" w:sz="6" w:space="0"/>
            </w:tcBorders>
            <w:vAlign w:val="center"/>
          </w:tcPr>
          <w:p>
            <w:pPr>
              <w:pStyle w:val="44"/>
              <w:rPr>
                <w:rFonts w:ascii="宋体" w:hAnsi="宋体" w:eastAsia="宋体" w:cs="宋体"/>
              </w:rPr>
            </w:pPr>
          </w:p>
        </w:tc>
        <w:tc>
          <w:tcPr>
            <w:tcW w:w="1272" w:type="dxa"/>
            <w:vMerge w:val="continue"/>
            <w:tcBorders>
              <w:left w:val="outset" w:color="auto" w:sz="6" w:space="0"/>
              <w:right w:val="outset" w:color="auto" w:sz="6" w:space="0"/>
            </w:tcBorders>
            <w:vAlign w:val="center"/>
          </w:tcPr>
          <w:p>
            <w:pPr>
              <w:pStyle w:val="44"/>
              <w:rPr>
                <w:rFonts w:ascii="宋体" w:hAnsi="宋体" w:eastAsia="宋体" w:cs="宋体"/>
              </w:rPr>
            </w:pPr>
          </w:p>
        </w:tc>
        <w:tc>
          <w:tcPr>
            <w:tcW w:w="1573"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lang w:val="en-US" w:eastAsia="zh-CN"/>
              </w:rPr>
              <w:t>人员配备</w:t>
            </w:r>
            <w:r>
              <w:rPr>
                <w:rFonts w:hint="eastAsia" w:ascii="宋体" w:hAnsi="宋体" w:eastAsia="宋体" w:cs="宋体"/>
              </w:rPr>
              <w:t>（</w:t>
            </w:r>
            <w:r>
              <w:rPr>
                <w:rFonts w:hint="eastAsia" w:ascii="宋体" w:hAnsi="宋体" w:eastAsia="宋体" w:cs="宋体"/>
                <w:lang w:val="en-US" w:eastAsia="zh-CN"/>
              </w:rPr>
              <w:t>8</w:t>
            </w:r>
            <w:r>
              <w:rPr>
                <w:rFonts w:hint="eastAsia" w:ascii="宋体" w:hAnsi="宋体" w:eastAsia="宋体" w:cs="宋体"/>
              </w:rPr>
              <w:t>分）</w:t>
            </w:r>
          </w:p>
        </w:tc>
        <w:tc>
          <w:tcPr>
            <w:tcW w:w="3401" w:type="dxa"/>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default" w:ascii="宋体" w:hAnsi="宋体" w:eastAsia="宋体" w:cs="宋体"/>
                <w:lang w:val="en-US" w:eastAsia="zh-CN"/>
              </w:rPr>
              <w:t>全部满足采购需求中</w:t>
            </w:r>
            <w:r>
              <w:rPr>
                <w:rFonts w:hint="eastAsia" w:ascii="宋体" w:hAnsi="宋体" w:eastAsia="宋体" w:cs="宋体"/>
                <w:lang w:val="en-US" w:eastAsia="zh-CN"/>
              </w:rPr>
              <w:t>第七条人员配备要求（共4项内容）的</w:t>
            </w:r>
            <w:r>
              <w:rPr>
                <w:rFonts w:hint="default" w:ascii="宋体" w:hAnsi="宋体" w:eastAsia="宋体" w:cs="宋体"/>
                <w:lang w:val="en-US" w:eastAsia="zh-CN"/>
              </w:rPr>
              <w:t>得满分</w:t>
            </w:r>
            <w:r>
              <w:rPr>
                <w:rFonts w:hint="eastAsia" w:ascii="宋体" w:hAnsi="宋体" w:eastAsia="宋体" w:cs="宋体"/>
                <w:lang w:val="en-US" w:eastAsia="zh-CN"/>
              </w:rPr>
              <w:t>8</w:t>
            </w:r>
            <w:r>
              <w:rPr>
                <w:rFonts w:hint="default" w:ascii="宋体" w:hAnsi="宋体" w:eastAsia="宋体" w:cs="宋体"/>
                <w:lang w:val="en-US" w:eastAsia="zh-CN"/>
              </w:rPr>
              <w:t>分，每有一项低于要求或每缺少一项的扣</w:t>
            </w:r>
            <w:r>
              <w:rPr>
                <w:rFonts w:hint="eastAsia" w:ascii="宋体" w:hAnsi="宋体" w:eastAsia="宋体" w:cs="宋体"/>
                <w:lang w:val="en-US" w:eastAsia="zh-CN"/>
              </w:rPr>
              <w:t>2</w:t>
            </w:r>
            <w:r>
              <w:rPr>
                <w:rFonts w:hint="default" w:ascii="宋体" w:hAnsi="宋体" w:eastAsia="宋体" w:cs="宋体"/>
                <w:lang w:val="en-US" w:eastAsia="zh-CN"/>
              </w:rPr>
              <w:t>分，扣至0分为止。（ 注： 投标供应商须对本招标文件采购要求进行点对点应答，必须在引用本招标文件的基础上,进行逐条逐项答复、说明和解释。）</w:t>
            </w:r>
          </w:p>
        </w:tc>
        <w:tc>
          <w:tcPr>
            <w:tcW w:w="1517" w:type="dxa"/>
            <w:gridSpan w:val="2"/>
            <w:vMerge w:val="continue"/>
            <w:tcBorders>
              <w:left w:val="outset" w:color="auto" w:sz="6" w:space="0"/>
              <w:right w:val="outset" w:color="auto" w:sz="6" w:space="0"/>
            </w:tcBorders>
            <w:vAlign w:val="center"/>
          </w:tcPr>
          <w:p>
            <w:pPr>
              <w:pStyle w:val="44"/>
              <w:rPr>
                <w:rFonts w:ascii="宋体" w:hAnsi="宋体" w:eastAsia="宋体" w:cs="宋体"/>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3" w:type="dxa"/>
            <w:vMerge w:val="continue"/>
            <w:tcBorders>
              <w:left w:val="outset" w:color="auto" w:sz="6" w:space="0"/>
              <w:right w:val="outset" w:color="auto" w:sz="6" w:space="0"/>
            </w:tcBorders>
            <w:vAlign w:val="center"/>
          </w:tcPr>
          <w:p>
            <w:pPr>
              <w:pStyle w:val="44"/>
              <w:rPr>
                <w:rFonts w:ascii="宋体" w:hAnsi="宋体" w:eastAsia="宋体" w:cs="宋体"/>
              </w:rPr>
            </w:pPr>
          </w:p>
        </w:tc>
        <w:tc>
          <w:tcPr>
            <w:tcW w:w="1272" w:type="dxa"/>
            <w:vMerge w:val="continue"/>
            <w:tcBorders>
              <w:left w:val="outset" w:color="auto" w:sz="6" w:space="0"/>
              <w:right w:val="outset" w:color="auto" w:sz="6" w:space="0"/>
            </w:tcBorders>
            <w:vAlign w:val="center"/>
          </w:tcPr>
          <w:p>
            <w:pPr>
              <w:pStyle w:val="44"/>
              <w:rPr>
                <w:rFonts w:ascii="宋体" w:hAnsi="宋体" w:eastAsia="宋体" w:cs="宋体"/>
              </w:rPr>
            </w:pPr>
          </w:p>
        </w:tc>
        <w:tc>
          <w:tcPr>
            <w:tcW w:w="1573" w:type="dxa"/>
            <w:tcBorders>
              <w:top w:val="outset" w:color="auto" w:sz="6" w:space="0"/>
              <w:left w:val="outset" w:color="auto" w:sz="6" w:space="0"/>
              <w:bottom w:val="outset" w:color="auto" w:sz="6" w:space="0"/>
              <w:right w:val="outset" w:color="auto" w:sz="6" w:space="0"/>
            </w:tcBorders>
            <w:vAlign w:val="center"/>
          </w:tcPr>
          <w:p>
            <w:pPr>
              <w:pStyle w:val="44"/>
              <w:rPr>
                <w:rFonts w:hint="default" w:ascii="宋体" w:hAnsi="宋体" w:eastAsia="宋体" w:cs="宋体"/>
                <w:lang w:val="en-US" w:eastAsia="zh-CN"/>
              </w:rPr>
            </w:pPr>
            <w:r>
              <w:rPr>
                <w:rFonts w:hint="eastAsia" w:ascii="宋体" w:hAnsi="宋体" w:eastAsia="宋体" w:cs="宋体"/>
                <w:lang w:val="en-US" w:eastAsia="zh-CN"/>
              </w:rPr>
              <w:t>食堂原材料采购及卫生要求（12分）</w:t>
            </w:r>
          </w:p>
        </w:tc>
        <w:tc>
          <w:tcPr>
            <w:tcW w:w="3401" w:type="dxa"/>
            <w:tcBorders>
              <w:top w:val="outset" w:color="auto" w:sz="6" w:space="0"/>
              <w:left w:val="outset" w:color="auto" w:sz="6" w:space="0"/>
              <w:bottom w:val="outset" w:color="auto" w:sz="6" w:space="0"/>
              <w:right w:val="outset" w:color="auto" w:sz="6" w:space="0"/>
            </w:tcBorders>
            <w:vAlign w:val="center"/>
          </w:tcPr>
          <w:p>
            <w:pPr>
              <w:pStyle w:val="44"/>
              <w:numPr>
                <w:ilvl w:val="0"/>
                <w:numId w:val="0"/>
              </w:numPr>
            </w:pPr>
            <w:r>
              <w:rPr>
                <w:rFonts w:hint="default" w:ascii="宋体" w:hAnsi="宋体" w:eastAsia="宋体" w:cs="宋体"/>
                <w:lang w:val="en-US" w:eastAsia="zh-CN"/>
              </w:rPr>
              <w:t>全部满足采购需求中</w:t>
            </w:r>
            <w:r>
              <w:rPr>
                <w:rFonts w:hint="eastAsia" w:ascii="宋体" w:hAnsi="宋体" w:eastAsia="宋体" w:cs="宋体"/>
                <w:lang w:val="en-US" w:eastAsia="zh-CN"/>
              </w:rPr>
              <w:t>第八条食堂原材料采购及卫生要求（共9项内容）的</w:t>
            </w:r>
            <w:r>
              <w:rPr>
                <w:rFonts w:hint="default" w:ascii="宋体" w:hAnsi="宋体" w:eastAsia="宋体" w:cs="宋体"/>
                <w:lang w:val="en-US" w:eastAsia="zh-CN"/>
              </w:rPr>
              <w:t>得满分</w:t>
            </w:r>
            <w:r>
              <w:rPr>
                <w:rFonts w:hint="eastAsia" w:ascii="宋体" w:hAnsi="宋体" w:eastAsia="宋体" w:cs="宋体"/>
                <w:lang w:val="en-US" w:eastAsia="zh-CN"/>
              </w:rPr>
              <w:t>12</w:t>
            </w:r>
            <w:r>
              <w:rPr>
                <w:rFonts w:hint="default" w:ascii="宋体" w:hAnsi="宋体" w:eastAsia="宋体" w:cs="宋体"/>
                <w:lang w:val="en-US" w:eastAsia="zh-CN"/>
              </w:rPr>
              <w:t>分，每有一项低于要求或每缺少一项的扣</w:t>
            </w:r>
            <w:r>
              <w:rPr>
                <w:rFonts w:hint="eastAsia" w:ascii="宋体" w:hAnsi="宋体" w:eastAsia="宋体" w:cs="宋体"/>
                <w:lang w:val="en-US" w:eastAsia="zh-CN"/>
              </w:rPr>
              <w:t>2</w:t>
            </w:r>
            <w:r>
              <w:rPr>
                <w:rFonts w:hint="default" w:ascii="宋体" w:hAnsi="宋体" w:eastAsia="宋体" w:cs="宋体"/>
                <w:lang w:val="en-US" w:eastAsia="zh-CN"/>
              </w:rPr>
              <w:t>分，扣至0分为止。（ 注： 投标供应商须对本招标文件采购要求进行点对点应答，必须在引用本招标文件的基础上,进行逐条逐项答复、说明和解释。）</w:t>
            </w:r>
          </w:p>
        </w:tc>
        <w:tc>
          <w:tcPr>
            <w:tcW w:w="1517" w:type="dxa"/>
            <w:gridSpan w:val="2"/>
            <w:vMerge w:val="continue"/>
            <w:tcBorders>
              <w:left w:val="outset" w:color="auto" w:sz="6" w:space="0"/>
              <w:right w:val="outset" w:color="auto" w:sz="6" w:space="0"/>
            </w:tcBorders>
            <w:vAlign w:val="center"/>
          </w:tcPr>
          <w:p>
            <w:pPr>
              <w:pStyle w:val="44"/>
              <w:rPr>
                <w:rFonts w:ascii="宋体" w:hAnsi="宋体" w:eastAsia="宋体" w:cs="宋体"/>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3" w:type="dxa"/>
            <w:vMerge w:val="continue"/>
            <w:tcBorders>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1272" w:type="dxa"/>
            <w:vMerge w:val="continue"/>
            <w:tcBorders>
              <w:left w:val="outset" w:color="auto" w:sz="6" w:space="0"/>
              <w:bottom w:val="outset" w:color="auto" w:sz="6" w:space="0"/>
              <w:right w:val="outset" w:color="auto" w:sz="6" w:space="0"/>
            </w:tcBorders>
            <w:vAlign w:val="center"/>
          </w:tcPr>
          <w:p>
            <w:pPr>
              <w:pStyle w:val="44"/>
              <w:rPr>
                <w:rFonts w:ascii="宋体" w:hAnsi="宋体" w:eastAsia="宋体" w:cs="宋体"/>
              </w:rPr>
            </w:pPr>
          </w:p>
        </w:tc>
        <w:tc>
          <w:tcPr>
            <w:tcW w:w="1573" w:type="dxa"/>
            <w:tcBorders>
              <w:top w:val="outset" w:color="auto" w:sz="6" w:space="0"/>
              <w:left w:val="outset" w:color="auto" w:sz="6" w:space="0"/>
              <w:bottom w:val="outset" w:color="auto" w:sz="6" w:space="0"/>
              <w:right w:val="outset" w:color="auto" w:sz="6" w:space="0"/>
            </w:tcBorders>
            <w:vAlign w:val="center"/>
          </w:tcPr>
          <w:p>
            <w:pPr>
              <w:pStyle w:val="44"/>
              <w:rPr>
                <w:rFonts w:hint="default" w:ascii="宋体" w:hAnsi="宋体" w:eastAsia="宋体" w:cs="宋体"/>
                <w:lang w:val="en-US" w:eastAsia="zh-CN"/>
              </w:rPr>
            </w:pPr>
            <w:r>
              <w:rPr>
                <w:rFonts w:hint="eastAsia" w:ascii="宋体" w:hAnsi="宋体" w:eastAsia="宋体" w:cs="宋体"/>
                <w:lang w:val="en-US" w:eastAsia="zh-CN"/>
              </w:rPr>
              <w:t>合理化建议及优惠条款（5分）</w:t>
            </w:r>
          </w:p>
        </w:tc>
        <w:tc>
          <w:tcPr>
            <w:tcW w:w="3401" w:type="dxa"/>
            <w:tcBorders>
              <w:top w:val="outset" w:color="auto" w:sz="6" w:space="0"/>
              <w:left w:val="outset" w:color="auto" w:sz="6" w:space="0"/>
              <w:bottom w:val="outset" w:color="auto" w:sz="6" w:space="0"/>
              <w:right w:val="outset" w:color="auto" w:sz="6" w:space="0"/>
            </w:tcBorders>
            <w:vAlign w:val="center"/>
          </w:tcPr>
          <w:p>
            <w:pPr>
              <w:pStyle w:val="44"/>
              <w:rPr>
                <w:rFonts w:hint="default" w:ascii="宋体" w:hAnsi="宋体" w:eastAsia="宋体" w:cs="宋体"/>
                <w:lang w:val="en-US" w:eastAsia="zh-CN"/>
              </w:rPr>
            </w:pPr>
            <w:r>
              <w:rPr>
                <w:rFonts w:hint="eastAsia" w:ascii="宋体" w:hAnsi="宋体" w:eastAsia="宋体" w:cs="宋体"/>
                <w:lang w:val="en-US" w:eastAsia="zh-CN"/>
              </w:rPr>
              <w:t>针对本项目能提供切实可行的合理化建议或优惠条款，每有1条加1分，最多加5分。</w:t>
            </w:r>
          </w:p>
        </w:tc>
        <w:tc>
          <w:tcPr>
            <w:tcW w:w="1517" w:type="dxa"/>
            <w:gridSpan w:val="2"/>
            <w:vMerge w:val="continue"/>
            <w:tcBorders>
              <w:left w:val="outset" w:color="auto" w:sz="6" w:space="0"/>
              <w:bottom w:val="outset" w:color="auto" w:sz="6" w:space="0"/>
              <w:right w:val="outset" w:color="auto" w:sz="6" w:space="0"/>
            </w:tcBorders>
            <w:vAlign w:val="center"/>
          </w:tcPr>
          <w:p>
            <w:pPr>
              <w:pStyle w:val="44"/>
              <w:rPr>
                <w:rFonts w:ascii="宋体" w:hAnsi="宋体" w:eastAsia="宋体" w:cs="宋体"/>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3" w:type="dxa"/>
            <w:vMerge w:val="restart"/>
            <w:tcBorders>
              <w:top w:val="outset" w:color="auto" w:sz="6" w:space="0"/>
              <w:left w:val="outset" w:color="auto" w:sz="6" w:space="0"/>
              <w:bottom w:val="outset" w:color="auto" w:sz="6" w:space="0"/>
              <w:right w:val="outset" w:color="auto" w:sz="6" w:space="0"/>
            </w:tcBorders>
            <w:vAlign w:val="center"/>
          </w:tcPr>
          <w:p>
            <w:pPr>
              <w:pStyle w:val="44"/>
              <w:jc w:val="center"/>
              <w:rPr>
                <w:rFonts w:ascii="宋体" w:hAnsi="宋体" w:eastAsia="宋体" w:cs="宋体"/>
              </w:rPr>
            </w:pPr>
          </w:p>
        </w:tc>
        <w:tc>
          <w:tcPr>
            <w:tcW w:w="1272" w:type="dxa"/>
            <w:tcBorders>
              <w:top w:val="outset" w:color="auto" w:sz="6" w:space="0"/>
              <w:left w:val="outset" w:color="auto" w:sz="6" w:space="0"/>
              <w:bottom w:val="outset" w:color="auto" w:sz="6" w:space="0"/>
              <w:right w:val="outset" w:color="auto" w:sz="6" w:space="0"/>
            </w:tcBorders>
            <w:vAlign w:val="center"/>
          </w:tcPr>
          <w:p>
            <w:pPr>
              <w:pStyle w:val="44"/>
              <w:jc w:val="center"/>
              <w:rPr>
                <w:rFonts w:ascii="宋体" w:hAnsi="宋体" w:eastAsia="宋体" w:cs="宋体"/>
              </w:rPr>
            </w:pPr>
            <w:r>
              <w:rPr>
                <w:rFonts w:hint="eastAsia" w:ascii="宋体" w:hAnsi="宋体" w:eastAsia="宋体" w:cs="宋体"/>
              </w:rPr>
              <w:t>合计</w:t>
            </w:r>
          </w:p>
        </w:tc>
        <w:tc>
          <w:tcPr>
            <w:tcW w:w="1573" w:type="dxa"/>
            <w:tcBorders>
              <w:top w:val="outset" w:color="auto" w:sz="6" w:space="0"/>
              <w:left w:val="outset" w:color="auto" w:sz="6" w:space="0"/>
              <w:bottom w:val="outset" w:color="auto" w:sz="6" w:space="0"/>
              <w:right w:val="outset" w:color="auto" w:sz="6" w:space="0"/>
            </w:tcBorders>
            <w:vAlign w:val="center"/>
          </w:tcPr>
          <w:p>
            <w:pPr>
              <w:pStyle w:val="44"/>
              <w:jc w:val="center"/>
              <w:rPr>
                <w:rFonts w:ascii="宋体" w:hAnsi="宋体" w:eastAsia="宋体" w:cs="宋体"/>
              </w:rPr>
            </w:pPr>
          </w:p>
        </w:tc>
        <w:tc>
          <w:tcPr>
            <w:tcW w:w="3401" w:type="dxa"/>
            <w:tcBorders>
              <w:top w:val="outset" w:color="auto" w:sz="6" w:space="0"/>
              <w:left w:val="outset" w:color="auto" w:sz="6" w:space="0"/>
              <w:bottom w:val="outset" w:color="auto" w:sz="6" w:space="0"/>
              <w:right w:val="outset" w:color="auto" w:sz="6" w:space="0"/>
            </w:tcBorders>
            <w:vAlign w:val="center"/>
          </w:tcPr>
          <w:p>
            <w:pPr>
              <w:pStyle w:val="44"/>
              <w:jc w:val="center"/>
              <w:rPr>
                <w:rFonts w:ascii="宋体" w:hAnsi="宋体" w:eastAsia="宋体" w:cs="宋体"/>
              </w:rPr>
            </w:pPr>
          </w:p>
        </w:tc>
        <w:tc>
          <w:tcPr>
            <w:tcW w:w="1517" w:type="dxa"/>
            <w:gridSpan w:val="2"/>
            <w:tcBorders>
              <w:top w:val="outset" w:color="auto" w:sz="6" w:space="0"/>
              <w:left w:val="outset" w:color="auto" w:sz="6" w:space="0"/>
              <w:bottom w:val="outset" w:color="auto" w:sz="6" w:space="0"/>
              <w:right w:val="outset" w:color="auto" w:sz="6" w:space="0"/>
            </w:tcBorders>
            <w:vAlign w:val="center"/>
          </w:tcPr>
          <w:p>
            <w:pPr>
              <w:pStyle w:val="44"/>
              <w:jc w:val="center"/>
              <w:rPr>
                <w:rFonts w:ascii="宋体" w:hAnsi="宋体" w:eastAsia="宋体" w:cs="宋体"/>
              </w:rPr>
            </w:pPr>
            <w:r>
              <w:rPr>
                <w:rFonts w:hint="eastAsia" w:ascii="宋体" w:hAnsi="宋体" w:eastAsia="宋体" w:cs="宋体"/>
              </w:rPr>
              <w:t>100分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693" w:type="dxa"/>
            <w:vMerge w:val="continue"/>
            <w:tcBorders>
              <w:top w:val="outset" w:color="auto" w:sz="6" w:space="0"/>
              <w:left w:val="outset" w:color="auto" w:sz="6" w:space="0"/>
              <w:bottom w:val="outset" w:color="auto" w:sz="6" w:space="0"/>
              <w:right w:val="outset" w:color="auto" w:sz="6" w:space="0"/>
            </w:tcBorders>
            <w:vAlign w:val="center"/>
          </w:tcPr>
          <w:p>
            <w:pPr>
              <w:pStyle w:val="44"/>
              <w:jc w:val="center"/>
              <w:rPr>
                <w:rFonts w:ascii="宋体" w:hAnsi="宋体" w:eastAsia="宋体" w:cs="宋体"/>
              </w:rPr>
            </w:pPr>
          </w:p>
        </w:tc>
        <w:tc>
          <w:tcPr>
            <w:tcW w:w="7763" w:type="dxa"/>
            <w:gridSpan w:val="5"/>
            <w:tcBorders>
              <w:top w:val="outset" w:color="auto" w:sz="6" w:space="0"/>
              <w:left w:val="outset" w:color="auto" w:sz="6" w:space="0"/>
              <w:bottom w:val="outset" w:color="auto" w:sz="6" w:space="0"/>
              <w:right w:val="outset" w:color="auto" w:sz="6" w:space="0"/>
            </w:tcBorders>
            <w:vAlign w:val="center"/>
          </w:tcPr>
          <w:p>
            <w:pPr>
              <w:pStyle w:val="44"/>
              <w:rPr>
                <w:rFonts w:ascii="宋体" w:hAnsi="宋体" w:eastAsia="宋体" w:cs="宋体"/>
              </w:rPr>
            </w:pPr>
            <w:r>
              <w:rPr>
                <w:rFonts w:hint="eastAsia" w:ascii="宋体" w:hAnsi="宋体" w:eastAsia="宋体" w:cs="宋体"/>
              </w:rPr>
              <w:t>注：评分分值计算保留小数点后两位，小数点后第三位“四舍五入”</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244" w:hRule="atLeast"/>
        </w:trPr>
        <w:tc>
          <w:tcPr>
            <w:tcW w:w="3538" w:type="dxa"/>
            <w:gridSpan w:val="3"/>
            <w:tcBorders>
              <w:top w:val="outset" w:color="auto" w:sz="6" w:space="0"/>
              <w:left w:val="outset" w:color="auto" w:sz="6" w:space="0"/>
              <w:bottom w:val="outset" w:color="auto" w:sz="6" w:space="0"/>
              <w:right w:val="outset" w:color="auto" w:sz="6" w:space="0"/>
            </w:tcBorders>
            <w:vAlign w:val="center"/>
          </w:tcPr>
          <w:p>
            <w:pPr>
              <w:pStyle w:val="44"/>
              <w:jc w:val="center"/>
              <w:rPr>
                <w:rFonts w:ascii="宋体" w:hAnsi="宋体" w:eastAsia="宋体" w:cs="宋体"/>
              </w:rPr>
            </w:pPr>
            <w:r>
              <w:rPr>
                <w:rFonts w:hint="eastAsia" w:ascii="宋体" w:hAnsi="宋体" w:eastAsia="宋体" w:cs="宋体"/>
              </w:rPr>
              <w:t>废标条款</w:t>
            </w:r>
          </w:p>
        </w:tc>
        <w:tc>
          <w:tcPr>
            <w:tcW w:w="4918" w:type="dxa"/>
            <w:gridSpan w:val="3"/>
            <w:tcBorders>
              <w:top w:val="outset" w:color="auto" w:sz="6" w:space="0"/>
              <w:left w:val="outset" w:color="auto" w:sz="6" w:space="0"/>
              <w:bottom w:val="outset" w:color="auto" w:sz="6" w:space="0"/>
              <w:right w:val="outset" w:color="auto" w:sz="6" w:space="0"/>
            </w:tcBorders>
            <w:vAlign w:val="center"/>
          </w:tcPr>
          <w:p>
            <w:pPr>
              <w:pStyle w:val="44"/>
              <w:jc w:val="both"/>
              <w:rPr>
                <w:rFonts w:ascii="宋体" w:hAnsi="宋体" w:eastAsia="宋体" w:cs="宋体"/>
              </w:rPr>
            </w:pPr>
            <w:r>
              <w:rPr>
                <w:rFonts w:hint="eastAsia" w:ascii="宋体" w:hAnsi="宋体" w:eastAsia="宋体" w:cs="宋体"/>
              </w:rPr>
              <w:t>(1) 未按照招标文件的规定提交投标保证金的</w:t>
            </w:r>
            <w:r>
              <w:rPr>
                <w:rFonts w:hint="eastAsia" w:ascii="宋体" w:hAnsi="宋体" w:eastAsia="宋体" w:cs="宋体"/>
              </w:rPr>
              <w:br w:type="textWrapping"/>
            </w:r>
            <w:r>
              <w:rPr>
                <w:rFonts w:hint="eastAsia" w:ascii="宋体" w:hAnsi="宋体" w:eastAsia="宋体" w:cs="宋体"/>
              </w:rPr>
              <w:t>(2) 投标文件未按招标文件要求签署、盖章的</w:t>
            </w:r>
            <w:r>
              <w:rPr>
                <w:rFonts w:hint="eastAsia" w:ascii="宋体" w:hAnsi="宋体" w:eastAsia="宋体" w:cs="宋体"/>
              </w:rPr>
              <w:br w:type="textWrapping"/>
            </w:r>
            <w:r>
              <w:rPr>
                <w:rFonts w:hint="eastAsia" w:ascii="宋体" w:hAnsi="宋体" w:eastAsia="宋体" w:cs="宋体"/>
              </w:rPr>
              <w:t>(3) 不具备招标文件中规定的资格要求</w:t>
            </w:r>
            <w:r>
              <w:rPr>
                <w:rFonts w:hint="eastAsia" w:ascii="宋体" w:hAnsi="宋体" w:eastAsia="宋体" w:cs="宋体"/>
              </w:rPr>
              <w:br w:type="textWrapping"/>
            </w:r>
            <w:r>
              <w:rPr>
                <w:rFonts w:hint="eastAsia" w:ascii="宋体" w:hAnsi="宋体" w:eastAsia="宋体" w:cs="宋体"/>
              </w:rPr>
              <w:t>(4) 报价超过招标文件中规定的预算金额或者最高限价的</w:t>
            </w:r>
            <w:r>
              <w:rPr>
                <w:rFonts w:hint="eastAsia" w:ascii="宋体" w:hAnsi="宋体" w:eastAsia="宋体" w:cs="宋体"/>
              </w:rPr>
              <w:br w:type="textWrapping"/>
            </w:r>
            <w:r>
              <w:rPr>
                <w:rFonts w:hint="eastAsia" w:ascii="宋体" w:hAnsi="宋体" w:eastAsia="宋体" w:cs="宋体"/>
              </w:rPr>
              <w:t>(5) 投标文件含有采购人不能接受的附加条件的</w:t>
            </w:r>
            <w:r>
              <w:rPr>
                <w:rFonts w:hint="eastAsia" w:ascii="宋体" w:hAnsi="宋体" w:eastAsia="宋体" w:cs="宋体"/>
              </w:rPr>
              <w:br w:type="textWrapping"/>
            </w:r>
            <w:r>
              <w:rPr>
                <w:rFonts w:hint="eastAsia" w:ascii="宋体" w:hAnsi="宋体" w:eastAsia="宋体" w:cs="宋体"/>
              </w:rPr>
              <w:t>(6) 法律、法规和招标文件规定的其他无效情形</w:t>
            </w:r>
          </w:p>
        </w:tc>
      </w:tr>
      <w:bookmarkEnd w:id="90"/>
    </w:tbl>
    <w:p>
      <w:pPr>
        <w:rPr>
          <w:rFonts w:ascii="宋体" w:hAnsi="宋体" w:cs="宋体"/>
          <w:sz w:val="24"/>
          <w:szCs w:val="24"/>
          <w:highlight w:val="red"/>
        </w:rPr>
      </w:pPr>
    </w:p>
    <w:p>
      <w:pPr>
        <w:spacing w:line="360" w:lineRule="auto"/>
        <w:ind w:firstLine="480" w:firstLineChars="200"/>
        <w:rPr>
          <w:rFonts w:ascii="宋体" w:hAnsi="宋体"/>
          <w:sz w:val="24"/>
        </w:rPr>
      </w:pPr>
      <w:r>
        <w:rPr>
          <w:rFonts w:hint="eastAsia" w:ascii="宋体" w:hAnsi="宋体"/>
          <w:sz w:val="24"/>
        </w:rPr>
        <w:t>1、经评标委员会认可小、微企业产品和产品报价后，投标人相应产品政策计算公式如下：</w:t>
      </w:r>
    </w:p>
    <w:p>
      <w:pPr>
        <w:spacing w:line="360" w:lineRule="auto"/>
        <w:ind w:firstLine="480" w:firstLineChars="200"/>
        <w:rPr>
          <w:rFonts w:ascii="宋体" w:hAnsi="宋体"/>
          <w:sz w:val="24"/>
        </w:rPr>
      </w:pPr>
      <w:r>
        <w:rPr>
          <w:rFonts w:hint="eastAsia" w:ascii="宋体" w:hAnsi="宋体"/>
          <w:sz w:val="24"/>
        </w:rPr>
        <w:t>中小微企业产品价格扣除后的投标人报价=投标人总报价-中小微企业产品报价*扣除幅度。（以价格扣除后的投标人报价作为评审依据）</w:t>
      </w:r>
    </w:p>
    <w:p>
      <w:pPr>
        <w:spacing w:line="360" w:lineRule="auto"/>
        <w:ind w:firstLine="480" w:firstLineChars="200"/>
        <w:rPr>
          <w:rFonts w:ascii="宋体" w:hAnsi="宋体"/>
          <w:sz w:val="24"/>
        </w:rPr>
      </w:pPr>
      <w:r>
        <w:rPr>
          <w:rFonts w:hint="eastAsia" w:ascii="宋体" w:hAnsi="宋体"/>
          <w:sz w:val="24"/>
        </w:rPr>
        <w:t>2、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pPr>
        <w:spacing w:line="360" w:lineRule="auto"/>
        <w:ind w:firstLine="480" w:firstLineChars="200"/>
        <w:rPr>
          <w:rFonts w:ascii="宋体" w:hAnsi="宋体"/>
          <w:sz w:val="24"/>
        </w:rPr>
      </w:pPr>
      <w:r>
        <w:rPr>
          <w:rFonts w:hint="eastAsia" w:ascii="宋体" w:hAnsi="宋体"/>
          <w:sz w:val="24"/>
        </w:rPr>
        <w:t>3、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pPr>
        <w:spacing w:line="360" w:lineRule="auto"/>
        <w:ind w:firstLine="480" w:firstLineChars="200"/>
        <w:rPr>
          <w:rFonts w:ascii="宋体" w:hAnsi="宋体"/>
          <w:sz w:val="24"/>
        </w:rPr>
      </w:pPr>
      <w:r>
        <w:rPr>
          <w:rFonts w:hint="eastAsia" w:ascii="宋体" w:hAnsi="宋体"/>
          <w:sz w:val="24"/>
        </w:rPr>
        <w:t>4、在任何评标环节中，需评标委员会就某项评审结论做出表决的，由评标委员会全体成员按照少数服从多数的原则，以记名投票方式表决。</w:t>
      </w:r>
    </w:p>
    <w:p>
      <w:pPr>
        <w:jc w:val="center"/>
        <w:rPr>
          <w:rFonts w:ascii="宋体" w:hAnsi="宋体"/>
          <w:b/>
          <w:sz w:val="36"/>
        </w:rPr>
      </w:pPr>
      <w:r>
        <w:rPr>
          <w:rFonts w:ascii="宋体" w:hAnsi="宋体"/>
        </w:rPr>
        <w:br w:type="page"/>
      </w:r>
      <w:bookmarkStart w:id="91" w:name="_Toc256000032"/>
      <w:r>
        <w:rPr>
          <w:rFonts w:hint="eastAsia" w:ascii="宋体" w:hAnsi="宋体"/>
          <w:b/>
          <w:sz w:val="36"/>
        </w:rPr>
        <w:t>第五部分   政府采购合同</w:t>
      </w:r>
      <w:bookmarkEnd w:id="91"/>
    </w:p>
    <w:p>
      <w:pPr>
        <w:rPr>
          <w:highlight w:val="red"/>
        </w:rPr>
      </w:pPr>
    </w:p>
    <w:p>
      <w:pPr>
        <w:spacing w:line="360" w:lineRule="auto"/>
        <w:jc w:val="center"/>
        <w:rPr>
          <w:rFonts w:ascii="宋体" w:hAnsi="宋体" w:cs="宋体"/>
          <w:b/>
          <w:bCs/>
          <w:sz w:val="48"/>
          <w:szCs w:val="48"/>
        </w:rPr>
      </w:pPr>
      <w:r>
        <w:rPr>
          <w:rFonts w:hint="eastAsia" w:ascii="宋体" w:hAnsi="宋体" w:cs="宋体"/>
          <w:b/>
          <w:bCs/>
          <w:sz w:val="48"/>
          <w:szCs w:val="48"/>
        </w:rPr>
        <w:t>政府采购合同</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rPr>
          <w:rFonts w:ascii="宋体" w:hAnsi="宋体" w:cs="宋体"/>
          <w:sz w:val="32"/>
          <w:szCs w:val="32"/>
          <w:u w:val="single"/>
        </w:rPr>
      </w:pPr>
      <w:r>
        <w:rPr>
          <w:rFonts w:hint="eastAsia" w:ascii="宋体" w:hAnsi="宋体" w:cs="宋体"/>
          <w:sz w:val="32"/>
          <w:szCs w:val="32"/>
        </w:rPr>
        <w:t>项目名称：</w:t>
      </w:r>
      <w:r>
        <w:rPr>
          <w:rFonts w:hint="eastAsia" w:ascii="宋体" w:hAnsi="宋体" w:cs="宋体"/>
          <w:sz w:val="32"/>
          <w:szCs w:val="32"/>
          <w:u w:val="single"/>
        </w:rPr>
        <w:t>石河子大学医学院第一附属医院     采购项目</w:t>
      </w:r>
      <w:r>
        <w:rPr>
          <w:rFonts w:hint="eastAsia" w:ascii="宋体" w:hAnsi="宋体" w:cs="宋体"/>
          <w:sz w:val="24"/>
          <w:u w:val="single"/>
        </w:rPr>
        <w:t xml:space="preserve">  </w:t>
      </w:r>
    </w:p>
    <w:p>
      <w:pPr>
        <w:spacing w:line="360" w:lineRule="auto"/>
        <w:rPr>
          <w:rFonts w:ascii="宋体" w:hAnsi="宋体" w:cs="宋体"/>
          <w:sz w:val="32"/>
          <w:szCs w:val="32"/>
        </w:rPr>
      </w:pPr>
      <w:r>
        <w:rPr>
          <w:rFonts w:hint="eastAsia" w:ascii="宋体" w:hAnsi="宋体" w:cs="宋体"/>
          <w:sz w:val="32"/>
          <w:szCs w:val="32"/>
        </w:rPr>
        <w:t>项目编号：</w:t>
      </w:r>
      <w:r>
        <w:rPr>
          <w:rFonts w:hint="eastAsia" w:ascii="宋体" w:hAnsi="宋体" w:cs="宋体"/>
          <w:sz w:val="32"/>
          <w:szCs w:val="32"/>
          <w:u w:val="single"/>
        </w:rPr>
        <w:t xml:space="preserve">                  </w:t>
      </w:r>
    </w:p>
    <w:p>
      <w:pPr>
        <w:spacing w:line="360" w:lineRule="auto"/>
        <w:rPr>
          <w:rFonts w:ascii="宋体" w:hAnsi="宋体" w:cs="宋体"/>
          <w:sz w:val="32"/>
          <w:szCs w:val="32"/>
        </w:rPr>
      </w:pPr>
    </w:p>
    <w:p>
      <w:pPr>
        <w:spacing w:line="360" w:lineRule="auto"/>
        <w:rPr>
          <w:rFonts w:hint="eastAsia" w:ascii="宋体" w:hAnsi="宋体" w:eastAsia="宋体" w:cs="宋体"/>
          <w:sz w:val="32"/>
          <w:szCs w:val="32"/>
          <w:lang w:eastAsia="zh-CN"/>
        </w:rPr>
      </w:pPr>
    </w:p>
    <w:p>
      <w:pPr>
        <w:pStyle w:val="5"/>
        <w:rPr>
          <w:rFonts w:hint="eastAsia" w:ascii="宋体" w:hAnsi="宋体" w:eastAsia="宋体" w:cs="宋体"/>
          <w:sz w:val="32"/>
          <w:szCs w:val="32"/>
          <w:lang w:eastAsia="zh-CN"/>
        </w:rPr>
      </w:pPr>
    </w:p>
    <w:p>
      <w:pPr>
        <w:rPr>
          <w:rFonts w:hint="eastAsia" w:ascii="宋体" w:hAnsi="宋体" w:eastAsia="宋体" w:cs="宋体"/>
          <w:sz w:val="32"/>
          <w:szCs w:val="32"/>
          <w:lang w:eastAsia="zh-CN"/>
        </w:rPr>
      </w:pPr>
    </w:p>
    <w:p>
      <w:pPr>
        <w:pStyle w:val="5"/>
        <w:rPr>
          <w:rFonts w:hint="eastAsia" w:ascii="宋体" w:hAnsi="宋体" w:eastAsia="宋体" w:cs="宋体"/>
          <w:sz w:val="32"/>
          <w:szCs w:val="32"/>
          <w:lang w:eastAsia="zh-CN"/>
        </w:rPr>
      </w:pPr>
    </w:p>
    <w:p>
      <w:pPr>
        <w:rPr>
          <w:rFonts w:hint="eastAsia"/>
          <w:lang w:eastAsia="zh-CN"/>
        </w:rPr>
      </w:pP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rPr>
          <w:rFonts w:ascii="宋体" w:hAnsi="宋体" w:cs="宋体"/>
          <w:sz w:val="32"/>
          <w:szCs w:val="32"/>
        </w:rPr>
      </w:pPr>
      <w:r>
        <w:rPr>
          <w:rFonts w:hint="eastAsia" w:ascii="宋体" w:hAnsi="宋体" w:cs="宋体"/>
          <w:sz w:val="32"/>
          <w:szCs w:val="32"/>
        </w:rPr>
        <w:t>甲方：</w:t>
      </w:r>
      <w:r>
        <w:rPr>
          <w:rFonts w:hint="eastAsia" w:ascii="宋体" w:hAnsi="宋体" w:cs="宋体"/>
          <w:sz w:val="32"/>
          <w:szCs w:val="32"/>
          <w:u w:val="single"/>
        </w:rPr>
        <w:t>石河子大学医学院第一附属医院</w:t>
      </w:r>
    </w:p>
    <w:p>
      <w:pPr>
        <w:spacing w:line="360" w:lineRule="auto"/>
        <w:rPr>
          <w:rFonts w:hint="eastAsia" w:ascii="宋体" w:hAnsi="宋体" w:cs="宋体"/>
          <w:sz w:val="32"/>
          <w:szCs w:val="32"/>
          <w:u w:val="single"/>
        </w:rPr>
      </w:pPr>
      <w:r>
        <w:rPr>
          <w:rFonts w:hint="eastAsia" w:ascii="宋体" w:hAnsi="宋体" w:cs="宋体"/>
          <w:sz w:val="32"/>
          <w:szCs w:val="32"/>
        </w:rPr>
        <w:t>乙方：</w:t>
      </w:r>
      <w:r>
        <w:rPr>
          <w:rFonts w:hint="eastAsia" w:ascii="宋体" w:hAnsi="宋体" w:cs="宋体"/>
          <w:sz w:val="32"/>
          <w:szCs w:val="32"/>
          <w:u w:val="single"/>
        </w:rPr>
        <w:t xml:space="preserve">                            </w:t>
      </w:r>
    </w:p>
    <w:p>
      <w:pPr>
        <w:pStyle w:val="5"/>
        <w:rPr>
          <w:rFonts w:hint="eastAsia" w:ascii="宋体" w:hAnsi="宋体" w:cs="宋体"/>
          <w:sz w:val="32"/>
          <w:szCs w:val="32"/>
          <w:u w:val="single"/>
        </w:rPr>
      </w:pPr>
    </w:p>
    <w:p>
      <w:pPr>
        <w:rPr>
          <w:rFonts w:hint="eastAsia" w:ascii="宋体" w:hAnsi="宋体" w:cs="宋体"/>
          <w:sz w:val="32"/>
          <w:szCs w:val="32"/>
          <w:u w:val="single"/>
        </w:rPr>
      </w:pPr>
    </w:p>
    <w:p>
      <w:pPr>
        <w:pStyle w:val="5"/>
      </w:pPr>
      <w:r>
        <w:rPr>
          <w:rFonts w:hint="eastAsia" w:ascii="宋体" w:hAnsi="宋体" w:cs="宋体"/>
          <w:b/>
          <w:sz w:val="24"/>
          <w:szCs w:val="24"/>
        </w:rPr>
        <w:t>注：本协议书仅为参考文本，签订双方可根据项目的具体要求进行修订。</w:t>
      </w:r>
    </w:p>
    <w:p>
      <w:pPr>
        <w:spacing w:line="360" w:lineRule="auto"/>
        <w:rPr>
          <w:rFonts w:ascii="宋体" w:hAnsi="宋体" w:cs="宋体"/>
          <w:sz w:val="32"/>
          <w:szCs w:val="32"/>
          <w:u w:val="single"/>
        </w:rPr>
      </w:pPr>
    </w:p>
    <w:p>
      <w:pPr>
        <w:pStyle w:val="26"/>
        <w:widowControl/>
        <w:spacing w:line="500" w:lineRule="exact"/>
        <w:jc w:val="center"/>
        <w:rPr>
          <w:rFonts w:hint="eastAsia" w:ascii="宋体" w:hAnsi="宋体" w:eastAsia="宋体" w:cs="宋体"/>
          <w:sz w:val="30"/>
          <w:szCs w:val="30"/>
        </w:rPr>
      </w:pPr>
      <w:r>
        <w:rPr>
          <w:rFonts w:hint="eastAsia" w:ascii="宋体" w:hAnsi="宋体" w:eastAsia="宋体" w:cs="宋体"/>
          <w:b/>
          <w:bCs/>
          <w:sz w:val="30"/>
          <w:szCs w:val="30"/>
        </w:rPr>
        <w:t>石河子大学医学院第一附属医院采购合同</w:t>
      </w:r>
    </w:p>
    <w:p>
      <w:pPr>
        <w:pStyle w:val="56"/>
        <w:spacing w:after="200" w:line="560" w:lineRule="exact"/>
        <w:rPr>
          <w:rFonts w:hint="eastAsia" w:ascii="宋体" w:hAnsi="宋体" w:eastAsia="宋体" w:cs="宋体"/>
          <w:b w:val="0"/>
          <w:bCs/>
          <w:sz w:val="24"/>
        </w:rPr>
      </w:pPr>
      <w:r>
        <w:rPr>
          <w:rFonts w:hint="eastAsia" w:ascii="宋体" w:hAnsi="宋体" w:eastAsia="宋体" w:cs="宋体"/>
          <w:b w:val="0"/>
          <w:bCs/>
          <w:sz w:val="24"/>
        </w:rPr>
        <w:t>甲方（</w:t>
      </w:r>
      <w:r>
        <w:rPr>
          <w:rFonts w:hint="eastAsia" w:ascii="宋体" w:hAnsi="宋体" w:eastAsia="宋体" w:cs="宋体"/>
          <w:b w:val="0"/>
          <w:bCs/>
          <w:sz w:val="24"/>
          <w:lang w:val="en-US" w:eastAsia="zh-CN"/>
        </w:rPr>
        <w:t>买</w:t>
      </w:r>
      <w:r>
        <w:rPr>
          <w:rFonts w:hint="eastAsia" w:ascii="宋体" w:hAnsi="宋体" w:eastAsia="宋体" w:cs="宋体"/>
          <w:b w:val="0"/>
          <w:bCs/>
          <w:sz w:val="24"/>
          <w:lang w:eastAsia="zh-CN"/>
        </w:rPr>
        <w:t>方</w:t>
      </w:r>
      <w:r>
        <w:rPr>
          <w:rFonts w:hint="eastAsia" w:ascii="宋体" w:hAnsi="宋体" w:eastAsia="宋体" w:cs="宋体"/>
          <w:b w:val="0"/>
          <w:bCs/>
          <w:sz w:val="24"/>
        </w:rPr>
        <w:t>）：</w:t>
      </w:r>
      <w:r>
        <w:rPr>
          <w:rFonts w:hint="eastAsia" w:ascii="宋体" w:hAnsi="宋体" w:eastAsia="宋体" w:cs="宋体"/>
          <w:b w:val="0"/>
          <w:bCs/>
          <w:sz w:val="24"/>
          <w:u w:val="single"/>
        </w:rPr>
        <w:t xml:space="preserve">石河子大学医学院第一附属医院 </w:t>
      </w:r>
    </w:p>
    <w:p>
      <w:pPr>
        <w:pStyle w:val="56"/>
        <w:spacing w:after="480" w:afterLines="200" w:line="560" w:lineRule="exact"/>
        <w:rPr>
          <w:rFonts w:hint="eastAsia" w:ascii="宋体" w:hAnsi="宋体" w:eastAsia="宋体" w:cs="宋体"/>
          <w:b w:val="0"/>
          <w:bCs/>
          <w:sz w:val="24"/>
          <w:u w:val="single"/>
        </w:rPr>
      </w:pPr>
      <w:r>
        <w:rPr>
          <w:rFonts w:hint="eastAsia" w:ascii="宋体" w:hAnsi="宋体" w:eastAsia="宋体" w:cs="宋体"/>
          <w:b w:val="0"/>
          <w:bCs/>
          <w:sz w:val="24"/>
        </w:rPr>
        <w:t>乙方（</w:t>
      </w:r>
      <w:r>
        <w:rPr>
          <w:rFonts w:hint="eastAsia" w:ascii="宋体" w:hAnsi="宋体" w:eastAsia="宋体" w:cs="宋体"/>
          <w:b w:val="0"/>
          <w:bCs/>
          <w:sz w:val="24"/>
          <w:lang w:val="en-US" w:eastAsia="zh-CN"/>
        </w:rPr>
        <w:t>卖</w:t>
      </w:r>
      <w:r>
        <w:rPr>
          <w:rFonts w:hint="eastAsia" w:ascii="宋体" w:hAnsi="宋体" w:eastAsia="宋体" w:cs="宋体"/>
          <w:b w:val="0"/>
          <w:bCs/>
          <w:sz w:val="24"/>
          <w:lang w:eastAsia="zh-CN"/>
        </w:rPr>
        <w:t>方</w:t>
      </w:r>
      <w:r>
        <w:rPr>
          <w:rFonts w:hint="eastAsia" w:ascii="宋体" w:hAnsi="宋体" w:eastAsia="宋体" w:cs="宋体"/>
          <w:b w:val="0"/>
          <w:bCs/>
          <w:sz w:val="24"/>
        </w:rPr>
        <w:t>）:</w:t>
      </w:r>
      <w:r>
        <w:rPr>
          <w:rFonts w:hint="eastAsia" w:ascii="宋体" w:hAnsi="宋体" w:eastAsia="宋体" w:cs="宋体"/>
          <w:b w:val="0"/>
          <w:bCs/>
          <w:sz w:val="24"/>
          <w:u w:val="single"/>
        </w:rPr>
        <w:t xml:space="preserve">                            </w:t>
      </w:r>
    </w:p>
    <w:p>
      <w:pPr>
        <w:pStyle w:val="56"/>
        <w:spacing w:after="480" w:afterLines="200" w:line="560" w:lineRule="exact"/>
        <w:rPr>
          <w:rFonts w:hint="eastAsia" w:ascii="宋体" w:hAnsi="宋体" w:eastAsia="宋体" w:cs="宋体"/>
          <w:b w:val="0"/>
          <w:bCs/>
          <w:sz w:val="24"/>
          <w:u w:val="single"/>
        </w:rPr>
      </w:pPr>
      <w:r>
        <w:rPr>
          <w:rFonts w:hint="eastAsia" w:ascii="宋体" w:hAnsi="宋体" w:eastAsia="宋体" w:cs="宋体"/>
          <w:b/>
          <w:sz w:val="24"/>
          <w:szCs w:val="24"/>
        </w:rPr>
        <w:t>说明：</w:t>
      </w:r>
      <w:r>
        <w:rPr>
          <w:rFonts w:hint="eastAsia" w:ascii="宋体" w:hAnsi="宋体" w:eastAsia="宋体" w:cs="宋体"/>
          <w:bCs/>
          <w:sz w:val="24"/>
          <w:szCs w:val="24"/>
        </w:rPr>
        <w:t>具体合同条款以最终签订为准</w:t>
      </w:r>
    </w:p>
    <w:p>
      <w:pPr>
        <w:pStyle w:val="26"/>
        <w:keepNext w:val="0"/>
        <w:keepLines w:val="0"/>
        <w:pageBreakBefore w:val="0"/>
        <w:widowControl/>
        <w:kinsoku/>
        <w:wordWrap/>
        <w:overflowPunct/>
        <w:topLinePunct w:val="0"/>
        <w:autoSpaceDE/>
        <w:autoSpaceDN/>
        <w:bidi w:val="0"/>
        <w:adjustRightInd/>
        <w:snapToGrid/>
        <w:spacing w:before="313" w:beforeLines="100" w:line="500" w:lineRule="exact"/>
        <w:jc w:val="center"/>
        <w:textAlignment w:val="auto"/>
        <w:rPr>
          <w:rFonts w:hint="eastAsia" w:ascii="宋体" w:hAnsi="宋体" w:cs="宋体"/>
          <w:b/>
          <w:sz w:val="28"/>
          <w:szCs w:val="28"/>
        </w:rPr>
      </w:pPr>
      <w:r>
        <w:rPr>
          <w:rFonts w:hint="eastAsia" w:ascii="宋体" w:hAnsi="宋体" w:cs="宋体"/>
          <w:b/>
          <w:sz w:val="28"/>
          <w:szCs w:val="28"/>
        </w:rPr>
        <w:t>合同主要条款</w:t>
      </w:r>
    </w:p>
    <w:p>
      <w:pPr>
        <w:pStyle w:val="26"/>
        <w:widowControl/>
        <w:spacing w:line="500" w:lineRule="exact"/>
        <w:jc w:val="center"/>
        <w:rPr>
          <w:rFonts w:hint="eastAsia" w:ascii="宋体" w:hAnsi="宋体" w:cs="宋体"/>
          <w:b/>
          <w:sz w:val="28"/>
          <w:szCs w:val="28"/>
        </w:rPr>
      </w:pPr>
    </w:p>
    <w:p>
      <w:pPr>
        <w:pStyle w:val="104"/>
        <w:spacing w:line="500" w:lineRule="exact"/>
        <w:ind w:firstLine="480" w:firstLineChars="200"/>
        <w:jc w:val="both"/>
        <w:rPr>
          <w:rFonts w:hint="eastAsia" w:ascii="宋体" w:hAnsi="宋体" w:cs="宋体"/>
          <w:color w:val="auto"/>
          <w:sz w:val="24"/>
          <w:szCs w:val="24"/>
        </w:rPr>
      </w:pPr>
      <w:r>
        <w:rPr>
          <w:rFonts w:hint="eastAsia" w:ascii="宋体" w:hAnsi="宋体" w:cs="宋体"/>
          <w:color w:val="auto"/>
          <w:sz w:val="24"/>
          <w:szCs w:val="24"/>
        </w:rPr>
        <w:t>1.定义</w:t>
      </w:r>
    </w:p>
    <w:p>
      <w:pPr>
        <w:pStyle w:val="104"/>
        <w:spacing w:line="500" w:lineRule="exact"/>
        <w:ind w:firstLine="544"/>
        <w:jc w:val="both"/>
        <w:rPr>
          <w:rFonts w:hint="eastAsia" w:ascii="宋体" w:hAnsi="宋体" w:cs="宋体"/>
          <w:color w:val="auto"/>
          <w:sz w:val="24"/>
          <w:szCs w:val="24"/>
        </w:rPr>
      </w:pPr>
      <w:r>
        <w:rPr>
          <w:rFonts w:hint="eastAsia" w:ascii="宋体" w:hAnsi="宋体" w:cs="宋体"/>
          <w:color w:val="auto"/>
          <w:sz w:val="24"/>
          <w:szCs w:val="24"/>
        </w:rPr>
        <w:t>本合同中和附件中所用的下列术语应解释为：</w:t>
      </w:r>
    </w:p>
    <w:p>
      <w:pPr>
        <w:pStyle w:val="104"/>
        <w:spacing w:line="500" w:lineRule="exact"/>
        <w:ind w:firstLine="480" w:firstLineChars="200"/>
        <w:jc w:val="both"/>
        <w:rPr>
          <w:rFonts w:hint="eastAsia" w:ascii="宋体" w:hAnsi="宋体" w:cs="宋体"/>
          <w:color w:val="auto"/>
          <w:sz w:val="24"/>
          <w:szCs w:val="24"/>
        </w:rPr>
      </w:pPr>
      <w:r>
        <w:rPr>
          <w:rFonts w:hint="eastAsia" w:ascii="宋体" w:hAnsi="宋体" w:cs="宋体"/>
          <w:color w:val="auto"/>
          <w:sz w:val="24"/>
          <w:szCs w:val="24"/>
        </w:rPr>
        <w:t>1.1“</w:t>
      </w:r>
      <w:r>
        <w:rPr>
          <w:rFonts w:hint="eastAsia" w:ascii="宋体" w:hAnsi="宋体" w:cs="宋体"/>
          <w:color w:val="auto"/>
          <w:sz w:val="24"/>
          <w:szCs w:val="24"/>
          <w:lang w:eastAsia="zh-CN"/>
        </w:rPr>
        <w:t>甲方</w:t>
      </w:r>
      <w:r>
        <w:rPr>
          <w:rFonts w:hint="eastAsia" w:ascii="宋体" w:hAnsi="宋体" w:cs="宋体"/>
          <w:color w:val="auto"/>
          <w:sz w:val="24"/>
          <w:szCs w:val="24"/>
        </w:rPr>
        <w:t>”系指买服务的单位。</w:t>
      </w:r>
    </w:p>
    <w:p>
      <w:pPr>
        <w:pStyle w:val="104"/>
        <w:spacing w:line="500" w:lineRule="exact"/>
        <w:ind w:firstLine="480" w:firstLineChars="200"/>
        <w:jc w:val="both"/>
        <w:rPr>
          <w:rFonts w:hint="eastAsia" w:ascii="宋体" w:hAnsi="宋体" w:cs="宋体"/>
          <w:color w:val="auto"/>
          <w:sz w:val="24"/>
          <w:szCs w:val="24"/>
        </w:rPr>
      </w:pPr>
      <w:r>
        <w:rPr>
          <w:rFonts w:hint="eastAsia" w:ascii="宋体" w:hAnsi="宋体" w:cs="宋体"/>
          <w:color w:val="auto"/>
          <w:sz w:val="24"/>
          <w:szCs w:val="24"/>
        </w:rPr>
        <w:t>1.2“</w:t>
      </w:r>
      <w:r>
        <w:rPr>
          <w:rFonts w:hint="eastAsia" w:ascii="宋体" w:hAnsi="宋体" w:cs="宋体"/>
          <w:color w:val="auto"/>
          <w:sz w:val="24"/>
          <w:szCs w:val="24"/>
          <w:lang w:eastAsia="zh-CN"/>
        </w:rPr>
        <w:t>乙方</w:t>
      </w:r>
      <w:r>
        <w:rPr>
          <w:rFonts w:hint="eastAsia" w:ascii="宋体" w:hAnsi="宋体" w:cs="宋体"/>
          <w:color w:val="auto"/>
          <w:sz w:val="24"/>
          <w:szCs w:val="24"/>
        </w:rPr>
        <w:t>”系指提供合同服务和服务的经济实体。</w:t>
      </w:r>
    </w:p>
    <w:p>
      <w:pPr>
        <w:pStyle w:val="104"/>
        <w:spacing w:line="500" w:lineRule="exact"/>
        <w:ind w:firstLine="480" w:firstLineChars="200"/>
        <w:jc w:val="both"/>
        <w:rPr>
          <w:rFonts w:hint="eastAsia" w:ascii="宋体" w:hAnsi="宋体" w:cs="宋体"/>
          <w:color w:val="auto"/>
          <w:sz w:val="24"/>
          <w:szCs w:val="24"/>
        </w:rPr>
      </w:pPr>
      <w:r>
        <w:rPr>
          <w:rFonts w:hint="eastAsia" w:ascii="宋体" w:hAnsi="宋体" w:cs="宋体"/>
          <w:color w:val="auto"/>
          <w:sz w:val="24"/>
          <w:szCs w:val="24"/>
        </w:rPr>
        <w:t>1.3“合同”系指</w:t>
      </w:r>
      <w:r>
        <w:rPr>
          <w:rFonts w:hint="eastAsia" w:ascii="宋体" w:hAnsi="宋体" w:cs="宋体"/>
          <w:color w:val="auto"/>
          <w:sz w:val="24"/>
          <w:szCs w:val="24"/>
          <w:lang w:eastAsia="zh-CN"/>
        </w:rPr>
        <w:t>甲方</w:t>
      </w:r>
      <w:r>
        <w:rPr>
          <w:rFonts w:hint="eastAsia" w:ascii="宋体" w:hAnsi="宋体" w:cs="宋体"/>
          <w:color w:val="auto"/>
          <w:sz w:val="24"/>
          <w:szCs w:val="24"/>
        </w:rPr>
        <w:t>、</w:t>
      </w:r>
      <w:r>
        <w:rPr>
          <w:rFonts w:hint="eastAsia" w:ascii="宋体" w:hAnsi="宋体" w:cs="宋体"/>
          <w:color w:val="auto"/>
          <w:sz w:val="24"/>
          <w:szCs w:val="24"/>
          <w:lang w:eastAsia="zh-CN"/>
        </w:rPr>
        <w:t>乙方</w:t>
      </w:r>
      <w:r>
        <w:rPr>
          <w:rFonts w:hint="eastAsia" w:ascii="宋体" w:hAnsi="宋体" w:cs="宋体"/>
          <w:color w:val="auto"/>
          <w:sz w:val="24"/>
          <w:szCs w:val="24"/>
        </w:rPr>
        <w:t>双方签署的、合同格式中载明的供需双方所达成的协议，包括所有附件、附表和组成合同的所有文件。</w:t>
      </w:r>
    </w:p>
    <w:p>
      <w:pPr>
        <w:pStyle w:val="104"/>
        <w:spacing w:line="500" w:lineRule="exact"/>
        <w:ind w:firstLine="480" w:firstLineChars="200"/>
        <w:jc w:val="both"/>
        <w:rPr>
          <w:rFonts w:hint="eastAsia" w:ascii="宋体" w:hAnsi="宋体" w:cs="宋体"/>
          <w:color w:val="auto"/>
          <w:sz w:val="24"/>
          <w:szCs w:val="24"/>
        </w:rPr>
      </w:pPr>
      <w:r>
        <w:rPr>
          <w:rFonts w:hint="eastAsia" w:ascii="宋体" w:hAnsi="宋体" w:cs="宋体"/>
          <w:color w:val="auto"/>
          <w:sz w:val="24"/>
          <w:szCs w:val="24"/>
        </w:rPr>
        <w:t>1.4“合同价格”系指根据合同规定，在</w:t>
      </w:r>
      <w:r>
        <w:rPr>
          <w:rFonts w:hint="eastAsia" w:ascii="宋体" w:hAnsi="宋体" w:cs="宋体"/>
          <w:color w:val="auto"/>
          <w:sz w:val="24"/>
          <w:szCs w:val="24"/>
          <w:lang w:eastAsia="zh-CN"/>
        </w:rPr>
        <w:t>乙方</w:t>
      </w:r>
      <w:r>
        <w:rPr>
          <w:rFonts w:hint="eastAsia" w:ascii="宋体" w:hAnsi="宋体" w:cs="宋体"/>
          <w:color w:val="auto"/>
          <w:sz w:val="24"/>
          <w:szCs w:val="24"/>
        </w:rPr>
        <w:t>全面正确的履行合同义务时</w:t>
      </w:r>
      <w:r>
        <w:rPr>
          <w:rFonts w:hint="eastAsia" w:ascii="宋体" w:hAnsi="宋体" w:cs="宋体"/>
          <w:color w:val="auto"/>
          <w:sz w:val="24"/>
          <w:szCs w:val="24"/>
          <w:lang w:eastAsia="zh-CN"/>
        </w:rPr>
        <w:t>甲方</w:t>
      </w:r>
      <w:r>
        <w:rPr>
          <w:rFonts w:hint="eastAsia" w:ascii="宋体" w:hAnsi="宋体" w:cs="宋体"/>
          <w:color w:val="auto"/>
          <w:sz w:val="24"/>
          <w:szCs w:val="24"/>
        </w:rPr>
        <w:t>应支付给</w:t>
      </w:r>
      <w:r>
        <w:rPr>
          <w:rFonts w:hint="eastAsia" w:ascii="宋体" w:hAnsi="宋体" w:cs="宋体"/>
          <w:color w:val="auto"/>
          <w:sz w:val="24"/>
          <w:szCs w:val="24"/>
          <w:lang w:eastAsia="zh-CN"/>
        </w:rPr>
        <w:t>乙方</w:t>
      </w:r>
      <w:r>
        <w:rPr>
          <w:rFonts w:hint="eastAsia" w:ascii="宋体" w:hAnsi="宋体" w:cs="宋体"/>
          <w:color w:val="auto"/>
          <w:sz w:val="24"/>
          <w:szCs w:val="24"/>
        </w:rPr>
        <w:t>的货币额。</w:t>
      </w:r>
    </w:p>
    <w:p>
      <w:pPr>
        <w:pStyle w:val="104"/>
        <w:spacing w:line="500" w:lineRule="exact"/>
        <w:ind w:firstLine="480" w:firstLineChars="200"/>
        <w:jc w:val="both"/>
        <w:rPr>
          <w:rFonts w:hint="eastAsia" w:ascii="宋体" w:hAnsi="宋体" w:cs="宋体"/>
          <w:color w:val="auto"/>
          <w:sz w:val="24"/>
          <w:szCs w:val="24"/>
        </w:rPr>
      </w:pPr>
      <w:r>
        <w:rPr>
          <w:rFonts w:hint="eastAsia" w:ascii="宋体" w:hAnsi="宋体" w:cs="宋体"/>
          <w:color w:val="auto"/>
          <w:sz w:val="24"/>
          <w:szCs w:val="24"/>
        </w:rPr>
        <w:t>1.5“服务”系指根据合同所含招标文件中技术规范要求的服务内容及其它类似的义务。</w:t>
      </w:r>
    </w:p>
    <w:p>
      <w:pPr>
        <w:pStyle w:val="104"/>
        <w:spacing w:line="500" w:lineRule="exact"/>
        <w:ind w:firstLine="480" w:firstLineChars="200"/>
        <w:jc w:val="both"/>
        <w:rPr>
          <w:rFonts w:hint="eastAsia" w:ascii="宋体" w:hAnsi="宋体" w:cs="宋体"/>
          <w:color w:val="auto"/>
          <w:sz w:val="24"/>
          <w:szCs w:val="24"/>
        </w:rPr>
      </w:pPr>
      <w:r>
        <w:rPr>
          <w:rFonts w:hint="eastAsia" w:ascii="宋体" w:hAnsi="宋体" w:cs="宋体"/>
          <w:color w:val="auto"/>
          <w:sz w:val="24"/>
          <w:szCs w:val="24"/>
        </w:rPr>
        <w:t>2. 合同标的</w:t>
      </w:r>
      <w:r>
        <w:rPr>
          <w:rFonts w:hint="eastAsia" w:ascii="宋体" w:hAnsi="宋体" w:cs="宋体"/>
          <w:color w:val="auto"/>
          <w:sz w:val="24"/>
          <w:szCs w:val="24"/>
          <w:u w:val="single"/>
        </w:rPr>
        <w:t>(详见技术规格及要求)</w:t>
      </w:r>
    </w:p>
    <w:p>
      <w:pPr>
        <w:pStyle w:val="104"/>
        <w:spacing w:line="500" w:lineRule="exact"/>
        <w:ind w:firstLine="480" w:firstLineChars="200"/>
        <w:jc w:val="both"/>
        <w:rPr>
          <w:rFonts w:hint="eastAsia" w:ascii="宋体" w:hAnsi="宋体" w:cs="宋体"/>
          <w:color w:val="auto"/>
          <w:sz w:val="24"/>
          <w:szCs w:val="24"/>
        </w:rPr>
      </w:pPr>
      <w:r>
        <w:rPr>
          <w:rFonts w:hint="eastAsia" w:ascii="宋体" w:hAnsi="宋体" w:cs="宋体"/>
          <w:color w:val="auto"/>
          <w:sz w:val="24"/>
          <w:szCs w:val="24"/>
        </w:rPr>
        <w:t xml:space="preserve">3. </w:t>
      </w:r>
      <w:r>
        <w:rPr>
          <w:rFonts w:hint="eastAsia" w:ascii="宋体" w:hAnsi="宋体" w:cs="宋体"/>
          <w:color w:val="auto"/>
          <w:sz w:val="24"/>
          <w:szCs w:val="24"/>
          <w:lang w:eastAsia="zh-CN"/>
        </w:rPr>
        <w:t>采购</w:t>
      </w:r>
      <w:r>
        <w:rPr>
          <w:rFonts w:hint="eastAsia" w:ascii="宋体" w:hAnsi="宋体" w:cs="宋体"/>
          <w:color w:val="auto"/>
          <w:sz w:val="24"/>
          <w:szCs w:val="24"/>
        </w:rPr>
        <w:t>范围</w:t>
      </w:r>
    </w:p>
    <w:p>
      <w:pPr>
        <w:pStyle w:val="104"/>
        <w:spacing w:line="500" w:lineRule="exact"/>
        <w:ind w:firstLine="480" w:firstLineChars="200"/>
        <w:jc w:val="both"/>
        <w:rPr>
          <w:rFonts w:hint="eastAsia" w:ascii="宋体" w:hAnsi="宋体" w:cs="宋体"/>
          <w:color w:val="auto"/>
          <w:sz w:val="24"/>
          <w:szCs w:val="24"/>
        </w:rPr>
      </w:pPr>
      <w:r>
        <w:rPr>
          <w:rFonts w:hint="eastAsia" w:ascii="宋体" w:hAnsi="宋体" w:cs="宋体"/>
          <w:color w:val="auto"/>
          <w:sz w:val="24"/>
          <w:szCs w:val="24"/>
        </w:rPr>
        <w:t>3.1 合同的采购范围</w:t>
      </w:r>
      <w:r>
        <w:rPr>
          <w:rFonts w:hint="eastAsia" w:ascii="宋体" w:hAnsi="宋体" w:cs="宋体"/>
          <w:color w:val="auto"/>
          <w:sz w:val="24"/>
          <w:szCs w:val="24"/>
          <w:u w:val="single"/>
        </w:rPr>
        <w:t>详见第三章相关条款</w:t>
      </w:r>
      <w:r>
        <w:rPr>
          <w:rFonts w:hint="eastAsia" w:ascii="宋体" w:hAnsi="宋体" w:cs="宋体"/>
          <w:color w:val="auto"/>
          <w:sz w:val="24"/>
          <w:szCs w:val="24"/>
        </w:rPr>
        <w:t>。</w:t>
      </w:r>
    </w:p>
    <w:p>
      <w:pPr>
        <w:pStyle w:val="104"/>
        <w:spacing w:line="500" w:lineRule="exact"/>
        <w:ind w:firstLine="480" w:firstLineChars="200"/>
        <w:jc w:val="both"/>
        <w:rPr>
          <w:rFonts w:hint="eastAsia" w:ascii="宋体" w:hAnsi="宋体" w:cs="宋体"/>
          <w:color w:val="auto"/>
          <w:sz w:val="24"/>
          <w:szCs w:val="24"/>
        </w:rPr>
      </w:pPr>
      <w:r>
        <w:rPr>
          <w:rFonts w:hint="eastAsia" w:ascii="宋体" w:hAnsi="宋体" w:cs="宋体"/>
          <w:color w:val="auto"/>
          <w:sz w:val="24"/>
          <w:szCs w:val="24"/>
        </w:rPr>
        <w:t>4. 合同价格</w:t>
      </w:r>
    </w:p>
    <w:p>
      <w:pPr>
        <w:pStyle w:val="104"/>
        <w:spacing w:line="500" w:lineRule="exact"/>
        <w:ind w:firstLine="480" w:firstLineChars="200"/>
        <w:jc w:val="both"/>
        <w:rPr>
          <w:rFonts w:hint="eastAsia" w:ascii="宋体" w:hAnsi="宋体" w:cs="宋体"/>
          <w:color w:val="auto"/>
          <w:sz w:val="24"/>
          <w:szCs w:val="24"/>
        </w:rPr>
      </w:pPr>
      <w:r>
        <w:rPr>
          <w:rFonts w:hint="eastAsia" w:ascii="宋体" w:hAnsi="宋体" w:cs="宋体"/>
          <w:color w:val="auto"/>
          <w:sz w:val="24"/>
          <w:szCs w:val="24"/>
        </w:rPr>
        <w:t>4.1 合同价格即</w:t>
      </w:r>
      <w:r>
        <w:rPr>
          <w:rFonts w:hint="eastAsia" w:ascii="宋体" w:hAnsi="宋体" w:cs="宋体"/>
          <w:color w:val="auto"/>
          <w:sz w:val="24"/>
          <w:szCs w:val="24"/>
          <w:u w:val="single"/>
        </w:rPr>
        <w:t>合同总价（      ）万元（大写:       万元）</w:t>
      </w:r>
      <w:r>
        <w:rPr>
          <w:rFonts w:hint="eastAsia" w:ascii="宋体" w:hAnsi="宋体" w:cs="宋体"/>
          <w:color w:val="auto"/>
          <w:sz w:val="24"/>
          <w:szCs w:val="24"/>
        </w:rPr>
        <w:t>。</w:t>
      </w:r>
    </w:p>
    <w:p>
      <w:pPr>
        <w:pStyle w:val="104"/>
        <w:spacing w:line="500" w:lineRule="exact"/>
        <w:ind w:firstLine="544"/>
        <w:jc w:val="both"/>
        <w:rPr>
          <w:rFonts w:hint="eastAsia" w:ascii="宋体" w:hAnsi="宋体" w:cs="宋体"/>
          <w:color w:val="auto"/>
          <w:sz w:val="24"/>
          <w:szCs w:val="24"/>
        </w:rPr>
      </w:pPr>
      <w:r>
        <w:rPr>
          <w:rFonts w:hint="eastAsia" w:ascii="宋体" w:hAnsi="宋体" w:cs="宋体"/>
          <w:color w:val="auto"/>
          <w:sz w:val="24"/>
          <w:szCs w:val="24"/>
        </w:rPr>
        <w:t>本合同采用的合同价格方式为固定合同总价，包括服务及与合同有关的所有费用。</w:t>
      </w:r>
    </w:p>
    <w:p>
      <w:pPr>
        <w:pStyle w:val="105"/>
        <w:spacing w:line="500" w:lineRule="exact"/>
        <w:ind w:left="0" w:leftChars="0" w:firstLine="480" w:firstLineChars="200"/>
        <w:rPr>
          <w:rFonts w:hint="eastAsia" w:ascii="宋体" w:hAnsi="宋体" w:cs="宋体"/>
          <w:sz w:val="24"/>
          <w:szCs w:val="24"/>
        </w:rPr>
      </w:pPr>
      <w:r>
        <w:rPr>
          <w:rFonts w:hint="eastAsia" w:ascii="宋体" w:hAnsi="宋体" w:cs="宋体"/>
          <w:sz w:val="24"/>
          <w:szCs w:val="24"/>
        </w:rPr>
        <w:t>4.1.1 合同</w:t>
      </w:r>
      <w:r>
        <w:rPr>
          <w:rFonts w:hint="eastAsia" w:ascii="宋体" w:hAnsi="宋体" w:cs="宋体"/>
          <w:sz w:val="24"/>
          <w:szCs w:val="24"/>
          <w:u w:val="single"/>
        </w:rPr>
        <w:t>价格为（      ）万元</w:t>
      </w:r>
      <w:r>
        <w:rPr>
          <w:rFonts w:hint="eastAsia" w:ascii="宋体" w:hAnsi="宋体" w:cs="宋体"/>
          <w:sz w:val="24"/>
          <w:szCs w:val="24"/>
        </w:rPr>
        <w:t>。</w:t>
      </w:r>
    </w:p>
    <w:p>
      <w:pPr>
        <w:pStyle w:val="104"/>
        <w:spacing w:line="500" w:lineRule="exact"/>
        <w:ind w:firstLine="480" w:firstLineChars="200"/>
        <w:jc w:val="both"/>
        <w:rPr>
          <w:rFonts w:hint="eastAsia" w:ascii="宋体" w:hAnsi="宋体" w:cs="宋体"/>
          <w:color w:val="auto"/>
          <w:sz w:val="24"/>
          <w:szCs w:val="24"/>
        </w:rPr>
      </w:pPr>
      <w:r>
        <w:rPr>
          <w:rFonts w:hint="eastAsia" w:ascii="宋体" w:hAnsi="宋体" w:cs="宋体"/>
          <w:color w:val="auto"/>
          <w:sz w:val="24"/>
          <w:szCs w:val="24"/>
        </w:rPr>
        <w:t>4.1.2 合同</w:t>
      </w:r>
      <w:r>
        <w:rPr>
          <w:rFonts w:hint="eastAsia" w:ascii="宋体" w:hAnsi="宋体" w:cs="宋体"/>
          <w:color w:val="auto"/>
          <w:sz w:val="24"/>
          <w:szCs w:val="24"/>
          <w:u w:val="single"/>
        </w:rPr>
        <w:t>其他费为（      ）万元</w:t>
      </w:r>
      <w:r>
        <w:rPr>
          <w:rFonts w:hint="eastAsia" w:ascii="宋体" w:hAnsi="宋体" w:cs="宋体"/>
          <w:color w:val="auto"/>
          <w:sz w:val="24"/>
          <w:szCs w:val="24"/>
        </w:rPr>
        <w:t>。</w:t>
      </w:r>
    </w:p>
    <w:p>
      <w:pPr>
        <w:pStyle w:val="104"/>
        <w:spacing w:line="500" w:lineRule="exact"/>
        <w:ind w:firstLine="480" w:firstLineChars="200"/>
        <w:jc w:val="both"/>
        <w:rPr>
          <w:rFonts w:hint="eastAsia" w:ascii="宋体" w:hAnsi="宋体" w:cs="宋体"/>
          <w:color w:val="auto"/>
          <w:sz w:val="24"/>
          <w:szCs w:val="24"/>
        </w:rPr>
      </w:pPr>
      <w:r>
        <w:rPr>
          <w:rFonts w:hint="eastAsia" w:ascii="宋体" w:hAnsi="宋体" w:cs="宋体"/>
          <w:color w:val="auto"/>
          <w:sz w:val="24"/>
          <w:szCs w:val="24"/>
        </w:rPr>
        <w:t>4.2 合同价格在合同执行期内不得变动。</w:t>
      </w:r>
    </w:p>
    <w:p>
      <w:pPr>
        <w:pStyle w:val="26"/>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 服务期限：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Style w:val="26"/>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6. 结算方式： </w:t>
      </w:r>
    </w:p>
    <w:p>
      <w:pPr>
        <w:pStyle w:val="26"/>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 本合同使用的货币种类为人民币。</w:t>
      </w:r>
    </w:p>
    <w:p>
      <w:pPr>
        <w:pStyle w:val="26"/>
        <w:snapToGrid w:val="0"/>
        <w:spacing w:line="500" w:lineRule="exact"/>
        <w:ind w:firstLine="480" w:firstLineChars="200"/>
        <w:rPr>
          <w:rFonts w:hint="default" w:ascii="宋体" w:hAnsi="宋体" w:eastAsia="宋体" w:cs="宋体"/>
          <w:sz w:val="24"/>
          <w:szCs w:val="24"/>
          <w:u w:val="single"/>
          <w:lang w:val="en-US" w:eastAsia="zh-CN"/>
        </w:rPr>
      </w:pPr>
      <w:r>
        <w:rPr>
          <w:rFonts w:hint="eastAsia" w:ascii="宋体" w:hAnsi="宋体" w:eastAsia="宋体" w:cs="宋体"/>
          <w:sz w:val="24"/>
          <w:szCs w:val="24"/>
        </w:rPr>
        <w:t>6.2 费用的支付：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p>
    <w:p>
      <w:pPr>
        <w:pStyle w:val="26"/>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7. 服务期限</w:t>
      </w:r>
    </w:p>
    <w:p>
      <w:pPr>
        <w:pStyle w:val="26"/>
        <w:snapToGrid w:val="0"/>
        <w:spacing w:line="500" w:lineRule="exact"/>
        <w:ind w:firstLine="480" w:firstLineChars="200"/>
        <w:rPr>
          <w:rFonts w:hint="eastAsia" w:ascii="宋体" w:hAnsi="宋体" w:cs="宋体"/>
          <w:kern w:val="0"/>
          <w:sz w:val="24"/>
          <w:szCs w:val="24"/>
        </w:rPr>
      </w:pPr>
      <w:r>
        <w:rPr>
          <w:rFonts w:hint="eastAsia" w:ascii="宋体" w:hAnsi="宋体" w:cs="宋体"/>
          <w:sz w:val="24"/>
          <w:szCs w:val="24"/>
        </w:rPr>
        <w:t>7.1 本合同服务内</w:t>
      </w:r>
      <w:r>
        <w:rPr>
          <w:rFonts w:hint="eastAsia" w:ascii="宋体" w:hAnsi="宋体" w:cs="宋体"/>
          <w:kern w:val="0"/>
          <w:sz w:val="24"/>
          <w:szCs w:val="24"/>
        </w:rPr>
        <w:t>容为满足招标文件的要求。</w:t>
      </w:r>
    </w:p>
    <w:p>
      <w:pPr>
        <w:pStyle w:val="26"/>
        <w:snapToGrid w:val="0"/>
        <w:spacing w:line="5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8.双方的责任与义务</w:t>
      </w:r>
    </w:p>
    <w:p>
      <w:pPr>
        <w:pStyle w:val="26"/>
        <w:snapToGrid w:val="0"/>
        <w:spacing w:line="5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8.1甲方的权利及义务</w:t>
      </w:r>
    </w:p>
    <w:p>
      <w:pPr>
        <w:pStyle w:val="26"/>
        <w:snapToGrid w:val="0"/>
        <w:spacing w:line="5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8.1.1甲方有权监督乙方做好对主食副食采购的质量、数量、食品安全、食品卫生、防疫等工作；有权对餐厅定期或不定期进行检查，对乙方进行考核。</w:t>
      </w:r>
    </w:p>
    <w:p>
      <w:pPr>
        <w:pStyle w:val="26"/>
        <w:snapToGrid w:val="0"/>
        <w:spacing w:line="5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在正式运营前一个月作为试运营阶段。在此期间，主要用于测算每天中午的就餐人数（午餐现场就餐人数不得少于600人次）。</w:t>
      </w:r>
    </w:p>
    <w:p>
      <w:pPr>
        <w:pStyle w:val="26"/>
        <w:snapToGrid w:val="0"/>
        <w:spacing w:line="5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在正式运营期间，如果连续</w:t>
      </w:r>
      <w:r>
        <w:rPr>
          <w:rFonts w:hint="eastAsia" w:ascii="宋体" w:hAnsi="宋体" w:eastAsia="宋体" w:cs="宋体"/>
          <w:sz w:val="24"/>
          <w:szCs w:val="24"/>
          <w:lang w:val="en-US" w:eastAsia="zh-CN"/>
        </w:rPr>
        <w:t>三天的午餐就餐人数（次）低于最低就餐人数（次），甲方有权要求乙方在一周内进行整改。或者要求乙方更换主厨和厨师。直至就餐人</w:t>
      </w:r>
      <w:r>
        <w:rPr>
          <w:rFonts w:hint="eastAsia" w:ascii="宋体" w:hAnsi="宋体" w:cs="宋体"/>
          <w:sz w:val="24"/>
          <w:szCs w:val="24"/>
          <w:lang w:val="en-US" w:eastAsia="zh-CN"/>
        </w:rPr>
        <w:t>数达标。如果连续三周午餐就餐人数不达标，医院有权终止合同。并按照招标时应标公司得分的顺序，选择下一家投标单位经营。</w:t>
      </w:r>
    </w:p>
    <w:p>
      <w:pPr>
        <w:pStyle w:val="26"/>
        <w:snapToGrid w:val="0"/>
        <w:spacing w:line="5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8.1.2甲方承担场地、暖气、物业费用。</w:t>
      </w:r>
    </w:p>
    <w:p>
      <w:pPr>
        <w:pStyle w:val="26"/>
        <w:snapToGrid w:val="0"/>
        <w:spacing w:line="5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8.1.3甲方将新购置一批厨房设备及厨具，与餐厅现有的设备及厨具餐具清单一并移交乙方使用、并具备正常的工作条件。承包期满后，乙方应将上述物品完好交还甲方，如有遗失，损坏，乙方负责赔偿（自然损耗除外）。</w:t>
      </w:r>
    </w:p>
    <w:p>
      <w:pPr>
        <w:pStyle w:val="26"/>
        <w:snapToGrid w:val="0"/>
        <w:spacing w:line="5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8.1.4甲方如果有临时性的服务工作，需要提前通知乙方。如果有接待，甲方负责提前通知乙方接待标准、人员数量、接待时间等。</w:t>
      </w:r>
    </w:p>
    <w:p>
      <w:pPr>
        <w:pStyle w:val="26"/>
        <w:snapToGrid w:val="0"/>
        <w:spacing w:line="50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8.1.5</w:t>
      </w:r>
      <w:r>
        <w:rPr>
          <w:rFonts w:hint="eastAsia" w:ascii="宋体" w:hAnsi="宋体" w:eastAsia="宋体" w:cs="宋体"/>
          <w:sz w:val="24"/>
          <w:szCs w:val="24"/>
        </w:rPr>
        <w:t>甲方成立</w:t>
      </w:r>
      <w:r>
        <w:rPr>
          <w:rFonts w:hint="eastAsia" w:ascii="宋体" w:hAnsi="宋体" w:cs="宋体"/>
          <w:sz w:val="24"/>
          <w:szCs w:val="24"/>
          <w:lang w:eastAsia="zh-CN"/>
        </w:rPr>
        <w:t>食堂监督</w:t>
      </w:r>
      <w:r>
        <w:rPr>
          <w:rFonts w:hint="eastAsia" w:ascii="宋体" w:hAnsi="宋体" w:eastAsia="宋体" w:cs="宋体"/>
          <w:sz w:val="24"/>
          <w:szCs w:val="24"/>
        </w:rPr>
        <w:t>管理委员会，定期召开会议，对乙方的主副食质量、环境卫生、服务质量及采购渠道进行监督检查，并提出整改意见。</w:t>
      </w:r>
    </w:p>
    <w:p>
      <w:pPr>
        <w:pStyle w:val="26"/>
        <w:snapToGrid w:val="0"/>
        <w:spacing w:line="500" w:lineRule="exact"/>
        <w:ind w:firstLine="480" w:firstLineChars="200"/>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8.2</w:t>
      </w:r>
      <w:r>
        <w:rPr>
          <w:rFonts w:hint="eastAsia" w:ascii="宋体" w:hAnsi="宋体" w:eastAsia="宋体" w:cs="宋体"/>
          <w:kern w:val="0"/>
          <w:sz w:val="24"/>
          <w:szCs w:val="24"/>
          <w:lang w:val="en-US" w:eastAsia="zh-CN"/>
        </w:rPr>
        <w:t>乙方的权利及义务</w:t>
      </w:r>
    </w:p>
    <w:p>
      <w:pPr>
        <w:pStyle w:val="26"/>
        <w:snapToGrid w:val="0"/>
        <w:spacing w:line="500" w:lineRule="exact"/>
        <w:ind w:firstLine="480" w:firstLineChars="200"/>
        <w:rPr>
          <w:rFonts w:hint="eastAsia" w:ascii="宋体" w:hAnsi="宋体" w:cs="仿宋"/>
          <w:color w:val="000000"/>
          <w:sz w:val="24"/>
        </w:rPr>
      </w:pPr>
      <w:r>
        <w:rPr>
          <w:rFonts w:hint="eastAsia" w:ascii="宋体" w:hAnsi="宋体" w:eastAsia="宋体" w:cs="宋体"/>
          <w:kern w:val="0"/>
          <w:sz w:val="24"/>
          <w:szCs w:val="24"/>
          <w:lang w:val="en-US" w:eastAsia="zh-CN"/>
        </w:rPr>
        <w:t>8.2.1</w:t>
      </w:r>
      <w:r>
        <w:rPr>
          <w:rFonts w:hint="eastAsia" w:ascii="宋体" w:hAnsi="宋体" w:cs="仿宋"/>
          <w:color w:val="000000"/>
          <w:sz w:val="24"/>
        </w:rPr>
        <w:t>乙方</w:t>
      </w:r>
      <w:r>
        <w:rPr>
          <w:rFonts w:hint="eastAsia" w:ascii="宋体" w:hAnsi="宋体" w:eastAsia="宋体" w:cs="仿宋"/>
          <w:color w:val="000000"/>
          <w:sz w:val="24"/>
          <w:lang w:val="en-US" w:eastAsia="zh-CN"/>
        </w:rPr>
        <w:t>应严格执行《中华人民共和国食品安全法》，</w:t>
      </w:r>
      <w:r>
        <w:rPr>
          <w:rFonts w:hint="eastAsia" w:ascii="宋体" w:hAnsi="宋体" w:cs="仿宋"/>
          <w:color w:val="000000"/>
          <w:sz w:val="24"/>
        </w:rPr>
        <w:t>必须按照国家的相关法律、法规合法经营，遵守甲方的相关规定和要求。接受政府主管部门和甲方的管理、指导、检查、监督和考核。承担经营活动的法律和经济责任。</w:t>
      </w:r>
    </w:p>
    <w:p>
      <w:pPr>
        <w:pStyle w:val="26"/>
        <w:snapToGrid w:val="0"/>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仿宋"/>
          <w:color w:val="000000"/>
          <w:sz w:val="24"/>
          <w:lang w:val="en-US" w:eastAsia="zh-CN"/>
        </w:rPr>
        <w:t>8.2.2乙方负责</w:t>
      </w:r>
      <w:r>
        <w:rPr>
          <w:rFonts w:hint="eastAsia" w:ascii="宋体" w:hAnsi="宋体" w:eastAsia="宋体" w:cs="宋体"/>
          <w:sz w:val="24"/>
          <w:szCs w:val="24"/>
        </w:rPr>
        <w:t>餐厅的人员招聘、工资、福利、工会费、社保费用等日常运营管理费用；后厨设备添置和维修保障；主食、副食采购、经营期间的税费</w:t>
      </w:r>
      <w:r>
        <w:rPr>
          <w:rFonts w:hint="eastAsia" w:ascii="宋体" w:hAnsi="宋体" w:cs="宋体"/>
          <w:sz w:val="24"/>
          <w:szCs w:val="24"/>
          <w:lang w:eastAsia="zh-CN"/>
        </w:rPr>
        <w:t>、</w:t>
      </w:r>
      <w:r>
        <w:rPr>
          <w:rFonts w:hint="eastAsia" w:ascii="宋体" w:hAnsi="宋体" w:eastAsia="宋体" w:cs="宋体"/>
          <w:sz w:val="24"/>
          <w:szCs w:val="24"/>
        </w:rPr>
        <w:t>水费、电费、天然气费等等</w:t>
      </w:r>
      <w:r>
        <w:rPr>
          <w:rFonts w:hint="eastAsia" w:ascii="宋体" w:hAnsi="宋体" w:eastAsia="宋体" w:cs="宋体"/>
          <w:sz w:val="24"/>
          <w:szCs w:val="24"/>
          <w:lang w:eastAsia="zh-CN"/>
        </w:rPr>
        <w:t>。</w:t>
      </w:r>
    </w:p>
    <w:p>
      <w:pPr>
        <w:pStyle w:val="26"/>
        <w:snapToGrid w:val="0"/>
        <w:spacing w:line="500" w:lineRule="exact"/>
        <w:ind w:firstLine="480" w:firstLineChars="200"/>
        <w:rPr>
          <w:rFonts w:hint="eastAsia" w:ascii="宋体" w:hAnsi="宋体" w:cs="宋体"/>
          <w:sz w:val="24"/>
          <w:szCs w:val="24"/>
          <w:lang w:eastAsia="zh-CN"/>
        </w:rPr>
      </w:pPr>
      <w:r>
        <w:rPr>
          <w:rFonts w:hint="eastAsia" w:ascii="宋体" w:hAnsi="宋体" w:eastAsia="宋体" w:cs="宋体"/>
          <w:sz w:val="24"/>
          <w:szCs w:val="24"/>
          <w:lang w:val="en-US" w:eastAsia="zh-CN"/>
        </w:rPr>
        <w:t>8.2.3</w:t>
      </w:r>
      <w:r>
        <w:rPr>
          <w:rFonts w:hint="eastAsia" w:ascii="宋体" w:hAnsi="宋体" w:cs="宋体"/>
          <w:sz w:val="24"/>
          <w:szCs w:val="24"/>
          <w:lang w:eastAsia="zh-CN"/>
        </w:rPr>
        <w:t>在经营期间，所有设施、设备、管网等出现问题均由乙方负责解决。</w:t>
      </w:r>
    </w:p>
    <w:p>
      <w:pPr>
        <w:pStyle w:val="26"/>
        <w:snapToGrid w:val="0"/>
        <w:spacing w:line="50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8.2.4在职人员餐厅运行期间，必须保障每天的在职人员就餐，同时按照医院相关部门的通知，保障接待餐（费用另行支付）和手术室的送餐服务。限于现场场地，乙方应积极配合甲方的分时段就餐安排，原则上每批次人员就餐时间不超过20分钟，乙方应保证每批次就餐人员的主、副食的质量、数量的统一。</w:t>
      </w:r>
    </w:p>
    <w:p>
      <w:pPr>
        <w:pStyle w:val="26"/>
        <w:snapToGrid w:val="0"/>
        <w:spacing w:line="5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8.2.5乙方应按时按照甲方提供的标准，向甲方提供食堂餐饮服务。一日三餐，其中早餐7元，午餐18元，晚餐5元。其中，午餐主食不少于4种，菜品不少于6种（三荤三素），汤品不少于两种（此方案为最低标准，乙方可参考此标准择优提供）。杂粮、水果不少于两种（可以切块）。早餐、晚餐的品种、数量，由乙方在规定的标准中，择优提供。</w:t>
      </w:r>
    </w:p>
    <w:p>
      <w:pPr>
        <w:pStyle w:val="26"/>
        <w:snapToGrid w:val="0"/>
        <w:spacing w:line="5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8.2.6乙方每周五之前制定出下一周的食谱提前报备给甲方，经甲方确认并发布后执行。每天中午的菜品种类重样数不超过3种。如果任意一方有异议，双方协商后可以变更。</w:t>
      </w:r>
    </w:p>
    <w:p>
      <w:pPr>
        <w:pStyle w:val="26"/>
        <w:snapToGrid w:val="0"/>
        <w:spacing w:line="5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8.2.7接待餐的安排，按照甲方的通知时间、标准要求执行。</w:t>
      </w:r>
    </w:p>
    <w:p>
      <w:pPr>
        <w:pStyle w:val="26"/>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8.2.8合理安排餐饮标准，营养搭配合理，保障好就餐人员的食品安全工作。</w:t>
      </w:r>
    </w:p>
    <w:p>
      <w:pPr>
        <w:pStyle w:val="26"/>
        <w:snapToGrid w:val="0"/>
        <w:spacing w:line="5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8.2.9发生重大公共卫生事件或者特殊情况下，按照上级或者当地政府要求，医院院区封闭或者其他需要乙方开展餐饮服务，乙方必须无条件给与支持。</w:t>
      </w:r>
    </w:p>
    <w:p>
      <w:pPr>
        <w:pStyle w:val="26"/>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8.2.10乙方工作人员必须政治上可靠，无犯罪记录。(有辖区社区提供证明，或由乙方提供担保)。爱岗敬业，遵</w:t>
      </w:r>
      <w:r>
        <w:rPr>
          <w:rFonts w:hint="eastAsia" w:ascii="宋体" w:hAnsi="宋体" w:eastAsia="宋体" w:cs="宋体"/>
          <w:sz w:val="24"/>
          <w:szCs w:val="24"/>
        </w:rPr>
        <w:t>守职业道德。严格遵守考勤等各项管理制度。工作期间工作人员严禁酗酒吸烟，严格执行食品卫生要求和操作要求，严格执行</w:t>
      </w:r>
      <w:r>
        <w:rPr>
          <w:rFonts w:hint="eastAsia" w:ascii="宋体" w:hAnsi="宋体" w:cs="宋体"/>
          <w:sz w:val="24"/>
          <w:szCs w:val="24"/>
          <w:lang w:eastAsia="zh-CN"/>
        </w:rPr>
        <w:t>国家</w:t>
      </w:r>
      <w:r>
        <w:rPr>
          <w:rFonts w:hint="eastAsia" w:ascii="宋体" w:hAnsi="宋体" w:eastAsia="宋体" w:cs="宋体"/>
          <w:sz w:val="24"/>
          <w:szCs w:val="24"/>
        </w:rPr>
        <w:t>的防疫要求</w:t>
      </w:r>
      <w:r>
        <w:rPr>
          <w:rFonts w:hint="eastAsia" w:ascii="宋体" w:hAnsi="宋体" w:cs="宋体"/>
          <w:sz w:val="24"/>
          <w:szCs w:val="24"/>
          <w:lang w:eastAsia="zh-CN"/>
        </w:rPr>
        <w:t>，所有防疫物品和器具均由乙方自行承担</w:t>
      </w:r>
      <w:r>
        <w:rPr>
          <w:rFonts w:hint="eastAsia" w:ascii="宋体" w:hAnsi="宋体" w:eastAsia="宋体" w:cs="宋体"/>
          <w:sz w:val="24"/>
          <w:szCs w:val="24"/>
        </w:rPr>
        <w:t xml:space="preserve">。 </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8.2.11</w:t>
      </w:r>
      <w:r>
        <w:rPr>
          <w:rFonts w:hint="eastAsia" w:ascii="宋体" w:hAnsi="宋体" w:eastAsia="宋体" w:cs="宋体"/>
          <w:sz w:val="24"/>
          <w:szCs w:val="24"/>
        </w:rPr>
        <w:t>乙方工作人员必须统一着装，个人仪容、仪表、手卫生等必须符合卫生管理和防疫制度标准。</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8.2.12</w:t>
      </w:r>
      <w:r>
        <w:rPr>
          <w:rFonts w:hint="eastAsia" w:ascii="宋体" w:hAnsi="宋体" w:eastAsia="宋体" w:cs="宋体"/>
          <w:sz w:val="24"/>
          <w:szCs w:val="24"/>
        </w:rPr>
        <w:t>乙方应合理配置工作人员，按需配备专业技术较强的人员，所有人员必须提供从业健康证。有相关的专业技能、专业水平。</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8.2.13</w:t>
      </w:r>
      <w:r>
        <w:rPr>
          <w:rFonts w:hint="eastAsia" w:ascii="宋体" w:hAnsi="宋体" w:eastAsia="宋体" w:cs="宋体"/>
          <w:sz w:val="24"/>
          <w:szCs w:val="24"/>
        </w:rPr>
        <w:t>乙方工作人员在工作过程中，若因身体原因或违反操作规程发生意外事故和人身伤害(含第三方人)及工伤的相关的责任损失均由乙方自行承担。</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8.2.14</w:t>
      </w:r>
      <w:r>
        <w:rPr>
          <w:rFonts w:hint="eastAsia" w:ascii="宋体" w:hAnsi="宋体" w:eastAsia="宋体" w:cs="宋体"/>
          <w:sz w:val="24"/>
          <w:szCs w:val="24"/>
        </w:rPr>
        <w:t>食堂主副食材料及调味用品由乙方组织采购，甲方监督</w:t>
      </w:r>
      <w:r>
        <w:rPr>
          <w:rFonts w:hint="eastAsia" w:ascii="宋体" w:hAnsi="宋体" w:eastAsia="宋体" w:cs="宋体"/>
          <w:sz w:val="24"/>
          <w:szCs w:val="24"/>
          <w:lang w:eastAsia="zh-CN"/>
        </w:rPr>
        <w:t>检查</w:t>
      </w:r>
      <w:r>
        <w:rPr>
          <w:rFonts w:hint="eastAsia" w:ascii="宋体" w:hAnsi="宋体" w:eastAsia="宋体" w:cs="宋体"/>
          <w:sz w:val="24"/>
          <w:szCs w:val="24"/>
        </w:rPr>
        <w:t>质量，对采购的食用油、米、面及辅助料进行严格把关。严禁采购“三无”、过期、腐烂变质产品，保证提供的食物新鲜、卫生，并按照卫生防疫部门要求提供相关的证件、检疫报告及有效的票据，供双方检查监督。</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8.2.1</w:t>
      </w:r>
      <w:r>
        <w:rPr>
          <w:rFonts w:hint="eastAsia" w:ascii="宋体" w:hAnsi="宋体" w:cs="宋体"/>
          <w:sz w:val="24"/>
          <w:szCs w:val="24"/>
          <w:lang w:val="en-US" w:eastAsia="zh-CN"/>
        </w:rPr>
        <w:t>5</w:t>
      </w:r>
      <w:r>
        <w:rPr>
          <w:rFonts w:hint="eastAsia" w:ascii="宋体" w:hAnsi="宋体" w:eastAsia="宋体" w:cs="宋体"/>
          <w:sz w:val="24"/>
          <w:szCs w:val="24"/>
        </w:rPr>
        <w:t>乙方务必建立主副食出入库台帐，对每天购进的所有原材料进行登记验收，供甲乙双方进行监督</w:t>
      </w:r>
      <w:r>
        <w:rPr>
          <w:rFonts w:hint="eastAsia" w:ascii="宋体" w:hAnsi="宋体" w:cs="宋体"/>
          <w:sz w:val="24"/>
          <w:szCs w:val="24"/>
          <w:lang w:eastAsia="zh-CN"/>
        </w:rPr>
        <w:t>检查</w:t>
      </w:r>
      <w:r>
        <w:rPr>
          <w:rFonts w:hint="eastAsia" w:ascii="宋体" w:hAnsi="宋体" w:eastAsia="宋体" w:cs="宋体"/>
          <w:sz w:val="24"/>
          <w:szCs w:val="24"/>
        </w:rPr>
        <w:t>。</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8.2.1</w:t>
      </w:r>
      <w:r>
        <w:rPr>
          <w:rFonts w:hint="eastAsia" w:ascii="宋体" w:hAnsi="宋体" w:cs="宋体"/>
          <w:sz w:val="24"/>
          <w:szCs w:val="24"/>
          <w:lang w:val="en-US" w:eastAsia="zh-CN"/>
        </w:rPr>
        <w:t>6</w:t>
      </w:r>
      <w:r>
        <w:rPr>
          <w:rFonts w:hint="eastAsia" w:ascii="宋体" w:hAnsi="宋体" w:eastAsia="宋体" w:cs="宋体"/>
          <w:sz w:val="24"/>
          <w:szCs w:val="24"/>
        </w:rPr>
        <w:t>乙方确保餐厅和操作间的清洁，就餐后的餐具及时清洁、消毒，达到卫生标准，并做好灭蝇、灭蟑、防暑等卫生工作。食品按照标准留样。</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8.2.</w:t>
      </w:r>
      <w:r>
        <w:rPr>
          <w:rFonts w:hint="eastAsia" w:ascii="宋体" w:hAnsi="宋体" w:cs="宋体"/>
          <w:sz w:val="24"/>
          <w:szCs w:val="24"/>
          <w:lang w:val="en-US" w:eastAsia="zh-CN"/>
        </w:rPr>
        <w:t>17</w:t>
      </w:r>
      <w:r>
        <w:rPr>
          <w:rFonts w:hint="eastAsia" w:ascii="宋体" w:hAnsi="宋体" w:eastAsia="宋体" w:cs="宋体"/>
          <w:sz w:val="24"/>
          <w:szCs w:val="24"/>
        </w:rPr>
        <w:t>乙方负责制定防止食物中毒应急预案，并严格执行，同时定期进行演练。若出现食物中毒等事件由乙方付全部责任，并负责诊疗赔偿事宜。</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8.2.1</w:t>
      </w:r>
      <w:r>
        <w:rPr>
          <w:rFonts w:hint="eastAsia" w:ascii="宋体" w:hAnsi="宋体" w:cs="宋体"/>
          <w:sz w:val="24"/>
          <w:szCs w:val="24"/>
          <w:lang w:val="en-US" w:eastAsia="zh-CN"/>
        </w:rPr>
        <w:t>8</w:t>
      </w:r>
      <w:r>
        <w:rPr>
          <w:rFonts w:hint="eastAsia" w:ascii="宋体" w:hAnsi="宋体" w:eastAsia="宋体" w:cs="宋体"/>
          <w:sz w:val="24"/>
          <w:szCs w:val="24"/>
        </w:rPr>
        <w:t>乙方采购的食材</w:t>
      </w:r>
      <w:r>
        <w:rPr>
          <w:rFonts w:hint="eastAsia" w:ascii="宋体" w:hAnsi="宋体" w:cs="宋体"/>
          <w:sz w:val="24"/>
          <w:szCs w:val="24"/>
          <w:lang w:eastAsia="zh-CN"/>
        </w:rPr>
        <w:t>须有固定的采购渠道，</w:t>
      </w:r>
      <w:r>
        <w:rPr>
          <w:rFonts w:hint="eastAsia" w:ascii="宋体" w:hAnsi="宋体" w:eastAsia="宋体" w:cs="宋体"/>
          <w:sz w:val="24"/>
          <w:szCs w:val="24"/>
        </w:rPr>
        <w:t>采购渠道必须符合食品安全法的规定，食材可追溯源头，同时建立食材台帐，索要发票及检验检疫证明，并保证齐全。</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8.2.</w:t>
      </w:r>
      <w:r>
        <w:rPr>
          <w:rFonts w:hint="eastAsia" w:ascii="宋体" w:hAnsi="宋体" w:cs="宋体"/>
          <w:sz w:val="24"/>
          <w:szCs w:val="24"/>
          <w:lang w:val="en-US" w:eastAsia="zh-CN"/>
        </w:rPr>
        <w:t>19</w:t>
      </w:r>
      <w:r>
        <w:rPr>
          <w:rFonts w:hint="eastAsia" w:ascii="宋体" w:hAnsi="宋体" w:eastAsia="宋体" w:cs="宋体"/>
          <w:sz w:val="24"/>
          <w:szCs w:val="24"/>
        </w:rPr>
        <w:t>乙方应保持经营场所环境整洁，符合卫生要求。配合甲方清理各类废弃物，保障食堂门前道路、环境，噪声等符合要求。</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8.2.</w:t>
      </w:r>
      <w:r>
        <w:rPr>
          <w:rFonts w:hint="eastAsia" w:ascii="宋体" w:hAnsi="宋体" w:cs="宋体"/>
          <w:sz w:val="24"/>
          <w:szCs w:val="24"/>
          <w:lang w:val="en-US" w:eastAsia="zh-CN"/>
        </w:rPr>
        <w:t>20</w:t>
      </w:r>
      <w:r>
        <w:rPr>
          <w:rFonts w:hint="eastAsia" w:ascii="宋体" w:hAnsi="宋体" w:eastAsia="宋体" w:cs="宋体"/>
          <w:sz w:val="24"/>
          <w:szCs w:val="24"/>
        </w:rPr>
        <w:t>乙方必须制定对管理区域内的消毒，照明，通风，防暑，防疫，灭“四害”、消防，污水排放等设施的管理制度，严格执行，特别是就餐区的保洁，防疫消毒等工作，必须按照防疫要求严格执行。严禁把有害有毒物品带入工作区或就餐区域内</w:t>
      </w:r>
      <w:r>
        <w:rPr>
          <w:rFonts w:hint="eastAsia" w:ascii="宋体" w:hAnsi="宋体" w:cs="宋体"/>
          <w:sz w:val="24"/>
          <w:szCs w:val="24"/>
          <w:lang w:eastAsia="zh-CN"/>
        </w:rPr>
        <w:t>。</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8.2.</w:t>
      </w:r>
      <w:r>
        <w:rPr>
          <w:rFonts w:hint="eastAsia" w:ascii="宋体" w:hAnsi="宋体" w:cs="宋体"/>
          <w:sz w:val="24"/>
          <w:szCs w:val="24"/>
          <w:lang w:val="en-US" w:eastAsia="zh-CN"/>
        </w:rPr>
        <w:t>21</w:t>
      </w:r>
      <w:r>
        <w:rPr>
          <w:rFonts w:hint="eastAsia" w:ascii="宋体" w:hAnsi="宋体" w:eastAsia="宋体" w:cs="宋体"/>
          <w:sz w:val="24"/>
          <w:szCs w:val="24"/>
        </w:rPr>
        <w:t>乙方必须严把供货食材验收及储存关。食品储存应当分类、分架，隔墙离地存放，定期检查，及时处理变质或超过保质期的食品。用于保存食品的冷藏设备，必须贴有标识，生食品、半成品和熟食应按照食品安全法要求分</w:t>
      </w:r>
      <w:r>
        <w:rPr>
          <w:rFonts w:hint="eastAsia" w:ascii="宋体" w:hAnsi="宋体" w:cs="宋体"/>
          <w:sz w:val="24"/>
          <w:szCs w:val="24"/>
          <w:lang w:eastAsia="zh-CN"/>
        </w:rPr>
        <w:t>盒</w:t>
      </w:r>
      <w:r>
        <w:rPr>
          <w:rFonts w:hint="eastAsia" w:ascii="宋体" w:hAnsi="宋体" w:eastAsia="宋体" w:cs="宋体"/>
          <w:sz w:val="24"/>
          <w:szCs w:val="24"/>
        </w:rPr>
        <w:t>存入冰箱。食堂剩余食品必须冷藏，冷藏时间不得超过24小时，在确认没有变质的情况下，必须经高温彻底加热后，方可继续供应。</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w:t>
      </w:r>
      <w:r>
        <w:rPr>
          <w:rFonts w:hint="eastAsia" w:ascii="宋体" w:hAnsi="宋体" w:cs="宋体"/>
          <w:sz w:val="24"/>
          <w:szCs w:val="24"/>
          <w:lang w:val="en-US" w:eastAsia="zh-CN"/>
        </w:rPr>
        <w:t>22</w:t>
      </w:r>
      <w:r>
        <w:rPr>
          <w:rFonts w:hint="eastAsia" w:ascii="宋体" w:hAnsi="宋体" w:eastAsia="宋体" w:cs="宋体"/>
          <w:sz w:val="24"/>
          <w:szCs w:val="24"/>
        </w:rPr>
        <w:t>乙方必须在操作间及就餐区，按照垃圾分类管理的要求，使用符合要求的容器存放各类废弃物，并且保证存放容器定期消毒，每天必须清理干净。</w:t>
      </w:r>
      <w:r>
        <w:rPr>
          <w:rFonts w:hint="eastAsia" w:ascii="宋体" w:hAnsi="宋体" w:eastAsia="宋体" w:cs="宋体"/>
          <w:sz w:val="24"/>
          <w:szCs w:val="24"/>
          <w:lang w:val="en-US" w:eastAsia="zh-CN"/>
        </w:rPr>
        <w:t>每月定期清理排烟、化油除油设施。</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8.2.</w:t>
      </w:r>
      <w:r>
        <w:rPr>
          <w:rFonts w:hint="eastAsia" w:ascii="宋体" w:hAnsi="宋体" w:cs="宋体"/>
          <w:sz w:val="24"/>
          <w:szCs w:val="24"/>
          <w:lang w:val="en-US" w:eastAsia="zh-CN"/>
        </w:rPr>
        <w:t>23</w:t>
      </w:r>
      <w:r>
        <w:rPr>
          <w:rFonts w:hint="eastAsia" w:ascii="宋体" w:hAnsi="宋体" w:eastAsia="宋体" w:cs="宋体"/>
          <w:sz w:val="24"/>
          <w:szCs w:val="24"/>
          <w:lang w:val="en-US" w:eastAsia="zh-CN"/>
        </w:rPr>
        <w:t>乙方按照要求时间每天准时开餐，若因特殊原因不能准时开餐的，需要提前通知甲方。</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 违约</w:t>
      </w:r>
      <w:r>
        <w:rPr>
          <w:rFonts w:hint="eastAsia" w:ascii="宋体" w:hAnsi="宋体" w:eastAsia="宋体" w:cs="宋体"/>
          <w:sz w:val="24"/>
          <w:szCs w:val="24"/>
          <w:lang w:val="en-US" w:eastAsia="zh-CN"/>
        </w:rPr>
        <w:t>责任</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.1如果</w:t>
      </w:r>
      <w:r>
        <w:rPr>
          <w:rFonts w:hint="eastAsia" w:ascii="宋体" w:hAnsi="宋体" w:eastAsia="宋体" w:cs="宋体"/>
          <w:sz w:val="24"/>
          <w:szCs w:val="24"/>
          <w:lang w:eastAsia="zh-CN"/>
        </w:rPr>
        <w:t>乙方</w:t>
      </w:r>
      <w:r>
        <w:rPr>
          <w:rFonts w:hint="eastAsia" w:ascii="宋体" w:hAnsi="宋体" w:eastAsia="宋体" w:cs="宋体"/>
          <w:sz w:val="24"/>
          <w:szCs w:val="24"/>
        </w:rPr>
        <w:t>没有按照规定的时间完成服务，或没有达到投标文件中任一条款的承诺都是</w:t>
      </w:r>
      <w:r>
        <w:rPr>
          <w:rFonts w:hint="eastAsia" w:ascii="宋体" w:hAnsi="宋体" w:eastAsia="宋体" w:cs="宋体"/>
          <w:sz w:val="24"/>
          <w:szCs w:val="24"/>
          <w:lang w:eastAsia="zh-CN"/>
        </w:rPr>
        <w:t>乙方</w:t>
      </w:r>
      <w:r>
        <w:rPr>
          <w:rFonts w:hint="eastAsia" w:ascii="宋体" w:hAnsi="宋体" w:cs="宋体"/>
          <w:color w:val="auto"/>
          <w:sz w:val="24"/>
          <w:szCs w:val="24"/>
        </w:rPr>
        <w:t>违约。应向</w:t>
      </w:r>
      <w:r>
        <w:rPr>
          <w:rFonts w:hint="eastAsia" w:ascii="宋体" w:hAnsi="宋体" w:cs="宋体"/>
          <w:color w:val="auto"/>
          <w:sz w:val="24"/>
          <w:szCs w:val="24"/>
          <w:lang w:eastAsia="zh-CN"/>
        </w:rPr>
        <w:t>甲方</w:t>
      </w:r>
      <w:r>
        <w:rPr>
          <w:rFonts w:hint="eastAsia" w:ascii="宋体" w:hAnsi="宋体" w:cs="宋体"/>
          <w:color w:val="auto"/>
          <w:sz w:val="24"/>
          <w:szCs w:val="24"/>
        </w:rPr>
        <w:t>支付的</w:t>
      </w:r>
      <w:r>
        <w:rPr>
          <w:rFonts w:hint="eastAsia" w:ascii="宋体" w:hAnsi="宋体" w:cs="宋体"/>
          <w:color w:val="auto"/>
          <w:sz w:val="24"/>
          <w:szCs w:val="24"/>
          <w:u w:val="single"/>
        </w:rPr>
        <w:t xml:space="preserve">     </w:t>
      </w:r>
      <w:r>
        <w:rPr>
          <w:rFonts w:hint="eastAsia" w:ascii="宋体" w:hAnsi="宋体" w:cs="宋体"/>
          <w:color w:val="auto"/>
          <w:sz w:val="24"/>
          <w:szCs w:val="24"/>
        </w:rPr>
        <w:t>的违约金。如果达到最高限额，</w:t>
      </w:r>
      <w:r>
        <w:rPr>
          <w:rFonts w:hint="eastAsia" w:ascii="宋体" w:hAnsi="宋体" w:eastAsia="宋体" w:cs="宋体"/>
          <w:sz w:val="24"/>
          <w:szCs w:val="24"/>
          <w:lang w:eastAsia="zh-CN"/>
        </w:rPr>
        <w:t>甲方</w:t>
      </w:r>
      <w:r>
        <w:rPr>
          <w:rFonts w:hint="eastAsia" w:ascii="宋体" w:hAnsi="宋体" w:eastAsia="宋体" w:cs="宋体"/>
          <w:sz w:val="24"/>
          <w:szCs w:val="24"/>
        </w:rPr>
        <w:t>将考虑终止合同。</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除本合同另有约定外，乙方未能履行本合同约定的义务，甲方有权要求乙方限期整改。如在甲方要求的整改期限内，乙方未能按甲方的要求进行整改，甲方有权单方终止合同，并有权要求乙方赔偿甲方因此遭受的一切损失。乙方承担提前终止合同的一切法律和经济责任。</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因乙方原因，需终止合同时，乙方必须提前一个月向甲方提出书面请求，未获得甲方同意乙方应按本合同要求继续提供饮食服务，不得擅自离场，否则所有的责任和损失均由乙方承担。甲方应在接到乙方书面请求后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天内给予明确答复，超过</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天未答复的，乙方视同甲方同意终止合同。乙方投入的设施设备作为违约补偿归甲方所有，且乙方仍需承担违约责任。</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9.4乙方应按照合同的约定保质、保量、按时为甲方员工提供餐饮服务，不得影响单位员工的正常工作和生活秩序，如因乙方的失误，不能正常提供餐饮服务，影响各单位正常的工作和秩序的，甲方有权向乙方追偿损失。</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9.5甲方应支持乙方开展正常经营服务，如因甲方的重大过失，造成乙方无法正常开展服务经营活动，乙方有权要求甲方赔偿经济损失。</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 不可抗力</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.1 如果双方任何一方由于战争、严重的火灾、水灾、台风和地震以及其他双方同意属于不可抗力的</w:t>
      </w:r>
      <w:r>
        <w:rPr>
          <w:rFonts w:hint="eastAsia" w:ascii="宋体" w:hAnsi="宋体" w:cs="宋体"/>
          <w:color w:val="auto"/>
          <w:sz w:val="24"/>
          <w:szCs w:val="24"/>
        </w:rPr>
        <w:t>事故，致使合同的履行受到影响时，履行合同的期限应予</w:t>
      </w:r>
      <w:r>
        <w:rPr>
          <w:rFonts w:hint="eastAsia" w:ascii="宋体" w:hAnsi="宋体" w:eastAsia="宋体" w:cs="宋体"/>
          <w:sz w:val="24"/>
          <w:szCs w:val="24"/>
        </w:rPr>
        <w:t>以延长，延长的期限应相当于事故所影响的时间。</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.2 受事故</w:t>
      </w:r>
      <w:r>
        <w:rPr>
          <w:rFonts w:hint="eastAsia" w:ascii="宋体" w:hAnsi="宋体" w:cs="宋体"/>
          <w:color w:val="auto"/>
          <w:sz w:val="24"/>
          <w:szCs w:val="24"/>
        </w:rPr>
        <w:t>影响的一方应在不可抗力发生后尽快以传真通知另一方，并在事故发生后</w:t>
      </w:r>
      <w:r>
        <w:rPr>
          <w:rFonts w:hint="eastAsia" w:ascii="宋体" w:hAnsi="宋体" w:cs="宋体"/>
          <w:color w:val="auto"/>
          <w:sz w:val="24"/>
          <w:szCs w:val="24"/>
          <w:u w:val="single"/>
        </w:rPr>
        <w:t xml:space="preserve">    </w:t>
      </w:r>
      <w:r>
        <w:rPr>
          <w:rFonts w:hint="eastAsia" w:ascii="宋体" w:hAnsi="宋体" w:cs="宋体"/>
          <w:color w:val="auto"/>
          <w:sz w:val="24"/>
          <w:szCs w:val="24"/>
        </w:rPr>
        <w:t>天内，将有关部门出具的证明文件用特快专递寄给另一方，如果不可抗力影响时间延续</w:t>
      </w:r>
      <w:r>
        <w:rPr>
          <w:rFonts w:hint="eastAsia" w:ascii="宋体" w:hAnsi="宋体" w:cs="宋体"/>
          <w:color w:val="auto"/>
          <w:sz w:val="24"/>
          <w:szCs w:val="24"/>
          <w:u w:val="single"/>
        </w:rPr>
        <w:t xml:space="preserve">     </w:t>
      </w:r>
      <w:r>
        <w:rPr>
          <w:rFonts w:hint="eastAsia" w:ascii="宋体" w:hAnsi="宋体" w:cs="宋体"/>
          <w:color w:val="auto"/>
          <w:sz w:val="24"/>
          <w:szCs w:val="24"/>
        </w:rPr>
        <w:t>天以上时，双方应通过友好协商在合理的时间内达成进一</w:t>
      </w:r>
      <w:r>
        <w:rPr>
          <w:rFonts w:hint="eastAsia" w:ascii="宋体" w:hAnsi="宋体" w:eastAsia="宋体" w:cs="宋体"/>
          <w:sz w:val="24"/>
          <w:szCs w:val="24"/>
        </w:rPr>
        <w:t>步履行合同的协议。</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税费</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.1 本合同价格</w:t>
      </w:r>
      <w:r>
        <w:rPr>
          <w:rFonts w:hint="eastAsia" w:ascii="宋体" w:hAnsi="宋体" w:cs="宋体"/>
          <w:color w:val="auto"/>
          <w:sz w:val="24"/>
          <w:szCs w:val="24"/>
        </w:rPr>
        <w:t>为含税价。</w:t>
      </w:r>
      <w:r>
        <w:rPr>
          <w:rFonts w:hint="eastAsia" w:ascii="宋体" w:hAnsi="宋体" w:cs="宋体"/>
          <w:color w:val="auto"/>
          <w:sz w:val="24"/>
          <w:szCs w:val="24"/>
          <w:lang w:eastAsia="zh-CN"/>
        </w:rPr>
        <w:t>乙方</w:t>
      </w:r>
      <w:r>
        <w:rPr>
          <w:rFonts w:hint="eastAsia" w:ascii="宋体" w:hAnsi="宋体" w:cs="宋体"/>
          <w:color w:val="auto"/>
          <w:sz w:val="24"/>
          <w:szCs w:val="24"/>
        </w:rPr>
        <w:t>提供的服务等所有税费已全部包含在合同</w:t>
      </w:r>
      <w:r>
        <w:rPr>
          <w:rFonts w:hint="eastAsia" w:ascii="宋体" w:hAnsi="宋体" w:eastAsia="宋体" w:cs="宋体"/>
          <w:sz w:val="24"/>
          <w:szCs w:val="24"/>
        </w:rPr>
        <w:t>价格内，由</w:t>
      </w:r>
      <w:r>
        <w:rPr>
          <w:rFonts w:hint="eastAsia" w:ascii="宋体" w:hAnsi="宋体" w:eastAsia="宋体" w:cs="宋体"/>
          <w:sz w:val="24"/>
          <w:szCs w:val="24"/>
          <w:lang w:eastAsia="zh-CN"/>
        </w:rPr>
        <w:t>乙方</w:t>
      </w:r>
      <w:r>
        <w:rPr>
          <w:rFonts w:hint="eastAsia" w:ascii="宋体" w:hAnsi="宋体" w:eastAsia="宋体" w:cs="宋体"/>
          <w:sz w:val="24"/>
          <w:szCs w:val="24"/>
        </w:rPr>
        <w:t>承担。</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合同争议的解决</w:t>
      </w:r>
    </w:p>
    <w:p>
      <w:pPr>
        <w:keepNext w:val="0"/>
        <w:keepLines w:val="0"/>
        <w:pageBreakBefore w:val="0"/>
        <w:widowControl/>
        <w:tabs>
          <w:tab w:val="left" w:pos="2460"/>
          <w:tab w:val="left" w:pos="5539"/>
          <w:tab w:val="left" w:pos="5995"/>
          <w:tab w:val="left" w:pos="7398"/>
          <w:tab w:val="left" w:pos="8469"/>
          <w:tab w:val="left" w:pos="9619"/>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 在执行本合同中所发生的或与本合同有关一切争端，买卖双方通过友好协商解决，如协商不能解决，双</w:t>
      </w:r>
      <w:r>
        <w:rPr>
          <w:rFonts w:hint="eastAsia" w:ascii="宋体" w:hAnsi="宋体" w:cs="宋体"/>
          <w:color w:val="auto"/>
          <w:sz w:val="24"/>
          <w:szCs w:val="24"/>
        </w:rPr>
        <w:t>方应将争端提交</w:t>
      </w:r>
      <w:r>
        <w:rPr>
          <w:rFonts w:hint="eastAsia" w:ascii="宋体" w:hAnsi="宋体" w:cs="宋体"/>
          <w:color w:val="333333"/>
          <w:sz w:val="24"/>
          <w:szCs w:val="24"/>
        </w:rPr>
        <w:t>人民法院</w:t>
      </w:r>
      <w:r>
        <w:rPr>
          <w:rFonts w:hint="eastAsia" w:ascii="宋体" w:hAnsi="宋体" w:cs="宋体"/>
          <w:color w:val="auto"/>
          <w:sz w:val="24"/>
          <w:szCs w:val="24"/>
        </w:rPr>
        <w:t>诉讼解决。</w:t>
      </w:r>
    </w:p>
    <w:p>
      <w:pPr>
        <w:pStyle w:val="104"/>
        <w:spacing w:line="500" w:lineRule="exact"/>
        <w:ind w:firstLine="480" w:firstLineChars="200"/>
        <w:jc w:val="both"/>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2</w:t>
      </w:r>
      <w:r>
        <w:rPr>
          <w:rFonts w:hint="eastAsia" w:ascii="宋体" w:hAnsi="宋体" w:cs="宋体"/>
          <w:color w:val="auto"/>
          <w:sz w:val="24"/>
          <w:szCs w:val="24"/>
        </w:rPr>
        <w:t>.2 法院判决对双方均有约束力。</w:t>
      </w:r>
    </w:p>
    <w:p>
      <w:pPr>
        <w:pStyle w:val="104"/>
        <w:spacing w:line="500" w:lineRule="exact"/>
        <w:ind w:firstLine="480" w:firstLineChars="200"/>
        <w:jc w:val="both"/>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2</w:t>
      </w:r>
      <w:r>
        <w:rPr>
          <w:rFonts w:hint="eastAsia" w:ascii="宋体" w:hAnsi="宋体" w:cs="宋体"/>
          <w:color w:val="auto"/>
          <w:sz w:val="24"/>
          <w:szCs w:val="24"/>
        </w:rPr>
        <w:t>.3 由上述过程发生的费用除法院判决另有规定外，应有败诉方负担。</w:t>
      </w:r>
    </w:p>
    <w:p>
      <w:pPr>
        <w:pStyle w:val="104"/>
        <w:spacing w:line="500" w:lineRule="exact"/>
        <w:ind w:firstLine="480" w:firstLineChars="200"/>
        <w:jc w:val="both"/>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2</w:t>
      </w:r>
      <w:r>
        <w:rPr>
          <w:rFonts w:hint="eastAsia" w:ascii="宋体" w:hAnsi="宋体" w:cs="宋体"/>
          <w:color w:val="auto"/>
          <w:sz w:val="24"/>
          <w:szCs w:val="24"/>
        </w:rPr>
        <w:t>.4 在法院审理期间，除正在进行法院审理的部分外，本合同其他部分应继续执行。</w:t>
      </w:r>
    </w:p>
    <w:p>
      <w:pPr>
        <w:pStyle w:val="104"/>
        <w:spacing w:line="500" w:lineRule="exact"/>
        <w:ind w:firstLine="480" w:firstLineChars="200"/>
        <w:jc w:val="both"/>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3</w:t>
      </w:r>
      <w:r>
        <w:rPr>
          <w:rFonts w:hint="eastAsia" w:ascii="宋体" w:hAnsi="宋体" w:cs="宋体"/>
          <w:color w:val="auto"/>
          <w:sz w:val="24"/>
          <w:szCs w:val="24"/>
        </w:rPr>
        <w:t>. 违约终止合同</w:t>
      </w:r>
    </w:p>
    <w:p>
      <w:pPr>
        <w:pStyle w:val="104"/>
        <w:spacing w:line="500" w:lineRule="exact"/>
        <w:ind w:firstLine="480" w:firstLineChars="200"/>
        <w:jc w:val="both"/>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3</w:t>
      </w:r>
      <w:r>
        <w:rPr>
          <w:rFonts w:hint="eastAsia" w:ascii="宋体" w:hAnsi="宋体" w:cs="宋体"/>
          <w:color w:val="auto"/>
          <w:sz w:val="24"/>
          <w:szCs w:val="24"/>
        </w:rPr>
        <w:t>.1 在</w:t>
      </w:r>
      <w:r>
        <w:rPr>
          <w:rFonts w:hint="eastAsia" w:ascii="宋体" w:hAnsi="宋体" w:cs="宋体"/>
          <w:color w:val="auto"/>
          <w:sz w:val="24"/>
          <w:szCs w:val="24"/>
          <w:lang w:eastAsia="zh-CN"/>
        </w:rPr>
        <w:t>甲方</w:t>
      </w:r>
      <w:r>
        <w:rPr>
          <w:rFonts w:hint="eastAsia" w:ascii="宋体" w:hAnsi="宋体" w:cs="宋体"/>
          <w:color w:val="auto"/>
          <w:sz w:val="24"/>
          <w:szCs w:val="24"/>
        </w:rPr>
        <w:t>对因</w:t>
      </w:r>
      <w:r>
        <w:rPr>
          <w:rFonts w:hint="eastAsia" w:ascii="宋体" w:hAnsi="宋体" w:cs="宋体"/>
          <w:color w:val="auto"/>
          <w:sz w:val="24"/>
          <w:szCs w:val="24"/>
          <w:lang w:eastAsia="zh-CN"/>
        </w:rPr>
        <w:t>乙方</w:t>
      </w:r>
      <w:r>
        <w:rPr>
          <w:rFonts w:hint="eastAsia" w:ascii="宋体" w:hAnsi="宋体" w:cs="宋体"/>
          <w:color w:val="auto"/>
          <w:sz w:val="24"/>
          <w:szCs w:val="24"/>
        </w:rPr>
        <w:t>违约而采取的任何补救不受损害的情况下，</w:t>
      </w:r>
      <w:r>
        <w:rPr>
          <w:rFonts w:hint="eastAsia" w:ascii="宋体" w:hAnsi="宋体" w:cs="宋体"/>
          <w:color w:val="auto"/>
          <w:sz w:val="24"/>
          <w:szCs w:val="24"/>
          <w:lang w:eastAsia="zh-CN"/>
        </w:rPr>
        <w:t>甲方</w:t>
      </w:r>
      <w:r>
        <w:rPr>
          <w:rFonts w:hint="eastAsia" w:ascii="宋体" w:hAnsi="宋体" w:cs="宋体"/>
          <w:color w:val="auto"/>
          <w:sz w:val="24"/>
          <w:szCs w:val="24"/>
        </w:rPr>
        <w:t>可向</w:t>
      </w:r>
      <w:r>
        <w:rPr>
          <w:rFonts w:hint="eastAsia" w:ascii="宋体" w:hAnsi="宋体" w:cs="宋体"/>
          <w:color w:val="auto"/>
          <w:sz w:val="24"/>
          <w:szCs w:val="24"/>
          <w:lang w:eastAsia="zh-CN"/>
        </w:rPr>
        <w:t>乙方</w:t>
      </w:r>
      <w:r>
        <w:rPr>
          <w:rFonts w:hint="eastAsia" w:ascii="宋体" w:hAnsi="宋体" w:cs="宋体"/>
          <w:color w:val="auto"/>
          <w:sz w:val="24"/>
          <w:szCs w:val="24"/>
        </w:rPr>
        <w:t>发出终止部分或全部合同的书面通知书。</w:t>
      </w:r>
    </w:p>
    <w:p>
      <w:pPr>
        <w:pStyle w:val="104"/>
        <w:spacing w:line="500" w:lineRule="exact"/>
        <w:ind w:firstLine="544"/>
        <w:jc w:val="both"/>
        <w:rPr>
          <w:rFonts w:hint="eastAsia" w:ascii="宋体" w:hAnsi="宋体" w:cs="宋体"/>
          <w:color w:val="auto"/>
          <w:sz w:val="24"/>
          <w:szCs w:val="24"/>
        </w:rPr>
      </w:pPr>
      <w:r>
        <w:rPr>
          <w:rFonts w:hint="eastAsia" w:ascii="宋体" w:hAnsi="宋体" w:cs="宋体"/>
          <w:color w:val="auto"/>
          <w:sz w:val="24"/>
          <w:szCs w:val="24"/>
        </w:rPr>
        <w:t>A.如果</w:t>
      </w:r>
      <w:r>
        <w:rPr>
          <w:rFonts w:hint="eastAsia" w:ascii="宋体" w:hAnsi="宋体" w:cs="宋体"/>
          <w:color w:val="auto"/>
          <w:sz w:val="24"/>
          <w:szCs w:val="24"/>
          <w:lang w:eastAsia="zh-CN"/>
        </w:rPr>
        <w:t>乙方</w:t>
      </w:r>
      <w:r>
        <w:rPr>
          <w:rFonts w:hint="eastAsia" w:ascii="宋体" w:hAnsi="宋体" w:cs="宋体"/>
          <w:color w:val="auto"/>
          <w:sz w:val="24"/>
          <w:szCs w:val="24"/>
        </w:rPr>
        <w:t>未能按合同规定的期限或</w:t>
      </w:r>
      <w:r>
        <w:rPr>
          <w:rFonts w:hint="eastAsia" w:ascii="宋体" w:hAnsi="宋体" w:cs="宋体"/>
          <w:color w:val="auto"/>
          <w:sz w:val="24"/>
          <w:szCs w:val="24"/>
          <w:lang w:eastAsia="zh-CN"/>
        </w:rPr>
        <w:t>甲方</w:t>
      </w:r>
      <w:r>
        <w:rPr>
          <w:rFonts w:hint="eastAsia" w:ascii="宋体" w:hAnsi="宋体" w:cs="宋体"/>
          <w:color w:val="auto"/>
          <w:sz w:val="24"/>
          <w:szCs w:val="24"/>
        </w:rPr>
        <w:t>同意延长的限期内提供部分或者全部服务。</w:t>
      </w:r>
    </w:p>
    <w:p>
      <w:pPr>
        <w:pStyle w:val="104"/>
        <w:spacing w:line="500" w:lineRule="exact"/>
        <w:ind w:firstLine="544"/>
        <w:jc w:val="both"/>
        <w:rPr>
          <w:rFonts w:hint="eastAsia" w:ascii="宋体" w:hAnsi="宋体" w:cs="宋体"/>
          <w:color w:val="auto"/>
          <w:sz w:val="24"/>
          <w:szCs w:val="24"/>
        </w:rPr>
      </w:pPr>
      <w:r>
        <w:rPr>
          <w:rFonts w:hint="eastAsia" w:ascii="宋体" w:hAnsi="宋体" w:cs="宋体"/>
          <w:color w:val="auto"/>
          <w:sz w:val="24"/>
          <w:szCs w:val="24"/>
        </w:rPr>
        <w:t>B.如果</w:t>
      </w:r>
      <w:r>
        <w:rPr>
          <w:rFonts w:hint="eastAsia" w:ascii="宋体" w:hAnsi="宋体" w:cs="宋体"/>
          <w:color w:val="auto"/>
          <w:sz w:val="24"/>
          <w:szCs w:val="24"/>
          <w:lang w:eastAsia="zh-CN"/>
        </w:rPr>
        <w:t>乙方</w:t>
      </w:r>
      <w:r>
        <w:rPr>
          <w:rFonts w:hint="eastAsia" w:ascii="宋体" w:hAnsi="宋体" w:cs="宋体"/>
          <w:color w:val="auto"/>
          <w:sz w:val="24"/>
          <w:szCs w:val="24"/>
        </w:rPr>
        <w:t>未能履行合同规定的其他任何义务。</w:t>
      </w:r>
    </w:p>
    <w:p>
      <w:pPr>
        <w:pStyle w:val="104"/>
        <w:spacing w:line="500" w:lineRule="exact"/>
        <w:ind w:firstLine="560"/>
        <w:jc w:val="both"/>
        <w:rPr>
          <w:rFonts w:hint="eastAsia" w:ascii="宋体" w:hAnsi="宋体" w:cs="宋体"/>
          <w:color w:val="auto"/>
          <w:sz w:val="24"/>
          <w:szCs w:val="24"/>
        </w:rPr>
      </w:pPr>
      <w:r>
        <w:rPr>
          <w:rFonts w:hint="eastAsia" w:ascii="宋体" w:hAnsi="宋体" w:cs="宋体"/>
          <w:color w:val="auto"/>
          <w:sz w:val="24"/>
          <w:szCs w:val="24"/>
        </w:rPr>
        <w:t>在上述任一情况下，</w:t>
      </w:r>
      <w:r>
        <w:rPr>
          <w:rFonts w:hint="eastAsia" w:ascii="宋体" w:hAnsi="宋体" w:cs="宋体"/>
          <w:color w:val="auto"/>
          <w:sz w:val="24"/>
          <w:szCs w:val="24"/>
          <w:lang w:eastAsia="zh-CN"/>
        </w:rPr>
        <w:t>乙方</w:t>
      </w:r>
      <w:r>
        <w:rPr>
          <w:rFonts w:hint="eastAsia" w:ascii="宋体" w:hAnsi="宋体" w:cs="宋体"/>
          <w:color w:val="auto"/>
          <w:sz w:val="24"/>
          <w:szCs w:val="24"/>
        </w:rPr>
        <w:t>在收到</w:t>
      </w:r>
      <w:r>
        <w:rPr>
          <w:rFonts w:hint="eastAsia" w:ascii="宋体" w:hAnsi="宋体" w:cs="宋体"/>
          <w:color w:val="auto"/>
          <w:sz w:val="24"/>
          <w:szCs w:val="24"/>
          <w:lang w:eastAsia="zh-CN"/>
        </w:rPr>
        <w:t>甲方</w:t>
      </w:r>
      <w:r>
        <w:rPr>
          <w:rFonts w:hint="eastAsia" w:ascii="宋体" w:hAnsi="宋体" w:cs="宋体"/>
          <w:color w:val="auto"/>
          <w:sz w:val="24"/>
          <w:szCs w:val="24"/>
        </w:rPr>
        <w:t>发出的违约通知后</w:t>
      </w:r>
      <w:r>
        <w:rPr>
          <w:rFonts w:hint="eastAsia" w:ascii="宋体" w:hAnsi="宋体" w:cs="宋体"/>
          <w:color w:val="auto"/>
          <w:sz w:val="24"/>
          <w:szCs w:val="24"/>
          <w:u w:val="single"/>
        </w:rPr>
        <w:t xml:space="preserve">    </w:t>
      </w:r>
      <w:r>
        <w:rPr>
          <w:rFonts w:hint="eastAsia" w:ascii="宋体" w:hAnsi="宋体" w:cs="宋体"/>
          <w:color w:val="auto"/>
          <w:sz w:val="24"/>
          <w:szCs w:val="24"/>
        </w:rPr>
        <w:t>天内，或经</w:t>
      </w:r>
      <w:r>
        <w:rPr>
          <w:rFonts w:hint="eastAsia" w:ascii="宋体" w:hAnsi="宋体" w:cs="宋体"/>
          <w:color w:val="auto"/>
          <w:sz w:val="24"/>
          <w:szCs w:val="24"/>
          <w:lang w:eastAsia="zh-CN"/>
        </w:rPr>
        <w:t>甲方</w:t>
      </w:r>
      <w:r>
        <w:rPr>
          <w:rFonts w:hint="eastAsia" w:ascii="宋体" w:hAnsi="宋体" w:cs="宋体"/>
          <w:color w:val="auto"/>
          <w:sz w:val="24"/>
          <w:szCs w:val="24"/>
        </w:rPr>
        <w:t>书面认可延长的时间内未能矫正其过失。</w:t>
      </w:r>
    </w:p>
    <w:p>
      <w:pPr>
        <w:pStyle w:val="107"/>
        <w:spacing w:line="500" w:lineRule="exact"/>
        <w:ind w:firstLine="480" w:firstLineChars="200"/>
        <w:rPr>
          <w:rFonts w:hint="eastAsia" w:ascii="宋体" w:hAnsi="宋体" w:cs="宋体"/>
          <w:b/>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3</w:t>
      </w:r>
      <w:r>
        <w:rPr>
          <w:rFonts w:hint="eastAsia" w:ascii="宋体" w:hAnsi="宋体" w:cs="宋体"/>
          <w:color w:val="auto"/>
          <w:sz w:val="24"/>
          <w:szCs w:val="24"/>
        </w:rPr>
        <w:t>.2 在</w:t>
      </w:r>
      <w:r>
        <w:rPr>
          <w:rFonts w:hint="eastAsia" w:ascii="宋体" w:hAnsi="宋体" w:cs="宋体"/>
          <w:color w:val="auto"/>
          <w:sz w:val="24"/>
          <w:szCs w:val="24"/>
          <w:lang w:eastAsia="zh-CN"/>
        </w:rPr>
        <w:t>甲方</w:t>
      </w:r>
      <w:r>
        <w:rPr>
          <w:rFonts w:hint="eastAsia" w:ascii="宋体" w:hAnsi="宋体" w:cs="宋体"/>
          <w:color w:val="auto"/>
          <w:sz w:val="24"/>
          <w:szCs w:val="24"/>
        </w:rPr>
        <w:t>根据12.1条规定，终止了全部或部分合同，</w:t>
      </w:r>
      <w:r>
        <w:rPr>
          <w:rFonts w:hint="eastAsia" w:ascii="宋体" w:hAnsi="宋体" w:cs="宋体"/>
          <w:color w:val="auto"/>
          <w:sz w:val="24"/>
          <w:szCs w:val="24"/>
          <w:lang w:eastAsia="zh-CN"/>
        </w:rPr>
        <w:t>甲方</w:t>
      </w:r>
      <w:r>
        <w:rPr>
          <w:rFonts w:hint="eastAsia" w:ascii="宋体" w:hAnsi="宋体" w:cs="宋体"/>
          <w:color w:val="auto"/>
          <w:sz w:val="24"/>
          <w:szCs w:val="24"/>
        </w:rPr>
        <w:t>可以依其认为适当的条件和方法购买类似未交的服务，</w:t>
      </w:r>
      <w:r>
        <w:rPr>
          <w:rFonts w:hint="eastAsia" w:ascii="宋体" w:hAnsi="宋体" w:cs="宋体"/>
          <w:color w:val="auto"/>
          <w:sz w:val="24"/>
          <w:szCs w:val="24"/>
          <w:lang w:eastAsia="zh-CN"/>
        </w:rPr>
        <w:t>乙方</w:t>
      </w:r>
      <w:r>
        <w:rPr>
          <w:rFonts w:hint="eastAsia" w:ascii="宋体" w:hAnsi="宋体" w:cs="宋体"/>
          <w:color w:val="auto"/>
          <w:sz w:val="24"/>
          <w:szCs w:val="24"/>
        </w:rPr>
        <w:t>应对购买类似服务所超出的费用部分负责。但是，</w:t>
      </w:r>
      <w:r>
        <w:rPr>
          <w:rFonts w:hint="eastAsia" w:ascii="宋体" w:hAnsi="宋体" w:cs="宋体"/>
          <w:color w:val="auto"/>
          <w:sz w:val="24"/>
          <w:szCs w:val="24"/>
          <w:lang w:eastAsia="zh-CN"/>
        </w:rPr>
        <w:t>乙方</w:t>
      </w:r>
      <w:r>
        <w:rPr>
          <w:rFonts w:hint="eastAsia" w:ascii="宋体" w:hAnsi="宋体" w:cs="宋体"/>
          <w:color w:val="auto"/>
          <w:sz w:val="24"/>
          <w:szCs w:val="24"/>
        </w:rPr>
        <w:t>应继续执行合同中未终止部分。</w:t>
      </w:r>
    </w:p>
    <w:p>
      <w:pPr>
        <w:pStyle w:val="104"/>
        <w:spacing w:line="500" w:lineRule="exact"/>
        <w:ind w:firstLine="480" w:firstLineChars="200"/>
        <w:jc w:val="both"/>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4</w:t>
      </w:r>
      <w:r>
        <w:rPr>
          <w:rFonts w:hint="eastAsia" w:ascii="宋体" w:hAnsi="宋体" w:cs="宋体"/>
          <w:color w:val="auto"/>
          <w:sz w:val="24"/>
          <w:szCs w:val="24"/>
        </w:rPr>
        <w:t>. 转让和分包</w:t>
      </w:r>
    </w:p>
    <w:p>
      <w:pPr>
        <w:pStyle w:val="104"/>
        <w:spacing w:line="500" w:lineRule="exact"/>
        <w:ind w:firstLine="480" w:firstLineChars="200"/>
        <w:jc w:val="both"/>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4</w:t>
      </w:r>
      <w:r>
        <w:rPr>
          <w:rFonts w:hint="eastAsia" w:ascii="宋体" w:hAnsi="宋体" w:cs="宋体"/>
          <w:color w:val="auto"/>
          <w:sz w:val="24"/>
          <w:szCs w:val="24"/>
        </w:rPr>
        <w:t>.1 除</w:t>
      </w:r>
      <w:r>
        <w:rPr>
          <w:rFonts w:hint="eastAsia" w:ascii="宋体" w:hAnsi="宋体" w:cs="宋体"/>
          <w:color w:val="auto"/>
          <w:sz w:val="24"/>
          <w:szCs w:val="24"/>
          <w:lang w:eastAsia="zh-CN"/>
        </w:rPr>
        <w:t>甲方</w:t>
      </w:r>
      <w:r>
        <w:rPr>
          <w:rFonts w:hint="eastAsia" w:ascii="宋体" w:hAnsi="宋体" w:cs="宋体"/>
          <w:color w:val="auto"/>
          <w:sz w:val="24"/>
          <w:szCs w:val="24"/>
        </w:rPr>
        <w:t>事先书面同意外，</w:t>
      </w:r>
      <w:r>
        <w:rPr>
          <w:rFonts w:hint="eastAsia" w:ascii="宋体" w:hAnsi="宋体" w:cs="宋体"/>
          <w:color w:val="auto"/>
          <w:sz w:val="24"/>
          <w:szCs w:val="24"/>
          <w:lang w:eastAsia="zh-CN"/>
        </w:rPr>
        <w:t>乙方</w:t>
      </w:r>
      <w:r>
        <w:rPr>
          <w:rFonts w:hint="eastAsia" w:ascii="宋体" w:hAnsi="宋体" w:cs="宋体"/>
          <w:color w:val="auto"/>
          <w:sz w:val="24"/>
          <w:szCs w:val="24"/>
        </w:rPr>
        <w:t>不得部分转让或全部转让其应履行的合同义务。</w:t>
      </w:r>
    </w:p>
    <w:p>
      <w:pPr>
        <w:pStyle w:val="104"/>
        <w:spacing w:line="500" w:lineRule="exact"/>
        <w:ind w:firstLine="480" w:firstLineChars="200"/>
        <w:jc w:val="both"/>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4</w:t>
      </w:r>
      <w:r>
        <w:rPr>
          <w:rFonts w:hint="eastAsia" w:ascii="宋体" w:hAnsi="宋体" w:cs="宋体"/>
          <w:color w:val="auto"/>
          <w:sz w:val="24"/>
          <w:szCs w:val="24"/>
        </w:rPr>
        <w:t>.2 如投标文件中没有明确分包合同，</w:t>
      </w:r>
      <w:r>
        <w:rPr>
          <w:rFonts w:hint="eastAsia" w:ascii="宋体" w:hAnsi="宋体" w:cs="宋体"/>
          <w:color w:val="auto"/>
          <w:sz w:val="24"/>
          <w:szCs w:val="24"/>
          <w:lang w:eastAsia="zh-CN"/>
        </w:rPr>
        <w:t>乙方</w:t>
      </w:r>
      <w:r>
        <w:rPr>
          <w:rFonts w:hint="eastAsia" w:ascii="宋体" w:hAnsi="宋体" w:cs="宋体"/>
          <w:color w:val="auto"/>
          <w:sz w:val="24"/>
          <w:szCs w:val="24"/>
        </w:rPr>
        <w:t>应书面通知</w:t>
      </w:r>
      <w:r>
        <w:rPr>
          <w:rFonts w:hint="eastAsia" w:ascii="宋体" w:hAnsi="宋体" w:cs="宋体"/>
          <w:color w:val="auto"/>
          <w:sz w:val="24"/>
          <w:szCs w:val="24"/>
          <w:lang w:eastAsia="zh-CN"/>
        </w:rPr>
        <w:t>甲方</w:t>
      </w:r>
      <w:r>
        <w:rPr>
          <w:rFonts w:hint="eastAsia" w:ascii="宋体" w:hAnsi="宋体" w:cs="宋体"/>
          <w:color w:val="auto"/>
          <w:sz w:val="24"/>
          <w:szCs w:val="24"/>
        </w:rPr>
        <w:t>本合同中</w:t>
      </w:r>
      <w:r>
        <w:rPr>
          <w:rFonts w:hint="eastAsia" w:ascii="宋体" w:hAnsi="宋体" w:cs="宋体"/>
          <w:color w:val="auto"/>
          <w:sz w:val="24"/>
          <w:szCs w:val="24"/>
          <w:lang w:eastAsia="zh-CN"/>
        </w:rPr>
        <w:t>乙方</w:t>
      </w:r>
      <w:r>
        <w:rPr>
          <w:rFonts w:hint="eastAsia" w:ascii="宋体" w:hAnsi="宋体" w:cs="宋体"/>
          <w:color w:val="auto"/>
          <w:sz w:val="24"/>
          <w:szCs w:val="24"/>
        </w:rPr>
        <w:t>所转授出的全部分包合同，但原投标文件或后来发出的通知均不能解除</w:t>
      </w:r>
      <w:r>
        <w:rPr>
          <w:rFonts w:hint="eastAsia" w:ascii="宋体" w:hAnsi="宋体" w:cs="宋体"/>
          <w:color w:val="auto"/>
          <w:sz w:val="24"/>
          <w:szCs w:val="24"/>
          <w:lang w:eastAsia="zh-CN"/>
        </w:rPr>
        <w:t>乙方</w:t>
      </w:r>
      <w:r>
        <w:rPr>
          <w:rFonts w:hint="eastAsia" w:ascii="宋体" w:hAnsi="宋体" w:cs="宋体"/>
          <w:color w:val="auto"/>
          <w:sz w:val="24"/>
          <w:szCs w:val="24"/>
        </w:rPr>
        <w:t>履行本合同的义务。</w:t>
      </w:r>
    </w:p>
    <w:p>
      <w:pPr>
        <w:pStyle w:val="26"/>
        <w:spacing w:line="500" w:lineRule="exact"/>
        <w:ind w:right="420" w:rightChars="200" w:firstLine="484" w:firstLineChars="202"/>
        <w:rPr>
          <w:rFonts w:hint="eastAsia" w:ascii="宋体" w:hAnsi="宋体" w:cs="宋体"/>
          <w:sz w:val="24"/>
          <w:szCs w:val="24"/>
        </w:rPr>
      </w:pPr>
      <w:r>
        <w:rPr>
          <w:rFonts w:hint="eastAsia" w:ascii="宋体" w:hAnsi="宋体" w:cs="宋体"/>
          <w:sz w:val="24"/>
          <w:szCs w:val="24"/>
        </w:rPr>
        <w:t>1</w:t>
      </w:r>
      <w:r>
        <w:rPr>
          <w:rFonts w:hint="eastAsia" w:ascii="宋体" w:hAnsi="宋体" w:eastAsia="宋体" w:cs="宋体"/>
          <w:sz w:val="24"/>
          <w:szCs w:val="24"/>
          <w:lang w:val="en-US" w:eastAsia="zh-CN"/>
        </w:rPr>
        <w:t>4</w:t>
      </w:r>
      <w:r>
        <w:rPr>
          <w:rFonts w:hint="eastAsia" w:ascii="宋体" w:hAnsi="宋体" w:cs="宋体"/>
          <w:sz w:val="24"/>
          <w:szCs w:val="24"/>
        </w:rPr>
        <w:t xml:space="preserve">.3 </w:t>
      </w:r>
      <w:r>
        <w:rPr>
          <w:rFonts w:hint="eastAsia" w:ascii="宋体" w:hAnsi="宋体" w:eastAsia="宋体" w:cs="宋体"/>
          <w:sz w:val="24"/>
          <w:szCs w:val="24"/>
          <w:lang w:eastAsia="zh-CN"/>
        </w:rPr>
        <w:t>乙方</w:t>
      </w:r>
      <w:r>
        <w:rPr>
          <w:rFonts w:hint="eastAsia" w:ascii="宋体" w:hAnsi="宋体" w:cs="宋体"/>
          <w:sz w:val="24"/>
          <w:szCs w:val="24"/>
        </w:rPr>
        <w:t>对部分或全部转让其应履行的义务而确定的分包合同负全部责任，</w:t>
      </w:r>
      <w:r>
        <w:rPr>
          <w:rFonts w:hint="eastAsia" w:ascii="宋体" w:hAnsi="宋体" w:eastAsia="宋体" w:cs="宋体"/>
          <w:sz w:val="24"/>
          <w:szCs w:val="24"/>
          <w:lang w:eastAsia="zh-CN"/>
        </w:rPr>
        <w:t>甲方</w:t>
      </w:r>
      <w:r>
        <w:rPr>
          <w:rFonts w:hint="eastAsia" w:ascii="宋体" w:hAnsi="宋体" w:cs="宋体"/>
          <w:sz w:val="24"/>
          <w:szCs w:val="24"/>
        </w:rPr>
        <w:t>不承担任何责任和义务。</w:t>
      </w:r>
    </w:p>
    <w:p>
      <w:pPr>
        <w:pStyle w:val="104"/>
        <w:spacing w:line="500" w:lineRule="exact"/>
        <w:ind w:firstLine="480" w:firstLineChars="200"/>
        <w:jc w:val="both"/>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 适用法律</w:t>
      </w:r>
    </w:p>
    <w:p>
      <w:pPr>
        <w:pStyle w:val="104"/>
        <w:spacing w:line="500" w:lineRule="exact"/>
        <w:ind w:firstLine="480" w:firstLineChars="200"/>
        <w:jc w:val="both"/>
        <w:rPr>
          <w:rFonts w:hint="eastAsia" w:ascii="宋体" w:hAnsi="宋体" w:cs="宋体"/>
          <w:color w:val="auto"/>
          <w:sz w:val="24"/>
          <w:szCs w:val="24"/>
        </w:rPr>
      </w:pPr>
      <w:r>
        <w:rPr>
          <w:rFonts w:hint="eastAsia" w:ascii="宋体" w:hAnsi="宋体" w:cs="宋体"/>
          <w:color w:val="auto"/>
          <w:sz w:val="24"/>
          <w:szCs w:val="24"/>
        </w:rPr>
        <w:t>本合同按中华人民共和国的法律进行解释。</w:t>
      </w:r>
    </w:p>
    <w:p>
      <w:pPr>
        <w:pStyle w:val="104"/>
        <w:spacing w:line="500" w:lineRule="exact"/>
        <w:ind w:firstLine="480" w:firstLineChars="200"/>
        <w:jc w:val="both"/>
        <w:rPr>
          <w:rFonts w:hint="eastAsia" w:ascii="宋体" w:hAnsi="宋体" w:cs="宋体"/>
          <w:color w:val="auto"/>
          <w:sz w:val="24"/>
          <w:szCs w:val="24"/>
        </w:rPr>
      </w:pPr>
      <w:r>
        <w:rPr>
          <w:rFonts w:hint="eastAsia" w:ascii="宋体" w:hAnsi="宋体" w:cs="宋体"/>
          <w:color w:val="auto"/>
          <w:sz w:val="24"/>
          <w:szCs w:val="24"/>
        </w:rPr>
        <w:t>合同生效及其他：</w:t>
      </w:r>
    </w:p>
    <w:p>
      <w:pPr>
        <w:pStyle w:val="104"/>
        <w:spacing w:line="500" w:lineRule="exact"/>
        <w:ind w:firstLine="480" w:firstLineChars="200"/>
        <w:jc w:val="both"/>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.1 合同在</w:t>
      </w:r>
      <w:r>
        <w:rPr>
          <w:rFonts w:hint="eastAsia" w:ascii="宋体" w:hAnsi="宋体" w:cs="宋体"/>
          <w:color w:val="auto"/>
          <w:sz w:val="24"/>
          <w:szCs w:val="24"/>
          <w:lang w:eastAsia="zh-CN"/>
        </w:rPr>
        <w:t>甲方</w:t>
      </w:r>
      <w:r>
        <w:rPr>
          <w:rFonts w:hint="eastAsia" w:ascii="宋体" w:hAnsi="宋体" w:cs="宋体"/>
          <w:color w:val="auto"/>
          <w:sz w:val="24"/>
          <w:szCs w:val="24"/>
        </w:rPr>
        <w:t>、</w:t>
      </w:r>
      <w:r>
        <w:rPr>
          <w:rFonts w:hint="eastAsia" w:ascii="宋体" w:hAnsi="宋体" w:cs="宋体"/>
          <w:color w:val="auto"/>
          <w:sz w:val="24"/>
          <w:szCs w:val="24"/>
          <w:lang w:eastAsia="zh-CN"/>
        </w:rPr>
        <w:t>乙方</w:t>
      </w:r>
      <w:r>
        <w:rPr>
          <w:rFonts w:hint="eastAsia" w:ascii="宋体" w:hAnsi="宋体" w:cs="宋体"/>
          <w:color w:val="auto"/>
          <w:sz w:val="24"/>
          <w:szCs w:val="24"/>
        </w:rPr>
        <w:t>双方签字后即开始生效。</w:t>
      </w:r>
    </w:p>
    <w:p>
      <w:pPr>
        <w:pStyle w:val="104"/>
        <w:spacing w:line="500" w:lineRule="exact"/>
        <w:ind w:firstLine="480" w:firstLineChars="200"/>
        <w:jc w:val="both"/>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.2 本合同一式四份，以中文书写。</w:t>
      </w:r>
      <w:r>
        <w:rPr>
          <w:rFonts w:hint="eastAsia" w:ascii="宋体" w:hAnsi="宋体" w:cs="宋体"/>
          <w:color w:val="auto"/>
          <w:sz w:val="24"/>
          <w:szCs w:val="24"/>
          <w:lang w:val="en-US" w:eastAsia="zh-CN"/>
        </w:rPr>
        <w:t>甲</w:t>
      </w:r>
      <w:r>
        <w:rPr>
          <w:rFonts w:hint="eastAsia" w:ascii="宋体" w:hAnsi="宋体" w:cs="宋体"/>
          <w:color w:val="auto"/>
          <w:sz w:val="24"/>
          <w:szCs w:val="24"/>
        </w:rPr>
        <w:t>、</w:t>
      </w:r>
      <w:r>
        <w:rPr>
          <w:rFonts w:hint="eastAsia" w:ascii="宋体" w:hAnsi="宋体" w:cs="宋体"/>
          <w:color w:val="auto"/>
          <w:sz w:val="24"/>
          <w:szCs w:val="24"/>
          <w:lang w:val="en-US" w:eastAsia="zh-CN"/>
        </w:rPr>
        <w:t>乙</w:t>
      </w:r>
      <w:r>
        <w:rPr>
          <w:rFonts w:hint="eastAsia" w:ascii="宋体" w:hAnsi="宋体" w:cs="宋体"/>
          <w:color w:val="auto"/>
          <w:sz w:val="24"/>
          <w:szCs w:val="24"/>
        </w:rPr>
        <w:t>双方各执两份。</w:t>
      </w:r>
    </w:p>
    <w:p>
      <w:pPr>
        <w:pStyle w:val="104"/>
        <w:spacing w:line="360" w:lineRule="auto"/>
        <w:ind w:firstLine="480" w:firstLineChars="200"/>
        <w:jc w:val="both"/>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.3 招标文件、投标单位的投标文件、评标答疑记录及中标通知书都是本合同不可分割的一部分。</w:t>
      </w:r>
    </w:p>
    <w:p>
      <w:pPr>
        <w:pStyle w:val="26"/>
        <w:spacing w:line="360" w:lineRule="auto"/>
        <w:ind w:firstLine="480" w:firstLineChars="200"/>
        <w:rPr>
          <w:sz w:val="24"/>
          <w:szCs w:val="24"/>
        </w:rPr>
      </w:pPr>
      <w:r>
        <w:rPr>
          <w:rFonts w:hint="eastAsia" w:ascii="宋体" w:hAnsi="宋体" w:cs="宋体"/>
          <w:sz w:val="24"/>
          <w:szCs w:val="24"/>
        </w:rPr>
        <w:t>1</w:t>
      </w:r>
      <w:r>
        <w:rPr>
          <w:rFonts w:hint="eastAsia" w:ascii="宋体" w:hAnsi="宋体" w:eastAsia="宋体" w:cs="宋体"/>
          <w:sz w:val="24"/>
          <w:szCs w:val="24"/>
          <w:lang w:val="en-US" w:eastAsia="zh-CN"/>
        </w:rPr>
        <w:t>5</w:t>
      </w:r>
      <w:r>
        <w:rPr>
          <w:rFonts w:hint="eastAsia" w:ascii="宋体" w:hAnsi="宋体" w:cs="宋体"/>
          <w:sz w:val="24"/>
          <w:szCs w:val="24"/>
        </w:rPr>
        <w:t>.4如需修改或补充合同内容,经协商，买卖双方应签署书面修改或补充协议，该协议将作为本合同不可分割的一部分。</w:t>
      </w:r>
    </w:p>
    <w:p>
      <w:pPr>
        <w:pStyle w:val="108"/>
        <w:spacing w:after="200" w:line="360" w:lineRule="auto"/>
        <w:jc w:val="left"/>
        <w:rPr>
          <w:rFonts w:hint="eastAsia" w:ascii="宋体" w:hAnsi="宋体" w:cs="宋体"/>
          <w:b/>
          <w:color w:val="000000"/>
          <w:sz w:val="24"/>
          <w:szCs w:val="24"/>
          <w:lang w:val="en-US" w:eastAsia="zh-CN"/>
        </w:rPr>
      </w:pPr>
    </w:p>
    <w:p>
      <w:pPr>
        <w:pStyle w:val="108"/>
        <w:spacing w:after="200" w:line="360" w:lineRule="auto"/>
        <w:jc w:val="left"/>
        <w:rPr>
          <w:rFonts w:hint="eastAsia" w:ascii="宋体" w:hAnsi="宋体" w:cs="宋体"/>
          <w:b/>
          <w:color w:val="000000"/>
          <w:sz w:val="24"/>
          <w:szCs w:val="24"/>
        </w:rPr>
      </w:pPr>
      <w:r>
        <w:rPr>
          <w:rFonts w:hint="eastAsia" w:ascii="宋体" w:hAnsi="宋体" w:cs="宋体"/>
          <w:b/>
          <w:color w:val="000000"/>
          <w:sz w:val="24"/>
          <w:szCs w:val="24"/>
          <w:lang w:val="en-US" w:eastAsia="zh-CN"/>
        </w:rPr>
        <w:t>甲方</w:t>
      </w:r>
      <w:r>
        <w:rPr>
          <w:rFonts w:hint="eastAsia" w:ascii="宋体" w:hAnsi="宋体" w:cs="宋体"/>
          <w:b/>
          <w:color w:val="000000"/>
          <w:sz w:val="24"/>
          <w:szCs w:val="24"/>
        </w:rPr>
        <w:t xml:space="preserve">:石河子大学医学院第一附属医院       </w:t>
      </w:r>
      <w:r>
        <w:rPr>
          <w:rFonts w:hint="eastAsia" w:ascii="宋体" w:hAnsi="宋体" w:cs="宋体"/>
          <w:b/>
          <w:color w:val="000000"/>
          <w:sz w:val="24"/>
          <w:szCs w:val="24"/>
          <w:lang w:val="en-US" w:eastAsia="zh-CN"/>
        </w:rPr>
        <w:t>乙方</w:t>
      </w:r>
      <w:r>
        <w:rPr>
          <w:rFonts w:hint="eastAsia" w:ascii="宋体" w:hAnsi="宋体" w:cs="宋体"/>
          <w:b/>
          <w:color w:val="000000"/>
          <w:sz w:val="24"/>
          <w:szCs w:val="24"/>
        </w:rPr>
        <w:t xml:space="preserve">： </w:t>
      </w:r>
    </w:p>
    <w:p>
      <w:pPr>
        <w:pStyle w:val="108"/>
        <w:spacing w:after="200" w:line="480" w:lineRule="auto"/>
        <w:rPr>
          <w:rFonts w:hint="eastAsia" w:ascii="宋体" w:hAnsi="宋体" w:cs="宋体"/>
          <w:b/>
          <w:color w:val="000000"/>
          <w:sz w:val="24"/>
          <w:szCs w:val="24"/>
        </w:rPr>
      </w:pPr>
      <w:r>
        <w:rPr>
          <w:rFonts w:hint="eastAsia" w:ascii="宋体" w:hAnsi="宋体" w:cs="宋体"/>
          <w:b/>
          <w:color w:val="000000"/>
          <w:sz w:val="24"/>
          <w:szCs w:val="24"/>
        </w:rPr>
        <w:t>法定代表人：                            法定代表人：</w:t>
      </w:r>
    </w:p>
    <w:p>
      <w:pPr>
        <w:pStyle w:val="108"/>
        <w:spacing w:after="200" w:line="480" w:lineRule="auto"/>
        <w:rPr>
          <w:rFonts w:hint="eastAsia" w:ascii="宋体" w:hAnsi="宋体" w:cs="宋体"/>
          <w:b/>
          <w:color w:val="000000"/>
          <w:sz w:val="24"/>
          <w:szCs w:val="24"/>
        </w:rPr>
      </w:pPr>
      <w:r>
        <w:rPr>
          <w:rFonts w:hint="eastAsia" w:ascii="宋体" w:hAnsi="宋体" w:cs="宋体"/>
          <w:b/>
          <w:color w:val="000000"/>
          <w:sz w:val="24"/>
          <w:szCs w:val="24"/>
        </w:rPr>
        <w:t xml:space="preserve">                                        授权委托人：</w:t>
      </w:r>
    </w:p>
    <w:p>
      <w:pPr>
        <w:pStyle w:val="108"/>
        <w:spacing w:after="200" w:line="480" w:lineRule="auto"/>
        <w:rPr>
          <w:rFonts w:hint="eastAsia" w:ascii="宋体" w:hAnsi="宋体" w:cs="宋体"/>
          <w:b/>
          <w:color w:val="000000"/>
          <w:sz w:val="24"/>
          <w:szCs w:val="24"/>
        </w:rPr>
      </w:pPr>
      <w:r>
        <w:rPr>
          <w:rFonts w:hint="eastAsia" w:ascii="宋体" w:hAnsi="宋体" w:cs="宋体"/>
          <w:b/>
          <w:color w:val="000000"/>
          <w:sz w:val="24"/>
          <w:szCs w:val="24"/>
        </w:rPr>
        <w:t>电</w:t>
      </w:r>
      <w:r>
        <w:rPr>
          <w:rFonts w:hint="eastAsia" w:ascii="宋体" w:hAnsi="宋体" w:cs="宋体"/>
          <w:b/>
          <w:color w:val="000000"/>
          <w:sz w:val="24"/>
          <w:szCs w:val="24"/>
        </w:rPr>
        <w:tab/>
      </w:r>
      <w:r>
        <w:rPr>
          <w:rFonts w:hint="eastAsia" w:ascii="宋体" w:hAnsi="宋体" w:cs="宋体"/>
          <w:b/>
          <w:color w:val="000000"/>
          <w:sz w:val="24"/>
          <w:szCs w:val="24"/>
        </w:rPr>
        <w:t>话：0993-2850405                     电</w:t>
      </w:r>
      <w:r>
        <w:rPr>
          <w:rFonts w:hint="eastAsia" w:ascii="宋体" w:hAnsi="宋体" w:cs="宋体"/>
          <w:b/>
          <w:color w:val="000000"/>
          <w:sz w:val="24"/>
          <w:szCs w:val="24"/>
        </w:rPr>
        <w:tab/>
      </w:r>
      <w:r>
        <w:rPr>
          <w:rFonts w:hint="eastAsia" w:ascii="宋体" w:hAnsi="宋体" w:cs="宋体"/>
          <w:b/>
          <w:color w:val="000000"/>
          <w:sz w:val="24"/>
          <w:szCs w:val="24"/>
        </w:rPr>
        <w:t xml:space="preserve">  话：</w:t>
      </w:r>
    </w:p>
    <w:p>
      <w:pPr>
        <w:pStyle w:val="56"/>
        <w:spacing w:after="200" w:line="480" w:lineRule="auto"/>
        <w:rPr>
          <w:rFonts w:hint="eastAsia" w:ascii="宋体" w:hAnsi="宋体" w:eastAsia="宋体" w:cs="宋体"/>
          <w:sz w:val="24"/>
        </w:rPr>
      </w:pPr>
      <w:r>
        <w:rPr>
          <w:rFonts w:hint="eastAsia" w:ascii="宋体" w:hAnsi="宋体" w:eastAsia="宋体" w:cs="宋体"/>
          <w:sz w:val="24"/>
        </w:rPr>
        <w:t>地址：石河子北二路32小区107号         地     址：</w:t>
      </w:r>
    </w:p>
    <w:p>
      <w:pPr>
        <w:pStyle w:val="56"/>
        <w:spacing w:after="200" w:line="480" w:lineRule="auto"/>
        <w:rPr>
          <w:rFonts w:hint="eastAsia" w:ascii="宋体" w:hAnsi="宋体" w:eastAsia="宋体" w:cs="宋体"/>
          <w:sz w:val="24"/>
        </w:rPr>
      </w:pPr>
      <w:r>
        <w:rPr>
          <w:rFonts w:hint="eastAsia" w:ascii="宋体" w:hAnsi="宋体" w:eastAsia="宋体" w:cs="宋体"/>
          <w:sz w:val="24"/>
        </w:rPr>
        <w:t>邮政编码：832008                        邮政编码：</w:t>
      </w:r>
    </w:p>
    <w:p>
      <w:pPr>
        <w:pStyle w:val="56"/>
        <w:spacing w:after="200" w:line="480" w:lineRule="auto"/>
        <w:rPr>
          <w:rFonts w:hint="eastAsia" w:ascii="宋体" w:hAnsi="宋体" w:eastAsia="宋体" w:cs="宋体"/>
          <w:sz w:val="24"/>
        </w:rPr>
      </w:pPr>
      <w:r>
        <w:rPr>
          <w:rFonts w:hint="eastAsia" w:ascii="宋体" w:hAnsi="宋体" w:eastAsia="宋体" w:cs="宋体"/>
          <w:sz w:val="24"/>
        </w:rPr>
        <w:t>开户银行：中国农业银行股份有限公司      开户银行：</w:t>
      </w:r>
    </w:p>
    <w:p>
      <w:pPr>
        <w:pStyle w:val="56"/>
        <w:spacing w:after="200" w:line="480" w:lineRule="auto"/>
        <w:ind w:firstLine="1181" w:firstLineChars="490"/>
        <w:rPr>
          <w:rFonts w:hint="eastAsia" w:ascii="宋体" w:hAnsi="宋体" w:eastAsia="宋体" w:cs="宋体"/>
          <w:sz w:val="24"/>
        </w:rPr>
      </w:pPr>
      <w:r>
        <w:rPr>
          <w:rFonts w:hint="eastAsia" w:ascii="宋体" w:hAnsi="宋体" w:eastAsia="宋体" w:cs="宋体"/>
          <w:sz w:val="24"/>
        </w:rPr>
        <w:t>石河子医学院（兵团）支行</w:t>
      </w:r>
    </w:p>
    <w:p>
      <w:pPr>
        <w:pStyle w:val="56"/>
        <w:spacing w:after="200" w:line="480" w:lineRule="auto"/>
        <w:rPr>
          <w:rFonts w:hint="eastAsia" w:ascii="宋体" w:hAnsi="宋体" w:eastAsia="宋体" w:cs="宋体"/>
          <w:sz w:val="24"/>
        </w:rPr>
      </w:pPr>
      <w:r>
        <w:rPr>
          <w:rFonts w:hint="eastAsia" w:ascii="宋体" w:hAnsi="宋体" w:eastAsia="宋体" w:cs="宋体"/>
          <w:sz w:val="24"/>
        </w:rPr>
        <w:t>开户行账号：30726 60104 0000 208        开户行账号：</w:t>
      </w:r>
    </w:p>
    <w:p>
      <w:pPr>
        <w:pStyle w:val="56"/>
        <w:spacing w:before="60" w:beforeLines="25" w:after="200" w:line="240" w:lineRule="exact"/>
        <w:rPr>
          <w:rFonts w:hint="eastAsia" w:ascii="宋体" w:hAnsi="宋体" w:eastAsia="宋体" w:cs="宋体"/>
          <w:sz w:val="24"/>
        </w:rPr>
      </w:pPr>
      <w:r>
        <w:rPr>
          <w:rFonts w:hint="eastAsia" w:ascii="宋体" w:hAnsi="宋体" w:eastAsia="宋体" w:cs="宋体"/>
          <w:sz w:val="24"/>
        </w:rPr>
        <w:t>签订日期：    年    月    日            签订日期：    年    月    日</w:t>
      </w:r>
    </w:p>
    <w:p/>
    <w:p>
      <w:pPr>
        <w:pStyle w:val="56"/>
        <w:spacing w:before="60" w:beforeLines="25" w:after="200" w:line="240" w:lineRule="exact"/>
        <w:rPr>
          <w:rFonts w:hint="eastAsia" w:ascii="宋体" w:hAnsi="宋体" w:eastAsia="宋体" w:cs="宋体"/>
          <w:sz w:val="24"/>
          <w:lang w:val="en-US" w:eastAsia="zh-CN"/>
        </w:rPr>
      </w:pPr>
      <w:r>
        <w:rPr>
          <w:rFonts w:hint="eastAsia" w:ascii="宋体" w:hAnsi="宋体" w:eastAsia="宋体" w:cs="宋体"/>
          <w:sz w:val="24"/>
          <w:lang w:val="en-US" w:eastAsia="zh-CN"/>
        </w:rPr>
        <w:t>附件：考核标准</w:t>
      </w:r>
    </w:p>
    <w:p>
      <w:pPr>
        <w:spacing w:line="360" w:lineRule="exact"/>
        <w:jc w:val="center"/>
        <w:rPr>
          <w:rFonts w:hint="eastAsia" w:ascii="宋体" w:hAnsi="宋体" w:eastAsia="宋体" w:cs="宋体"/>
          <w:kern w:val="2"/>
          <w:sz w:val="22"/>
          <w:szCs w:val="22"/>
          <w:lang w:val="en-US" w:eastAsia="zh-CN" w:bidi="ar-SA"/>
        </w:rPr>
      </w:pPr>
      <w:r>
        <w:rPr>
          <w:rFonts w:hint="eastAsia" w:ascii="宋体" w:hAnsi="宋体" w:eastAsia="宋体" w:cs="宋体"/>
          <w:b/>
          <w:bCs/>
          <w:kern w:val="2"/>
          <w:sz w:val="32"/>
          <w:szCs w:val="32"/>
          <w:lang w:val="en-US" w:eastAsia="zh-CN" w:bidi="ar-SA"/>
        </w:rPr>
        <w:t>食堂管理考核办法</w:t>
      </w:r>
    </w:p>
    <w:p>
      <w:pPr>
        <w:spacing w:line="320" w:lineRule="exact"/>
        <w:jc w:val="center"/>
        <w:rPr>
          <w:rFonts w:hint="eastAsia" w:ascii="宋体" w:hAnsi="宋体" w:eastAsia="Calibri" w:cs="宋体"/>
          <w:kern w:val="2"/>
          <w:sz w:val="24"/>
          <w:szCs w:val="24"/>
          <w:lang w:val="en-US" w:eastAsia="zh-CN" w:bidi="ar-SA"/>
        </w:rPr>
      </w:pP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为进一步加强对职工食堂1+2+1工作的管理，督促食堂工作人员落实好《食堂管理规定》，确保饮食安全，更好地为员工提供优质、规范的服务，现依据公司相关规定制定本考核办法：</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一、考核人员组成</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食堂监督管理委员会。</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二、考核范围</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1、食堂日常工作考核：包括伙食质量、服务质量、卫生标准、食堂管理等（见附表一）。</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2、食堂满意度调查：包括饭菜质量、服务态度、卫生状况、饭菜分量等（见附表二）。</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三、考核办法</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1、定期考核：每季度组织一次食堂管理考核，食堂监督管理委员会到食堂实地检查，并对照《食堂管理考核细则》量化打分；每半年组织一次食堂满意度调查，全体就餐员工填写《食堂满意度调查表》进行打分，并予以公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2、不定期考核：根据就餐员工意见，由综合管理部牵头，随时对食堂工作进行检查，督促整改。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四、考核结果的运用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1、在总务科分管食堂的负责人日常检查考核中，第一次检查结果在80分以下，医院将对食堂工作人员进行批评教育；两次季度检查考核80分以下，医院将对公司进行处罚，处罚金额2000元，并限期整改。</w:t>
      </w:r>
    </w:p>
    <w:p>
      <w:pPr>
        <w:keepNext w:val="0"/>
        <w:keepLines w:val="0"/>
        <w:pageBreakBefore w:val="0"/>
        <w:widowControl/>
        <w:kinsoku/>
        <w:wordWrap/>
        <w:overflowPunct/>
        <w:topLinePunct w:val="0"/>
        <w:autoSpaceDE/>
        <w:autoSpaceDN/>
        <w:bidi w:val="0"/>
        <w:adjustRightInd w:val="0"/>
        <w:snapToGrid w:val="0"/>
        <w:spacing w:line="360" w:lineRule="auto"/>
        <w:ind w:left="-139" w:leftChars="-66" w:firstLine="588" w:firstLineChars="245"/>
        <w:jc w:val="left"/>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2、在满意度调查考核中，（1）当员工满意度调查低于80分，公司将对食堂工作人员进行警告，并限期整改；（2）当员工满意度调查低于60分，将对公司进行处罚，处罚金额20000元，并责令食堂工作人员对员工所提意见限期整改。</w:t>
      </w:r>
    </w:p>
    <w:p>
      <w:pPr>
        <w:keepNext w:val="0"/>
        <w:keepLines w:val="0"/>
        <w:pageBreakBefore w:val="0"/>
        <w:widowControl/>
        <w:kinsoku/>
        <w:wordWrap/>
        <w:overflowPunct/>
        <w:topLinePunct w:val="0"/>
        <w:autoSpaceDE/>
        <w:autoSpaceDN/>
        <w:bidi w:val="0"/>
        <w:adjustRightInd w:val="0"/>
        <w:snapToGrid w:val="0"/>
        <w:spacing w:line="360" w:lineRule="auto"/>
        <w:ind w:firstLine="352" w:firstLineChars="147"/>
        <w:jc w:val="left"/>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五、如果二楼经营的好，一楼下半年招标可作为加分项，优先考虑。</w:t>
      </w:r>
    </w:p>
    <w:p>
      <w:pPr>
        <w:keepNext w:val="0"/>
        <w:keepLines w:val="0"/>
        <w:pageBreakBefore w:val="0"/>
        <w:widowControl/>
        <w:kinsoku/>
        <w:wordWrap/>
        <w:overflowPunct/>
        <w:topLinePunct w:val="0"/>
        <w:autoSpaceDE/>
        <w:autoSpaceDN/>
        <w:bidi w:val="0"/>
        <w:adjustRightInd w:val="0"/>
        <w:snapToGrid w:val="0"/>
        <w:spacing w:line="360" w:lineRule="auto"/>
        <w:ind w:firstLine="352" w:firstLineChars="147"/>
        <w:jc w:val="left"/>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六、本办法自合同签订之日起实行。</w:t>
      </w:r>
    </w:p>
    <w:p>
      <w:pPr>
        <w:keepNext w:val="0"/>
        <w:keepLines w:val="0"/>
        <w:pageBreakBefore w:val="0"/>
        <w:kinsoku/>
        <w:wordWrap/>
        <w:overflowPunct/>
        <w:topLinePunct w:val="0"/>
        <w:autoSpaceDE/>
        <w:autoSpaceDN/>
        <w:bidi w:val="0"/>
        <w:spacing w:line="360" w:lineRule="auto"/>
        <w:ind w:firstLine="120" w:firstLineChars="50"/>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附表一：食堂管理考核细则</w:t>
      </w:r>
    </w:p>
    <w:tbl>
      <w:tblPr>
        <w:tblStyle w:val="16"/>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60"/>
        <w:gridCol w:w="4680"/>
        <w:gridCol w:w="2160"/>
        <w:gridCol w:w="7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项目</w:t>
            </w:r>
          </w:p>
        </w:tc>
        <w:tc>
          <w:tcPr>
            <w:tcW w:w="5040" w:type="dxa"/>
            <w:gridSpan w:val="2"/>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检查具体内容</w:t>
            </w:r>
          </w:p>
        </w:tc>
        <w:tc>
          <w:tcPr>
            <w:tcW w:w="216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评分标准</w:t>
            </w:r>
          </w:p>
        </w:tc>
        <w:tc>
          <w:tcPr>
            <w:tcW w:w="72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分值</w:t>
            </w:r>
          </w:p>
        </w:tc>
        <w:tc>
          <w:tcPr>
            <w:tcW w:w="90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20" w:type="dxa"/>
            <w:vMerge w:val="restart"/>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伙</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食</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质</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量</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22分</w:t>
            </w:r>
          </w:p>
        </w:tc>
        <w:tc>
          <w:tcPr>
            <w:tcW w:w="36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打饭</w:t>
            </w:r>
          </w:p>
        </w:tc>
        <w:tc>
          <w:tcPr>
            <w:tcW w:w="4680" w:type="dxa"/>
            <w:noWrap w:val="0"/>
            <w:vAlign w:val="top"/>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1、饭菜不热或口感较差现象；</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2、饭菜内发现异物、杂物；</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3、供应隔夜饭菜；</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4、超过规定用餐时间继续供应饭菜；</w:t>
            </w:r>
          </w:p>
        </w:tc>
        <w:tc>
          <w:tcPr>
            <w:tcW w:w="2160" w:type="dxa"/>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发现一次或者有人举报（经核实后）扣2分</w:t>
            </w:r>
          </w:p>
        </w:tc>
        <w:tc>
          <w:tcPr>
            <w:tcW w:w="72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12</w:t>
            </w:r>
          </w:p>
        </w:tc>
        <w:tc>
          <w:tcPr>
            <w:tcW w:w="90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20" w:type="dxa"/>
            <w:vMerge w:val="continue"/>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p>
        </w:tc>
        <w:tc>
          <w:tcPr>
            <w:tcW w:w="36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菜谱</w:t>
            </w:r>
          </w:p>
        </w:tc>
        <w:tc>
          <w:tcPr>
            <w:tcW w:w="468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实际饭菜是否于菜谱吻合；</w:t>
            </w:r>
          </w:p>
        </w:tc>
        <w:tc>
          <w:tcPr>
            <w:tcW w:w="2160" w:type="dxa"/>
            <w:noWrap w:val="0"/>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Calibri" w:cs="宋体"/>
                <w:kern w:val="2"/>
                <w:sz w:val="24"/>
                <w:szCs w:val="24"/>
                <w:lang w:val="en-US" w:eastAsia="zh-CN" w:bidi="ar-SA"/>
              </w:rPr>
            </w:pPr>
          </w:p>
        </w:tc>
        <w:tc>
          <w:tcPr>
            <w:tcW w:w="72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10</w:t>
            </w:r>
          </w:p>
        </w:tc>
        <w:tc>
          <w:tcPr>
            <w:tcW w:w="90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720" w:type="dxa"/>
            <w:vMerge w:val="restart"/>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服 务 质 量</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18分</w:t>
            </w:r>
          </w:p>
        </w:tc>
        <w:tc>
          <w:tcPr>
            <w:tcW w:w="36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仪容仪表</w:t>
            </w:r>
          </w:p>
        </w:tc>
        <w:tc>
          <w:tcPr>
            <w:tcW w:w="4680" w:type="dxa"/>
            <w:noWrap w:val="0"/>
            <w:vAlign w:val="top"/>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1、厨师工作期间需着整洁干净的工作服；</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2、厨工必须保持整洁，手、腕部不允许佩戴首饰、双手干净；</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3、食堂工作区、用餐区禁止吸烟；</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4、供应食品时不能用手直接接触食品；</w:t>
            </w:r>
          </w:p>
        </w:tc>
        <w:tc>
          <w:tcPr>
            <w:tcW w:w="216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p>
        </w:tc>
        <w:tc>
          <w:tcPr>
            <w:tcW w:w="72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12</w:t>
            </w:r>
          </w:p>
        </w:tc>
        <w:tc>
          <w:tcPr>
            <w:tcW w:w="90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20" w:type="dxa"/>
            <w:vMerge w:val="continue"/>
            <w:noWrap w:val="0"/>
            <w:vAlign w:val="top"/>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p>
        </w:tc>
        <w:tc>
          <w:tcPr>
            <w:tcW w:w="360" w:type="dxa"/>
            <w:noWrap w:val="0"/>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服务</w:t>
            </w:r>
          </w:p>
        </w:tc>
        <w:tc>
          <w:tcPr>
            <w:tcW w:w="4680" w:type="dxa"/>
            <w:noWrap w:val="0"/>
            <w:vAlign w:val="top"/>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1、食堂服务人员要微笑、文明服务；</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2、不得发生吵架、打骂不文明行为；</w:t>
            </w:r>
          </w:p>
        </w:tc>
        <w:tc>
          <w:tcPr>
            <w:tcW w:w="216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p>
        </w:tc>
        <w:tc>
          <w:tcPr>
            <w:tcW w:w="72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6</w:t>
            </w:r>
          </w:p>
        </w:tc>
        <w:tc>
          <w:tcPr>
            <w:tcW w:w="90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720" w:type="dxa"/>
            <w:vMerge w:val="restart"/>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卫 生 标 准</w:t>
            </w:r>
          </w:p>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56分</w:t>
            </w:r>
          </w:p>
        </w:tc>
        <w:tc>
          <w:tcPr>
            <w:tcW w:w="36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制作</w:t>
            </w:r>
          </w:p>
        </w:tc>
        <w:tc>
          <w:tcPr>
            <w:tcW w:w="4680" w:type="dxa"/>
            <w:noWrap w:val="0"/>
            <w:vAlign w:val="top"/>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1、原料、半成品、成品的加工，存放及使用容器是否存在交叉污染并有明显的区分标志；</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2、生熟食品分开；</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3、食品存放分类分架；</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4、无过期、变质食品原材料；</w:t>
            </w:r>
          </w:p>
        </w:tc>
        <w:tc>
          <w:tcPr>
            <w:tcW w:w="216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存在交叉污染的或无明显区分标志扣2分；生熟食品未分开，食品存放无分类扣3分；</w:t>
            </w:r>
          </w:p>
        </w:tc>
        <w:tc>
          <w:tcPr>
            <w:tcW w:w="72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12</w:t>
            </w:r>
          </w:p>
        </w:tc>
        <w:tc>
          <w:tcPr>
            <w:tcW w:w="90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720" w:type="dxa"/>
            <w:vMerge w:val="continue"/>
            <w:noWrap w:val="0"/>
            <w:vAlign w:val="top"/>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p>
        </w:tc>
        <w:tc>
          <w:tcPr>
            <w:tcW w:w="36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厨房</w:t>
            </w:r>
          </w:p>
        </w:tc>
        <w:tc>
          <w:tcPr>
            <w:tcW w:w="4680" w:type="dxa"/>
            <w:noWrap w:val="0"/>
            <w:vAlign w:val="top"/>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1、灯管、风扇、抽烟机、排风扇、墙壁、抽烟机干净；无油污、灰尘、蜘蛛网；</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2、各种蒸饭、煲汤炉具整洁、里外干净光亮、饭盘无饭粒；</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3、工作间地面干净、无积水、无杂物；</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4、货架经常擦拭，保持干净，各种刀具手套摆放整齐；</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5、操作台、灶台及售饭台干净整洁；</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6、洗菜池、餐具、热食容器定期消毒并保持清洁，做到“一洗二净三冲四消毒。”</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7、各种机器设备保持整洁，标识清晰；</w:t>
            </w:r>
          </w:p>
        </w:tc>
        <w:tc>
          <w:tcPr>
            <w:tcW w:w="2160" w:type="dxa"/>
            <w:noWrap w:val="0"/>
            <w:vAlign w:val="center"/>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有一项不清洁扣1分；无消毒扣2分；不按食品安全工作规定执行扣2分；</w:t>
            </w:r>
          </w:p>
        </w:tc>
        <w:tc>
          <w:tcPr>
            <w:tcW w:w="72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22</w:t>
            </w:r>
          </w:p>
        </w:tc>
        <w:tc>
          <w:tcPr>
            <w:tcW w:w="90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720" w:type="dxa"/>
            <w:vMerge w:val="continue"/>
            <w:noWrap w:val="0"/>
            <w:vAlign w:val="top"/>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p>
        </w:tc>
        <w:tc>
          <w:tcPr>
            <w:tcW w:w="36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餐厅</w:t>
            </w:r>
          </w:p>
        </w:tc>
        <w:tc>
          <w:tcPr>
            <w:tcW w:w="4680" w:type="dxa"/>
            <w:noWrap w:val="0"/>
            <w:vAlign w:val="top"/>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1、餐厅地面每日清扫，地面清洁；</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2、餐桌摆成一条线，干净整洁无污渍；</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3、餐余回收处干燥整洁无残渣；</w:t>
            </w:r>
          </w:p>
        </w:tc>
        <w:tc>
          <w:tcPr>
            <w:tcW w:w="216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发现一次扣2分；</w:t>
            </w:r>
          </w:p>
        </w:tc>
        <w:tc>
          <w:tcPr>
            <w:tcW w:w="72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10</w:t>
            </w:r>
          </w:p>
        </w:tc>
        <w:tc>
          <w:tcPr>
            <w:tcW w:w="90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720" w:type="dxa"/>
            <w:vMerge w:val="continue"/>
            <w:noWrap w:val="0"/>
            <w:vAlign w:val="top"/>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p>
        </w:tc>
        <w:tc>
          <w:tcPr>
            <w:tcW w:w="36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库房</w:t>
            </w:r>
          </w:p>
        </w:tc>
        <w:tc>
          <w:tcPr>
            <w:tcW w:w="4680" w:type="dxa"/>
            <w:noWrap w:val="0"/>
            <w:vAlign w:val="top"/>
          </w:tcPr>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1、地面保持清洁；</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2、所有食物必须上架，禁止随意摆放；</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3、夏季须保持通风透气，库房无异味，保持蔬菜新鲜；</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4、冰箱责任落实到人，标志、温控清楚；外表整洁、生熟分开、标识清晰。</w:t>
            </w:r>
          </w:p>
        </w:tc>
        <w:tc>
          <w:tcPr>
            <w:tcW w:w="216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发现一次扣1.5分；</w:t>
            </w:r>
          </w:p>
        </w:tc>
        <w:tc>
          <w:tcPr>
            <w:tcW w:w="72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12</w:t>
            </w:r>
          </w:p>
        </w:tc>
        <w:tc>
          <w:tcPr>
            <w:tcW w:w="90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2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食 堂  管 理   4分</w:t>
            </w:r>
          </w:p>
        </w:tc>
        <w:tc>
          <w:tcPr>
            <w:tcW w:w="36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p>
        </w:tc>
        <w:tc>
          <w:tcPr>
            <w:tcW w:w="4680" w:type="dxa"/>
            <w:noWrap w:val="0"/>
            <w:vAlign w:val="center"/>
          </w:tcPr>
          <w:p>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严禁非食堂人员随意进入食堂的食品加工操作间及原料仓库。严格执行《食品卫生法》。</w:t>
            </w:r>
          </w:p>
        </w:tc>
        <w:tc>
          <w:tcPr>
            <w:tcW w:w="2160" w:type="dxa"/>
            <w:noWrap w:val="0"/>
            <w:vAlign w:val="center"/>
          </w:tcPr>
          <w:p>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发现非食堂人员随意进入食堂一次减2分</w:t>
            </w:r>
          </w:p>
        </w:tc>
        <w:tc>
          <w:tcPr>
            <w:tcW w:w="72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4</w:t>
            </w:r>
          </w:p>
        </w:tc>
        <w:tc>
          <w:tcPr>
            <w:tcW w:w="900" w:type="dxa"/>
            <w:noWrap w:val="0"/>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p>
        </w:tc>
      </w:tr>
    </w:tbl>
    <w:p>
      <w:pPr>
        <w:keepNext w:val="0"/>
        <w:keepLines w:val="0"/>
        <w:pageBreakBefore w:val="0"/>
        <w:kinsoku/>
        <w:wordWrap/>
        <w:overflowPunct/>
        <w:topLinePunct w:val="0"/>
        <w:autoSpaceDE/>
        <w:autoSpaceDN/>
        <w:bidi w:val="0"/>
        <w:spacing w:line="360" w:lineRule="auto"/>
        <w:ind w:firstLine="120" w:firstLineChars="50"/>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检查部门：      检查人：       总得分：           日期：</w:t>
      </w:r>
    </w:p>
    <w:p>
      <w:pPr>
        <w:keepNext w:val="0"/>
        <w:keepLines w:val="0"/>
        <w:pageBreakBefore w:val="0"/>
        <w:kinsoku/>
        <w:wordWrap/>
        <w:overflowPunct/>
        <w:topLinePunct w:val="0"/>
        <w:autoSpaceDE/>
        <w:autoSpaceDN/>
        <w:bidi w:val="0"/>
        <w:spacing w:line="360" w:lineRule="auto"/>
        <w:ind w:firstLine="120" w:firstLineChars="50"/>
        <w:textAlignment w:val="auto"/>
        <w:rPr>
          <w:rFonts w:hint="eastAsia" w:ascii="宋体" w:hAnsi="宋体" w:eastAsia="Calibri" w:cs="宋体"/>
          <w:kern w:val="2"/>
          <w:sz w:val="24"/>
          <w:szCs w:val="24"/>
          <w:lang w:val="en-US" w:eastAsia="zh-CN" w:bidi="ar-SA"/>
        </w:rPr>
      </w:pPr>
    </w:p>
    <w:p>
      <w:pPr>
        <w:keepNext w:val="0"/>
        <w:keepLines w:val="0"/>
        <w:pageBreakBefore w:val="0"/>
        <w:kinsoku/>
        <w:wordWrap/>
        <w:overflowPunct/>
        <w:topLinePunct w:val="0"/>
        <w:autoSpaceDE/>
        <w:autoSpaceDN/>
        <w:bidi w:val="0"/>
        <w:spacing w:line="360" w:lineRule="auto"/>
        <w:ind w:firstLine="120" w:firstLineChars="50"/>
        <w:textAlignment w:val="auto"/>
        <w:rPr>
          <w:rFonts w:hint="eastAsia" w:ascii="宋体" w:hAnsi="宋体" w:eastAsia="Calibri" w:cs="宋体"/>
          <w:kern w:val="2"/>
          <w:sz w:val="24"/>
          <w:szCs w:val="24"/>
          <w:lang w:val="en-US" w:eastAsia="zh-CN" w:bidi="ar-SA"/>
        </w:rPr>
      </w:pPr>
    </w:p>
    <w:p>
      <w:pPr>
        <w:keepNext w:val="0"/>
        <w:keepLines w:val="0"/>
        <w:pageBreakBefore w:val="0"/>
        <w:kinsoku/>
        <w:wordWrap/>
        <w:overflowPunct/>
        <w:topLinePunct w:val="0"/>
        <w:autoSpaceDE/>
        <w:autoSpaceDN/>
        <w:bidi w:val="0"/>
        <w:spacing w:line="360" w:lineRule="auto"/>
        <w:ind w:firstLine="120" w:firstLineChars="50"/>
        <w:textAlignment w:val="auto"/>
        <w:rPr>
          <w:rFonts w:hint="eastAsia" w:ascii="宋体" w:hAnsi="宋体" w:eastAsia="Calibri" w:cs="宋体"/>
          <w:kern w:val="2"/>
          <w:sz w:val="24"/>
          <w:szCs w:val="24"/>
          <w:lang w:val="en-US" w:eastAsia="zh-CN" w:bidi="ar-SA"/>
        </w:rPr>
      </w:pPr>
    </w:p>
    <w:p>
      <w:pPr>
        <w:keepNext w:val="0"/>
        <w:keepLines w:val="0"/>
        <w:pageBreakBefore w:val="0"/>
        <w:kinsoku/>
        <w:wordWrap/>
        <w:overflowPunct/>
        <w:topLinePunct w:val="0"/>
        <w:autoSpaceDE/>
        <w:autoSpaceDN/>
        <w:bidi w:val="0"/>
        <w:spacing w:line="360" w:lineRule="auto"/>
        <w:ind w:firstLine="120" w:firstLineChars="50"/>
        <w:textAlignment w:val="auto"/>
        <w:rPr>
          <w:rFonts w:hint="eastAsia" w:ascii="宋体" w:hAnsi="宋体" w:eastAsia="Calibri" w:cs="宋体"/>
          <w:kern w:val="2"/>
          <w:sz w:val="24"/>
          <w:szCs w:val="24"/>
          <w:lang w:val="en-US" w:eastAsia="zh-CN" w:bidi="ar-SA"/>
        </w:rPr>
      </w:pPr>
    </w:p>
    <w:p>
      <w:pPr>
        <w:keepNext w:val="0"/>
        <w:keepLines w:val="0"/>
        <w:pageBreakBefore w:val="0"/>
        <w:kinsoku/>
        <w:wordWrap/>
        <w:overflowPunct/>
        <w:topLinePunct w:val="0"/>
        <w:autoSpaceDE/>
        <w:autoSpaceDN/>
        <w:bidi w:val="0"/>
        <w:spacing w:line="360" w:lineRule="auto"/>
        <w:ind w:firstLine="120" w:firstLineChars="50"/>
        <w:textAlignment w:val="auto"/>
        <w:rPr>
          <w:rFonts w:hint="eastAsia" w:ascii="宋体" w:hAnsi="宋体" w:eastAsia="Calibri" w:cs="宋体"/>
          <w:kern w:val="2"/>
          <w:sz w:val="24"/>
          <w:szCs w:val="24"/>
          <w:lang w:val="en-US" w:eastAsia="zh-CN" w:bidi="ar-SA"/>
        </w:rPr>
      </w:pPr>
    </w:p>
    <w:p>
      <w:pPr>
        <w:keepNext w:val="0"/>
        <w:keepLines w:val="0"/>
        <w:pageBreakBefore w:val="0"/>
        <w:kinsoku/>
        <w:wordWrap/>
        <w:overflowPunct/>
        <w:topLinePunct w:val="0"/>
        <w:autoSpaceDE/>
        <w:autoSpaceDN/>
        <w:bidi w:val="0"/>
        <w:spacing w:line="360" w:lineRule="auto"/>
        <w:ind w:firstLine="120" w:firstLineChars="50"/>
        <w:textAlignment w:val="auto"/>
        <w:rPr>
          <w:rFonts w:hint="eastAsia" w:ascii="宋体" w:hAnsi="宋体" w:eastAsia="Calibri" w:cs="宋体"/>
          <w:kern w:val="2"/>
          <w:sz w:val="24"/>
          <w:szCs w:val="24"/>
          <w:lang w:val="en-US" w:eastAsia="zh-CN" w:bidi="ar-SA"/>
        </w:rPr>
      </w:pPr>
    </w:p>
    <w:p>
      <w:pPr>
        <w:keepNext w:val="0"/>
        <w:keepLines w:val="0"/>
        <w:pageBreakBefore w:val="0"/>
        <w:kinsoku/>
        <w:wordWrap/>
        <w:overflowPunct/>
        <w:topLinePunct w:val="0"/>
        <w:autoSpaceDE/>
        <w:autoSpaceDN/>
        <w:bidi w:val="0"/>
        <w:spacing w:line="360" w:lineRule="auto"/>
        <w:ind w:firstLine="120" w:firstLineChars="50"/>
        <w:textAlignment w:val="auto"/>
        <w:rPr>
          <w:rFonts w:hint="eastAsia" w:ascii="宋体" w:hAnsi="宋体" w:eastAsia="Calibri" w:cs="宋体"/>
          <w:kern w:val="2"/>
          <w:sz w:val="24"/>
          <w:szCs w:val="24"/>
          <w:lang w:val="en-US" w:eastAsia="zh-CN" w:bidi="ar-SA"/>
        </w:rPr>
      </w:pPr>
    </w:p>
    <w:p>
      <w:pPr>
        <w:keepNext w:val="0"/>
        <w:keepLines w:val="0"/>
        <w:pageBreakBefore w:val="0"/>
        <w:kinsoku/>
        <w:wordWrap/>
        <w:overflowPunct/>
        <w:topLinePunct w:val="0"/>
        <w:autoSpaceDE/>
        <w:autoSpaceDN/>
        <w:bidi w:val="0"/>
        <w:spacing w:line="360" w:lineRule="auto"/>
        <w:ind w:firstLine="120" w:firstLineChars="50"/>
        <w:textAlignment w:val="auto"/>
        <w:rPr>
          <w:rFonts w:hint="eastAsia" w:ascii="宋体" w:hAnsi="宋体" w:eastAsia="Calibri" w:cs="宋体"/>
          <w:kern w:val="2"/>
          <w:sz w:val="24"/>
          <w:szCs w:val="24"/>
          <w:lang w:val="en-US" w:eastAsia="zh-CN" w:bidi="ar-SA"/>
        </w:rPr>
      </w:pPr>
    </w:p>
    <w:p>
      <w:pPr>
        <w:keepNext w:val="0"/>
        <w:keepLines w:val="0"/>
        <w:pageBreakBefore w:val="0"/>
        <w:kinsoku/>
        <w:wordWrap/>
        <w:overflowPunct/>
        <w:topLinePunct w:val="0"/>
        <w:autoSpaceDE/>
        <w:autoSpaceDN/>
        <w:bidi w:val="0"/>
        <w:spacing w:line="360" w:lineRule="auto"/>
        <w:ind w:firstLine="120" w:firstLineChars="50"/>
        <w:textAlignment w:val="auto"/>
        <w:rPr>
          <w:rFonts w:hint="eastAsia" w:ascii="宋体" w:hAnsi="宋体" w:eastAsia="Calibri" w:cs="宋体"/>
          <w:kern w:val="2"/>
          <w:sz w:val="24"/>
          <w:szCs w:val="24"/>
          <w:lang w:val="en-US" w:eastAsia="zh-CN" w:bidi="ar-SA"/>
        </w:rPr>
      </w:pPr>
    </w:p>
    <w:p>
      <w:pPr>
        <w:keepNext w:val="0"/>
        <w:keepLines w:val="0"/>
        <w:pageBreakBefore w:val="0"/>
        <w:kinsoku/>
        <w:wordWrap/>
        <w:overflowPunct/>
        <w:topLinePunct w:val="0"/>
        <w:autoSpaceDE/>
        <w:autoSpaceDN/>
        <w:bidi w:val="0"/>
        <w:spacing w:line="360" w:lineRule="auto"/>
        <w:ind w:firstLine="120" w:firstLineChars="50"/>
        <w:textAlignment w:val="auto"/>
        <w:rPr>
          <w:rFonts w:hint="eastAsia" w:ascii="宋体" w:hAnsi="宋体" w:eastAsia="Calibri" w:cs="宋体"/>
          <w:kern w:val="2"/>
          <w:sz w:val="24"/>
          <w:szCs w:val="24"/>
          <w:lang w:val="en-US" w:eastAsia="zh-CN" w:bidi="ar-SA"/>
        </w:rPr>
      </w:pPr>
    </w:p>
    <w:p>
      <w:pPr>
        <w:keepNext w:val="0"/>
        <w:keepLines w:val="0"/>
        <w:pageBreakBefore w:val="0"/>
        <w:kinsoku/>
        <w:wordWrap/>
        <w:overflowPunct/>
        <w:topLinePunct w:val="0"/>
        <w:autoSpaceDE/>
        <w:autoSpaceDN/>
        <w:bidi w:val="0"/>
        <w:spacing w:line="360" w:lineRule="auto"/>
        <w:ind w:firstLine="120" w:firstLineChars="50"/>
        <w:textAlignment w:val="auto"/>
        <w:rPr>
          <w:rFonts w:hint="eastAsia" w:ascii="宋体" w:hAnsi="宋体" w:eastAsia="Calibri" w:cs="宋体"/>
          <w:kern w:val="2"/>
          <w:sz w:val="24"/>
          <w:szCs w:val="24"/>
          <w:lang w:val="en-US" w:eastAsia="zh-CN" w:bidi="ar-SA"/>
        </w:rPr>
      </w:pPr>
    </w:p>
    <w:p>
      <w:pPr>
        <w:keepNext w:val="0"/>
        <w:keepLines w:val="0"/>
        <w:pageBreakBefore w:val="0"/>
        <w:kinsoku/>
        <w:wordWrap/>
        <w:overflowPunct/>
        <w:topLinePunct w:val="0"/>
        <w:autoSpaceDE/>
        <w:autoSpaceDN/>
        <w:bidi w:val="0"/>
        <w:spacing w:line="360" w:lineRule="auto"/>
        <w:ind w:firstLine="120" w:firstLineChars="50"/>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附表二：食堂满意度调查表</w:t>
      </w:r>
    </w:p>
    <w:tbl>
      <w:tblPr>
        <w:tblStyle w:val="16"/>
        <w:tblpPr w:leftFromText="180" w:rightFromText="180" w:topFromText="100" w:bottomFromText="100" w:vertAnchor="text" w:horzAnchor="margin" w:tblpX="-530" w:tblpY="191"/>
        <w:tblOverlap w:val="never"/>
        <w:tblW w:w="979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0"/>
        <w:gridCol w:w="1056"/>
        <w:gridCol w:w="825"/>
        <w:gridCol w:w="1110"/>
        <w:gridCol w:w="1125"/>
        <w:gridCol w:w="1125"/>
        <w:gridCol w:w="1215"/>
        <w:gridCol w:w="108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CellSpacing w:w="0" w:type="dxa"/>
        </w:trPr>
        <w:tc>
          <w:tcPr>
            <w:tcW w:w="27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饭菜质量40分</w:t>
            </w:r>
          </w:p>
        </w:tc>
        <w:tc>
          <w:tcPr>
            <w:tcW w:w="33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服务态度30分</w:t>
            </w:r>
          </w:p>
        </w:tc>
        <w:tc>
          <w:tcPr>
            <w:tcW w:w="364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卫生状况30分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blCellSpacing w:w="0" w:type="dxa"/>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满意</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基本</w:t>
            </w:r>
          </w:p>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满意</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不满意</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满意</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基本</w:t>
            </w:r>
          </w:p>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满意</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不满意</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满意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基本</w:t>
            </w:r>
          </w:p>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p>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满意</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blCellSpacing w:w="0" w:type="dxa"/>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default"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40－30</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30－20</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20分以下</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30－25</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25－20</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20分以下</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30－25</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25－20</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20分以下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blCellSpacing w:w="0" w:type="dxa"/>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blCellSpacing w:w="0" w:type="dxa"/>
        </w:trPr>
        <w:tc>
          <w:tcPr>
            <w:tcW w:w="27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得分</w:t>
            </w:r>
          </w:p>
        </w:tc>
        <w:tc>
          <w:tcPr>
            <w:tcW w:w="33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得分</w:t>
            </w:r>
          </w:p>
        </w:tc>
        <w:tc>
          <w:tcPr>
            <w:tcW w:w="364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tblCellSpacing w:w="0" w:type="dxa"/>
        </w:trPr>
        <w:tc>
          <w:tcPr>
            <w:tcW w:w="27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p>
        </w:tc>
        <w:tc>
          <w:tcPr>
            <w:tcW w:w="33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Calibri" w:cs="宋体"/>
                <w:kern w:val="2"/>
                <w:sz w:val="24"/>
                <w:szCs w:val="24"/>
                <w:lang w:val="en-US" w:eastAsia="zh-CN" w:bidi="ar-SA"/>
              </w:rPr>
            </w:pPr>
          </w:p>
        </w:tc>
        <w:tc>
          <w:tcPr>
            <w:tcW w:w="364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Calibri" w:cs="宋体"/>
                <w:kern w:val="2"/>
                <w:sz w:val="24"/>
                <w:szCs w:val="24"/>
                <w:lang w:val="en-US" w:eastAsia="zh-CN" w:bidi="ar-SA"/>
              </w:rPr>
            </w:pPr>
          </w:p>
        </w:tc>
      </w:tr>
    </w:tbl>
    <w:p>
      <w:pPr>
        <w:keepNext w:val="0"/>
        <w:keepLines w:val="0"/>
        <w:pageBreakBefore w:val="0"/>
        <w:kinsoku/>
        <w:wordWrap/>
        <w:overflowPunct/>
        <w:topLinePunct w:val="0"/>
        <w:autoSpaceDE/>
        <w:autoSpaceDN/>
        <w:bidi w:val="0"/>
        <w:spacing w:line="360" w:lineRule="auto"/>
        <w:ind w:firstLine="720" w:firstLineChars="300"/>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调查人：              总得分：            日期：</w:t>
      </w:r>
    </w:p>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您对食堂的意见和建议：</w:t>
      </w:r>
    </w:p>
    <w:p>
      <w:pPr>
        <w:keepNext w:val="0"/>
        <w:keepLines w:val="0"/>
        <w:pageBreakBefore w:val="0"/>
        <w:numPr>
          <w:ilvl w:val="0"/>
          <w:numId w:val="9"/>
        </w:numPr>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u w:val="single"/>
          <w:lang w:val="en-US" w:eastAsia="zh-CN" w:bidi="ar-SA"/>
        </w:rPr>
        <w:t xml:space="preserve">                                           </w:t>
      </w:r>
      <w:r>
        <w:rPr>
          <w:rFonts w:hint="eastAsia" w:ascii="宋体" w:hAnsi="宋体" w:eastAsia="Calibri" w:cs="宋体"/>
          <w:kern w:val="2"/>
          <w:sz w:val="24"/>
          <w:szCs w:val="24"/>
          <w:lang w:val="en-US" w:eastAsia="zh-CN" w:bidi="ar-SA"/>
        </w:rPr>
        <w:t xml:space="preserve">                                                 </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2、</w:t>
      </w:r>
      <w:r>
        <w:rPr>
          <w:rFonts w:hint="eastAsia" w:ascii="宋体" w:hAnsi="宋体" w:eastAsia="Calibri" w:cs="宋体"/>
          <w:kern w:val="2"/>
          <w:sz w:val="24"/>
          <w:szCs w:val="24"/>
          <w:u w:val="single"/>
          <w:lang w:val="en-US" w:eastAsia="zh-CN" w:bidi="ar-SA"/>
        </w:rPr>
        <w:t xml:space="preserve">                                            </w:t>
      </w:r>
      <w:r>
        <w:rPr>
          <w:rFonts w:hint="eastAsia" w:ascii="宋体" w:hAnsi="宋体" w:eastAsia="Calibri" w:cs="宋体"/>
          <w:kern w:val="2"/>
          <w:sz w:val="24"/>
          <w:szCs w:val="24"/>
          <w:lang w:val="en-US" w:eastAsia="zh-CN" w:bidi="ar-SA"/>
        </w:rPr>
        <w:t xml:space="preserve">                 </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Calibri" w:cs="宋体"/>
          <w:kern w:val="2"/>
          <w:sz w:val="24"/>
          <w:szCs w:val="24"/>
          <w:lang w:val="en-US" w:eastAsia="zh-CN" w:bidi="ar-SA"/>
        </w:rPr>
      </w:pPr>
      <w:r>
        <w:rPr>
          <w:rFonts w:hint="eastAsia" w:ascii="宋体" w:hAnsi="宋体" w:eastAsia="Calibri" w:cs="宋体"/>
          <w:kern w:val="2"/>
          <w:sz w:val="24"/>
          <w:szCs w:val="24"/>
          <w:lang w:val="en-US" w:eastAsia="zh-CN" w:bidi="ar-SA"/>
        </w:rPr>
        <w:t>3、</w:t>
      </w:r>
      <w:r>
        <w:rPr>
          <w:rFonts w:hint="eastAsia" w:ascii="宋体" w:hAnsi="宋体" w:eastAsia="Calibri" w:cs="宋体"/>
          <w:kern w:val="2"/>
          <w:sz w:val="24"/>
          <w:szCs w:val="24"/>
          <w:u w:val="single"/>
          <w:lang w:val="en-US" w:eastAsia="zh-CN" w:bidi="ar-SA"/>
        </w:rPr>
        <w:t xml:space="preserve">                                            </w:t>
      </w:r>
      <w:r>
        <w:rPr>
          <w:rFonts w:hint="eastAsia" w:ascii="宋体" w:hAnsi="宋体" w:eastAsia="Calibri" w:cs="宋体"/>
          <w:kern w:val="2"/>
          <w:sz w:val="24"/>
          <w:szCs w:val="24"/>
          <w:lang w:val="en-US" w:eastAsia="zh-CN" w:bidi="ar-SA"/>
        </w:rPr>
        <w:t xml:space="preserve">                 </w:t>
      </w:r>
    </w:p>
    <w:p>
      <w:pPr>
        <w:pStyle w:val="56"/>
        <w:spacing w:before="60" w:beforeLines="25" w:after="200" w:line="240" w:lineRule="exact"/>
        <w:rPr>
          <w:rFonts w:hint="default" w:ascii="宋体" w:hAnsi="宋体" w:eastAsia="宋体" w:cs="宋体"/>
          <w:sz w:val="24"/>
          <w:lang w:val="en-US" w:eastAsia="zh-CN"/>
        </w:rPr>
      </w:pPr>
    </w:p>
    <w:p/>
    <w:p>
      <w:pPr>
        <w:pStyle w:val="5"/>
      </w:pPr>
    </w:p>
    <w:p/>
    <w:p>
      <w:pPr>
        <w:pStyle w:val="5"/>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5"/>
      </w:pPr>
    </w:p>
    <w:p>
      <w:pPr>
        <w:pStyle w:val="6"/>
        <w:tabs>
          <w:tab w:val="left" w:pos="0"/>
        </w:tabs>
        <w:spacing w:line="240" w:lineRule="auto"/>
        <w:ind w:left="0" w:leftChars="0" w:firstLine="0" w:firstLineChars="0"/>
        <w:jc w:val="center"/>
        <w:outlineLvl w:val="0"/>
        <w:rPr>
          <w:rFonts w:ascii="宋体" w:hAnsi="宋体"/>
          <w:b/>
          <w:sz w:val="36"/>
        </w:rPr>
      </w:pPr>
      <w:bookmarkStart w:id="92" w:name="_Toc256000033"/>
      <w:r>
        <w:rPr>
          <w:rFonts w:hint="eastAsia" w:ascii="宋体" w:hAnsi="宋体"/>
          <w:b/>
          <w:sz w:val="36"/>
        </w:rPr>
        <w:t>第六部分   投标文件格式</w:t>
      </w:r>
      <w:bookmarkEnd w:id="92"/>
    </w:p>
    <w:p>
      <w:pPr>
        <w:rPr>
          <w:highlight w:val="red"/>
        </w:rPr>
      </w:pPr>
    </w:p>
    <w:p>
      <w:pPr>
        <w:pStyle w:val="51"/>
        <w:spacing w:after="280" w:afterAutospacing="1"/>
        <w:jc w:val="center"/>
      </w:pPr>
      <w:r>
        <w:t>目  录</w:t>
      </w:r>
    </w:p>
    <w:p>
      <w:pPr>
        <w:pStyle w:val="51"/>
        <w:spacing w:after="280" w:afterAutospacing="1"/>
      </w:pPr>
      <w:r>
        <w:rPr>
          <w:rFonts w:ascii="宋体" w:hAnsi="宋体" w:eastAsia="宋体" w:cs="宋体"/>
        </w:rPr>
        <w:t>一、投标文件封面</w:t>
      </w:r>
    </w:p>
    <w:p>
      <w:pPr>
        <w:pStyle w:val="51"/>
        <w:spacing w:after="280" w:afterAutospacing="1"/>
      </w:pPr>
      <w:r>
        <w:rPr>
          <w:rFonts w:hint="eastAsia"/>
        </w:rPr>
        <w:t>二、资格审查材料</w:t>
      </w:r>
    </w:p>
    <w:p>
      <w:pPr>
        <w:pStyle w:val="51"/>
        <w:spacing w:after="280" w:afterAutospacing="1"/>
      </w:pPr>
      <w:r>
        <w:rPr>
          <w:rFonts w:hint="eastAsia"/>
        </w:rPr>
        <w:t>（一）☆资格证明文件</w:t>
      </w:r>
    </w:p>
    <w:p>
      <w:pPr>
        <w:pStyle w:val="51"/>
        <w:spacing w:after="280" w:afterAutospacing="1"/>
      </w:pPr>
      <w:r>
        <w:rPr>
          <w:rFonts w:hint="eastAsia"/>
        </w:rPr>
        <w:t>（二）☆法定代表人身份证明及授权委托书</w:t>
      </w:r>
    </w:p>
    <w:p>
      <w:pPr>
        <w:pStyle w:val="51"/>
        <w:spacing w:after="280" w:afterAutospacing="1"/>
      </w:pPr>
      <w:r>
        <w:rPr>
          <w:rFonts w:hint="eastAsia"/>
        </w:rPr>
        <w:t>（三）☆投标保证金</w:t>
      </w:r>
    </w:p>
    <w:p>
      <w:pPr>
        <w:pStyle w:val="51"/>
        <w:spacing w:after="280" w:afterAutospacing="1"/>
      </w:pPr>
      <w:r>
        <w:rPr>
          <w:rFonts w:hint="eastAsia"/>
        </w:rPr>
        <w:t>（四）中、小微企业声明函</w:t>
      </w:r>
    </w:p>
    <w:p>
      <w:pPr>
        <w:pStyle w:val="51"/>
        <w:spacing w:after="280" w:afterAutospacing="1"/>
      </w:pPr>
      <w:r>
        <w:rPr>
          <w:rFonts w:hint="eastAsia" w:ascii="宋体" w:hAnsi="宋体" w:eastAsia="宋体" w:cs="宋体"/>
        </w:rPr>
        <w:t>（五）</w:t>
      </w:r>
      <w:r>
        <w:rPr>
          <w:rFonts w:ascii="宋体" w:hAnsi="宋体" w:eastAsia="宋体" w:cs="宋体"/>
        </w:rPr>
        <w:t>供应商认为有必要提供的声明及文件资料</w:t>
      </w:r>
    </w:p>
    <w:p>
      <w:pPr>
        <w:pStyle w:val="51"/>
        <w:spacing w:after="280" w:afterAutospacing="1"/>
        <w:rPr>
          <w:rFonts w:ascii="宋体" w:hAnsi="宋体" w:eastAsia="宋体" w:cs="宋体"/>
        </w:rPr>
      </w:pPr>
      <w:r>
        <w:rPr>
          <w:rFonts w:hint="eastAsia" w:ascii="宋体" w:hAnsi="宋体" w:eastAsia="宋体" w:cs="宋体"/>
        </w:rPr>
        <w:t>（六）</w:t>
      </w:r>
      <w:r>
        <w:rPr>
          <w:rFonts w:ascii="宋体" w:hAnsi="宋体" w:eastAsia="宋体" w:cs="宋体"/>
        </w:rPr>
        <w:t>不参与围标串标承诺书</w:t>
      </w:r>
    </w:p>
    <w:p>
      <w:pPr>
        <w:pStyle w:val="51"/>
        <w:spacing w:after="280" w:afterAutospacing="1"/>
        <w:rPr>
          <w:rFonts w:ascii="宋体" w:hAnsi="宋体" w:eastAsia="宋体" w:cs="宋体"/>
        </w:rPr>
      </w:pPr>
      <w:r>
        <w:rPr>
          <w:rFonts w:hint="eastAsia" w:ascii="宋体" w:hAnsi="宋体" w:eastAsia="宋体" w:cs="宋体"/>
        </w:rPr>
        <w:t>三、商务文件</w:t>
      </w:r>
    </w:p>
    <w:p>
      <w:pPr>
        <w:pStyle w:val="51"/>
        <w:spacing w:after="280" w:afterAutospacing="1"/>
      </w:pPr>
      <w:r>
        <w:rPr>
          <w:rFonts w:ascii="宋体" w:hAnsi="宋体" w:eastAsia="宋体" w:cs="宋体"/>
        </w:rPr>
        <w:t>（一）☆投标函</w:t>
      </w:r>
    </w:p>
    <w:p>
      <w:pPr>
        <w:pStyle w:val="97"/>
        <w:spacing w:after="280" w:afterAutospacing="1" w:line="240" w:lineRule="exact"/>
      </w:pPr>
      <w:r>
        <w:rPr>
          <w:rFonts w:ascii="宋体" w:hAnsi="宋体" w:eastAsia="宋体" w:cs="宋体"/>
        </w:rPr>
        <w:t>（二）☆开标一览表</w:t>
      </w:r>
    </w:p>
    <w:p>
      <w:pPr>
        <w:pStyle w:val="97"/>
        <w:spacing w:after="280" w:afterAutospacing="1" w:line="240" w:lineRule="exact"/>
      </w:pPr>
      <w:r>
        <w:rPr>
          <w:rFonts w:ascii="宋体" w:hAnsi="宋体" w:eastAsia="宋体" w:cs="宋体"/>
        </w:rPr>
        <w:t>（三）☆投标报价明细表</w:t>
      </w:r>
    </w:p>
    <w:p>
      <w:pPr>
        <w:pStyle w:val="51"/>
        <w:spacing w:after="280" w:afterAutospacing="1"/>
      </w:pPr>
      <w:r>
        <w:rPr>
          <w:rFonts w:ascii="宋体" w:hAnsi="宋体" w:eastAsia="宋体" w:cs="宋体"/>
        </w:rPr>
        <w:t>（四）☆服务承诺书</w:t>
      </w:r>
    </w:p>
    <w:p>
      <w:pPr>
        <w:pStyle w:val="51"/>
        <w:spacing w:after="280" w:afterAutospacing="1"/>
        <w:rPr>
          <w:rFonts w:ascii="宋体" w:hAnsi="宋体" w:eastAsia="宋体" w:cs="宋体"/>
        </w:rPr>
      </w:pPr>
      <w:r>
        <w:rPr>
          <w:rFonts w:ascii="宋体" w:hAnsi="宋体" w:eastAsia="宋体" w:cs="宋体"/>
        </w:rPr>
        <w:t>（五）商务条款偏离说明表</w:t>
      </w:r>
    </w:p>
    <w:p>
      <w:pPr>
        <w:pStyle w:val="97"/>
        <w:spacing w:after="280" w:afterAutospacing="1" w:line="240" w:lineRule="exact"/>
        <w:rPr>
          <w:rFonts w:ascii="宋体" w:hAnsi="宋体" w:eastAsia="宋体" w:cs="宋体"/>
        </w:rPr>
      </w:pPr>
      <w:r>
        <w:rPr>
          <w:rFonts w:hint="eastAsia" w:ascii="宋体" w:hAnsi="宋体" w:eastAsia="宋体" w:cs="宋体"/>
        </w:rPr>
        <w:t>四、技术文件</w:t>
      </w:r>
    </w:p>
    <w:p>
      <w:pPr>
        <w:pStyle w:val="97"/>
        <w:spacing w:after="280" w:afterAutospacing="1" w:line="240" w:lineRule="exact"/>
        <w:ind w:firstLine="480" w:firstLineChars="200"/>
      </w:pPr>
      <w:r>
        <w:rPr>
          <w:rFonts w:ascii="宋体" w:hAnsi="宋体" w:eastAsia="宋体" w:cs="宋体"/>
        </w:rPr>
        <w:t>（一）投标人自行编写的技术文件</w:t>
      </w:r>
    </w:p>
    <w:p>
      <w:pPr>
        <w:pStyle w:val="97"/>
        <w:spacing w:after="280" w:afterAutospacing="1" w:line="240" w:lineRule="exact"/>
        <w:rPr>
          <w:rFonts w:ascii="宋体" w:hAnsi="宋体" w:eastAsia="宋体" w:cs="宋体"/>
        </w:rPr>
      </w:pPr>
      <w:r>
        <w:rPr>
          <w:rFonts w:hint="eastAsia" w:ascii="宋体" w:hAnsi="宋体" w:eastAsia="宋体" w:cs="宋体"/>
        </w:rPr>
        <w:t>五、服务文件</w:t>
      </w:r>
    </w:p>
    <w:p>
      <w:pPr>
        <w:pStyle w:val="97"/>
        <w:spacing w:after="280" w:afterAutospacing="1" w:line="240" w:lineRule="exact"/>
        <w:ind w:firstLine="480" w:firstLineChars="200"/>
      </w:pPr>
      <w:r>
        <w:rPr>
          <w:rFonts w:ascii="宋体" w:hAnsi="宋体" w:eastAsia="宋体" w:cs="宋体"/>
        </w:rPr>
        <w:t>（一）投标人自行编写的服务文件</w:t>
      </w:r>
    </w:p>
    <w:p>
      <w:pPr>
        <w:pStyle w:val="97"/>
        <w:spacing w:after="280" w:afterAutospacing="1" w:line="240" w:lineRule="exact"/>
        <w:rPr>
          <w:rFonts w:ascii="宋体" w:hAnsi="宋体" w:eastAsia="宋体" w:cs="宋体"/>
        </w:rPr>
      </w:pPr>
      <w:r>
        <w:rPr>
          <w:rFonts w:hint="eastAsia" w:ascii="宋体" w:hAnsi="宋体" w:eastAsia="宋体" w:cs="宋体"/>
        </w:rPr>
        <w:t>六</w:t>
      </w:r>
      <w:r>
        <w:rPr>
          <w:rFonts w:ascii="宋体" w:hAnsi="宋体" w:eastAsia="宋体" w:cs="宋体"/>
        </w:rPr>
        <w:t>、其他材料</w:t>
      </w:r>
    </w:p>
    <w:p>
      <w:pPr>
        <w:pStyle w:val="52"/>
        <w:outlineLvl w:val="1"/>
      </w:pPr>
      <w:r>
        <w:br w:type="page"/>
      </w:r>
      <w:bookmarkStart w:id="93" w:name="_Toc256000034"/>
      <w:r>
        <w:t>一、投标文件格式</w:t>
      </w:r>
      <w:bookmarkEnd w:id="93"/>
    </w:p>
    <w:p>
      <w:pPr>
        <w:pStyle w:val="53"/>
        <w:outlineLvl w:val="2"/>
        <w:rPr>
          <w:rFonts w:ascii="宋体" w:hAnsi="宋体" w:eastAsia="宋体" w:cs="宋体"/>
        </w:rPr>
      </w:pPr>
      <w:r>
        <w:br w:type="page"/>
      </w:r>
      <w:r>
        <w:rPr>
          <w:rFonts w:hint="eastAsia" w:ascii="宋体" w:hAnsi="宋体" w:eastAsia="宋体" w:cs="宋体"/>
        </w:rPr>
        <w:t>一、投标文件封面</w:t>
      </w:r>
    </w:p>
    <w:p>
      <w:pPr>
        <w:pStyle w:val="79"/>
        <w:spacing w:line="360" w:lineRule="auto"/>
        <w:rPr>
          <w:rFonts w:ascii="宋体" w:hAnsi="宋体" w:cs="宋体"/>
          <w:b/>
          <w:sz w:val="24"/>
        </w:rPr>
      </w:pPr>
    </w:p>
    <w:p>
      <w:pPr>
        <w:pStyle w:val="79"/>
        <w:spacing w:line="360" w:lineRule="auto"/>
        <w:jc w:val="center"/>
        <w:rPr>
          <w:rFonts w:ascii="宋体" w:hAnsi="宋体" w:cs="宋体"/>
          <w:sz w:val="24"/>
        </w:rPr>
      </w:pPr>
    </w:p>
    <w:p>
      <w:pPr>
        <w:pStyle w:val="79"/>
        <w:spacing w:line="360" w:lineRule="auto"/>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（项目名称）</w:t>
      </w:r>
    </w:p>
    <w:p>
      <w:pPr>
        <w:pStyle w:val="79"/>
        <w:spacing w:line="360" w:lineRule="auto"/>
        <w:jc w:val="center"/>
        <w:rPr>
          <w:rFonts w:ascii="宋体" w:hAnsi="宋体" w:cs="宋体"/>
          <w:sz w:val="28"/>
          <w:szCs w:val="28"/>
        </w:rPr>
      </w:pPr>
    </w:p>
    <w:p>
      <w:pPr>
        <w:pStyle w:val="79"/>
        <w:spacing w:line="360" w:lineRule="auto"/>
        <w:ind w:firstLine="1680" w:firstLineChars="6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（项目编号）</w:t>
      </w:r>
    </w:p>
    <w:p>
      <w:pPr>
        <w:pStyle w:val="79"/>
        <w:spacing w:line="360" w:lineRule="auto"/>
        <w:jc w:val="center"/>
        <w:rPr>
          <w:rFonts w:ascii="宋体" w:hAnsi="宋体" w:cs="宋体"/>
          <w:sz w:val="24"/>
        </w:rPr>
      </w:pPr>
    </w:p>
    <w:p>
      <w:pPr>
        <w:pStyle w:val="79"/>
        <w:spacing w:line="360" w:lineRule="auto"/>
        <w:jc w:val="center"/>
        <w:rPr>
          <w:rFonts w:ascii="宋体" w:hAnsi="宋体" w:cs="宋体"/>
          <w:sz w:val="24"/>
        </w:rPr>
      </w:pPr>
    </w:p>
    <w:p>
      <w:pPr>
        <w:pStyle w:val="79"/>
        <w:spacing w:line="360" w:lineRule="auto"/>
        <w:jc w:val="center"/>
        <w:rPr>
          <w:rFonts w:ascii="宋体" w:hAnsi="宋体" w:cs="宋体"/>
          <w:b/>
          <w:sz w:val="72"/>
          <w:szCs w:val="72"/>
        </w:rPr>
      </w:pPr>
      <w:r>
        <w:rPr>
          <w:rFonts w:hint="eastAsia" w:ascii="宋体" w:hAnsi="宋体" w:cs="宋体"/>
          <w:b/>
          <w:sz w:val="72"/>
          <w:szCs w:val="72"/>
        </w:rPr>
        <w:t>投标文件</w:t>
      </w:r>
    </w:p>
    <w:p>
      <w:pPr>
        <w:pStyle w:val="79"/>
        <w:spacing w:line="360" w:lineRule="auto"/>
        <w:jc w:val="center"/>
        <w:rPr>
          <w:rFonts w:ascii="宋体" w:hAnsi="宋体" w:cs="宋体"/>
          <w:sz w:val="24"/>
        </w:rPr>
      </w:pPr>
    </w:p>
    <w:p>
      <w:pPr>
        <w:pStyle w:val="79"/>
        <w:spacing w:line="360" w:lineRule="auto"/>
        <w:jc w:val="center"/>
        <w:rPr>
          <w:rFonts w:ascii="宋体" w:hAnsi="宋体" w:cs="宋体"/>
          <w:sz w:val="24"/>
        </w:rPr>
      </w:pPr>
    </w:p>
    <w:p>
      <w:pPr>
        <w:pStyle w:val="79"/>
        <w:spacing w:line="360" w:lineRule="auto"/>
        <w:jc w:val="center"/>
        <w:rPr>
          <w:rFonts w:ascii="宋体" w:hAnsi="宋体" w:cs="宋体"/>
          <w:b/>
          <w:sz w:val="24"/>
        </w:rPr>
      </w:pPr>
    </w:p>
    <w:p>
      <w:pPr>
        <w:pStyle w:val="79"/>
        <w:spacing w:line="360" w:lineRule="auto"/>
        <w:jc w:val="center"/>
        <w:rPr>
          <w:rFonts w:ascii="宋体" w:hAnsi="宋体" w:cs="宋体"/>
          <w:b/>
          <w:sz w:val="24"/>
        </w:rPr>
      </w:pPr>
    </w:p>
    <w:p>
      <w:pPr>
        <w:pStyle w:val="79"/>
        <w:spacing w:line="360" w:lineRule="auto"/>
        <w:jc w:val="center"/>
        <w:rPr>
          <w:rFonts w:ascii="宋体" w:hAnsi="宋体" w:cs="宋体"/>
          <w:b/>
          <w:sz w:val="24"/>
        </w:rPr>
      </w:pPr>
    </w:p>
    <w:p>
      <w:pPr>
        <w:pStyle w:val="79"/>
        <w:spacing w:line="360" w:lineRule="auto"/>
        <w:jc w:val="center"/>
        <w:rPr>
          <w:rFonts w:ascii="宋体" w:hAnsi="宋体" w:cs="宋体"/>
          <w:b/>
          <w:sz w:val="24"/>
        </w:rPr>
      </w:pPr>
    </w:p>
    <w:p>
      <w:pPr>
        <w:pStyle w:val="79"/>
        <w:spacing w:line="360" w:lineRule="auto"/>
        <w:jc w:val="center"/>
        <w:rPr>
          <w:rFonts w:ascii="宋体" w:hAnsi="宋体" w:cs="宋体"/>
          <w:b/>
          <w:sz w:val="24"/>
        </w:rPr>
      </w:pPr>
    </w:p>
    <w:p>
      <w:pPr>
        <w:pStyle w:val="79"/>
        <w:spacing w:line="360" w:lineRule="auto"/>
        <w:jc w:val="center"/>
        <w:rPr>
          <w:rFonts w:ascii="宋体" w:hAnsi="宋体" w:cs="宋体"/>
          <w:b/>
          <w:sz w:val="24"/>
        </w:rPr>
      </w:pPr>
    </w:p>
    <w:p>
      <w:pPr>
        <w:pStyle w:val="79"/>
        <w:spacing w:line="360" w:lineRule="auto"/>
        <w:jc w:val="center"/>
        <w:rPr>
          <w:rFonts w:ascii="宋体" w:hAnsi="宋体" w:cs="宋体"/>
          <w:sz w:val="28"/>
          <w:szCs w:val="28"/>
          <w:u w:val="single"/>
        </w:rPr>
      </w:pPr>
      <w:r>
        <w:rPr>
          <w:rFonts w:hint="eastAsia" w:ascii="宋体" w:hAnsi="宋体" w:cs="宋体"/>
          <w:sz w:val="28"/>
          <w:szCs w:val="28"/>
        </w:rPr>
        <w:t>投标人</w:t>
      </w:r>
      <w:r>
        <w:rPr>
          <w:rFonts w:hint="eastAsia" w:ascii="宋体" w:hAnsi="宋体" w:cs="宋体"/>
          <w:sz w:val="28"/>
          <w:szCs w:val="28"/>
          <w:u w:val="single"/>
        </w:rPr>
        <w:t xml:space="preserve">                     </w:t>
      </w:r>
      <w:r>
        <w:rPr>
          <w:rFonts w:hint="eastAsia" w:ascii="宋体" w:hAnsi="宋体" w:cs="宋体"/>
          <w:sz w:val="28"/>
          <w:szCs w:val="28"/>
        </w:rPr>
        <w:t>（电子签章）</w:t>
      </w:r>
    </w:p>
    <w:p>
      <w:pPr>
        <w:pStyle w:val="79"/>
        <w:spacing w:line="360" w:lineRule="auto"/>
        <w:ind w:firstLine="1680" w:firstLineChars="600"/>
        <w:rPr>
          <w:rFonts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w:t>
      </w:r>
      <w:r>
        <w:rPr>
          <w:rFonts w:hint="eastAsia" w:ascii="宋体" w:hAnsi="宋体" w:cs="宋体"/>
          <w:sz w:val="28"/>
          <w:szCs w:val="28"/>
        </w:rPr>
        <w:t>（电子签名）</w:t>
      </w:r>
    </w:p>
    <w:p>
      <w:pPr>
        <w:pStyle w:val="86"/>
        <w:spacing w:line="360" w:lineRule="auto"/>
        <w:ind w:firstLine="1680" w:firstLineChars="600"/>
        <w:rPr>
          <w:rFonts w:ascii="宋体" w:hAnsi="宋体" w:cs="宋体"/>
          <w:sz w:val="28"/>
          <w:szCs w:val="28"/>
          <w:u w:val="single"/>
        </w:rPr>
      </w:pPr>
      <w:r>
        <w:rPr>
          <w:rFonts w:hint="eastAsia" w:ascii="宋体" w:hAnsi="宋体" w:cs="宋体"/>
          <w:sz w:val="28"/>
          <w:szCs w:val="28"/>
        </w:rPr>
        <w:t>地址</w:t>
      </w:r>
      <w:r>
        <w:rPr>
          <w:rFonts w:hint="eastAsia" w:ascii="宋体" w:hAnsi="宋体" w:cs="宋体"/>
          <w:sz w:val="28"/>
          <w:szCs w:val="28"/>
          <w:u w:val="single"/>
        </w:rPr>
        <w:t xml:space="preserve">                      </w:t>
      </w:r>
    </w:p>
    <w:p>
      <w:pPr>
        <w:pStyle w:val="86"/>
        <w:spacing w:line="360" w:lineRule="auto"/>
        <w:ind w:firstLine="1680" w:firstLineChars="600"/>
        <w:rPr>
          <w:rFonts w:ascii="宋体" w:hAnsi="宋体" w:cs="宋体"/>
          <w:sz w:val="28"/>
          <w:szCs w:val="28"/>
          <w:u w:val="single"/>
        </w:rPr>
      </w:pPr>
      <w:r>
        <w:rPr>
          <w:rFonts w:hint="eastAsia" w:ascii="宋体" w:hAnsi="宋体" w:cs="宋体"/>
          <w:sz w:val="28"/>
          <w:szCs w:val="28"/>
        </w:rPr>
        <w:t>联系人</w:t>
      </w:r>
      <w:r>
        <w:rPr>
          <w:rFonts w:hint="eastAsia" w:ascii="宋体" w:hAnsi="宋体" w:cs="宋体"/>
          <w:sz w:val="28"/>
          <w:szCs w:val="28"/>
          <w:u w:val="single"/>
        </w:rPr>
        <w:t xml:space="preserve">                   </w:t>
      </w:r>
    </w:p>
    <w:p>
      <w:pPr>
        <w:pStyle w:val="86"/>
        <w:spacing w:line="360" w:lineRule="auto"/>
        <w:ind w:firstLine="1680" w:firstLineChars="600"/>
        <w:rPr>
          <w:rFonts w:ascii="宋体" w:hAnsi="宋体" w:cs="宋体"/>
          <w:sz w:val="28"/>
          <w:szCs w:val="28"/>
          <w:u w:val="single"/>
        </w:rPr>
      </w:pPr>
      <w:r>
        <w:rPr>
          <w:rFonts w:hint="eastAsia" w:ascii="宋体" w:hAnsi="宋体" w:cs="宋体"/>
          <w:sz w:val="28"/>
          <w:szCs w:val="28"/>
        </w:rPr>
        <w:t>联系电话</w:t>
      </w:r>
      <w:r>
        <w:rPr>
          <w:rFonts w:hint="eastAsia" w:ascii="宋体" w:hAnsi="宋体" w:cs="宋体"/>
          <w:sz w:val="28"/>
          <w:szCs w:val="28"/>
          <w:u w:val="single"/>
        </w:rPr>
        <w:t xml:space="preserve">                 </w:t>
      </w:r>
    </w:p>
    <w:p>
      <w:pPr>
        <w:pStyle w:val="79"/>
        <w:spacing w:line="360" w:lineRule="auto"/>
        <w:jc w:val="center"/>
        <w:rPr>
          <w:rFonts w:ascii="宋体" w:hAnsi="宋体" w:cs="宋体"/>
          <w:sz w:val="28"/>
          <w:szCs w:val="28"/>
          <w:u w:val="single"/>
        </w:rPr>
      </w:pPr>
      <w:r>
        <w:rPr>
          <w:rFonts w:hint="eastAsia" w:ascii="宋体" w:hAnsi="宋体" w:cs="宋体"/>
          <w:sz w:val="28"/>
          <w:szCs w:val="28"/>
        </w:rPr>
        <w:t>日期</w:t>
      </w:r>
      <w:r>
        <w:rPr>
          <w:rFonts w:hint="eastAsia" w:ascii="宋体" w:hAnsi="宋体" w:cs="宋体"/>
          <w:sz w:val="28"/>
          <w:szCs w:val="28"/>
          <w:u w:val="single"/>
        </w:rPr>
        <w:t xml:space="preserve">                   </w:t>
      </w:r>
      <w:r>
        <w:rPr>
          <w:rFonts w:hint="eastAsia" w:ascii="宋体" w:hAnsi="宋体" w:cs="宋体"/>
          <w:sz w:val="28"/>
          <w:szCs w:val="28"/>
        </w:rPr>
        <w:t>（年/月/日）</w:t>
      </w:r>
    </w:p>
    <w:p>
      <w:pPr>
        <w:pStyle w:val="79"/>
        <w:spacing w:line="360" w:lineRule="auto"/>
        <w:jc w:val="center"/>
        <w:rPr>
          <w:rFonts w:ascii="宋体" w:hAnsi="宋体"/>
          <w:sz w:val="28"/>
          <w:szCs w:val="28"/>
          <w:u w:val="single"/>
        </w:rPr>
      </w:pPr>
    </w:p>
    <w:p>
      <w:pPr>
        <w:pStyle w:val="56"/>
        <w:outlineLvl w:val="1"/>
      </w:pPr>
      <w:r>
        <w:br w:type="page"/>
      </w:r>
      <w:bookmarkStart w:id="94" w:name="_Toc256000036"/>
      <w:r>
        <w:t>二、资格审查材料</w:t>
      </w:r>
      <w:bookmarkEnd w:id="94"/>
    </w:p>
    <w:p>
      <w:pPr>
        <w:pStyle w:val="58"/>
        <w:ind w:firstLine="560" w:firstLineChars="200"/>
        <w:rPr>
          <w:rFonts w:ascii="黑体" w:hAnsi="黑体" w:eastAsia="黑体"/>
          <w:b/>
          <w:kern w:val="0"/>
          <w:sz w:val="32"/>
          <w:szCs w:val="24"/>
        </w:rPr>
      </w:pPr>
      <w:r>
        <w:br w:type="page"/>
      </w:r>
      <w:r>
        <w:rPr>
          <w:rFonts w:hint="eastAsia" w:ascii="黑体" w:hAnsi="黑体" w:eastAsia="黑体"/>
          <w:b/>
          <w:kern w:val="0"/>
          <w:sz w:val="32"/>
          <w:szCs w:val="24"/>
        </w:rPr>
        <w:t>（一）☆资格证明文件</w:t>
      </w:r>
    </w:p>
    <w:p>
      <w:pPr>
        <w:pStyle w:val="59"/>
        <w:outlineLvl w:val="2"/>
      </w:pPr>
      <w:r>
        <w:br w:type="page"/>
      </w:r>
      <w:bookmarkStart w:id="95" w:name="_Toc256000038"/>
      <w:r>
        <w:t>（二）☆法定代表人身份证明及授权委托书</w:t>
      </w:r>
      <w:bookmarkEnd w:id="95"/>
    </w:p>
    <w:p>
      <w:pPr>
        <w:pStyle w:val="60"/>
        <w:adjustRightInd w:val="0"/>
        <w:snapToGrid w:val="0"/>
        <w:spacing w:line="500" w:lineRule="exact"/>
        <w:jc w:val="center"/>
        <w:rPr>
          <w:rFonts w:ascii="宋体" w:hAnsi="宋体"/>
          <w:sz w:val="24"/>
          <w:szCs w:val="24"/>
        </w:rPr>
      </w:pPr>
      <w:bookmarkStart w:id="96" w:name="_Toc468535482"/>
      <w:bookmarkEnd w:id="96"/>
      <w:bookmarkStart w:id="97" w:name="_Toc480368653"/>
      <w:bookmarkEnd w:id="97"/>
      <w:bookmarkStart w:id="98" w:name="_Toc480368424"/>
      <w:bookmarkEnd w:id="98"/>
      <w:bookmarkStart w:id="99" w:name="_Toc487101447"/>
      <w:bookmarkEnd w:id="99"/>
      <w:bookmarkStart w:id="100" w:name="_Toc480368595"/>
      <w:bookmarkEnd w:id="100"/>
      <w:bookmarkStart w:id="101" w:name="_Toc487101305"/>
      <w:bookmarkEnd w:id="101"/>
      <w:bookmarkStart w:id="102" w:name="_Toc480371721"/>
      <w:bookmarkEnd w:id="102"/>
      <w:bookmarkStart w:id="103" w:name="_Toc487101376"/>
      <w:bookmarkEnd w:id="103"/>
      <w:r>
        <w:rPr>
          <w:rFonts w:hint="eastAsia" w:ascii="宋体" w:hAnsi="宋体"/>
          <w:sz w:val="24"/>
          <w:szCs w:val="24"/>
        </w:rPr>
        <w:t>法定代表人资格证明文件</w:t>
      </w:r>
    </w:p>
    <w:p>
      <w:pPr>
        <w:pStyle w:val="60"/>
        <w:adjustRightInd w:val="0"/>
        <w:snapToGrid w:val="0"/>
        <w:spacing w:line="500" w:lineRule="exact"/>
        <w:rPr>
          <w:rFonts w:ascii="宋体" w:hAnsi="宋体"/>
          <w:sz w:val="24"/>
          <w:szCs w:val="24"/>
        </w:rPr>
      </w:pPr>
      <w:r>
        <w:rPr>
          <w:rFonts w:hint="eastAsia" w:ascii="宋体" w:hAnsi="宋体"/>
          <w:sz w:val="24"/>
          <w:szCs w:val="24"/>
          <w:u w:val="single"/>
        </w:rPr>
        <w:t>（代理机构名称）</w:t>
      </w:r>
      <w:r>
        <w:rPr>
          <w:rFonts w:hint="eastAsia" w:ascii="宋体" w:hAnsi="宋体"/>
          <w:sz w:val="24"/>
          <w:szCs w:val="24"/>
        </w:rPr>
        <w:t>：</w:t>
      </w:r>
    </w:p>
    <w:p>
      <w:pPr>
        <w:pStyle w:val="60"/>
        <w:adjustRightInd w:val="0"/>
        <w:snapToGrid w:val="0"/>
        <w:spacing w:line="500" w:lineRule="exact"/>
        <w:ind w:firstLine="480" w:firstLineChars="200"/>
        <w:rPr>
          <w:rFonts w:ascii="宋体" w:hAnsi="宋体"/>
          <w:sz w:val="24"/>
          <w:szCs w:val="24"/>
        </w:rPr>
      </w:pPr>
      <w:r>
        <w:rPr>
          <w:rFonts w:hint="eastAsia" w:ascii="宋体" w:hAnsi="宋体"/>
          <w:sz w:val="24"/>
          <w:szCs w:val="24"/>
        </w:rPr>
        <w:t>兹有</w:t>
      </w:r>
      <w:r>
        <w:rPr>
          <w:rFonts w:hint="eastAsia" w:ascii="宋体" w:hAnsi="宋体"/>
          <w:sz w:val="24"/>
          <w:szCs w:val="24"/>
          <w:u w:val="single"/>
        </w:rPr>
        <w:t xml:space="preserve">          </w:t>
      </w:r>
      <w:r>
        <w:rPr>
          <w:rFonts w:hint="eastAsia" w:ascii="宋体" w:hAnsi="宋体"/>
          <w:sz w:val="24"/>
          <w:szCs w:val="24"/>
        </w:rPr>
        <w:t>同志为</w:t>
      </w:r>
      <w:r>
        <w:rPr>
          <w:rFonts w:hint="eastAsia" w:ascii="宋体" w:hAnsi="宋体"/>
          <w:sz w:val="24"/>
          <w:szCs w:val="24"/>
          <w:u w:val="single"/>
        </w:rPr>
        <w:t xml:space="preserve">             </w:t>
      </w:r>
      <w:r>
        <w:rPr>
          <w:rFonts w:hint="eastAsia" w:ascii="宋体" w:hAnsi="宋体"/>
          <w:sz w:val="24"/>
          <w:szCs w:val="24"/>
        </w:rPr>
        <w:t xml:space="preserve">公司法定代表人，代表我公司办理一切社会公务事宜，具有法律效力。 </w:t>
      </w:r>
    </w:p>
    <w:p>
      <w:pPr>
        <w:pStyle w:val="60"/>
        <w:adjustRightInd w:val="0"/>
        <w:snapToGrid w:val="0"/>
        <w:spacing w:line="500" w:lineRule="exact"/>
        <w:ind w:firstLine="480" w:firstLineChars="200"/>
        <w:rPr>
          <w:rFonts w:ascii="宋体" w:hAnsi="宋体"/>
          <w:sz w:val="24"/>
          <w:szCs w:val="24"/>
        </w:rPr>
      </w:pPr>
      <w:r>
        <w:rPr>
          <w:rFonts w:hint="eastAsia" w:ascii="宋体" w:hAnsi="宋体"/>
          <w:sz w:val="24"/>
          <w:szCs w:val="24"/>
        </w:rPr>
        <w:t xml:space="preserve">附法定代表人基本情况： </w:t>
      </w:r>
    </w:p>
    <w:p>
      <w:pPr>
        <w:pStyle w:val="60"/>
        <w:adjustRightInd w:val="0"/>
        <w:snapToGrid w:val="0"/>
        <w:spacing w:line="500" w:lineRule="exact"/>
        <w:ind w:firstLine="480" w:firstLineChars="200"/>
        <w:rPr>
          <w:rFonts w:ascii="宋体" w:hAnsi="宋体"/>
          <w:sz w:val="24"/>
          <w:szCs w:val="24"/>
          <w:u w:val="single"/>
        </w:rPr>
      </w:pPr>
      <w:r>
        <w:rPr>
          <w:rFonts w:hint="eastAsia" w:ascii="宋体" w:hAnsi="宋体"/>
          <w:sz w:val="24"/>
          <w:szCs w:val="24"/>
        </w:rPr>
        <w:t>姓名：</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pPr>
        <w:pStyle w:val="60"/>
        <w:adjustRightInd w:val="0"/>
        <w:snapToGrid w:val="0"/>
        <w:spacing w:line="500" w:lineRule="exact"/>
        <w:ind w:firstLine="480" w:firstLineChars="200"/>
        <w:rPr>
          <w:rFonts w:ascii="宋体" w:hAnsi="宋体"/>
          <w:sz w:val="24"/>
          <w:szCs w:val="24"/>
        </w:rPr>
      </w:pPr>
      <w:r>
        <w:rPr>
          <w:rFonts w:hint="eastAsia" w:ascii="宋体" w:hAnsi="宋体"/>
          <w:sz w:val="24"/>
          <w:szCs w:val="24"/>
        </w:rPr>
        <w:t>身份证号码：</w:t>
      </w:r>
      <w:r>
        <w:rPr>
          <w:rFonts w:hint="eastAsia" w:ascii="宋体" w:hAnsi="宋体"/>
          <w:sz w:val="24"/>
          <w:szCs w:val="24"/>
          <w:u w:val="single"/>
        </w:rPr>
        <w:t xml:space="preserve">                     </w:t>
      </w:r>
    </w:p>
    <w:p>
      <w:pPr>
        <w:pStyle w:val="60"/>
        <w:adjustRightInd w:val="0"/>
        <w:snapToGrid w:val="0"/>
        <w:spacing w:line="500" w:lineRule="exact"/>
        <w:ind w:firstLine="480" w:firstLineChars="200"/>
        <w:rPr>
          <w:rFonts w:ascii="宋体" w:hAnsi="宋体"/>
          <w:sz w:val="24"/>
          <w:szCs w:val="24"/>
        </w:rPr>
      </w:pPr>
      <w:r>
        <w:rPr>
          <w:rFonts w:hint="eastAsia" w:ascii="宋体" w:hAnsi="宋体"/>
          <w:sz w:val="24"/>
          <w:szCs w:val="24"/>
        </w:rPr>
        <w:t>通讯地址：</w:t>
      </w:r>
      <w:r>
        <w:rPr>
          <w:rFonts w:hint="eastAsia" w:ascii="宋体" w:hAnsi="宋体"/>
          <w:sz w:val="24"/>
          <w:szCs w:val="24"/>
          <w:u w:val="single"/>
        </w:rPr>
        <w:t xml:space="preserve">                       </w:t>
      </w:r>
    </w:p>
    <w:p>
      <w:pPr>
        <w:pStyle w:val="60"/>
        <w:adjustRightInd w:val="0"/>
        <w:snapToGrid w:val="0"/>
        <w:spacing w:line="500" w:lineRule="exact"/>
        <w:ind w:firstLine="480" w:firstLineChars="200"/>
        <w:rPr>
          <w:rFonts w:ascii="宋体" w:hAnsi="宋体"/>
          <w:sz w:val="24"/>
          <w:szCs w:val="24"/>
        </w:rPr>
      </w:pPr>
      <w:r>
        <w:rPr>
          <w:rFonts w:hint="eastAsia" w:ascii="宋体" w:hAnsi="宋体"/>
          <w:sz w:val="24"/>
          <w:szCs w:val="24"/>
        </w:rPr>
        <w:t>电话号码：</w:t>
      </w:r>
      <w:r>
        <w:rPr>
          <w:rFonts w:hint="eastAsia" w:ascii="宋体" w:hAnsi="宋体"/>
          <w:sz w:val="24"/>
          <w:szCs w:val="24"/>
          <w:u w:val="single"/>
        </w:rPr>
        <w:t xml:space="preserve">                   </w:t>
      </w:r>
      <w:r>
        <w:rPr>
          <w:rFonts w:hint="eastAsia" w:ascii="宋体" w:hAnsi="宋体"/>
          <w:sz w:val="24"/>
          <w:szCs w:val="24"/>
        </w:rPr>
        <w:t>邮政编码：</w:t>
      </w:r>
      <w:r>
        <w:rPr>
          <w:rFonts w:hint="eastAsia" w:ascii="宋体" w:hAnsi="宋体"/>
          <w:sz w:val="24"/>
          <w:szCs w:val="24"/>
          <w:u w:val="single"/>
        </w:rPr>
        <w:t xml:space="preserve">               </w:t>
      </w:r>
    </w:p>
    <w:p>
      <w:pPr>
        <w:pStyle w:val="60"/>
        <w:adjustRightInd w:val="0"/>
        <w:snapToGrid w:val="0"/>
        <w:spacing w:line="500" w:lineRule="exact"/>
        <w:rPr>
          <w:rFonts w:ascii="宋体" w:hAnsi="宋体"/>
          <w:sz w:val="24"/>
          <w:szCs w:val="24"/>
        </w:rPr>
      </w:pPr>
      <w:r>
        <w:rPr>
          <w:rFonts w:hint="eastAsia" w:ascii="宋体" w:hAnsi="宋体"/>
          <w:sz w:val="24"/>
          <w:szCs w:val="24"/>
        </w:rPr>
        <w:t xml:space="preserve"> </w:t>
      </w:r>
    </w:p>
    <w:tbl>
      <w:tblPr>
        <w:tblStyle w:val="16"/>
        <w:tblW w:w="6804"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tcPr>
          <w:p>
            <w:pPr>
              <w:pStyle w:val="60"/>
              <w:adjustRightInd w:val="0"/>
              <w:snapToGrid w:val="0"/>
              <w:spacing w:line="500" w:lineRule="exact"/>
              <w:jc w:val="center"/>
              <w:rPr>
                <w:rFonts w:ascii="宋体" w:hAnsi="宋体"/>
                <w:sz w:val="24"/>
                <w:szCs w:val="24"/>
              </w:rPr>
            </w:pPr>
          </w:p>
          <w:p>
            <w:pPr>
              <w:pStyle w:val="60"/>
              <w:adjustRightInd w:val="0"/>
              <w:snapToGrid w:val="0"/>
              <w:spacing w:line="500" w:lineRule="exact"/>
              <w:jc w:val="center"/>
              <w:rPr>
                <w:rFonts w:ascii="宋体" w:hAnsi="宋体"/>
                <w:sz w:val="24"/>
                <w:szCs w:val="24"/>
              </w:rPr>
            </w:pPr>
          </w:p>
          <w:p>
            <w:pPr>
              <w:pStyle w:val="60"/>
              <w:adjustRightInd w:val="0"/>
              <w:snapToGrid w:val="0"/>
              <w:spacing w:line="500" w:lineRule="exact"/>
              <w:jc w:val="center"/>
              <w:rPr>
                <w:rFonts w:ascii="宋体" w:hAnsi="宋体"/>
                <w:sz w:val="24"/>
                <w:szCs w:val="24"/>
              </w:rPr>
            </w:pPr>
            <w:r>
              <w:rPr>
                <w:rFonts w:hint="eastAsia" w:ascii="宋体" w:hAnsi="宋体"/>
                <w:sz w:val="24"/>
                <w:szCs w:val="24"/>
              </w:rPr>
              <w:t>法定代表人《居民身份证》扫描件</w:t>
            </w:r>
          </w:p>
        </w:tc>
      </w:tr>
    </w:tbl>
    <w:p>
      <w:pPr>
        <w:pStyle w:val="60"/>
        <w:adjustRightInd w:val="0"/>
        <w:snapToGrid w:val="0"/>
        <w:spacing w:line="500" w:lineRule="exact"/>
        <w:rPr>
          <w:rFonts w:ascii="宋体" w:hAnsi="宋体"/>
          <w:sz w:val="24"/>
          <w:szCs w:val="24"/>
        </w:rPr>
      </w:pPr>
    </w:p>
    <w:p>
      <w:pPr>
        <w:pStyle w:val="60"/>
        <w:tabs>
          <w:tab w:val="left" w:pos="750"/>
        </w:tabs>
        <w:adjustRightInd w:val="0"/>
        <w:snapToGrid w:val="0"/>
        <w:spacing w:line="500" w:lineRule="exact"/>
        <w:rPr>
          <w:rFonts w:ascii="宋体" w:hAnsi="宋体"/>
          <w:sz w:val="24"/>
          <w:szCs w:val="24"/>
        </w:rPr>
      </w:pPr>
      <w:r>
        <w:rPr>
          <w:rFonts w:hint="eastAsia" w:ascii="宋体" w:hAnsi="宋体"/>
          <w:sz w:val="24"/>
          <w:szCs w:val="24"/>
        </w:rPr>
        <w:t xml:space="preserve"> </w:t>
      </w:r>
      <w:r>
        <w:rPr>
          <w:rFonts w:hint="eastAsia" w:ascii="宋体" w:hAnsi="宋体"/>
          <w:sz w:val="24"/>
          <w:szCs w:val="24"/>
        </w:rPr>
        <w:tab/>
      </w:r>
      <w:r>
        <w:rPr>
          <w:rFonts w:hint="eastAsia" w:ascii="宋体" w:hAnsi="宋体"/>
          <w:sz w:val="24"/>
          <w:szCs w:val="24"/>
        </w:rPr>
        <w:t>投标人名称</w:t>
      </w:r>
      <w:r>
        <w:rPr>
          <w:rFonts w:hint="eastAsia" w:ascii="宋体" w:hAnsi="宋体" w:cs="宋体"/>
          <w:sz w:val="24"/>
          <w:szCs w:val="24"/>
        </w:rPr>
        <w:t>（</w:t>
      </w:r>
      <w:r>
        <w:rPr>
          <w:rFonts w:hint="eastAsia" w:ascii="宋体" w:hAnsi="宋体"/>
          <w:sz w:val="24"/>
          <w:szCs w:val="24"/>
        </w:rPr>
        <w:t>电子签章</w:t>
      </w:r>
      <w:r>
        <w:rPr>
          <w:rFonts w:hint="eastAsia" w:ascii="宋体" w:hAnsi="宋体" w:cs="宋体"/>
          <w:sz w:val="24"/>
          <w:szCs w:val="24"/>
        </w:rPr>
        <w:t>）</w:t>
      </w:r>
      <w:r>
        <w:rPr>
          <w:rFonts w:hint="eastAsia" w:ascii="宋体" w:hAnsi="宋体"/>
          <w:sz w:val="24"/>
          <w:szCs w:val="24"/>
        </w:rPr>
        <w:t>：</w:t>
      </w:r>
      <w:r>
        <w:rPr>
          <w:rFonts w:hint="eastAsia" w:ascii="宋体" w:hAnsi="宋体"/>
          <w:sz w:val="24"/>
          <w:szCs w:val="24"/>
          <w:u w:val="single"/>
        </w:rPr>
        <w:t xml:space="preserve">           </w:t>
      </w:r>
    </w:p>
    <w:p>
      <w:pPr>
        <w:pStyle w:val="60"/>
        <w:tabs>
          <w:tab w:val="left" w:pos="750"/>
        </w:tabs>
        <w:adjustRightInd w:val="0"/>
        <w:snapToGrid w:val="0"/>
        <w:spacing w:line="500" w:lineRule="exact"/>
        <w:rPr>
          <w:rFonts w:ascii="宋体" w:hAnsi="宋体"/>
          <w:sz w:val="24"/>
          <w:szCs w:val="24"/>
        </w:rPr>
      </w:pPr>
    </w:p>
    <w:p>
      <w:pPr>
        <w:pStyle w:val="60"/>
        <w:tabs>
          <w:tab w:val="left" w:pos="750"/>
        </w:tabs>
        <w:adjustRightInd w:val="0"/>
        <w:snapToGrid w:val="0"/>
        <w:spacing w:line="500" w:lineRule="exact"/>
        <w:ind w:firstLine="720" w:firstLineChars="300"/>
        <w:rPr>
          <w:rFonts w:ascii="宋体" w:hAnsi="宋体"/>
          <w:sz w:val="24"/>
          <w:szCs w:val="24"/>
        </w:rPr>
      </w:pPr>
      <w:r>
        <w:rPr>
          <w:rFonts w:hint="eastAsia" w:ascii="宋体" w:hAnsi="宋体"/>
          <w:sz w:val="24"/>
          <w:szCs w:val="24"/>
        </w:rPr>
        <w:t>法定代表人</w:t>
      </w:r>
      <w:r>
        <w:rPr>
          <w:rFonts w:hint="eastAsia" w:ascii="宋体" w:hAnsi="宋体" w:cs="宋体"/>
          <w:sz w:val="24"/>
          <w:szCs w:val="24"/>
        </w:rPr>
        <w:t>（</w:t>
      </w:r>
      <w:r>
        <w:rPr>
          <w:rFonts w:hint="eastAsia" w:ascii="宋体" w:hAnsi="宋体"/>
          <w:sz w:val="24"/>
          <w:szCs w:val="24"/>
        </w:rPr>
        <w:t>电子签名</w:t>
      </w:r>
      <w:r>
        <w:rPr>
          <w:rFonts w:hint="eastAsia" w:ascii="宋体" w:hAnsi="宋体" w:cs="宋体"/>
          <w:sz w:val="24"/>
          <w:szCs w:val="24"/>
        </w:rPr>
        <w:t>）</w:t>
      </w:r>
      <w:r>
        <w:rPr>
          <w:rFonts w:hint="eastAsia" w:ascii="宋体" w:hAnsi="宋体"/>
          <w:sz w:val="24"/>
          <w:szCs w:val="24"/>
        </w:rPr>
        <w:t>：</w:t>
      </w:r>
      <w:r>
        <w:rPr>
          <w:rFonts w:hint="eastAsia" w:ascii="宋体" w:hAnsi="宋体"/>
          <w:sz w:val="24"/>
          <w:szCs w:val="24"/>
          <w:u w:val="single"/>
        </w:rPr>
        <w:t xml:space="preserve">           </w:t>
      </w:r>
    </w:p>
    <w:p>
      <w:pPr>
        <w:pStyle w:val="60"/>
        <w:tabs>
          <w:tab w:val="left" w:pos="750"/>
        </w:tabs>
        <w:adjustRightInd w:val="0"/>
        <w:snapToGrid w:val="0"/>
        <w:spacing w:line="500" w:lineRule="exact"/>
        <w:rPr>
          <w:rFonts w:ascii="宋体" w:hAnsi="宋体"/>
          <w:sz w:val="24"/>
          <w:szCs w:val="24"/>
        </w:rPr>
      </w:pPr>
    </w:p>
    <w:p>
      <w:pPr>
        <w:pStyle w:val="60"/>
        <w:tabs>
          <w:tab w:val="left" w:pos="750"/>
        </w:tabs>
        <w:adjustRightInd w:val="0"/>
        <w:snapToGrid w:val="0"/>
        <w:spacing w:line="500" w:lineRule="exact"/>
        <w:ind w:firstLine="720" w:firstLineChars="300"/>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pStyle w:val="61"/>
        <w:outlineLvl w:val="9"/>
      </w:pPr>
      <w:r>
        <w:rPr>
          <w:rFonts w:hint="eastAsia"/>
        </w:rPr>
        <w:t xml:space="preserve"> </w:t>
      </w:r>
      <w:bookmarkStart w:id="104" w:name="_Toc468535483"/>
    </w:p>
    <w:p>
      <w:pPr>
        <w:pStyle w:val="61"/>
        <w:outlineLvl w:val="9"/>
      </w:pPr>
    </w:p>
    <w:p>
      <w:pPr>
        <w:pStyle w:val="61"/>
        <w:outlineLvl w:val="9"/>
      </w:pPr>
    </w:p>
    <w:p>
      <w:pPr>
        <w:pStyle w:val="60"/>
        <w:rPr>
          <w:rFonts w:ascii="宋体" w:hAnsi="宋体"/>
        </w:rPr>
      </w:pPr>
    </w:p>
    <w:p>
      <w:pPr>
        <w:pStyle w:val="60"/>
        <w:rPr>
          <w:rFonts w:ascii="宋体" w:hAnsi="宋体"/>
        </w:rPr>
      </w:pPr>
    </w:p>
    <w:bookmarkEnd w:id="104"/>
    <w:p>
      <w:pPr>
        <w:pStyle w:val="60"/>
        <w:spacing w:line="500" w:lineRule="exact"/>
        <w:jc w:val="center"/>
        <w:rPr>
          <w:rFonts w:ascii="宋体" w:hAnsi="宋体"/>
          <w:sz w:val="24"/>
          <w:szCs w:val="24"/>
        </w:rPr>
      </w:pPr>
      <w:r>
        <w:rPr>
          <w:rFonts w:hint="eastAsia" w:ascii="宋体" w:hAnsi="宋体"/>
          <w:sz w:val="24"/>
          <w:szCs w:val="24"/>
        </w:rPr>
        <w:t>法定代表人授权书</w:t>
      </w:r>
    </w:p>
    <w:p>
      <w:pPr>
        <w:pStyle w:val="60"/>
        <w:spacing w:line="500" w:lineRule="exact"/>
        <w:rPr>
          <w:rFonts w:ascii="宋体" w:hAnsi="宋体"/>
          <w:sz w:val="24"/>
          <w:szCs w:val="24"/>
        </w:rPr>
      </w:pPr>
      <w:r>
        <w:rPr>
          <w:rFonts w:hint="eastAsia" w:ascii="宋体" w:hAnsi="宋体"/>
          <w:sz w:val="24"/>
          <w:szCs w:val="24"/>
          <w:u w:val="single"/>
        </w:rPr>
        <w:t>（代理机构名称）</w:t>
      </w:r>
      <w:r>
        <w:rPr>
          <w:rFonts w:hint="eastAsia" w:ascii="宋体" w:hAnsi="宋体"/>
          <w:sz w:val="24"/>
          <w:szCs w:val="24"/>
        </w:rPr>
        <w:t>：</w:t>
      </w:r>
    </w:p>
    <w:p>
      <w:pPr>
        <w:pStyle w:val="60"/>
        <w:spacing w:line="500" w:lineRule="exact"/>
        <w:ind w:firstLine="480" w:firstLineChars="200"/>
        <w:rPr>
          <w:rFonts w:ascii="宋体" w:hAnsi="宋体"/>
          <w:sz w:val="24"/>
          <w:szCs w:val="24"/>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同志为我公司参加贵单位组织的编号为</w:t>
      </w:r>
      <w:r>
        <w:rPr>
          <w:rFonts w:hint="eastAsia" w:ascii="宋体" w:hAnsi="宋体"/>
          <w:sz w:val="24"/>
          <w:szCs w:val="24"/>
          <w:u w:val="single"/>
        </w:rPr>
        <w:t>（项目编号）</w:t>
      </w:r>
      <w:r>
        <w:rPr>
          <w:rFonts w:hint="eastAsia" w:ascii="宋体" w:hAnsi="宋体"/>
          <w:sz w:val="24"/>
          <w:szCs w:val="24"/>
        </w:rPr>
        <w:t>的</w:t>
      </w:r>
      <w:r>
        <w:rPr>
          <w:rFonts w:hint="eastAsia" w:ascii="宋体" w:hAnsi="宋体"/>
          <w:sz w:val="24"/>
          <w:szCs w:val="24"/>
          <w:u w:val="single"/>
        </w:rPr>
        <w:t>（项 目 名 称）</w:t>
      </w:r>
      <w:r>
        <w:rPr>
          <w:rFonts w:hint="eastAsia" w:ascii="宋体" w:hAnsi="宋体"/>
          <w:sz w:val="24"/>
          <w:szCs w:val="24"/>
        </w:rPr>
        <w:t>采购活动的投标代表人，全权代表我公司处理在该项目采购活动中的一切事宜。代理期限从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日起至</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 xml:space="preserve">日止。 </w:t>
      </w:r>
    </w:p>
    <w:p>
      <w:pPr>
        <w:pStyle w:val="60"/>
        <w:spacing w:line="500" w:lineRule="exact"/>
        <w:rPr>
          <w:rFonts w:ascii="宋体" w:hAnsi="宋体"/>
          <w:sz w:val="24"/>
          <w:szCs w:val="24"/>
        </w:rPr>
      </w:pPr>
    </w:p>
    <w:p>
      <w:pPr>
        <w:pStyle w:val="60"/>
        <w:spacing w:line="500" w:lineRule="exact"/>
        <w:rPr>
          <w:rFonts w:ascii="宋体" w:hAnsi="宋体"/>
          <w:sz w:val="24"/>
          <w:szCs w:val="24"/>
        </w:rPr>
      </w:pPr>
      <w:r>
        <w:rPr>
          <w:rFonts w:hint="eastAsia" w:ascii="宋体" w:hAnsi="宋体"/>
          <w:sz w:val="24"/>
          <w:szCs w:val="24"/>
        </w:rPr>
        <w:t>投标人</w:t>
      </w:r>
      <w:r>
        <w:rPr>
          <w:rFonts w:hint="eastAsia" w:ascii="宋体" w:hAnsi="宋体" w:cs="宋体"/>
          <w:sz w:val="24"/>
          <w:szCs w:val="24"/>
        </w:rPr>
        <w:t>（</w:t>
      </w:r>
      <w:r>
        <w:rPr>
          <w:rFonts w:hint="eastAsia" w:ascii="宋体" w:hAnsi="宋体"/>
          <w:sz w:val="24"/>
          <w:szCs w:val="24"/>
        </w:rPr>
        <w:t>电子签章</w:t>
      </w:r>
      <w:r>
        <w:rPr>
          <w:rFonts w:hint="eastAsia" w:ascii="宋体" w:hAnsi="宋体" w:cs="宋体"/>
          <w:sz w:val="24"/>
          <w:szCs w:val="24"/>
        </w:rPr>
        <w:t>）</w:t>
      </w:r>
      <w:r>
        <w:rPr>
          <w:rFonts w:hint="eastAsia" w:ascii="宋体" w:hAnsi="宋体"/>
          <w:sz w:val="24"/>
          <w:szCs w:val="24"/>
        </w:rPr>
        <w:t>：</w:t>
      </w:r>
      <w:r>
        <w:rPr>
          <w:rFonts w:hint="eastAsia" w:ascii="宋体" w:hAnsi="宋体"/>
          <w:sz w:val="24"/>
          <w:szCs w:val="24"/>
          <w:u w:val="single"/>
        </w:rPr>
        <w:t xml:space="preserve">               </w:t>
      </w:r>
    </w:p>
    <w:p>
      <w:pPr>
        <w:pStyle w:val="60"/>
        <w:spacing w:line="500" w:lineRule="exact"/>
        <w:rPr>
          <w:rFonts w:ascii="宋体" w:hAnsi="宋体"/>
          <w:sz w:val="24"/>
          <w:szCs w:val="24"/>
        </w:rPr>
      </w:pPr>
      <w:r>
        <w:rPr>
          <w:rFonts w:hint="eastAsia" w:ascii="宋体" w:hAnsi="宋体"/>
          <w:sz w:val="24"/>
          <w:szCs w:val="24"/>
        </w:rPr>
        <w:t>法定代表人</w:t>
      </w:r>
      <w:r>
        <w:rPr>
          <w:rFonts w:hint="eastAsia" w:ascii="宋体" w:hAnsi="宋体" w:cs="宋体"/>
          <w:sz w:val="24"/>
          <w:szCs w:val="24"/>
        </w:rPr>
        <w:t>（</w:t>
      </w:r>
      <w:r>
        <w:rPr>
          <w:rFonts w:hint="eastAsia" w:ascii="宋体" w:hAnsi="宋体"/>
          <w:sz w:val="24"/>
          <w:szCs w:val="24"/>
        </w:rPr>
        <w:t>电子签名</w:t>
      </w:r>
      <w:r>
        <w:rPr>
          <w:rFonts w:hint="eastAsia" w:ascii="宋体" w:hAnsi="宋体" w:cs="宋体"/>
          <w:sz w:val="24"/>
          <w:szCs w:val="24"/>
        </w:rPr>
        <w:t>）</w:t>
      </w:r>
      <w:r>
        <w:rPr>
          <w:rFonts w:hint="eastAsia" w:ascii="宋体" w:hAnsi="宋体"/>
          <w:sz w:val="24"/>
          <w:szCs w:val="24"/>
        </w:rPr>
        <w:t>：</w:t>
      </w:r>
      <w:r>
        <w:rPr>
          <w:rFonts w:hint="eastAsia" w:ascii="宋体" w:hAnsi="宋体"/>
          <w:sz w:val="24"/>
          <w:szCs w:val="24"/>
          <w:u w:val="single"/>
        </w:rPr>
        <w:t xml:space="preserve">       </w:t>
      </w:r>
    </w:p>
    <w:p>
      <w:pPr>
        <w:pStyle w:val="60"/>
        <w:spacing w:line="500" w:lineRule="exact"/>
        <w:rPr>
          <w:rFonts w:ascii="宋体" w:hAnsi="宋体"/>
          <w:sz w:val="24"/>
          <w:szCs w:val="24"/>
        </w:rPr>
      </w:pPr>
      <w:r>
        <w:rPr>
          <w:rFonts w:hint="eastAsia" w:ascii="宋体" w:hAnsi="宋体"/>
          <w:sz w:val="24"/>
          <w:szCs w:val="24"/>
        </w:rPr>
        <w:t>签发日期：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pStyle w:val="60"/>
        <w:spacing w:line="500" w:lineRule="exact"/>
        <w:rPr>
          <w:rFonts w:ascii="宋体" w:hAnsi="宋体"/>
          <w:sz w:val="24"/>
          <w:szCs w:val="24"/>
        </w:rPr>
      </w:pPr>
    </w:p>
    <w:p>
      <w:pPr>
        <w:pStyle w:val="60"/>
        <w:spacing w:line="500" w:lineRule="exact"/>
        <w:rPr>
          <w:rFonts w:ascii="宋体" w:hAnsi="宋体"/>
          <w:sz w:val="24"/>
          <w:szCs w:val="24"/>
        </w:rPr>
      </w:pPr>
      <w:r>
        <w:rPr>
          <w:rFonts w:hint="eastAsia" w:ascii="宋体" w:hAnsi="宋体"/>
          <w:sz w:val="24"/>
          <w:szCs w:val="24"/>
        </w:rPr>
        <w:t>附：</w:t>
      </w:r>
    </w:p>
    <w:p>
      <w:pPr>
        <w:pStyle w:val="60"/>
        <w:spacing w:line="500" w:lineRule="exact"/>
        <w:rPr>
          <w:rFonts w:ascii="宋体" w:hAnsi="宋体"/>
          <w:sz w:val="24"/>
          <w:szCs w:val="24"/>
        </w:rPr>
      </w:pPr>
      <w:r>
        <w:rPr>
          <w:rFonts w:hint="eastAsia" w:ascii="宋体" w:hAnsi="宋体"/>
          <w:sz w:val="24"/>
          <w:szCs w:val="24"/>
        </w:rPr>
        <w:t>代理人工作单位：</w:t>
      </w:r>
      <w:r>
        <w:rPr>
          <w:rFonts w:hint="eastAsia" w:ascii="宋体" w:hAnsi="宋体"/>
          <w:sz w:val="24"/>
          <w:szCs w:val="24"/>
          <w:u w:val="single"/>
        </w:rPr>
        <w:t xml:space="preserve">                          </w:t>
      </w:r>
    </w:p>
    <w:p>
      <w:pPr>
        <w:pStyle w:val="60"/>
        <w:spacing w:line="500" w:lineRule="exact"/>
        <w:rPr>
          <w:rFonts w:ascii="宋体" w:hAnsi="宋体"/>
          <w:sz w:val="24"/>
          <w:szCs w:val="24"/>
        </w:rPr>
      </w:pP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sz w:val="24"/>
          <w:szCs w:val="24"/>
        </w:rPr>
        <w:t xml:space="preserve">    性别：</w:t>
      </w:r>
      <w:r>
        <w:rPr>
          <w:rFonts w:hint="eastAsia" w:ascii="宋体" w:hAnsi="宋体"/>
          <w:sz w:val="24"/>
          <w:szCs w:val="24"/>
          <w:u w:val="single"/>
        </w:rPr>
        <w:t xml:space="preserve">      </w:t>
      </w:r>
    </w:p>
    <w:p>
      <w:pPr>
        <w:pStyle w:val="60"/>
        <w:adjustRightInd w:val="0"/>
        <w:snapToGrid w:val="0"/>
        <w:spacing w:line="500" w:lineRule="exact"/>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pStyle w:val="60"/>
        <w:adjustRightInd w:val="0"/>
        <w:snapToGrid w:val="0"/>
        <w:spacing w:line="500" w:lineRule="exact"/>
        <w:ind w:left="-88" w:leftChars="-42" w:firstLine="600" w:firstLineChars="250"/>
        <w:rPr>
          <w:rFonts w:ascii="宋体" w:hAnsi="宋体"/>
          <w:sz w:val="24"/>
          <w:szCs w:val="24"/>
          <w:u w:val="single"/>
        </w:rPr>
      </w:pPr>
    </w:p>
    <w:tbl>
      <w:tblPr>
        <w:tblStyle w:val="16"/>
        <w:tblW w:w="7663"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Borders>
              <w:top w:val="single" w:color="auto" w:sz="4" w:space="0"/>
              <w:left w:val="single" w:color="auto" w:sz="4" w:space="0"/>
              <w:bottom w:val="single" w:color="auto" w:sz="4" w:space="0"/>
              <w:right w:val="single" w:color="auto" w:sz="4" w:space="0"/>
            </w:tcBorders>
          </w:tcPr>
          <w:p>
            <w:pPr>
              <w:pStyle w:val="60"/>
              <w:spacing w:line="500" w:lineRule="exact"/>
              <w:rPr>
                <w:rFonts w:ascii="宋体" w:hAnsi="宋体"/>
                <w:sz w:val="24"/>
                <w:szCs w:val="24"/>
              </w:rPr>
            </w:pPr>
            <w:r>
              <w:rPr>
                <w:rFonts w:hint="eastAsia" w:ascii="宋体" w:hAnsi="宋体"/>
                <w:sz w:val="24"/>
                <w:szCs w:val="24"/>
              </w:rPr>
              <w:t>粘贴被授权人身份证（扫描件）</w:t>
            </w:r>
          </w:p>
        </w:tc>
      </w:tr>
    </w:tbl>
    <w:p>
      <w:pPr>
        <w:pStyle w:val="62"/>
        <w:outlineLvl w:val="2"/>
      </w:pPr>
      <w:r>
        <w:br w:type="page"/>
      </w:r>
      <w:bookmarkStart w:id="105" w:name="_Toc256000042"/>
      <w:r>
        <w:t>（三）☆投标保证金</w:t>
      </w:r>
      <w:bookmarkEnd w:id="105"/>
    </w:p>
    <w:p>
      <w:pPr>
        <w:pStyle w:val="14"/>
        <w:tabs>
          <w:tab w:val="left" w:pos="8786"/>
        </w:tabs>
        <w:spacing w:after="0" w:line="360" w:lineRule="auto"/>
        <w:rPr>
          <w:rFonts w:ascii="宋体" w:hAnsi="宋体"/>
          <w:sz w:val="24"/>
        </w:rPr>
      </w:pPr>
      <w:r>
        <w:rPr>
          <w:rFonts w:hint="eastAsia" w:ascii="宋体" w:hAnsi="宋体"/>
          <w:b/>
          <w:sz w:val="24"/>
        </w:rPr>
        <w:t xml:space="preserve">   </w:t>
      </w:r>
      <w:r>
        <w:rPr>
          <w:rFonts w:hint="eastAsia" w:ascii="宋体" w:hAnsi="宋体"/>
          <w:sz w:val="24"/>
        </w:rPr>
        <w:t>说明：</w:t>
      </w:r>
      <w:r>
        <w:rPr>
          <w:rFonts w:hint="eastAsia" w:ascii="宋体" w:hAnsi="宋体" w:cs="宋体"/>
          <w:b/>
          <w:bCs w:val="0"/>
          <w:sz w:val="24"/>
          <w:szCs w:val="21"/>
        </w:rPr>
        <w:t>此处附投标保证金缴纳凭证</w:t>
      </w:r>
      <w:r>
        <w:rPr>
          <w:rFonts w:hint="eastAsia" w:ascii="宋体" w:hAnsi="宋体" w:cs="宋体"/>
          <w:b/>
          <w:bCs w:val="0"/>
          <w:sz w:val="24"/>
          <w:szCs w:val="21"/>
          <w:lang w:eastAsia="zh-CN"/>
        </w:rPr>
        <w:t>及开户许可证</w:t>
      </w:r>
      <w:r>
        <w:rPr>
          <w:rFonts w:hint="eastAsia" w:ascii="宋体" w:hAnsi="宋体" w:cs="宋体"/>
          <w:bCs/>
          <w:sz w:val="24"/>
          <w:szCs w:val="21"/>
        </w:rPr>
        <w:t>；</w:t>
      </w:r>
    </w:p>
    <w:p>
      <w:pPr>
        <w:pStyle w:val="14"/>
        <w:tabs>
          <w:tab w:val="left" w:pos="8786"/>
        </w:tabs>
        <w:spacing w:after="0" w:line="360" w:lineRule="auto"/>
        <w:rPr>
          <w:rFonts w:ascii="宋体" w:hAnsi="宋体"/>
          <w:sz w:val="24"/>
        </w:rPr>
      </w:pPr>
    </w:p>
    <w:p>
      <w:pPr>
        <w:pStyle w:val="63"/>
        <w:outlineLvl w:val="2"/>
      </w:pPr>
      <w:r>
        <w:br w:type="page"/>
      </w:r>
      <w:bookmarkStart w:id="106" w:name="_Toc256000043"/>
      <w:r>
        <w:t>（四）中、小微企业声明函（中、小、微型企业产品价格需扣除的须提供）</w:t>
      </w:r>
      <w:bookmarkEnd w:id="106"/>
    </w:p>
    <w:p>
      <w:pPr>
        <w:pStyle w:val="42"/>
        <w:autoSpaceDE w:val="0"/>
        <w:autoSpaceDN w:val="0"/>
        <w:spacing w:before="38"/>
        <w:ind w:left="1844" w:firstLine="1205" w:firstLineChars="500"/>
        <w:outlineLvl w:val="0"/>
        <w:rPr>
          <w:rFonts w:ascii="宋体" w:hAnsi="宋体" w:cs="宋体"/>
          <w:b/>
          <w:bCs/>
          <w:kern w:val="0"/>
          <w:sz w:val="24"/>
        </w:rPr>
      </w:pPr>
      <w:bookmarkStart w:id="107" w:name="_Toc256000044"/>
      <w:r>
        <w:rPr>
          <w:rFonts w:ascii="宋体" w:hAnsi="宋体" w:cs="宋体"/>
          <w:b/>
          <w:bCs/>
          <w:kern w:val="0"/>
          <w:sz w:val="24"/>
        </w:rPr>
        <w:t>中小企业声明函</w:t>
      </w:r>
      <w:bookmarkEnd w:id="107"/>
    </w:p>
    <w:p>
      <w:pPr>
        <w:pStyle w:val="42"/>
        <w:autoSpaceDE w:val="0"/>
        <w:autoSpaceDN w:val="0"/>
        <w:jc w:val="left"/>
        <w:rPr>
          <w:rFonts w:ascii="仿宋" w:hAnsi="仿宋" w:eastAsia="仿宋" w:cs="仿宋"/>
          <w:kern w:val="0"/>
          <w:sz w:val="22"/>
        </w:rPr>
      </w:pPr>
    </w:p>
    <w:p>
      <w:pPr>
        <w:pStyle w:val="42"/>
        <w:autoSpaceDE w:val="0"/>
        <w:autoSpaceDN w:val="0"/>
        <w:spacing w:line="520" w:lineRule="exact"/>
        <w:ind w:firstLine="472" w:firstLineChars="200"/>
        <w:jc w:val="left"/>
        <w:rPr>
          <w:rFonts w:ascii="宋体" w:hAnsi="宋体" w:cs="宋体"/>
          <w:spacing w:val="-2"/>
          <w:kern w:val="0"/>
          <w:sz w:val="24"/>
        </w:rPr>
      </w:pPr>
      <w:r>
        <w:rPr>
          <w:rFonts w:hint="eastAsia" w:ascii="宋体" w:hAnsi="宋体" w:cs="宋体"/>
          <w:spacing w:val="-2"/>
          <w:kern w:val="0"/>
          <w:sz w:val="24"/>
        </w:rPr>
        <w:t>本公司（联合体）郑重声明，根据《政府采购促进中小企业发展管理办法》（财库【2020】46号）的规定，本公司（联合体）参加</w:t>
      </w:r>
      <w:r>
        <w:rPr>
          <w:rFonts w:hint="eastAsia" w:ascii="宋体" w:hAnsi="宋体" w:cs="宋体"/>
          <w:spacing w:val="-2"/>
          <w:kern w:val="0"/>
          <w:sz w:val="24"/>
          <w:u w:val="single"/>
        </w:rPr>
        <w:t>（</w:t>
      </w:r>
      <w:r>
        <w:rPr>
          <w:rFonts w:hint="eastAsia" w:ascii="宋体" w:hAnsi="宋体" w:cs="宋体"/>
          <w:i/>
          <w:iCs/>
          <w:spacing w:val="-2"/>
          <w:kern w:val="0"/>
          <w:sz w:val="24"/>
          <w:u w:val="single"/>
        </w:rPr>
        <w:t>单位名称</w:t>
      </w:r>
      <w:r>
        <w:rPr>
          <w:rFonts w:hint="eastAsia" w:ascii="宋体" w:hAnsi="宋体" w:cs="宋体"/>
          <w:spacing w:val="-2"/>
          <w:kern w:val="0"/>
          <w:sz w:val="24"/>
          <w:u w:val="single"/>
        </w:rPr>
        <w:t>）</w:t>
      </w:r>
      <w:r>
        <w:rPr>
          <w:rFonts w:hint="eastAsia" w:ascii="宋体" w:hAnsi="宋体" w:cs="宋体"/>
          <w:spacing w:val="-2"/>
          <w:kern w:val="0"/>
          <w:sz w:val="24"/>
        </w:rPr>
        <w:t>的</w:t>
      </w:r>
      <w:r>
        <w:rPr>
          <w:rFonts w:hint="eastAsia" w:ascii="宋体" w:hAnsi="宋体" w:cs="宋体"/>
          <w:spacing w:val="-2"/>
          <w:kern w:val="0"/>
          <w:sz w:val="24"/>
          <w:u w:val="single"/>
        </w:rPr>
        <w:t>（</w:t>
      </w:r>
      <w:r>
        <w:rPr>
          <w:rFonts w:hint="eastAsia" w:ascii="宋体" w:hAnsi="宋体" w:cs="宋体"/>
          <w:i/>
          <w:iCs/>
          <w:spacing w:val="-2"/>
          <w:kern w:val="0"/>
          <w:sz w:val="24"/>
          <w:u w:val="single"/>
        </w:rPr>
        <w:t>项目名称</w:t>
      </w:r>
      <w:r>
        <w:rPr>
          <w:rFonts w:hint="eastAsia" w:ascii="宋体" w:hAnsi="宋体" w:cs="宋体"/>
          <w:spacing w:val="-2"/>
          <w:kern w:val="0"/>
          <w:sz w:val="24"/>
          <w:u w:val="single"/>
        </w:rPr>
        <w:t>）</w:t>
      </w:r>
      <w:r>
        <w:rPr>
          <w:rFonts w:hint="eastAsia" w:ascii="宋体" w:hAnsi="宋体" w:cs="宋体"/>
          <w:spacing w:val="-2"/>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42"/>
        <w:autoSpaceDE w:val="0"/>
        <w:autoSpaceDN w:val="0"/>
        <w:spacing w:line="520" w:lineRule="exact"/>
        <w:ind w:firstLine="472" w:firstLineChars="200"/>
        <w:jc w:val="left"/>
        <w:rPr>
          <w:rFonts w:ascii="宋体" w:hAnsi="宋体" w:cs="宋体"/>
          <w:spacing w:val="-2"/>
          <w:kern w:val="0"/>
          <w:sz w:val="24"/>
        </w:rPr>
      </w:pPr>
      <w:r>
        <w:rPr>
          <w:rFonts w:hint="eastAsia" w:ascii="宋体" w:hAnsi="宋体" w:cs="宋体"/>
          <w:spacing w:val="-2"/>
          <w:kern w:val="0"/>
          <w:sz w:val="24"/>
        </w:rPr>
        <w:t>1.</w:t>
      </w:r>
      <w:r>
        <w:rPr>
          <w:rFonts w:hint="eastAsia" w:ascii="宋体" w:hAnsi="宋体" w:cs="宋体"/>
          <w:spacing w:val="-2"/>
          <w:kern w:val="0"/>
          <w:sz w:val="24"/>
          <w:u w:val="single"/>
        </w:rPr>
        <w:t>（</w:t>
      </w:r>
      <w:r>
        <w:rPr>
          <w:rFonts w:hint="eastAsia" w:ascii="宋体" w:hAnsi="宋体" w:cs="宋体"/>
          <w:i/>
          <w:iCs/>
          <w:spacing w:val="-2"/>
          <w:kern w:val="0"/>
          <w:sz w:val="24"/>
          <w:u w:val="single"/>
        </w:rPr>
        <w:t>标的名称</w:t>
      </w:r>
      <w:r>
        <w:rPr>
          <w:rFonts w:hint="eastAsia" w:ascii="宋体" w:hAnsi="宋体" w:cs="宋体"/>
          <w:spacing w:val="-2"/>
          <w:kern w:val="0"/>
          <w:sz w:val="24"/>
          <w:u w:val="single"/>
        </w:rPr>
        <w:t>）</w:t>
      </w:r>
      <w:r>
        <w:rPr>
          <w:rFonts w:hint="eastAsia" w:ascii="宋体" w:hAnsi="宋体" w:cs="宋体"/>
          <w:spacing w:val="-2"/>
          <w:kern w:val="0"/>
          <w:sz w:val="24"/>
        </w:rPr>
        <w:t>，属于</w:t>
      </w:r>
      <w:r>
        <w:rPr>
          <w:rFonts w:hint="eastAsia" w:ascii="宋体" w:hAnsi="宋体" w:cs="宋体"/>
          <w:spacing w:val="-2"/>
          <w:kern w:val="0"/>
          <w:sz w:val="24"/>
          <w:u w:val="single"/>
        </w:rPr>
        <w:t>（</w:t>
      </w:r>
      <w:r>
        <w:rPr>
          <w:rFonts w:hint="eastAsia" w:ascii="宋体" w:hAnsi="宋体" w:cs="宋体"/>
          <w:i/>
          <w:iCs/>
          <w:spacing w:val="-2"/>
          <w:kern w:val="0"/>
          <w:sz w:val="24"/>
          <w:u w:val="single"/>
        </w:rPr>
        <w:t>采购文件中明确的所属行业</w:t>
      </w:r>
      <w:r>
        <w:rPr>
          <w:rFonts w:hint="eastAsia" w:ascii="宋体" w:hAnsi="宋体" w:cs="宋体"/>
          <w:spacing w:val="-2"/>
          <w:kern w:val="0"/>
          <w:sz w:val="24"/>
          <w:u w:val="single"/>
        </w:rPr>
        <w:t>）</w:t>
      </w:r>
      <w:r>
        <w:rPr>
          <w:rFonts w:hint="eastAsia" w:ascii="宋体" w:hAnsi="宋体" w:cs="宋体"/>
          <w:spacing w:val="-2"/>
          <w:kern w:val="0"/>
          <w:sz w:val="24"/>
        </w:rPr>
        <w:t>；承建（承接）企业为</w:t>
      </w:r>
      <w:r>
        <w:rPr>
          <w:rFonts w:hint="eastAsia" w:ascii="宋体" w:hAnsi="宋体" w:cs="宋体"/>
          <w:spacing w:val="-2"/>
          <w:kern w:val="0"/>
          <w:sz w:val="24"/>
          <w:u w:val="single"/>
        </w:rPr>
        <w:t>（</w:t>
      </w:r>
      <w:r>
        <w:rPr>
          <w:rFonts w:hint="eastAsia" w:ascii="宋体" w:hAnsi="宋体" w:cs="宋体"/>
          <w:i/>
          <w:iCs/>
          <w:spacing w:val="-2"/>
          <w:kern w:val="0"/>
          <w:sz w:val="24"/>
          <w:u w:val="single"/>
        </w:rPr>
        <w:t>企业名称</w:t>
      </w:r>
      <w:r>
        <w:rPr>
          <w:rFonts w:hint="eastAsia" w:ascii="宋体" w:hAnsi="宋体" w:cs="宋体"/>
          <w:spacing w:val="-2"/>
          <w:kern w:val="0"/>
          <w:sz w:val="24"/>
          <w:u w:val="single"/>
        </w:rPr>
        <w:t>）</w:t>
      </w:r>
      <w:r>
        <w:rPr>
          <w:rFonts w:hint="eastAsia" w:ascii="宋体" w:hAnsi="宋体" w:cs="宋体"/>
          <w:spacing w:val="-2"/>
          <w:kern w:val="0"/>
          <w:sz w:val="24"/>
        </w:rPr>
        <w:t>，从业人员</w:t>
      </w:r>
      <w:r>
        <w:rPr>
          <w:rFonts w:hint="eastAsia" w:ascii="宋体" w:hAnsi="宋体" w:cs="宋体"/>
          <w:spacing w:val="-2"/>
          <w:kern w:val="0"/>
          <w:sz w:val="24"/>
          <w:u w:val="single"/>
        </w:rPr>
        <w:t xml:space="preserve"> </w:t>
      </w:r>
      <w:r>
        <w:rPr>
          <w:rFonts w:hint="eastAsia" w:ascii="宋体" w:hAnsi="宋体" w:cs="宋体"/>
          <w:spacing w:val="-2"/>
          <w:kern w:val="0"/>
          <w:sz w:val="24"/>
          <w:u w:val="single"/>
        </w:rPr>
        <w:tab/>
      </w:r>
      <w:r>
        <w:rPr>
          <w:rFonts w:hint="eastAsia" w:ascii="宋体" w:hAnsi="宋体" w:cs="宋体"/>
          <w:spacing w:val="-2"/>
          <w:kern w:val="0"/>
          <w:sz w:val="24"/>
          <w:u w:val="single"/>
        </w:rPr>
        <w:t xml:space="preserve"> </w:t>
      </w:r>
      <w:r>
        <w:rPr>
          <w:rFonts w:hint="eastAsia" w:ascii="宋体" w:hAnsi="宋体" w:cs="宋体"/>
          <w:spacing w:val="-2"/>
          <w:kern w:val="0"/>
          <w:sz w:val="24"/>
        </w:rPr>
        <w:t xml:space="preserve">人，营业收入为 </w:t>
      </w:r>
      <w:r>
        <w:rPr>
          <w:rFonts w:hint="eastAsia" w:ascii="宋体" w:hAnsi="宋体" w:cs="宋体"/>
          <w:spacing w:val="-2"/>
          <w:kern w:val="0"/>
          <w:sz w:val="24"/>
          <w:u w:val="single"/>
        </w:rPr>
        <w:tab/>
      </w:r>
      <w:r>
        <w:rPr>
          <w:rFonts w:hint="eastAsia" w:ascii="宋体" w:hAnsi="宋体" w:cs="宋体"/>
          <w:spacing w:val="-2"/>
          <w:kern w:val="0"/>
          <w:sz w:val="24"/>
          <w:u w:val="single"/>
        </w:rPr>
        <w:t xml:space="preserve">  </w:t>
      </w:r>
      <w:r>
        <w:rPr>
          <w:rFonts w:hint="eastAsia" w:ascii="宋体" w:hAnsi="宋体" w:cs="宋体"/>
          <w:spacing w:val="-2"/>
          <w:kern w:val="0"/>
          <w:sz w:val="24"/>
        </w:rPr>
        <w:t>万元，资产总额为</w:t>
      </w:r>
      <w:r>
        <w:rPr>
          <w:rFonts w:hint="eastAsia" w:ascii="宋体" w:hAnsi="宋体" w:cs="宋体"/>
          <w:spacing w:val="-2"/>
          <w:kern w:val="0"/>
          <w:sz w:val="24"/>
          <w:u w:val="single"/>
        </w:rPr>
        <w:t xml:space="preserve">  </w:t>
      </w:r>
      <w:r>
        <w:rPr>
          <w:rFonts w:hint="eastAsia" w:ascii="宋体" w:hAnsi="宋体" w:cs="宋体"/>
          <w:spacing w:val="-2"/>
          <w:kern w:val="0"/>
          <w:sz w:val="24"/>
          <w:u w:val="single"/>
        </w:rPr>
        <w:tab/>
      </w:r>
      <w:r>
        <w:rPr>
          <w:rFonts w:hint="eastAsia" w:ascii="宋体" w:hAnsi="宋体" w:cs="宋体"/>
          <w:spacing w:val="-2"/>
          <w:kern w:val="0"/>
          <w:sz w:val="24"/>
          <w:u w:val="single"/>
        </w:rPr>
        <w:t xml:space="preserve">  </w:t>
      </w:r>
      <w:r>
        <w:rPr>
          <w:rFonts w:hint="eastAsia" w:ascii="宋体" w:hAnsi="宋体" w:cs="宋体"/>
          <w:spacing w:val="-2"/>
          <w:kern w:val="0"/>
          <w:sz w:val="24"/>
        </w:rPr>
        <w:t>万元，属于</w:t>
      </w:r>
      <w:r>
        <w:rPr>
          <w:rFonts w:hint="eastAsia" w:ascii="宋体" w:hAnsi="宋体" w:cs="宋体"/>
          <w:spacing w:val="-2"/>
          <w:kern w:val="0"/>
          <w:sz w:val="24"/>
          <w:u w:val="single"/>
        </w:rPr>
        <w:t>（</w:t>
      </w:r>
      <w:r>
        <w:rPr>
          <w:rFonts w:hint="eastAsia" w:ascii="宋体" w:hAnsi="宋体" w:cs="宋体"/>
          <w:i/>
          <w:iCs/>
          <w:spacing w:val="-2"/>
          <w:kern w:val="0"/>
          <w:sz w:val="24"/>
          <w:u w:val="single"/>
        </w:rPr>
        <w:t>中型企业、小型企业、微型企业</w:t>
      </w:r>
      <w:r>
        <w:rPr>
          <w:rFonts w:hint="eastAsia" w:ascii="宋体" w:hAnsi="宋体" w:cs="宋体"/>
          <w:spacing w:val="-2"/>
          <w:kern w:val="0"/>
          <w:sz w:val="24"/>
          <w:u w:val="single"/>
        </w:rPr>
        <w:t>）</w:t>
      </w:r>
      <w:r>
        <w:rPr>
          <w:rFonts w:hint="eastAsia" w:ascii="宋体" w:hAnsi="宋体" w:cs="宋体"/>
          <w:spacing w:val="-2"/>
          <w:kern w:val="0"/>
          <w:sz w:val="24"/>
        </w:rPr>
        <w:t>；</w:t>
      </w:r>
    </w:p>
    <w:p>
      <w:pPr>
        <w:pStyle w:val="42"/>
        <w:autoSpaceDE w:val="0"/>
        <w:autoSpaceDN w:val="0"/>
        <w:spacing w:line="520" w:lineRule="exact"/>
        <w:ind w:firstLine="472" w:firstLineChars="200"/>
        <w:jc w:val="left"/>
        <w:rPr>
          <w:rFonts w:ascii="宋体" w:hAnsi="宋体" w:cs="宋体"/>
          <w:spacing w:val="-2"/>
          <w:kern w:val="0"/>
          <w:sz w:val="24"/>
        </w:rPr>
      </w:pPr>
      <w:r>
        <w:rPr>
          <w:rFonts w:hint="eastAsia" w:ascii="宋体" w:hAnsi="宋体" w:cs="宋体"/>
          <w:spacing w:val="-2"/>
          <w:kern w:val="0"/>
          <w:sz w:val="24"/>
        </w:rPr>
        <w:t>2.</w:t>
      </w:r>
      <w:r>
        <w:rPr>
          <w:rFonts w:hint="eastAsia" w:ascii="宋体" w:hAnsi="宋体" w:cs="宋体"/>
          <w:spacing w:val="-2"/>
          <w:kern w:val="0"/>
          <w:sz w:val="24"/>
          <w:u w:val="single"/>
        </w:rPr>
        <w:t>（</w:t>
      </w:r>
      <w:r>
        <w:rPr>
          <w:rFonts w:hint="eastAsia" w:ascii="宋体" w:hAnsi="宋体" w:cs="宋体"/>
          <w:i/>
          <w:iCs/>
          <w:spacing w:val="-2"/>
          <w:kern w:val="0"/>
          <w:sz w:val="24"/>
          <w:u w:val="single"/>
        </w:rPr>
        <w:t>标的名称</w:t>
      </w:r>
      <w:r>
        <w:rPr>
          <w:rFonts w:hint="eastAsia" w:ascii="宋体" w:hAnsi="宋体" w:cs="宋体"/>
          <w:spacing w:val="-2"/>
          <w:kern w:val="0"/>
          <w:sz w:val="24"/>
          <w:u w:val="single"/>
        </w:rPr>
        <w:t>）</w:t>
      </w:r>
      <w:r>
        <w:rPr>
          <w:rFonts w:hint="eastAsia" w:ascii="宋体" w:hAnsi="宋体" w:cs="宋体"/>
          <w:spacing w:val="-2"/>
          <w:kern w:val="0"/>
          <w:sz w:val="24"/>
        </w:rPr>
        <w:t>，属于</w:t>
      </w:r>
      <w:r>
        <w:rPr>
          <w:rFonts w:hint="eastAsia" w:ascii="宋体" w:hAnsi="宋体" w:cs="宋体"/>
          <w:spacing w:val="-2"/>
          <w:kern w:val="0"/>
          <w:sz w:val="24"/>
          <w:u w:val="single"/>
        </w:rPr>
        <w:t>（</w:t>
      </w:r>
      <w:r>
        <w:rPr>
          <w:rFonts w:hint="eastAsia" w:ascii="宋体" w:hAnsi="宋体" w:cs="宋体"/>
          <w:i/>
          <w:iCs/>
          <w:spacing w:val="-2"/>
          <w:kern w:val="0"/>
          <w:sz w:val="24"/>
          <w:u w:val="single"/>
        </w:rPr>
        <w:t>采购文件中明确的所属行业</w:t>
      </w:r>
      <w:r>
        <w:rPr>
          <w:rFonts w:hint="eastAsia" w:ascii="宋体" w:hAnsi="宋体" w:cs="宋体"/>
          <w:spacing w:val="-2"/>
          <w:kern w:val="0"/>
          <w:sz w:val="24"/>
          <w:u w:val="single"/>
        </w:rPr>
        <w:t>）</w:t>
      </w:r>
      <w:r>
        <w:rPr>
          <w:rFonts w:hint="eastAsia" w:ascii="宋体" w:hAnsi="宋体" w:cs="宋体"/>
          <w:spacing w:val="-2"/>
          <w:kern w:val="0"/>
          <w:sz w:val="24"/>
        </w:rPr>
        <w:t>；承建（承接）企业为</w:t>
      </w:r>
      <w:r>
        <w:rPr>
          <w:rFonts w:hint="eastAsia" w:ascii="宋体" w:hAnsi="宋体" w:cs="宋体"/>
          <w:spacing w:val="-2"/>
          <w:kern w:val="0"/>
          <w:sz w:val="24"/>
          <w:u w:val="single"/>
        </w:rPr>
        <w:t>（</w:t>
      </w:r>
      <w:r>
        <w:rPr>
          <w:rFonts w:hint="eastAsia" w:ascii="宋体" w:hAnsi="宋体" w:cs="宋体"/>
          <w:i/>
          <w:iCs/>
          <w:spacing w:val="-2"/>
          <w:kern w:val="0"/>
          <w:sz w:val="24"/>
          <w:u w:val="single"/>
        </w:rPr>
        <w:t>企业名称</w:t>
      </w:r>
      <w:r>
        <w:rPr>
          <w:rFonts w:hint="eastAsia" w:ascii="宋体" w:hAnsi="宋体" w:cs="宋体"/>
          <w:spacing w:val="-2"/>
          <w:kern w:val="0"/>
          <w:sz w:val="24"/>
          <w:u w:val="single"/>
        </w:rPr>
        <w:t>）</w:t>
      </w:r>
      <w:r>
        <w:rPr>
          <w:rFonts w:hint="eastAsia" w:ascii="宋体" w:hAnsi="宋体" w:cs="宋体"/>
          <w:spacing w:val="-2"/>
          <w:kern w:val="0"/>
          <w:sz w:val="24"/>
        </w:rPr>
        <w:t>，从业人员</w:t>
      </w:r>
      <w:r>
        <w:rPr>
          <w:rFonts w:hint="eastAsia" w:ascii="宋体" w:hAnsi="宋体" w:cs="宋体"/>
          <w:spacing w:val="-2"/>
          <w:kern w:val="0"/>
          <w:sz w:val="24"/>
          <w:u w:val="single"/>
        </w:rPr>
        <w:t xml:space="preserve">   </w:t>
      </w:r>
      <w:r>
        <w:rPr>
          <w:rFonts w:hint="eastAsia" w:ascii="宋体" w:hAnsi="宋体" w:cs="宋体"/>
          <w:spacing w:val="-2"/>
          <w:kern w:val="0"/>
          <w:sz w:val="24"/>
          <w:u w:val="single"/>
        </w:rPr>
        <w:tab/>
      </w:r>
      <w:r>
        <w:rPr>
          <w:rFonts w:hint="eastAsia" w:ascii="宋体" w:hAnsi="宋体" w:cs="宋体"/>
          <w:spacing w:val="-2"/>
          <w:kern w:val="0"/>
          <w:sz w:val="24"/>
        </w:rPr>
        <w:t>人，营业收入为</w:t>
      </w:r>
      <w:r>
        <w:rPr>
          <w:rFonts w:hint="eastAsia" w:ascii="宋体" w:hAnsi="宋体" w:cs="宋体"/>
          <w:spacing w:val="-2"/>
          <w:kern w:val="0"/>
          <w:sz w:val="24"/>
          <w:u w:val="single"/>
        </w:rPr>
        <w:t xml:space="preserve"> </w:t>
      </w:r>
      <w:r>
        <w:rPr>
          <w:rFonts w:hint="eastAsia" w:ascii="宋体" w:hAnsi="宋体" w:cs="宋体"/>
          <w:spacing w:val="-2"/>
          <w:kern w:val="0"/>
          <w:sz w:val="24"/>
          <w:u w:val="single"/>
        </w:rPr>
        <w:tab/>
      </w:r>
      <w:r>
        <w:rPr>
          <w:rFonts w:hint="eastAsia" w:ascii="宋体" w:hAnsi="宋体" w:cs="宋体"/>
          <w:spacing w:val="-2"/>
          <w:kern w:val="0"/>
          <w:sz w:val="24"/>
          <w:u w:val="single"/>
        </w:rPr>
        <w:t xml:space="preserve">  </w:t>
      </w:r>
      <w:r>
        <w:rPr>
          <w:rFonts w:hint="eastAsia" w:ascii="宋体" w:hAnsi="宋体" w:cs="宋体"/>
          <w:spacing w:val="-2"/>
          <w:kern w:val="0"/>
          <w:sz w:val="24"/>
        </w:rPr>
        <w:t>万元，资产总额为</w:t>
      </w:r>
      <w:r>
        <w:rPr>
          <w:rFonts w:hint="eastAsia" w:ascii="宋体" w:hAnsi="宋体" w:cs="宋体"/>
          <w:spacing w:val="-2"/>
          <w:kern w:val="0"/>
          <w:sz w:val="24"/>
          <w:u w:val="single"/>
        </w:rPr>
        <w:t xml:space="preserve"> </w:t>
      </w:r>
      <w:r>
        <w:rPr>
          <w:rFonts w:hint="eastAsia" w:ascii="宋体" w:hAnsi="宋体" w:cs="宋体"/>
          <w:spacing w:val="-2"/>
          <w:kern w:val="0"/>
          <w:sz w:val="24"/>
          <w:u w:val="single"/>
        </w:rPr>
        <w:tab/>
      </w:r>
      <w:r>
        <w:rPr>
          <w:rFonts w:hint="eastAsia" w:ascii="宋体" w:hAnsi="宋体" w:cs="宋体"/>
          <w:spacing w:val="-2"/>
          <w:kern w:val="0"/>
          <w:sz w:val="24"/>
          <w:u w:val="single"/>
        </w:rPr>
        <w:t xml:space="preserve">  </w:t>
      </w:r>
      <w:r>
        <w:rPr>
          <w:rFonts w:hint="eastAsia" w:ascii="宋体" w:hAnsi="宋体" w:cs="宋体"/>
          <w:spacing w:val="-2"/>
          <w:kern w:val="0"/>
          <w:sz w:val="24"/>
        </w:rPr>
        <w:t>万元，属于</w:t>
      </w:r>
      <w:r>
        <w:rPr>
          <w:rFonts w:hint="eastAsia" w:ascii="宋体" w:hAnsi="宋体" w:cs="宋体"/>
          <w:spacing w:val="-2"/>
          <w:kern w:val="0"/>
          <w:sz w:val="24"/>
          <w:u w:val="single"/>
        </w:rPr>
        <w:t>（</w:t>
      </w:r>
      <w:r>
        <w:rPr>
          <w:rFonts w:hint="eastAsia" w:ascii="宋体" w:hAnsi="宋体" w:cs="宋体"/>
          <w:i/>
          <w:iCs/>
          <w:spacing w:val="-2"/>
          <w:kern w:val="0"/>
          <w:sz w:val="24"/>
          <w:u w:val="single"/>
        </w:rPr>
        <w:t>中型企业、小型企业、微型企业</w:t>
      </w:r>
      <w:r>
        <w:rPr>
          <w:rFonts w:hint="eastAsia" w:ascii="宋体" w:hAnsi="宋体" w:cs="宋体"/>
          <w:spacing w:val="-2"/>
          <w:kern w:val="0"/>
          <w:sz w:val="24"/>
          <w:u w:val="single"/>
        </w:rPr>
        <w:t>）</w:t>
      </w:r>
      <w:r>
        <w:rPr>
          <w:rFonts w:hint="eastAsia" w:ascii="宋体" w:hAnsi="宋体" w:cs="宋体"/>
          <w:spacing w:val="-2"/>
          <w:kern w:val="0"/>
          <w:sz w:val="24"/>
        </w:rPr>
        <w:t>；</w:t>
      </w:r>
    </w:p>
    <w:p>
      <w:pPr>
        <w:pStyle w:val="42"/>
        <w:autoSpaceDE w:val="0"/>
        <w:autoSpaceDN w:val="0"/>
        <w:spacing w:line="520" w:lineRule="exact"/>
        <w:ind w:firstLine="472" w:firstLineChars="200"/>
        <w:jc w:val="left"/>
        <w:rPr>
          <w:rFonts w:ascii="宋体" w:hAnsi="宋体" w:cs="宋体"/>
          <w:spacing w:val="-2"/>
          <w:kern w:val="0"/>
          <w:sz w:val="24"/>
        </w:rPr>
      </w:pPr>
      <w:r>
        <w:rPr>
          <w:rFonts w:hint="eastAsia" w:ascii="宋体" w:hAnsi="宋体" w:cs="宋体"/>
          <w:spacing w:val="-2"/>
          <w:kern w:val="0"/>
          <w:sz w:val="24"/>
        </w:rPr>
        <w:t>……</w:t>
      </w:r>
    </w:p>
    <w:p>
      <w:pPr>
        <w:pStyle w:val="42"/>
        <w:autoSpaceDE w:val="0"/>
        <w:autoSpaceDN w:val="0"/>
        <w:spacing w:line="520" w:lineRule="exact"/>
        <w:ind w:firstLine="472" w:firstLineChars="200"/>
        <w:jc w:val="left"/>
        <w:rPr>
          <w:rFonts w:ascii="宋体" w:hAnsi="宋体" w:cs="宋体"/>
          <w:spacing w:val="-2"/>
          <w:kern w:val="0"/>
          <w:sz w:val="24"/>
        </w:rPr>
      </w:pPr>
      <w:r>
        <w:rPr>
          <w:rFonts w:hint="eastAsia" w:ascii="宋体" w:hAnsi="宋体" w:cs="宋体"/>
          <w:spacing w:val="-2"/>
          <w:kern w:val="0"/>
          <w:sz w:val="24"/>
        </w:rPr>
        <w:t>以上企业，不属于大企业的分支机构，不存在控股股东为大企业的情形，也不存在与大企业的负责人为同一人的情形。</w:t>
      </w:r>
    </w:p>
    <w:p>
      <w:pPr>
        <w:pStyle w:val="42"/>
        <w:autoSpaceDE w:val="0"/>
        <w:autoSpaceDN w:val="0"/>
        <w:spacing w:line="520" w:lineRule="exact"/>
        <w:ind w:firstLine="472" w:firstLineChars="200"/>
        <w:jc w:val="left"/>
        <w:rPr>
          <w:rFonts w:ascii="宋体" w:hAnsi="宋体" w:cs="宋体"/>
          <w:spacing w:val="-2"/>
          <w:kern w:val="0"/>
          <w:sz w:val="24"/>
        </w:rPr>
      </w:pPr>
      <w:r>
        <w:rPr>
          <w:rFonts w:hint="eastAsia" w:ascii="宋体" w:hAnsi="宋体" w:cs="宋体"/>
          <w:spacing w:val="-2"/>
          <w:kern w:val="0"/>
          <w:sz w:val="24"/>
        </w:rPr>
        <w:t>本企业对上述声明内容的真实性负责。如有虚假，将依 法承担相应责任。</w:t>
      </w:r>
    </w:p>
    <w:p>
      <w:pPr>
        <w:pStyle w:val="42"/>
        <w:autoSpaceDE w:val="0"/>
        <w:autoSpaceDN w:val="0"/>
        <w:spacing w:line="520" w:lineRule="exact"/>
        <w:ind w:firstLine="472" w:firstLineChars="200"/>
        <w:jc w:val="left"/>
        <w:rPr>
          <w:rFonts w:ascii="宋体" w:hAnsi="宋体" w:cs="宋体"/>
          <w:spacing w:val="-2"/>
          <w:kern w:val="0"/>
          <w:sz w:val="24"/>
        </w:rPr>
      </w:pPr>
    </w:p>
    <w:p>
      <w:pPr>
        <w:pStyle w:val="42"/>
        <w:autoSpaceDE w:val="0"/>
        <w:autoSpaceDN w:val="0"/>
        <w:spacing w:before="35" w:line="316" w:lineRule="auto"/>
        <w:ind w:left="220" w:right="2166" w:firstLine="4012" w:firstLineChars="1700"/>
        <w:jc w:val="left"/>
        <w:rPr>
          <w:rFonts w:ascii="宋体" w:hAnsi="宋体" w:cs="宋体"/>
          <w:spacing w:val="-2"/>
          <w:kern w:val="0"/>
          <w:sz w:val="24"/>
        </w:rPr>
      </w:pPr>
      <w:r>
        <w:rPr>
          <w:rFonts w:hint="eastAsia" w:ascii="宋体" w:hAnsi="宋体" w:cs="宋体"/>
          <w:spacing w:val="-2"/>
          <w:kern w:val="0"/>
          <w:sz w:val="24"/>
        </w:rPr>
        <w:t>企业名称（盖章）：</w:t>
      </w:r>
    </w:p>
    <w:p>
      <w:pPr>
        <w:pStyle w:val="42"/>
        <w:autoSpaceDE w:val="0"/>
        <w:autoSpaceDN w:val="0"/>
        <w:spacing w:line="520" w:lineRule="exact"/>
        <w:ind w:firstLine="472" w:firstLineChars="200"/>
        <w:jc w:val="left"/>
        <w:rPr>
          <w:rFonts w:ascii="宋体" w:hAnsi="宋体" w:cs="宋体"/>
          <w:spacing w:val="-2"/>
          <w:kern w:val="0"/>
          <w:sz w:val="24"/>
        </w:rPr>
      </w:pPr>
      <w:r>
        <w:rPr>
          <w:rFonts w:hint="eastAsia" w:ascii="宋体" w:hAnsi="宋体" w:cs="宋体"/>
          <w:spacing w:val="-2"/>
          <w:kern w:val="0"/>
          <w:sz w:val="24"/>
        </w:rPr>
        <w:t xml:space="preserve">                                 日期：</w:t>
      </w:r>
    </w:p>
    <w:p>
      <w:pPr>
        <w:pStyle w:val="64"/>
        <w:outlineLvl w:val="2"/>
      </w:pPr>
      <w:r>
        <w:br w:type="page"/>
      </w:r>
      <w:bookmarkStart w:id="108" w:name="_Toc256000045"/>
      <w:r>
        <w:t>（五）供应商认为有必要提供的声明及文件资料</w:t>
      </w:r>
      <w:bookmarkEnd w:id="108"/>
    </w:p>
    <w:p>
      <w:pPr>
        <w:pStyle w:val="33"/>
        <w:numPr>
          <w:ilvl w:val="0"/>
          <w:numId w:val="10"/>
        </w:numPr>
        <w:rPr>
          <w:rFonts w:ascii="宋体" w:hAnsi="宋体"/>
          <w:kern w:val="0"/>
          <w:sz w:val="24"/>
        </w:rPr>
      </w:pPr>
      <w:r>
        <w:rPr>
          <w:rFonts w:hint="eastAsia" w:ascii="宋体" w:hAnsi="宋体"/>
          <w:kern w:val="0"/>
          <w:sz w:val="24"/>
        </w:rPr>
        <w:t>供应商自觉抵制政府采购领域商业贿赂行为承诺书；</w:t>
      </w:r>
    </w:p>
    <w:p>
      <w:pPr>
        <w:pStyle w:val="33"/>
        <w:numPr>
          <w:ilvl w:val="0"/>
          <w:numId w:val="10"/>
        </w:numPr>
        <w:rPr>
          <w:rFonts w:ascii="宋体" w:hAnsi="宋体"/>
          <w:kern w:val="0"/>
          <w:sz w:val="24"/>
        </w:rPr>
      </w:pPr>
      <w:r>
        <w:rPr>
          <w:rFonts w:hint="eastAsia" w:ascii="宋体" w:hAnsi="宋体"/>
          <w:kern w:val="0"/>
          <w:sz w:val="24"/>
        </w:rPr>
        <w:t>节能产品、环境标志产品证明文件；</w:t>
      </w:r>
    </w:p>
    <w:p>
      <w:pPr>
        <w:pStyle w:val="33"/>
        <w:numPr>
          <w:ilvl w:val="0"/>
          <w:numId w:val="10"/>
        </w:numPr>
        <w:rPr>
          <w:rFonts w:ascii="宋体" w:hAnsi="宋体"/>
          <w:kern w:val="0"/>
          <w:sz w:val="24"/>
        </w:rPr>
      </w:pPr>
      <w:r>
        <w:rPr>
          <w:rFonts w:hint="eastAsia" w:ascii="宋体" w:hAnsi="宋体"/>
          <w:kern w:val="0"/>
          <w:sz w:val="24"/>
        </w:rPr>
        <w:t>类似项目业绩表；</w:t>
      </w:r>
    </w:p>
    <w:p>
      <w:pPr>
        <w:pStyle w:val="65"/>
        <w:adjustRightInd w:val="0"/>
        <w:snapToGrid w:val="0"/>
        <w:spacing w:line="500" w:lineRule="exact"/>
        <w:rPr>
          <w:rFonts w:ascii="宋体" w:hAnsi="宋体"/>
          <w:sz w:val="24"/>
          <w:szCs w:val="24"/>
        </w:rPr>
      </w:pPr>
      <w:r>
        <w:rPr>
          <w:rFonts w:hint="eastAsia" w:ascii="宋体" w:hAnsi="宋体"/>
          <w:sz w:val="24"/>
          <w:szCs w:val="24"/>
        </w:rPr>
        <w:t>附：类似项目业绩表</w:t>
      </w:r>
    </w:p>
    <w:p>
      <w:pPr>
        <w:pStyle w:val="65"/>
        <w:adjustRightInd w:val="0"/>
        <w:snapToGrid w:val="0"/>
        <w:spacing w:line="500" w:lineRule="exact"/>
        <w:rPr>
          <w:rFonts w:ascii="宋体" w:hAnsi="宋体"/>
          <w:sz w:val="24"/>
          <w:szCs w:val="24"/>
        </w:rPr>
      </w:pPr>
      <w:r>
        <w:rPr>
          <w:rFonts w:hint="eastAsia" w:ascii="宋体" w:hAnsi="宋体"/>
          <w:sz w:val="24"/>
          <w:szCs w:val="24"/>
        </w:rPr>
        <w:t>采购项目编号：</w:t>
      </w:r>
      <w:r>
        <w:rPr>
          <w:rFonts w:hint="eastAsia" w:ascii="宋体" w:hAnsi="宋体"/>
          <w:sz w:val="24"/>
          <w:szCs w:val="24"/>
          <w:u w:val="single"/>
        </w:rPr>
        <w:t xml:space="preserve">                              </w:t>
      </w:r>
      <w:r>
        <w:rPr>
          <w:rFonts w:hint="eastAsia" w:ascii="宋体" w:hAnsi="宋体"/>
          <w:sz w:val="24"/>
          <w:szCs w:val="24"/>
        </w:rPr>
        <w:t xml:space="preserve">     </w:t>
      </w:r>
    </w:p>
    <w:p>
      <w:pPr>
        <w:pStyle w:val="65"/>
        <w:adjustRightInd w:val="0"/>
        <w:snapToGrid w:val="0"/>
        <w:spacing w:line="500" w:lineRule="exact"/>
        <w:rPr>
          <w:rFonts w:ascii="宋体" w:hAnsi="宋体"/>
          <w:sz w:val="24"/>
          <w:szCs w:val="24"/>
          <w:u w:val="single"/>
        </w:rPr>
      </w:pPr>
      <w:r>
        <w:rPr>
          <w:rFonts w:hint="eastAsia" w:ascii="宋体" w:hAnsi="宋体"/>
          <w:sz w:val="24"/>
          <w:szCs w:val="24"/>
        </w:rPr>
        <w:t>采购项目名称：</w:t>
      </w:r>
      <w:r>
        <w:rPr>
          <w:rFonts w:hint="eastAsia" w:ascii="宋体" w:hAnsi="宋体"/>
          <w:sz w:val="24"/>
          <w:szCs w:val="24"/>
          <w:u w:val="single"/>
        </w:rPr>
        <w:t xml:space="preserve">                              </w:t>
      </w:r>
    </w:p>
    <w:tbl>
      <w:tblPr>
        <w:tblStyle w:val="16"/>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shd w:val="clear" w:color="auto" w:fill="auto"/>
            <w:vAlign w:val="center"/>
          </w:tcPr>
          <w:p>
            <w:pPr>
              <w:pStyle w:val="65"/>
              <w:jc w:val="center"/>
              <w:rPr>
                <w:rFonts w:ascii="宋体" w:hAnsi="宋体"/>
                <w:sz w:val="24"/>
                <w:szCs w:val="24"/>
              </w:rPr>
            </w:pPr>
            <w:r>
              <w:rPr>
                <w:rFonts w:hint="eastAsia" w:ascii="宋体" w:hAnsi="宋体"/>
                <w:sz w:val="24"/>
                <w:szCs w:val="24"/>
              </w:rPr>
              <w:t>项目名称</w:t>
            </w:r>
          </w:p>
        </w:tc>
        <w:tc>
          <w:tcPr>
            <w:tcW w:w="7200" w:type="dxa"/>
            <w:shd w:val="clear" w:color="auto" w:fill="auto"/>
          </w:tcPr>
          <w:p>
            <w:pPr>
              <w:pStyle w:val="65"/>
              <w:tabs>
                <w:tab w:val="left" w:pos="2265"/>
              </w:tabs>
              <w:rPr>
                <w:rFonts w:ascii="宋体" w:hAnsi="宋体"/>
                <w:sz w:val="24"/>
                <w:szCs w:val="24"/>
              </w:rPr>
            </w:pPr>
            <w:r>
              <w:rPr>
                <w:rFonts w:ascii="宋体" w:hAnsi="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shd w:val="clear" w:color="auto" w:fill="auto"/>
            <w:vAlign w:val="center"/>
          </w:tcPr>
          <w:p>
            <w:pPr>
              <w:pStyle w:val="65"/>
              <w:jc w:val="center"/>
              <w:rPr>
                <w:rFonts w:ascii="宋体" w:hAnsi="宋体"/>
                <w:sz w:val="24"/>
                <w:szCs w:val="24"/>
              </w:rPr>
            </w:pPr>
            <w:r>
              <w:rPr>
                <w:rFonts w:hint="eastAsia" w:ascii="宋体" w:hAnsi="宋体"/>
                <w:sz w:val="24"/>
                <w:szCs w:val="24"/>
              </w:rPr>
              <w:t>项目单位名称</w:t>
            </w:r>
          </w:p>
        </w:tc>
        <w:tc>
          <w:tcPr>
            <w:tcW w:w="7200" w:type="dxa"/>
            <w:shd w:val="clear" w:color="auto" w:fill="auto"/>
          </w:tcPr>
          <w:p>
            <w:pPr>
              <w:pStyle w:val="65"/>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shd w:val="clear" w:color="auto" w:fill="auto"/>
            <w:vAlign w:val="center"/>
          </w:tcPr>
          <w:p>
            <w:pPr>
              <w:pStyle w:val="65"/>
              <w:jc w:val="center"/>
              <w:rPr>
                <w:rFonts w:ascii="宋体" w:hAnsi="宋体"/>
                <w:sz w:val="24"/>
                <w:szCs w:val="24"/>
              </w:rPr>
            </w:pPr>
            <w:r>
              <w:rPr>
                <w:rFonts w:hint="eastAsia" w:ascii="宋体" w:hAnsi="宋体"/>
                <w:sz w:val="24"/>
                <w:szCs w:val="24"/>
              </w:rPr>
              <w:t>项目单位联系人姓名及联系方式</w:t>
            </w:r>
          </w:p>
        </w:tc>
        <w:tc>
          <w:tcPr>
            <w:tcW w:w="7200" w:type="dxa"/>
            <w:shd w:val="clear" w:color="auto" w:fill="auto"/>
          </w:tcPr>
          <w:p>
            <w:pPr>
              <w:pStyle w:val="65"/>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shd w:val="clear" w:color="auto" w:fill="auto"/>
            <w:vAlign w:val="center"/>
          </w:tcPr>
          <w:p>
            <w:pPr>
              <w:pStyle w:val="65"/>
              <w:jc w:val="center"/>
              <w:rPr>
                <w:rFonts w:ascii="宋体" w:hAnsi="宋体"/>
                <w:sz w:val="24"/>
                <w:szCs w:val="24"/>
              </w:rPr>
            </w:pPr>
            <w:r>
              <w:rPr>
                <w:rFonts w:hint="eastAsia" w:ascii="宋体" w:hAnsi="宋体"/>
                <w:sz w:val="24"/>
                <w:szCs w:val="24"/>
              </w:rPr>
              <w:t>合同金额</w:t>
            </w:r>
          </w:p>
        </w:tc>
        <w:tc>
          <w:tcPr>
            <w:tcW w:w="7200" w:type="dxa"/>
            <w:shd w:val="clear" w:color="auto" w:fill="auto"/>
          </w:tcPr>
          <w:p>
            <w:pPr>
              <w:pStyle w:val="65"/>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shd w:val="clear" w:color="auto" w:fill="auto"/>
            <w:vAlign w:val="center"/>
          </w:tcPr>
          <w:p>
            <w:pPr>
              <w:pStyle w:val="65"/>
              <w:jc w:val="center"/>
              <w:rPr>
                <w:rFonts w:ascii="宋体" w:hAnsi="宋体"/>
                <w:sz w:val="24"/>
                <w:szCs w:val="24"/>
              </w:rPr>
            </w:pPr>
            <w:r>
              <w:rPr>
                <w:rFonts w:hint="eastAsia" w:ascii="宋体" w:hAnsi="宋体"/>
                <w:sz w:val="24"/>
                <w:szCs w:val="24"/>
              </w:rPr>
              <w:t>项目负责人</w:t>
            </w:r>
          </w:p>
          <w:p>
            <w:pPr>
              <w:pStyle w:val="65"/>
              <w:jc w:val="center"/>
              <w:rPr>
                <w:rFonts w:ascii="宋体" w:hAnsi="宋体"/>
                <w:sz w:val="24"/>
                <w:szCs w:val="24"/>
              </w:rPr>
            </w:pPr>
            <w:r>
              <w:rPr>
                <w:rFonts w:hint="eastAsia" w:ascii="宋体" w:hAnsi="宋体"/>
                <w:sz w:val="24"/>
                <w:szCs w:val="24"/>
              </w:rPr>
              <w:t>姓名</w:t>
            </w:r>
          </w:p>
        </w:tc>
        <w:tc>
          <w:tcPr>
            <w:tcW w:w="7200" w:type="dxa"/>
            <w:shd w:val="clear" w:color="auto" w:fill="auto"/>
          </w:tcPr>
          <w:p>
            <w:pPr>
              <w:pStyle w:val="65"/>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shd w:val="clear" w:color="auto" w:fill="auto"/>
            <w:vAlign w:val="center"/>
          </w:tcPr>
          <w:p>
            <w:pPr>
              <w:pStyle w:val="65"/>
              <w:jc w:val="center"/>
              <w:rPr>
                <w:rFonts w:ascii="宋体" w:hAnsi="宋体"/>
                <w:sz w:val="24"/>
                <w:szCs w:val="24"/>
              </w:rPr>
            </w:pPr>
            <w:r>
              <w:rPr>
                <w:rFonts w:hint="eastAsia" w:ascii="宋体" w:hAnsi="宋体"/>
                <w:sz w:val="24"/>
                <w:szCs w:val="24"/>
              </w:rPr>
              <w:t>项目实施时间</w:t>
            </w:r>
          </w:p>
        </w:tc>
        <w:tc>
          <w:tcPr>
            <w:tcW w:w="7200" w:type="dxa"/>
            <w:shd w:val="clear" w:color="auto" w:fill="auto"/>
          </w:tcPr>
          <w:p>
            <w:pPr>
              <w:pStyle w:val="65"/>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shd w:val="clear" w:color="auto" w:fill="auto"/>
            <w:vAlign w:val="center"/>
          </w:tcPr>
          <w:p>
            <w:pPr>
              <w:pStyle w:val="65"/>
              <w:jc w:val="center"/>
              <w:rPr>
                <w:rFonts w:ascii="宋体" w:hAnsi="宋体"/>
                <w:sz w:val="24"/>
                <w:szCs w:val="24"/>
              </w:rPr>
            </w:pPr>
            <w:r>
              <w:rPr>
                <w:rFonts w:hint="eastAsia" w:ascii="宋体" w:hAnsi="宋体"/>
                <w:sz w:val="24"/>
                <w:szCs w:val="24"/>
              </w:rPr>
              <w:t>项目内容说明</w:t>
            </w:r>
          </w:p>
        </w:tc>
        <w:tc>
          <w:tcPr>
            <w:tcW w:w="7200" w:type="dxa"/>
            <w:shd w:val="clear" w:color="auto" w:fill="auto"/>
          </w:tcPr>
          <w:p>
            <w:pPr>
              <w:pStyle w:val="65"/>
              <w:jc w:val="center"/>
              <w:rPr>
                <w:rFonts w:ascii="宋体" w:hAnsi="宋体"/>
                <w:sz w:val="24"/>
                <w:szCs w:val="24"/>
              </w:rPr>
            </w:pPr>
          </w:p>
        </w:tc>
      </w:tr>
    </w:tbl>
    <w:p>
      <w:pPr>
        <w:pStyle w:val="65"/>
        <w:autoSpaceDE w:val="0"/>
        <w:autoSpaceDN w:val="0"/>
        <w:spacing w:line="360" w:lineRule="auto"/>
        <w:rPr>
          <w:rFonts w:ascii="宋体" w:hAnsi="宋体"/>
          <w:sz w:val="24"/>
          <w:szCs w:val="24"/>
        </w:rPr>
      </w:pPr>
      <w:r>
        <w:rPr>
          <w:rFonts w:hint="eastAsia" w:ascii="宋体" w:hAnsi="宋体"/>
          <w:sz w:val="24"/>
          <w:szCs w:val="24"/>
        </w:rPr>
        <w:t>说明：1．每个合同须单独附表，并附上相关证明材料，否则专家在评审时将不予采信；</w:t>
      </w:r>
    </w:p>
    <w:p>
      <w:pPr>
        <w:pStyle w:val="65"/>
        <w:spacing w:line="360" w:lineRule="auto"/>
        <w:ind w:firstLine="720" w:firstLineChars="300"/>
        <w:rPr>
          <w:rFonts w:ascii="宋体" w:hAnsi="宋体"/>
          <w:sz w:val="24"/>
          <w:szCs w:val="24"/>
        </w:rPr>
      </w:pPr>
      <w:r>
        <w:rPr>
          <w:rFonts w:hint="eastAsia" w:ascii="宋体" w:hAnsi="宋体"/>
          <w:sz w:val="24"/>
          <w:szCs w:val="24"/>
        </w:rPr>
        <w:t>2．项目内容请详细说明所承担的具体工作内容，如：网络建设、系统集成、软件开发、网站建设等；</w:t>
      </w:r>
    </w:p>
    <w:p>
      <w:pPr>
        <w:pStyle w:val="65"/>
        <w:adjustRightInd w:val="0"/>
        <w:snapToGrid w:val="0"/>
        <w:spacing w:line="500" w:lineRule="exact"/>
        <w:rPr>
          <w:rFonts w:ascii="宋体" w:hAnsi="宋体"/>
          <w:sz w:val="24"/>
          <w:szCs w:val="24"/>
        </w:rPr>
      </w:pPr>
      <w:r>
        <w:rPr>
          <w:rFonts w:hint="eastAsia" w:ascii="宋体" w:hAnsi="宋体"/>
          <w:sz w:val="24"/>
          <w:szCs w:val="24"/>
        </w:rPr>
        <w:t>投标人法定代表人</w:t>
      </w:r>
      <w:r>
        <w:rPr>
          <w:rFonts w:hint="eastAsia" w:ascii="宋体" w:hAnsi="宋体" w:cs="宋体"/>
          <w:sz w:val="24"/>
          <w:szCs w:val="24"/>
        </w:rPr>
        <w:t>（</w:t>
      </w:r>
      <w:r>
        <w:rPr>
          <w:rFonts w:hint="eastAsia" w:ascii="宋体" w:hAnsi="宋体"/>
          <w:sz w:val="24"/>
          <w:szCs w:val="24"/>
        </w:rPr>
        <w:t>电子签名</w:t>
      </w:r>
      <w:r>
        <w:rPr>
          <w:rFonts w:hint="eastAsia" w:ascii="宋体" w:hAnsi="宋体" w:cs="宋体"/>
          <w:sz w:val="24"/>
          <w:szCs w:val="24"/>
        </w:rPr>
        <w:t>）</w:t>
      </w:r>
      <w:r>
        <w:rPr>
          <w:rFonts w:hint="eastAsia" w:ascii="宋体" w:hAnsi="宋体"/>
          <w:sz w:val="24"/>
          <w:szCs w:val="24"/>
        </w:rPr>
        <w:t>：</w:t>
      </w:r>
      <w:r>
        <w:rPr>
          <w:rFonts w:hint="eastAsia" w:ascii="宋体" w:hAnsi="宋体"/>
          <w:sz w:val="24"/>
          <w:szCs w:val="24"/>
          <w:u w:val="single"/>
        </w:rPr>
        <w:t xml:space="preserve">                  </w:t>
      </w:r>
    </w:p>
    <w:p>
      <w:pPr>
        <w:pStyle w:val="65"/>
        <w:adjustRightInd w:val="0"/>
        <w:snapToGrid w:val="0"/>
        <w:spacing w:line="500" w:lineRule="exact"/>
        <w:rPr>
          <w:rFonts w:ascii="宋体" w:hAnsi="宋体"/>
          <w:sz w:val="24"/>
          <w:szCs w:val="24"/>
          <w:u w:val="single"/>
        </w:rPr>
      </w:pPr>
      <w:r>
        <w:rPr>
          <w:rFonts w:hint="eastAsia" w:ascii="宋体" w:hAnsi="宋体"/>
          <w:sz w:val="24"/>
          <w:szCs w:val="24"/>
        </w:rPr>
        <w:t>投标人名称</w:t>
      </w:r>
      <w:r>
        <w:rPr>
          <w:rFonts w:hint="eastAsia" w:ascii="宋体" w:hAnsi="宋体" w:cs="宋体"/>
          <w:sz w:val="24"/>
          <w:szCs w:val="24"/>
        </w:rPr>
        <w:t>（</w:t>
      </w:r>
      <w:r>
        <w:rPr>
          <w:rFonts w:hint="eastAsia" w:ascii="宋体" w:hAnsi="宋体"/>
          <w:sz w:val="24"/>
          <w:szCs w:val="24"/>
        </w:rPr>
        <w:t>电子签章</w:t>
      </w:r>
      <w:r>
        <w:rPr>
          <w:rFonts w:hint="eastAsia" w:ascii="宋体" w:hAnsi="宋体" w:cs="宋体"/>
          <w:sz w:val="24"/>
          <w:szCs w:val="24"/>
        </w:rPr>
        <w:t>）</w:t>
      </w:r>
      <w:r>
        <w:rPr>
          <w:rFonts w:hint="eastAsia" w:ascii="宋体" w:hAnsi="宋体"/>
          <w:sz w:val="24"/>
          <w:szCs w:val="24"/>
        </w:rPr>
        <w:t>：</w:t>
      </w:r>
      <w:r>
        <w:rPr>
          <w:rFonts w:hint="eastAsia" w:ascii="宋体" w:hAnsi="宋体"/>
          <w:sz w:val="24"/>
          <w:szCs w:val="24"/>
          <w:u w:val="single"/>
        </w:rPr>
        <w:t xml:space="preserve">                       </w:t>
      </w:r>
    </w:p>
    <w:p>
      <w:pPr>
        <w:pStyle w:val="65"/>
        <w:spacing w:line="500" w:lineRule="exac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 xml:space="preserve"> 月</w:t>
      </w:r>
      <w:r>
        <w:rPr>
          <w:rFonts w:hint="eastAsia" w:ascii="宋体" w:hAnsi="宋体"/>
          <w:sz w:val="24"/>
          <w:szCs w:val="24"/>
          <w:u w:val="single"/>
        </w:rPr>
        <w:t xml:space="preserve">    </w:t>
      </w:r>
      <w:r>
        <w:rPr>
          <w:rFonts w:hint="eastAsia" w:ascii="宋体" w:hAnsi="宋体"/>
          <w:sz w:val="24"/>
          <w:szCs w:val="24"/>
        </w:rPr>
        <w:t xml:space="preserve"> 日</w:t>
      </w:r>
    </w:p>
    <w:p>
      <w:pPr>
        <w:pStyle w:val="33"/>
        <w:rPr>
          <w:rFonts w:ascii="宋体" w:hAnsi="宋体"/>
          <w:sz w:val="24"/>
        </w:rPr>
      </w:pPr>
    </w:p>
    <w:p>
      <w:pPr>
        <w:pStyle w:val="66"/>
        <w:outlineLvl w:val="2"/>
      </w:pPr>
      <w:r>
        <w:br w:type="page"/>
      </w:r>
      <w:bookmarkStart w:id="109" w:name="_Toc256000046"/>
      <w:r>
        <w:t>（六）不参与围标串标承诺书</w:t>
      </w:r>
      <w:bookmarkEnd w:id="109"/>
    </w:p>
    <w:p>
      <w:pPr>
        <w:pStyle w:val="67"/>
        <w:spacing w:line="640" w:lineRule="exact"/>
        <w:ind w:firstLine="480" w:firstLineChars="200"/>
        <w:rPr>
          <w:rFonts w:ascii="仿宋" w:hAnsi="仿宋" w:eastAsia="仿宋" w:cs="仿宋"/>
          <w:sz w:val="24"/>
        </w:rPr>
      </w:pPr>
      <w:r>
        <w:rPr>
          <w:rFonts w:hint="eastAsia" w:ascii="仿宋" w:hAnsi="仿宋" w:eastAsia="仿宋" w:cs="仿宋"/>
          <w:sz w:val="24"/>
        </w:rPr>
        <w:t>本人作为</w:t>
      </w:r>
      <w:r>
        <w:rPr>
          <w:rFonts w:hint="eastAsia" w:ascii="仿宋" w:hAnsi="仿宋" w:eastAsia="仿宋" w:cs="仿宋"/>
          <w:sz w:val="24"/>
          <w:u w:val="single"/>
        </w:rPr>
        <w:t xml:space="preserve">（单位名称）                    </w:t>
      </w:r>
      <w:r>
        <w:rPr>
          <w:rFonts w:hint="eastAsia" w:ascii="仿宋" w:hAnsi="仿宋" w:eastAsia="仿宋" w:cs="仿宋"/>
          <w:sz w:val="24"/>
        </w:rPr>
        <w:t>的法人，清楚知晓我公司本项目投标活动，对以下事项作出承诺：</w:t>
      </w:r>
    </w:p>
    <w:p>
      <w:pPr>
        <w:pStyle w:val="67"/>
        <w:spacing w:line="640" w:lineRule="exact"/>
        <w:ind w:firstLine="480" w:firstLineChars="200"/>
        <w:rPr>
          <w:rFonts w:ascii="仿宋" w:hAnsi="仿宋" w:eastAsia="仿宋" w:cs="仿宋"/>
          <w:sz w:val="24"/>
        </w:rPr>
      </w:pPr>
      <w:r>
        <w:rPr>
          <w:rFonts w:hint="eastAsia" w:ascii="仿宋" w:hAnsi="仿宋" w:eastAsia="仿宋" w:cs="仿宋"/>
          <w:sz w:val="24"/>
        </w:rPr>
        <w:t>一、我单位遵循公开、公平、公正、诚实守信的原则，依法依规参与本项目竞标。</w:t>
      </w:r>
    </w:p>
    <w:p>
      <w:pPr>
        <w:pStyle w:val="67"/>
        <w:spacing w:line="640" w:lineRule="exact"/>
        <w:ind w:firstLine="480" w:firstLineChars="200"/>
        <w:rPr>
          <w:rFonts w:ascii="仿宋" w:hAnsi="仿宋" w:eastAsia="仿宋" w:cs="仿宋"/>
          <w:sz w:val="24"/>
        </w:rPr>
      </w:pPr>
      <w:r>
        <w:rPr>
          <w:rFonts w:hint="eastAsia" w:ascii="仿宋" w:hAnsi="仿宋" w:eastAsia="仿宋" w:cs="仿宋"/>
          <w:sz w:val="24"/>
        </w:rPr>
        <w:t>二、我单位在本项目招标投标活动中，未参与围标串标。</w:t>
      </w:r>
    </w:p>
    <w:p>
      <w:pPr>
        <w:pStyle w:val="67"/>
        <w:spacing w:line="640" w:lineRule="exact"/>
        <w:ind w:firstLine="480" w:firstLineChars="200"/>
        <w:rPr>
          <w:rFonts w:ascii="仿宋_GB2312" w:hAnsi="华文中宋" w:eastAsia="仿宋_GB2312"/>
          <w:b/>
          <w:sz w:val="24"/>
        </w:rPr>
      </w:pPr>
      <w:r>
        <w:rPr>
          <w:rFonts w:hint="eastAsia" w:ascii="仿宋" w:hAnsi="仿宋" w:eastAsia="仿宋" w:cs="仿宋"/>
          <w:sz w:val="24"/>
        </w:rPr>
        <w:t>三、我单位如被查实在本项目招标投标活动中存在围标串标的，递交投标文件行为作为实施串通投标违法行为的关键环节，本人承担直接责任人员法律责任，接受相应行政处罚和失信惩戒。</w:t>
      </w:r>
    </w:p>
    <w:p>
      <w:pPr>
        <w:pStyle w:val="67"/>
        <w:spacing w:line="640" w:lineRule="exact"/>
        <w:jc w:val="left"/>
        <w:rPr>
          <w:rFonts w:ascii="仿宋" w:hAnsi="仿宋" w:eastAsia="仿宋"/>
          <w:sz w:val="24"/>
        </w:rPr>
      </w:pPr>
      <w:r>
        <w:rPr>
          <w:rFonts w:hint="eastAsia" w:ascii="仿宋" w:hAnsi="仿宋" w:eastAsia="仿宋"/>
          <w:sz w:val="24"/>
        </w:rPr>
        <w:t>项目编号</w:t>
      </w:r>
      <w:r>
        <w:rPr>
          <w:rFonts w:ascii="仿宋" w:hAnsi="仿宋" w:eastAsia="仿宋"/>
          <w:sz w:val="24"/>
        </w:rPr>
        <w:t xml:space="preserve">：    </w:t>
      </w:r>
    </w:p>
    <w:p>
      <w:pPr>
        <w:pStyle w:val="67"/>
        <w:spacing w:line="640" w:lineRule="exact"/>
        <w:jc w:val="left"/>
        <w:rPr>
          <w:rFonts w:ascii="仿宋" w:hAnsi="仿宋" w:eastAsia="仿宋"/>
          <w:sz w:val="24"/>
        </w:rPr>
      </w:pPr>
      <w:r>
        <w:rPr>
          <w:rFonts w:ascii="仿宋" w:hAnsi="仿宋" w:eastAsia="仿宋"/>
          <w:sz w:val="24"/>
        </w:rPr>
        <w:t>标段号：</w:t>
      </w:r>
      <w:r>
        <w:rPr>
          <w:rFonts w:hint="eastAsia" w:ascii="仿宋" w:hAnsi="仿宋" w:eastAsia="仿宋"/>
          <w:sz w:val="24"/>
        </w:rPr>
        <w:t xml:space="preserve">    </w:t>
      </w:r>
    </w:p>
    <w:p>
      <w:pPr>
        <w:pStyle w:val="67"/>
        <w:spacing w:line="640" w:lineRule="exact"/>
        <w:jc w:val="left"/>
        <w:rPr>
          <w:rFonts w:ascii="仿宋_GB2312" w:hAnsi="华文中宋" w:eastAsia="仿宋_GB2312"/>
          <w:sz w:val="24"/>
        </w:rPr>
      </w:pPr>
      <w:r>
        <w:rPr>
          <w:rFonts w:hint="eastAsia" w:ascii="仿宋_GB2312" w:hAnsi="华文中宋" w:eastAsia="仿宋_GB2312"/>
          <w:sz w:val="24"/>
        </w:rPr>
        <w:t>供应商单位名称：</w:t>
      </w:r>
    </w:p>
    <w:p>
      <w:pPr>
        <w:pStyle w:val="67"/>
        <w:spacing w:line="640" w:lineRule="exact"/>
        <w:jc w:val="left"/>
        <w:rPr>
          <w:rFonts w:ascii="仿宋_GB2312" w:hAnsi="华文中宋" w:eastAsia="仿宋_GB2312"/>
          <w:sz w:val="24"/>
        </w:rPr>
      </w:pPr>
      <w:r>
        <w:rPr>
          <w:rFonts w:hint="eastAsia" w:ascii="仿宋_GB2312" w:hAnsi="华文中宋" w:eastAsia="仿宋_GB2312"/>
          <w:sz w:val="24"/>
        </w:rPr>
        <w:t>供应商法人签名：</w:t>
      </w:r>
    </w:p>
    <w:p>
      <w:pPr>
        <w:pStyle w:val="67"/>
        <w:spacing w:line="640" w:lineRule="exact"/>
        <w:jc w:val="left"/>
        <w:rPr>
          <w:rFonts w:ascii="仿宋_GB2312" w:hAnsi="华文中宋" w:eastAsia="仿宋_GB2312"/>
          <w:sz w:val="24"/>
        </w:rPr>
      </w:pPr>
      <w:r>
        <w:rPr>
          <w:rFonts w:hint="eastAsia" w:ascii="仿宋_GB2312" w:hAnsi="华文中宋" w:eastAsia="仿宋_GB2312"/>
          <w:sz w:val="24"/>
        </w:rPr>
        <w:t xml:space="preserve">                                  </w:t>
      </w:r>
    </w:p>
    <w:p>
      <w:pPr>
        <w:pStyle w:val="67"/>
        <w:spacing w:line="640" w:lineRule="exact"/>
        <w:jc w:val="left"/>
        <w:rPr>
          <w:rFonts w:ascii="仿宋_GB2312" w:hAnsi="华文中宋" w:eastAsia="仿宋_GB2312"/>
          <w:sz w:val="24"/>
        </w:rPr>
      </w:pPr>
    </w:p>
    <w:p>
      <w:pPr>
        <w:pStyle w:val="67"/>
        <w:spacing w:line="640" w:lineRule="exact"/>
        <w:ind w:firstLine="4080" w:firstLineChars="1700"/>
        <w:jc w:val="left"/>
        <w:rPr>
          <w:rFonts w:ascii="仿宋_GB2312" w:hAnsi="华文中宋" w:eastAsia="仿宋_GB2312"/>
          <w:sz w:val="24"/>
        </w:rPr>
      </w:pPr>
      <w:r>
        <w:rPr>
          <w:rFonts w:hint="eastAsia" w:ascii="仿宋_GB2312" w:hAnsi="华文中宋" w:eastAsia="仿宋_GB2312"/>
          <w:sz w:val="24"/>
        </w:rPr>
        <w:t xml:space="preserve">      盖  章</w:t>
      </w:r>
    </w:p>
    <w:p>
      <w:pPr>
        <w:pStyle w:val="67"/>
        <w:spacing w:line="640" w:lineRule="exact"/>
        <w:ind w:firstLine="4320" w:firstLineChars="1800"/>
        <w:jc w:val="left"/>
        <w:rPr>
          <w:rFonts w:ascii="仿宋_GB2312" w:hAnsi="华文中宋" w:eastAsia="仿宋_GB2312"/>
          <w:sz w:val="24"/>
        </w:rPr>
      </w:pPr>
      <w:r>
        <w:rPr>
          <w:rFonts w:hint="eastAsia" w:ascii="仿宋_GB2312" w:hAnsi="华文中宋" w:eastAsia="仿宋_GB2312"/>
          <w:sz w:val="24"/>
        </w:rPr>
        <w:t xml:space="preserve"> 年   月   日</w:t>
      </w:r>
    </w:p>
    <w:p>
      <w:pPr>
        <w:pStyle w:val="68"/>
        <w:outlineLvl w:val="1"/>
      </w:pPr>
      <w:r>
        <w:br w:type="page"/>
      </w:r>
      <w:bookmarkStart w:id="110" w:name="_Toc256000047"/>
      <w:r>
        <w:t>三、商务文件</w:t>
      </w:r>
      <w:bookmarkEnd w:id="110"/>
    </w:p>
    <w:p>
      <w:pPr>
        <w:pStyle w:val="69"/>
        <w:outlineLvl w:val="2"/>
      </w:pPr>
      <w:r>
        <w:br w:type="page"/>
      </w:r>
      <w:bookmarkStart w:id="111" w:name="_Toc256000048"/>
      <w:r>
        <w:t>（一）☆投标函</w:t>
      </w:r>
      <w:bookmarkEnd w:id="111"/>
    </w:p>
    <w:p>
      <w:pPr>
        <w:pStyle w:val="70"/>
        <w:widowControl/>
        <w:spacing w:line="360" w:lineRule="auto"/>
        <w:ind w:left="0" w:leftChars="0"/>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w:t>
      </w:r>
    </w:p>
    <w:p>
      <w:pPr>
        <w:pStyle w:val="70"/>
        <w:widowControl/>
        <w:spacing w:line="360" w:lineRule="auto"/>
        <w:ind w:left="0" w:leftChars="0"/>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 xml:space="preserve"> (投标人名称)授权</w:t>
      </w:r>
      <w:r>
        <w:rPr>
          <w:rFonts w:hint="eastAsia" w:ascii="宋体" w:hAnsi="宋体"/>
          <w:sz w:val="24"/>
          <w:u w:val="single"/>
        </w:rPr>
        <w:t xml:space="preserve">                    </w:t>
      </w:r>
      <w:r>
        <w:rPr>
          <w:rFonts w:hint="eastAsia" w:ascii="宋体" w:hAnsi="宋体"/>
          <w:sz w:val="24"/>
        </w:rPr>
        <w:t>(投标人授权代理人姓名)</w:t>
      </w:r>
      <w:r>
        <w:rPr>
          <w:rFonts w:hint="eastAsia" w:ascii="宋体" w:hAnsi="宋体"/>
          <w:sz w:val="24"/>
          <w:u w:val="single"/>
        </w:rPr>
        <w:t xml:space="preserve">                      </w:t>
      </w:r>
      <w:r>
        <w:rPr>
          <w:rFonts w:hint="eastAsia" w:ascii="宋体" w:hAnsi="宋体"/>
          <w:sz w:val="24"/>
        </w:rPr>
        <w:t>(职务、职称)为我方代表，参加贵方组织的</w:t>
      </w:r>
      <w:r>
        <w:rPr>
          <w:rFonts w:hint="eastAsia" w:ascii="宋体" w:hAnsi="宋体"/>
          <w:sz w:val="24"/>
          <w:u w:val="single"/>
        </w:rPr>
        <w:t xml:space="preserve">                       </w:t>
      </w:r>
      <w:r>
        <w:rPr>
          <w:rFonts w:hint="eastAsia" w:ascii="宋体" w:hAnsi="宋体"/>
          <w:sz w:val="24"/>
        </w:rPr>
        <w:t xml:space="preserve"> (项目名称、项目编号、包号)招标的有关活动，并对此项目进行投标。为此：</w:t>
      </w:r>
    </w:p>
    <w:p>
      <w:pPr>
        <w:pStyle w:val="70"/>
        <w:widowControl/>
        <w:spacing w:line="360" w:lineRule="auto"/>
        <w:ind w:left="0" w:leftChars="0" w:firstLine="480" w:firstLineChars="200"/>
        <w:rPr>
          <w:rFonts w:ascii="宋体" w:hAnsi="宋体"/>
          <w:sz w:val="24"/>
        </w:rPr>
      </w:pPr>
      <w:r>
        <w:rPr>
          <w:rFonts w:hint="eastAsia" w:ascii="宋体" w:hAnsi="宋体"/>
          <w:sz w:val="24"/>
        </w:rPr>
        <w:t>1、我方同意在本项目招标文件中规定的投标有效期内遵守本投标文件中的承诺且在此期限期满之前均具有约束力。</w:t>
      </w:r>
    </w:p>
    <w:p>
      <w:pPr>
        <w:pStyle w:val="70"/>
        <w:widowControl/>
        <w:spacing w:line="360" w:lineRule="auto"/>
        <w:ind w:left="0" w:leftChars="0" w:firstLine="480" w:firstLineChars="200"/>
        <w:rPr>
          <w:rFonts w:ascii="宋体" w:hAnsi="宋体"/>
          <w:sz w:val="24"/>
        </w:rPr>
      </w:pPr>
      <w:r>
        <w:rPr>
          <w:rFonts w:hint="eastAsia" w:ascii="宋体" w:hAnsi="宋体"/>
          <w:sz w:val="24"/>
        </w:rPr>
        <w:t>2、我方承诺已经具备《中华人民共和国政府采购法》中规定的参加政府采购活动的供应商应当具备的条件：</w:t>
      </w:r>
    </w:p>
    <w:p>
      <w:pPr>
        <w:pStyle w:val="70"/>
        <w:widowControl/>
        <w:spacing w:line="360" w:lineRule="auto"/>
        <w:ind w:left="0" w:leftChars="0" w:firstLine="480" w:firstLineChars="200"/>
        <w:rPr>
          <w:rFonts w:ascii="宋体" w:hAnsi="宋体"/>
          <w:sz w:val="24"/>
        </w:rPr>
      </w:pPr>
      <w:r>
        <w:rPr>
          <w:rFonts w:hint="eastAsia" w:ascii="宋体" w:hAnsi="宋体"/>
          <w:sz w:val="24"/>
        </w:rPr>
        <w:t>1）具有独立承担民事责任的能力；</w:t>
      </w:r>
    </w:p>
    <w:p>
      <w:pPr>
        <w:pStyle w:val="70"/>
        <w:widowControl/>
        <w:spacing w:line="360" w:lineRule="auto"/>
        <w:ind w:left="0" w:leftChars="0" w:firstLine="480" w:firstLineChars="200"/>
        <w:rPr>
          <w:rFonts w:ascii="宋体" w:hAnsi="宋体"/>
          <w:sz w:val="24"/>
        </w:rPr>
      </w:pPr>
      <w:r>
        <w:rPr>
          <w:rFonts w:hint="eastAsia" w:ascii="宋体" w:hAnsi="宋体"/>
          <w:sz w:val="24"/>
        </w:rPr>
        <w:t>2）具有良好的商业信誉和健全的财务会计制度；</w:t>
      </w:r>
    </w:p>
    <w:p>
      <w:pPr>
        <w:pStyle w:val="70"/>
        <w:widowControl/>
        <w:spacing w:line="360" w:lineRule="auto"/>
        <w:ind w:left="0" w:leftChars="0" w:firstLine="480" w:firstLineChars="200"/>
        <w:rPr>
          <w:rFonts w:ascii="宋体" w:hAnsi="宋体"/>
          <w:sz w:val="24"/>
        </w:rPr>
      </w:pPr>
      <w:r>
        <w:rPr>
          <w:rFonts w:hint="eastAsia" w:ascii="宋体" w:hAnsi="宋体"/>
          <w:sz w:val="24"/>
        </w:rPr>
        <w:t>3）具有履行合同所必需的设备和专业技术能力；</w:t>
      </w:r>
    </w:p>
    <w:p>
      <w:pPr>
        <w:pStyle w:val="70"/>
        <w:widowControl/>
        <w:spacing w:line="360" w:lineRule="auto"/>
        <w:ind w:left="0" w:leftChars="0" w:firstLine="480" w:firstLineChars="200"/>
        <w:rPr>
          <w:rFonts w:ascii="宋体" w:hAnsi="宋体"/>
          <w:sz w:val="24"/>
        </w:rPr>
      </w:pPr>
      <w:r>
        <w:rPr>
          <w:rFonts w:hint="eastAsia" w:ascii="宋体" w:hAnsi="宋体"/>
          <w:sz w:val="24"/>
        </w:rPr>
        <w:t>4）有依法缴纳税收和社会保障资金的良好记录；</w:t>
      </w:r>
    </w:p>
    <w:p>
      <w:pPr>
        <w:pStyle w:val="70"/>
        <w:widowControl/>
        <w:spacing w:line="360" w:lineRule="auto"/>
        <w:ind w:left="0" w:leftChars="0" w:firstLine="480" w:firstLineChars="200"/>
        <w:rPr>
          <w:rFonts w:ascii="宋体" w:hAnsi="宋体"/>
          <w:sz w:val="24"/>
        </w:rPr>
      </w:pPr>
      <w:r>
        <w:rPr>
          <w:rFonts w:hint="eastAsia" w:ascii="宋体" w:hAnsi="宋体"/>
          <w:sz w:val="24"/>
        </w:rPr>
        <w:t>5）参加此项采购活动前三年内，在经营活动中没有重大违法记录；</w:t>
      </w:r>
    </w:p>
    <w:p>
      <w:pPr>
        <w:pStyle w:val="71"/>
        <w:spacing w:line="360" w:lineRule="auto"/>
        <w:ind w:firstLine="480" w:firstLineChars="200"/>
        <w:rPr>
          <w:rFonts w:ascii="宋体" w:hAnsi="宋体"/>
          <w:sz w:val="24"/>
        </w:rPr>
      </w:pPr>
      <w:r>
        <w:rPr>
          <w:rFonts w:hint="eastAsia" w:ascii="宋体" w:hAnsi="宋体"/>
          <w:sz w:val="24"/>
        </w:rPr>
        <w:t>6）法律、行政法规规定的其他条件。</w:t>
      </w:r>
    </w:p>
    <w:p>
      <w:pPr>
        <w:pStyle w:val="70"/>
        <w:widowControl/>
        <w:spacing w:line="360" w:lineRule="auto"/>
        <w:ind w:left="0" w:leftChars="0" w:firstLine="480" w:firstLineChars="200"/>
        <w:rPr>
          <w:rFonts w:ascii="宋体" w:hAnsi="宋体"/>
          <w:sz w:val="24"/>
        </w:rPr>
      </w:pPr>
      <w:r>
        <w:rPr>
          <w:rFonts w:hint="eastAsia" w:ascii="宋体" w:hAnsi="宋体"/>
          <w:sz w:val="24"/>
        </w:rPr>
        <w:t>3、提供投标人须知规定的全部投标文件。</w:t>
      </w:r>
    </w:p>
    <w:p>
      <w:pPr>
        <w:pStyle w:val="70"/>
        <w:widowControl/>
        <w:spacing w:line="360" w:lineRule="auto"/>
        <w:ind w:left="0" w:leftChars="0" w:firstLine="480" w:firstLineChars="200"/>
        <w:rPr>
          <w:rFonts w:ascii="宋体" w:hAnsi="宋体"/>
          <w:sz w:val="24"/>
        </w:rPr>
      </w:pPr>
      <w:r>
        <w:rPr>
          <w:rFonts w:hint="eastAsia" w:ascii="宋体" w:hAnsi="宋体"/>
          <w:sz w:val="24"/>
        </w:rPr>
        <w:t>4、按招标文件要求提供和交付的货物及相关服务的投标报价详见开标一览表。</w:t>
      </w:r>
    </w:p>
    <w:p>
      <w:pPr>
        <w:pStyle w:val="70"/>
        <w:widowControl/>
        <w:spacing w:line="360" w:lineRule="auto"/>
        <w:ind w:left="0" w:leftChars="0" w:firstLine="480" w:firstLineChars="200"/>
        <w:rPr>
          <w:rFonts w:ascii="宋体" w:hAnsi="宋体"/>
          <w:sz w:val="24"/>
        </w:rPr>
      </w:pPr>
      <w:r>
        <w:rPr>
          <w:rFonts w:hint="eastAsia" w:ascii="宋体" w:hAnsi="宋体"/>
          <w:sz w:val="24"/>
        </w:rPr>
        <w:t>5、保证忠实地执行双方所签订的合同，并承担合同规定的责任和义务。</w:t>
      </w:r>
    </w:p>
    <w:p>
      <w:pPr>
        <w:pStyle w:val="70"/>
        <w:widowControl/>
        <w:spacing w:line="360" w:lineRule="auto"/>
        <w:ind w:left="0" w:leftChars="0" w:firstLine="480" w:firstLineChars="200"/>
        <w:rPr>
          <w:rFonts w:ascii="宋体" w:hAnsi="宋体"/>
          <w:sz w:val="24"/>
        </w:rPr>
      </w:pPr>
      <w:r>
        <w:rPr>
          <w:rFonts w:hint="eastAsia" w:ascii="宋体" w:hAnsi="宋体"/>
          <w:sz w:val="24"/>
        </w:rPr>
        <w:t>6、我方承诺完全满足和响应招标文件中的各项技术和服务要求，若有偏差，已在投标文件偏离表中予以明确特别说明。</w:t>
      </w:r>
    </w:p>
    <w:p>
      <w:pPr>
        <w:pStyle w:val="70"/>
        <w:widowControl/>
        <w:spacing w:line="360" w:lineRule="auto"/>
        <w:ind w:left="0" w:leftChars="0" w:firstLine="480" w:firstLineChars="200"/>
        <w:rPr>
          <w:rFonts w:ascii="宋体" w:hAnsi="宋体"/>
          <w:sz w:val="24"/>
        </w:rPr>
      </w:pPr>
      <w:r>
        <w:rPr>
          <w:rFonts w:hint="eastAsia" w:ascii="宋体" w:hAnsi="宋体"/>
          <w:sz w:val="24"/>
        </w:rPr>
        <w:t>7、我方承诺：完全理解投标报价若超过项目预算时，投标将被拒绝。</w:t>
      </w:r>
    </w:p>
    <w:p>
      <w:pPr>
        <w:pStyle w:val="70"/>
        <w:widowControl/>
        <w:spacing w:line="360" w:lineRule="auto"/>
        <w:ind w:left="0" w:leftChars="0" w:firstLine="480" w:firstLineChars="200"/>
        <w:rPr>
          <w:rFonts w:ascii="宋体" w:hAnsi="宋体"/>
          <w:sz w:val="24"/>
        </w:rPr>
      </w:pPr>
      <w:r>
        <w:rPr>
          <w:rFonts w:hint="eastAsia" w:ascii="宋体" w:hAnsi="宋体"/>
          <w:sz w:val="24"/>
        </w:rPr>
        <w:t>8、我方承诺：与在本项目中设计编制技术规格的机构及其附属机构无任何直接隶属关系和利益关联。</w:t>
      </w:r>
    </w:p>
    <w:p>
      <w:pPr>
        <w:pStyle w:val="70"/>
        <w:widowControl/>
        <w:spacing w:line="360" w:lineRule="auto"/>
        <w:ind w:left="0" w:leftChars="0" w:firstLine="480" w:firstLineChars="200"/>
        <w:rPr>
          <w:rFonts w:ascii="宋体" w:hAnsi="宋体"/>
          <w:sz w:val="24"/>
        </w:rPr>
      </w:pPr>
      <w:r>
        <w:rPr>
          <w:rFonts w:hint="eastAsia" w:ascii="宋体" w:hAnsi="宋体"/>
          <w:sz w:val="24"/>
        </w:rPr>
        <w:t>9、如果在开标后规定的投标有效期内撤回投标，我方的投标保证金可被贵方没收。</w:t>
      </w:r>
    </w:p>
    <w:p>
      <w:pPr>
        <w:pStyle w:val="70"/>
        <w:widowControl/>
        <w:spacing w:line="360" w:lineRule="auto"/>
        <w:ind w:left="0" w:leftChars="0" w:firstLine="480" w:firstLineChars="200"/>
        <w:rPr>
          <w:rFonts w:ascii="宋体" w:hAnsi="宋体"/>
          <w:sz w:val="24"/>
        </w:rPr>
      </w:pPr>
      <w:r>
        <w:rPr>
          <w:rFonts w:hint="eastAsia" w:ascii="宋体" w:hAnsi="宋体"/>
          <w:sz w:val="24"/>
        </w:rPr>
        <w:t>10、我方完全理解贵方不一定接受最低价的投标或收到的任何投标。</w:t>
      </w:r>
    </w:p>
    <w:p>
      <w:pPr>
        <w:pStyle w:val="70"/>
        <w:widowControl/>
        <w:spacing w:line="360" w:lineRule="auto"/>
        <w:ind w:left="0" w:leftChars="0" w:firstLine="480" w:firstLineChars="200"/>
        <w:rPr>
          <w:rFonts w:ascii="宋体" w:hAnsi="宋体"/>
          <w:sz w:val="24"/>
        </w:rPr>
      </w:pPr>
      <w:r>
        <w:rPr>
          <w:rFonts w:hint="eastAsia" w:ascii="宋体" w:hAnsi="宋体"/>
          <w:sz w:val="24"/>
        </w:rPr>
        <w:t>11、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pPr>
        <w:pStyle w:val="70"/>
        <w:widowControl/>
        <w:spacing w:line="360" w:lineRule="auto"/>
        <w:ind w:left="0" w:leftChars="0" w:firstLine="480" w:firstLineChars="200"/>
        <w:rPr>
          <w:rFonts w:ascii="宋体" w:hAnsi="宋体"/>
          <w:sz w:val="24"/>
        </w:rPr>
      </w:pPr>
      <w:r>
        <w:rPr>
          <w:rFonts w:hint="eastAsia" w:ascii="宋体" w:hAnsi="宋体"/>
          <w:sz w:val="24"/>
        </w:rPr>
        <w:t>12、我方已详细审核全部投标文件，包括投标文件修改书（如有的话）、参考资料及有关附件，确认无误。</w:t>
      </w:r>
    </w:p>
    <w:p>
      <w:pPr>
        <w:pStyle w:val="70"/>
        <w:widowControl/>
        <w:spacing w:line="360" w:lineRule="auto"/>
        <w:ind w:left="0" w:leftChars="0" w:firstLine="480" w:firstLineChars="200"/>
        <w:rPr>
          <w:rFonts w:ascii="宋体" w:hAnsi="宋体"/>
          <w:sz w:val="24"/>
        </w:rPr>
      </w:pPr>
      <w:r>
        <w:rPr>
          <w:rFonts w:hint="eastAsia" w:ascii="宋体" w:hAnsi="宋体"/>
          <w:sz w:val="24"/>
        </w:rPr>
        <w:t>13、我方承诺：采购人若需追加采购本项目招标文件所列货物及相关服务的，在不改变合同其他实质性条款的前提下，按相同或更优惠的折扣率保证供货。</w:t>
      </w:r>
    </w:p>
    <w:p>
      <w:pPr>
        <w:pStyle w:val="70"/>
        <w:widowControl/>
        <w:spacing w:line="360" w:lineRule="auto"/>
        <w:ind w:left="0" w:leftChars="0" w:firstLine="480" w:firstLineChars="200"/>
        <w:rPr>
          <w:rFonts w:ascii="宋体" w:hAnsi="宋体"/>
          <w:sz w:val="24"/>
        </w:rPr>
      </w:pPr>
      <w:r>
        <w:rPr>
          <w:rFonts w:hint="eastAsia" w:ascii="宋体" w:hAnsi="宋体"/>
          <w:sz w:val="24"/>
        </w:rPr>
        <w:t>14、我方承诺：如所报货物属国家强制认证产品的，均已通过认证且在有效期内，否则，由此产生的一切法律责任由我方承担。</w:t>
      </w:r>
    </w:p>
    <w:p>
      <w:pPr>
        <w:pStyle w:val="70"/>
        <w:widowControl/>
        <w:spacing w:line="360" w:lineRule="auto"/>
        <w:ind w:left="0" w:leftChars="0" w:firstLine="480" w:firstLineChars="200"/>
        <w:rPr>
          <w:rFonts w:ascii="宋体" w:hAnsi="宋体"/>
          <w:sz w:val="24"/>
        </w:rPr>
      </w:pPr>
      <w:r>
        <w:rPr>
          <w:rFonts w:hint="eastAsia" w:ascii="宋体" w:hAnsi="宋体"/>
          <w:sz w:val="24"/>
        </w:rPr>
        <w:t>15、我方承诺：接受招标文件中的全部条款且无任何异议，保证遵守招标文件的规定。</w:t>
      </w:r>
    </w:p>
    <w:p>
      <w:pPr>
        <w:pStyle w:val="70"/>
        <w:widowControl/>
        <w:spacing w:line="360" w:lineRule="auto"/>
        <w:ind w:left="0" w:leftChars="0" w:firstLine="480" w:firstLineChars="200"/>
        <w:rPr>
          <w:rFonts w:ascii="宋体" w:hAnsi="宋体"/>
          <w:sz w:val="24"/>
        </w:rPr>
      </w:pPr>
      <w:r>
        <w:rPr>
          <w:rFonts w:hint="eastAsia" w:ascii="宋体" w:hAnsi="宋体"/>
          <w:sz w:val="24"/>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70"/>
        <w:widowControl/>
        <w:spacing w:line="360" w:lineRule="auto"/>
        <w:ind w:left="0" w:leftChars="0" w:firstLine="480" w:firstLineChars="200"/>
        <w:rPr>
          <w:rFonts w:ascii="宋体" w:hAnsi="宋体"/>
          <w:sz w:val="24"/>
        </w:rPr>
      </w:pPr>
      <w:r>
        <w:rPr>
          <w:rFonts w:hint="eastAsia" w:ascii="宋体" w:hAnsi="宋体"/>
          <w:sz w:val="24"/>
        </w:rPr>
        <w:t>1）提供虚假材料谋取中标、成交的；</w:t>
      </w:r>
    </w:p>
    <w:p>
      <w:pPr>
        <w:pStyle w:val="70"/>
        <w:widowControl/>
        <w:spacing w:line="360" w:lineRule="auto"/>
        <w:ind w:left="0" w:leftChars="0" w:firstLine="480" w:firstLineChars="200"/>
        <w:rPr>
          <w:rFonts w:ascii="宋体" w:hAnsi="宋体"/>
          <w:sz w:val="24"/>
        </w:rPr>
      </w:pPr>
      <w:r>
        <w:rPr>
          <w:rFonts w:hint="eastAsia" w:ascii="宋体" w:hAnsi="宋体"/>
          <w:sz w:val="24"/>
        </w:rPr>
        <w:t>2）采取不正当手段诋毁、排挤其他供应商的；</w:t>
      </w:r>
    </w:p>
    <w:p>
      <w:pPr>
        <w:pStyle w:val="70"/>
        <w:widowControl/>
        <w:spacing w:line="360" w:lineRule="auto"/>
        <w:ind w:left="0" w:leftChars="0" w:firstLine="480" w:firstLineChars="200"/>
        <w:rPr>
          <w:rFonts w:ascii="宋体" w:hAnsi="宋体"/>
          <w:sz w:val="24"/>
        </w:rPr>
      </w:pPr>
      <w:r>
        <w:rPr>
          <w:rFonts w:hint="eastAsia" w:ascii="宋体" w:hAnsi="宋体"/>
          <w:sz w:val="24"/>
        </w:rPr>
        <w:t>3）与采购人、其他供应商或者采购代理机构工作人员恶意串通的；</w:t>
      </w:r>
    </w:p>
    <w:p>
      <w:pPr>
        <w:pStyle w:val="70"/>
        <w:widowControl/>
        <w:spacing w:line="360" w:lineRule="auto"/>
        <w:ind w:left="0" w:leftChars="0" w:firstLine="480" w:firstLineChars="200"/>
        <w:rPr>
          <w:rFonts w:ascii="宋体" w:hAnsi="宋体"/>
          <w:sz w:val="24"/>
        </w:rPr>
      </w:pPr>
      <w:r>
        <w:rPr>
          <w:rFonts w:hint="eastAsia" w:ascii="宋体" w:hAnsi="宋体"/>
          <w:sz w:val="24"/>
        </w:rPr>
        <w:t>4）向采购人、采购代理机构工作人员行贿或者提供其他不正当利益的；</w:t>
      </w:r>
    </w:p>
    <w:p>
      <w:pPr>
        <w:pStyle w:val="70"/>
        <w:widowControl/>
        <w:spacing w:line="360" w:lineRule="auto"/>
        <w:ind w:left="0" w:leftChars="0" w:firstLine="480" w:firstLineChars="200"/>
        <w:rPr>
          <w:rFonts w:ascii="宋体" w:hAnsi="宋体"/>
          <w:sz w:val="24"/>
        </w:rPr>
      </w:pPr>
      <w:r>
        <w:rPr>
          <w:rFonts w:hint="eastAsia" w:ascii="宋体" w:hAnsi="宋体"/>
          <w:sz w:val="24"/>
        </w:rPr>
        <w:t>5）在采购过程中与采购人进行协商谈判的；</w:t>
      </w:r>
    </w:p>
    <w:p>
      <w:pPr>
        <w:pStyle w:val="70"/>
        <w:widowControl/>
        <w:spacing w:line="360" w:lineRule="auto"/>
        <w:ind w:left="0" w:leftChars="0" w:firstLine="480" w:firstLineChars="200"/>
        <w:rPr>
          <w:rFonts w:ascii="宋体" w:hAnsi="宋体"/>
          <w:sz w:val="24"/>
        </w:rPr>
      </w:pPr>
      <w:r>
        <w:rPr>
          <w:rFonts w:hint="eastAsia" w:ascii="宋体" w:hAnsi="宋体"/>
          <w:sz w:val="24"/>
        </w:rPr>
        <w:t>6）拒绝有关部门监督检查或提供虚假情况的。</w:t>
      </w:r>
    </w:p>
    <w:p>
      <w:pPr>
        <w:pStyle w:val="71"/>
        <w:rPr>
          <w:rFonts w:ascii="宋体" w:hAnsi="宋体"/>
        </w:rPr>
      </w:pPr>
      <w:r>
        <w:rPr>
          <w:rFonts w:hint="eastAsia" w:ascii="宋体" w:hAnsi="宋体"/>
        </w:rPr>
        <w:t xml:space="preserve">    17、</w:t>
      </w:r>
    </w:p>
    <w:p>
      <w:pPr>
        <w:pStyle w:val="70"/>
        <w:widowControl/>
        <w:spacing w:line="360" w:lineRule="auto"/>
        <w:ind w:left="0" w:leftChars="0" w:firstLine="480" w:firstLineChars="200"/>
        <w:rPr>
          <w:rFonts w:ascii="宋体" w:hAnsi="宋体"/>
          <w:sz w:val="24"/>
        </w:rPr>
      </w:pPr>
      <w:r>
        <w:rPr>
          <w:rFonts w:hint="eastAsia" w:ascii="宋体" w:hAnsi="宋体"/>
          <w:sz w:val="24"/>
        </w:rPr>
        <w:t>与本投标有关的一切往来通讯请寄：</w:t>
      </w:r>
    </w:p>
    <w:p>
      <w:pPr>
        <w:pStyle w:val="70"/>
        <w:widowControl/>
        <w:spacing w:line="360" w:lineRule="auto"/>
        <w:ind w:left="0" w:leftChars="0" w:firstLine="480" w:firstLineChars="200"/>
        <w:rPr>
          <w:rFonts w:ascii="宋体" w:hAnsi="宋体"/>
          <w:sz w:val="24"/>
        </w:rPr>
      </w:pPr>
      <w:r>
        <w:rPr>
          <w:rFonts w:hint="eastAsia" w:ascii="宋体" w:hAnsi="宋体"/>
          <w:sz w:val="24"/>
        </w:rPr>
        <w:t>地址：____________________________________________________</w:t>
      </w:r>
    </w:p>
    <w:p>
      <w:pPr>
        <w:pStyle w:val="70"/>
        <w:widowControl/>
        <w:spacing w:line="360" w:lineRule="auto"/>
        <w:ind w:left="0" w:leftChars="0" w:firstLine="480" w:firstLineChars="200"/>
        <w:rPr>
          <w:rFonts w:ascii="宋体" w:hAnsi="宋体"/>
          <w:sz w:val="24"/>
        </w:rPr>
      </w:pPr>
      <w:r>
        <w:rPr>
          <w:rFonts w:hint="eastAsia" w:ascii="宋体" w:hAnsi="宋体"/>
          <w:sz w:val="24"/>
        </w:rPr>
        <w:t>邮编：____________　</w:t>
      </w:r>
    </w:p>
    <w:p>
      <w:pPr>
        <w:pStyle w:val="70"/>
        <w:widowControl/>
        <w:spacing w:line="360" w:lineRule="auto"/>
        <w:ind w:left="0" w:leftChars="0" w:firstLine="480" w:firstLineChars="200"/>
        <w:rPr>
          <w:rFonts w:ascii="宋体" w:hAnsi="宋体"/>
          <w:sz w:val="24"/>
        </w:rPr>
      </w:pPr>
      <w:r>
        <w:rPr>
          <w:rFonts w:hint="eastAsia" w:ascii="宋体" w:hAnsi="宋体"/>
          <w:sz w:val="24"/>
        </w:rPr>
        <w:t>电话：____________　</w:t>
      </w:r>
    </w:p>
    <w:p>
      <w:pPr>
        <w:pStyle w:val="70"/>
        <w:widowControl/>
        <w:spacing w:line="360" w:lineRule="auto"/>
        <w:ind w:left="0" w:leftChars="0" w:firstLine="480" w:firstLineChars="200"/>
        <w:rPr>
          <w:rFonts w:ascii="宋体" w:hAnsi="宋体"/>
          <w:sz w:val="24"/>
        </w:rPr>
      </w:pPr>
      <w:r>
        <w:rPr>
          <w:rFonts w:hint="eastAsia" w:ascii="宋体" w:hAnsi="宋体"/>
          <w:sz w:val="24"/>
        </w:rPr>
        <w:t>传真：____________</w:t>
      </w:r>
    </w:p>
    <w:p>
      <w:pPr>
        <w:pStyle w:val="70"/>
        <w:widowControl/>
        <w:spacing w:line="360" w:lineRule="auto"/>
        <w:ind w:left="0" w:leftChars="0" w:firstLine="480" w:firstLineChars="200"/>
        <w:rPr>
          <w:rFonts w:ascii="宋体" w:hAnsi="宋体"/>
          <w:sz w:val="24"/>
        </w:rPr>
      </w:pPr>
      <w:r>
        <w:rPr>
          <w:rFonts w:hint="eastAsia" w:ascii="宋体" w:hAnsi="宋体"/>
          <w:sz w:val="24"/>
        </w:rPr>
        <w:t>投标人法定代表人或授权代理人联系电话，e-mail：</w:t>
      </w:r>
      <w:r>
        <w:rPr>
          <w:rFonts w:hint="eastAsia" w:ascii="宋体" w:hAnsi="宋体"/>
          <w:sz w:val="24"/>
          <w:u w:val="single"/>
        </w:rPr>
        <w:t xml:space="preserve">                           </w:t>
      </w:r>
      <w:r>
        <w:rPr>
          <w:rFonts w:hint="eastAsia" w:ascii="宋体" w:hAnsi="宋体"/>
          <w:sz w:val="24"/>
        </w:rPr>
        <w:t xml:space="preserve">        </w:t>
      </w:r>
    </w:p>
    <w:p>
      <w:pPr>
        <w:pStyle w:val="70"/>
        <w:widowControl/>
        <w:spacing w:line="360" w:lineRule="auto"/>
        <w:ind w:left="0" w:leftChars="0"/>
        <w:rPr>
          <w:rFonts w:ascii="宋体" w:hAnsi="宋体"/>
          <w:sz w:val="24"/>
        </w:rPr>
      </w:pPr>
    </w:p>
    <w:p>
      <w:pPr>
        <w:pStyle w:val="70"/>
        <w:widowControl/>
        <w:spacing w:line="360" w:lineRule="auto"/>
        <w:ind w:left="101" w:leftChars="48" w:firstLine="361" w:firstLineChars="150"/>
        <w:rPr>
          <w:rFonts w:ascii="宋体" w:hAnsi="宋体"/>
          <w:b/>
          <w:sz w:val="24"/>
        </w:rPr>
      </w:pPr>
      <w:r>
        <w:rPr>
          <w:rFonts w:hint="eastAsia" w:ascii="宋体" w:hAnsi="宋体"/>
          <w:b/>
          <w:sz w:val="24"/>
        </w:rPr>
        <w:t>投标人法定代表人电子签名：</w:t>
      </w:r>
    </w:p>
    <w:p>
      <w:pPr>
        <w:pStyle w:val="70"/>
        <w:widowControl/>
        <w:spacing w:line="360" w:lineRule="auto"/>
        <w:ind w:left="0" w:leftChars="0" w:firstLine="482" w:firstLineChars="200"/>
        <w:rPr>
          <w:rFonts w:ascii="宋体" w:hAnsi="宋体"/>
          <w:b/>
          <w:sz w:val="24"/>
        </w:rPr>
      </w:pPr>
      <w:r>
        <w:rPr>
          <w:rFonts w:hint="eastAsia" w:ascii="宋体" w:hAnsi="宋体"/>
          <w:b/>
          <w:sz w:val="24"/>
        </w:rPr>
        <w:t>投标人公章：</w:t>
      </w:r>
    </w:p>
    <w:p>
      <w:pPr>
        <w:pStyle w:val="70"/>
        <w:widowControl/>
        <w:spacing w:line="360" w:lineRule="auto"/>
        <w:ind w:left="0" w:leftChars="0"/>
        <w:rPr>
          <w:rFonts w:ascii="宋体" w:hAnsi="宋体"/>
          <w:sz w:val="24"/>
        </w:rPr>
      </w:pPr>
      <w:r>
        <w:rPr>
          <w:rFonts w:hint="eastAsia" w:ascii="宋体" w:hAnsi="宋体"/>
          <w:sz w:val="24"/>
        </w:rPr>
        <w:tab/>
      </w:r>
      <w:r>
        <w:rPr>
          <w:rFonts w:hint="eastAsia" w:ascii="宋体" w:hAnsi="宋体"/>
          <w:sz w:val="24"/>
        </w:rPr>
        <w:t xml:space="preserve"> 日　期：</w:t>
      </w:r>
    </w:p>
    <w:p>
      <w:pPr>
        <w:pStyle w:val="70"/>
        <w:widowControl/>
        <w:spacing w:line="360" w:lineRule="auto"/>
        <w:ind w:left="0" w:leftChars="0"/>
        <w:rPr>
          <w:rFonts w:ascii="宋体" w:hAnsi="宋体"/>
          <w:sz w:val="24"/>
        </w:rPr>
      </w:pPr>
    </w:p>
    <w:p>
      <w:pPr>
        <w:pStyle w:val="70"/>
        <w:widowControl/>
        <w:spacing w:line="360" w:lineRule="auto"/>
        <w:ind w:left="0" w:leftChars="0"/>
        <w:rPr>
          <w:rFonts w:ascii="宋体" w:hAnsi="宋体"/>
          <w:b/>
          <w:sz w:val="24"/>
        </w:rPr>
      </w:pPr>
      <w:r>
        <w:rPr>
          <w:rFonts w:hint="eastAsia" w:ascii="宋体" w:hAnsi="宋体"/>
          <w:b/>
          <w:sz w:val="24"/>
        </w:rPr>
        <w:t>说明：除可填报项目外，对本投标函的任何修改将被视为非实质性响应投标，从而导致该投标被拒绝。</w:t>
      </w:r>
    </w:p>
    <w:p>
      <w:pPr>
        <w:pStyle w:val="72"/>
        <w:spacing w:after="0" w:line="360" w:lineRule="auto"/>
        <w:rPr>
          <w:rFonts w:ascii="宋体" w:hAnsi="宋体"/>
          <w:b/>
          <w:szCs w:val="21"/>
        </w:rPr>
      </w:pPr>
    </w:p>
    <w:p>
      <w:pPr>
        <w:pStyle w:val="73"/>
        <w:outlineLvl w:val="2"/>
      </w:pPr>
      <w:r>
        <w:br w:type="page"/>
      </w:r>
      <w:bookmarkStart w:id="112" w:name="_Toc256000049"/>
      <w:r>
        <w:t>（二）☆开标一览表</w:t>
      </w:r>
      <w:bookmarkEnd w:id="112"/>
    </w:p>
    <w:p>
      <w:pPr>
        <w:pStyle w:val="74"/>
        <w:spacing w:line="360" w:lineRule="auto"/>
        <w:ind w:firstLine="482" w:firstLineChars="200"/>
        <w:jc w:val="center"/>
        <w:rPr>
          <w:rFonts w:ascii="宋体" w:hAnsi="宋体" w:eastAsia="宋体"/>
          <w:b/>
          <w:sz w:val="24"/>
        </w:rPr>
      </w:pPr>
      <w:r>
        <w:rPr>
          <w:rFonts w:hint="eastAsia" w:ascii="宋体" w:hAnsi="宋体" w:eastAsia="宋体"/>
          <w:b/>
          <w:sz w:val="24"/>
        </w:rPr>
        <w:t>开标一览表</w:t>
      </w:r>
    </w:p>
    <w:p>
      <w:pPr>
        <w:pStyle w:val="76"/>
        <w:ind w:firstLine="0"/>
        <w:rPr>
          <w:i w:val="0"/>
          <w:sz w:val="24"/>
          <w:szCs w:val="24"/>
        </w:rPr>
      </w:pPr>
      <w:r>
        <w:rPr>
          <w:rFonts w:hint="eastAsia"/>
          <w:i w:val="0"/>
          <w:sz w:val="24"/>
          <w:szCs w:val="24"/>
        </w:rPr>
        <w:t>项目编号：</w:t>
      </w:r>
      <w:r>
        <w:rPr>
          <w:rFonts w:hint="eastAsia"/>
          <w:i w:val="0"/>
          <w:sz w:val="24"/>
          <w:szCs w:val="24"/>
          <w:u w:val="single"/>
        </w:rPr>
        <w:t xml:space="preserve">                            </w:t>
      </w:r>
    </w:p>
    <w:p>
      <w:pPr>
        <w:pStyle w:val="76"/>
        <w:ind w:firstLine="0"/>
      </w:pPr>
      <w:r>
        <w:rPr>
          <w:rFonts w:hint="eastAsia"/>
          <w:i w:val="0"/>
          <w:sz w:val="24"/>
          <w:szCs w:val="24"/>
        </w:rPr>
        <w:t>项目名称：</w:t>
      </w:r>
      <w:r>
        <w:rPr>
          <w:rFonts w:hint="eastAsia"/>
          <w:i w:val="0"/>
          <w:sz w:val="24"/>
          <w:szCs w:val="24"/>
          <w:u w:val="single"/>
        </w:rPr>
        <w:t xml:space="preserve">                            </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auto"/>
          </w:tcPr>
          <w:p>
            <w:pPr>
              <w:pStyle w:val="75"/>
              <w:spacing w:line="360" w:lineRule="auto"/>
              <w:rPr>
                <w:rFonts w:ascii="宋体" w:hAnsi="宋体"/>
                <w:sz w:val="24"/>
              </w:rPr>
            </w:pPr>
            <w:r>
              <w:rPr>
                <w:rFonts w:hint="eastAsia" w:ascii="宋体" w:hAnsi="宋体"/>
                <w:sz w:val="24"/>
              </w:rPr>
              <w:t>标题</w:t>
            </w:r>
          </w:p>
        </w:tc>
        <w:tc>
          <w:tcPr>
            <w:tcW w:w="4261" w:type="dxa"/>
            <w:shd w:val="clear" w:color="auto" w:fill="auto"/>
          </w:tcPr>
          <w:p>
            <w:pPr>
              <w:pStyle w:val="75"/>
              <w:spacing w:line="360" w:lineRule="auto"/>
              <w:rPr>
                <w:rFonts w:ascii="宋体" w:hAnsi="宋体"/>
                <w:sz w:val="24"/>
              </w:rPr>
            </w:pPr>
            <w:r>
              <w:rPr>
                <w:rFonts w:hint="eastAsia" w:ascii="宋体" w:hAnsi="宋体"/>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auto"/>
          </w:tcPr>
          <w:p>
            <w:pPr>
              <w:pStyle w:val="75"/>
              <w:spacing w:line="360" w:lineRule="auto"/>
              <w:rPr>
                <w:rFonts w:ascii="宋体" w:hAnsi="宋体"/>
                <w:sz w:val="24"/>
              </w:rPr>
            </w:pPr>
            <w:r>
              <w:rPr>
                <w:rFonts w:hint="eastAsia" w:ascii="宋体" w:hAnsi="宋体"/>
                <w:sz w:val="24"/>
              </w:rPr>
              <w:t>备注</w:t>
            </w:r>
          </w:p>
        </w:tc>
        <w:tc>
          <w:tcPr>
            <w:tcW w:w="4261" w:type="dxa"/>
            <w:shd w:val="clear" w:color="auto" w:fill="auto"/>
          </w:tcPr>
          <w:p>
            <w:pPr>
              <w:pStyle w:val="75"/>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auto"/>
          </w:tcPr>
          <w:p>
            <w:pPr>
              <w:pStyle w:val="75"/>
              <w:spacing w:line="360" w:lineRule="auto"/>
              <w:rPr>
                <w:rFonts w:ascii="宋体" w:hAnsi="宋体"/>
                <w:sz w:val="24"/>
              </w:rPr>
            </w:pPr>
            <w:r>
              <w:rPr>
                <w:rFonts w:hint="eastAsia" w:ascii="宋体" w:hAnsi="宋体"/>
                <w:sz w:val="24"/>
              </w:rPr>
              <w:t>投标总价</w:t>
            </w:r>
          </w:p>
        </w:tc>
        <w:tc>
          <w:tcPr>
            <w:tcW w:w="4261" w:type="dxa"/>
            <w:shd w:val="clear" w:color="auto" w:fill="auto"/>
          </w:tcPr>
          <w:p>
            <w:pPr>
              <w:pStyle w:val="75"/>
              <w:spacing w:line="360" w:lineRule="auto"/>
              <w:rPr>
                <w:rFonts w:ascii="宋体" w:hAnsi="宋体"/>
                <w:sz w:val="24"/>
              </w:rPr>
            </w:pPr>
            <w:r>
              <w:rPr>
                <w:rFonts w:hint="eastAsia" w:ascii="宋体" w:hAnsi="宋体"/>
                <w:sz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auto"/>
          </w:tcPr>
          <w:p>
            <w:pPr>
              <w:pStyle w:val="75"/>
              <w:spacing w:line="360" w:lineRule="auto"/>
              <w:rPr>
                <w:rFonts w:ascii="宋体" w:hAnsi="宋体"/>
                <w:sz w:val="24"/>
              </w:rPr>
            </w:pPr>
            <w:r>
              <w:rPr>
                <w:rFonts w:hint="eastAsia" w:ascii="宋体" w:hAnsi="宋体"/>
                <w:sz w:val="24"/>
              </w:rPr>
              <w:t>项目经理</w:t>
            </w:r>
          </w:p>
        </w:tc>
        <w:tc>
          <w:tcPr>
            <w:tcW w:w="4261" w:type="dxa"/>
            <w:shd w:val="clear" w:color="auto" w:fill="auto"/>
          </w:tcPr>
          <w:p>
            <w:pPr>
              <w:pStyle w:val="75"/>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auto"/>
          </w:tcPr>
          <w:p>
            <w:pPr>
              <w:pStyle w:val="75"/>
              <w:spacing w:line="360" w:lineRule="auto"/>
              <w:rPr>
                <w:rFonts w:ascii="宋体" w:hAnsi="宋体"/>
                <w:sz w:val="24"/>
              </w:rPr>
            </w:pPr>
            <w:r>
              <w:rPr>
                <w:rFonts w:hint="eastAsia" w:ascii="宋体" w:hAnsi="宋体"/>
                <w:sz w:val="24"/>
              </w:rPr>
              <w:t>服务期限</w:t>
            </w:r>
          </w:p>
        </w:tc>
        <w:tc>
          <w:tcPr>
            <w:tcW w:w="4261" w:type="dxa"/>
            <w:shd w:val="clear" w:color="auto" w:fill="auto"/>
          </w:tcPr>
          <w:p>
            <w:pPr>
              <w:pStyle w:val="75"/>
              <w:spacing w:line="360" w:lineRule="auto"/>
              <w:rPr>
                <w:rFonts w:ascii="宋体" w:hAnsi="宋体"/>
                <w:sz w:val="24"/>
              </w:rPr>
            </w:pPr>
            <w:r>
              <w:rPr>
                <w:rFonts w:hint="eastAsia" w:ascii="宋体" w:hAnsi="宋体"/>
                <w:sz w:val="24"/>
              </w:rPr>
              <w:t xml:space="preserve">                    年</w:t>
            </w:r>
          </w:p>
        </w:tc>
      </w:tr>
    </w:tbl>
    <w:p>
      <w:pPr>
        <w:pStyle w:val="75"/>
        <w:spacing w:line="360" w:lineRule="auto"/>
        <w:rPr>
          <w:rFonts w:ascii="宋体" w:hAnsi="宋体"/>
          <w:sz w:val="24"/>
        </w:rPr>
      </w:pPr>
    </w:p>
    <w:p>
      <w:pPr>
        <w:pStyle w:val="75"/>
        <w:spacing w:line="360" w:lineRule="auto"/>
        <w:rPr>
          <w:rFonts w:ascii="宋体" w:hAnsi="宋体"/>
          <w:sz w:val="24"/>
        </w:rPr>
      </w:pPr>
      <w:r>
        <w:rPr>
          <w:rFonts w:hint="eastAsia" w:ascii="宋体" w:hAnsi="宋体"/>
          <w:sz w:val="24"/>
        </w:rPr>
        <w:t>说明：1、投标人严格按照规定的格式填写。投标总价为优惠后报价，并作为评审及定标的依据。</w:t>
      </w:r>
    </w:p>
    <w:p>
      <w:pPr>
        <w:pStyle w:val="75"/>
        <w:numPr>
          <w:ilvl w:val="0"/>
          <w:numId w:val="11"/>
        </w:numPr>
        <w:spacing w:line="360" w:lineRule="auto"/>
        <w:rPr>
          <w:rFonts w:ascii="宋体" w:hAnsi="宋体"/>
          <w:sz w:val="24"/>
        </w:rPr>
      </w:pPr>
      <w:r>
        <w:rPr>
          <w:rFonts w:hint="eastAsia" w:ascii="宋体" w:hAnsi="宋体"/>
          <w:sz w:val="24"/>
        </w:rPr>
        <w:t>任何有选择或有条件的投标总价或表中某一包填写多个报价，均将导致投标被拒绝。</w:t>
      </w:r>
    </w:p>
    <w:p>
      <w:pPr>
        <w:pStyle w:val="77"/>
        <w:outlineLvl w:val="2"/>
      </w:pPr>
      <w:r>
        <w:br w:type="page"/>
      </w:r>
      <w:bookmarkStart w:id="113" w:name="_Toc256000050"/>
      <w:r>
        <w:t>（三）☆投标报价明细表</w:t>
      </w:r>
      <w:bookmarkEnd w:id="113"/>
    </w:p>
    <w:p>
      <w:pPr>
        <w:pStyle w:val="78"/>
        <w:spacing w:line="360" w:lineRule="auto"/>
        <w:ind w:left="0" w:leftChars="0"/>
        <w:rPr>
          <w:rFonts w:ascii="宋体" w:hAnsi="宋体"/>
        </w:rPr>
      </w:pPr>
      <w:r>
        <w:rPr>
          <w:rFonts w:hint="eastAsia" w:ascii="宋体" w:hAnsi="宋体"/>
        </w:rPr>
        <w:t>项目编号、包号：</w:t>
      </w:r>
      <w:r>
        <w:rPr>
          <w:rFonts w:hint="eastAsia" w:ascii="宋体" w:hAnsi="宋体"/>
          <w:u w:val="single"/>
        </w:rPr>
        <w:t xml:space="preserve">                     </w:t>
      </w:r>
      <w:r>
        <w:rPr>
          <w:rFonts w:hint="eastAsia" w:ascii="宋体" w:hAnsi="宋体"/>
        </w:rPr>
        <w:t xml:space="preserve">                    价格单位：元</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586"/>
        <w:gridCol w:w="1700"/>
        <w:gridCol w:w="1559"/>
        <w:gridCol w:w="2161"/>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88" w:type="dxa"/>
            <w:vAlign w:val="center"/>
          </w:tcPr>
          <w:p>
            <w:pPr>
              <w:pStyle w:val="79"/>
              <w:spacing w:line="360" w:lineRule="auto"/>
              <w:jc w:val="center"/>
              <w:rPr>
                <w:rFonts w:ascii="宋体" w:hAnsi="宋体"/>
                <w:sz w:val="24"/>
              </w:rPr>
            </w:pPr>
            <w:r>
              <w:rPr>
                <w:rFonts w:hint="eastAsia" w:ascii="宋体" w:hAnsi="宋体"/>
                <w:sz w:val="24"/>
              </w:rPr>
              <w:t>序号</w:t>
            </w:r>
          </w:p>
        </w:tc>
        <w:tc>
          <w:tcPr>
            <w:tcW w:w="1586" w:type="dxa"/>
            <w:vAlign w:val="center"/>
          </w:tcPr>
          <w:p>
            <w:pPr>
              <w:pStyle w:val="79"/>
              <w:spacing w:line="360" w:lineRule="auto"/>
              <w:jc w:val="center"/>
              <w:rPr>
                <w:rFonts w:ascii="宋体" w:hAnsi="宋体"/>
                <w:sz w:val="24"/>
              </w:rPr>
            </w:pPr>
            <w:r>
              <w:rPr>
                <w:rFonts w:hint="eastAsia" w:ascii="宋体" w:hAnsi="宋体"/>
                <w:sz w:val="24"/>
              </w:rPr>
              <w:t>报价项目</w:t>
            </w:r>
          </w:p>
        </w:tc>
        <w:tc>
          <w:tcPr>
            <w:tcW w:w="1700" w:type="dxa"/>
            <w:vAlign w:val="center"/>
          </w:tcPr>
          <w:p>
            <w:pPr>
              <w:pStyle w:val="79"/>
              <w:spacing w:line="360" w:lineRule="auto"/>
              <w:jc w:val="center"/>
              <w:rPr>
                <w:rFonts w:ascii="宋体" w:hAnsi="宋体"/>
                <w:sz w:val="24"/>
              </w:rPr>
            </w:pPr>
            <w:r>
              <w:rPr>
                <w:rFonts w:hint="eastAsia" w:ascii="宋体" w:hAnsi="宋体"/>
                <w:sz w:val="24"/>
              </w:rPr>
              <w:t>内容</w:t>
            </w:r>
          </w:p>
        </w:tc>
        <w:tc>
          <w:tcPr>
            <w:tcW w:w="1559" w:type="dxa"/>
            <w:vAlign w:val="center"/>
          </w:tcPr>
          <w:p>
            <w:pPr>
              <w:pStyle w:val="79"/>
              <w:spacing w:line="360" w:lineRule="auto"/>
              <w:jc w:val="center"/>
              <w:rPr>
                <w:rFonts w:ascii="宋体" w:hAnsi="宋体"/>
                <w:sz w:val="24"/>
              </w:rPr>
            </w:pPr>
            <w:r>
              <w:rPr>
                <w:rFonts w:hint="eastAsia" w:ascii="宋体" w:hAnsi="宋体"/>
                <w:sz w:val="24"/>
              </w:rPr>
              <w:t>总价</w:t>
            </w:r>
          </w:p>
        </w:tc>
        <w:tc>
          <w:tcPr>
            <w:tcW w:w="2161" w:type="dxa"/>
            <w:vAlign w:val="center"/>
          </w:tcPr>
          <w:p>
            <w:pPr>
              <w:pStyle w:val="79"/>
              <w:spacing w:line="360" w:lineRule="auto"/>
              <w:jc w:val="center"/>
              <w:rPr>
                <w:rFonts w:ascii="宋体" w:hAnsi="宋体"/>
                <w:sz w:val="24"/>
              </w:rPr>
            </w:pPr>
            <w:r>
              <w:rPr>
                <w:rFonts w:hint="eastAsia" w:ascii="宋体" w:hAnsi="宋体"/>
                <w:sz w:val="24"/>
              </w:rPr>
              <w:t>取费标准</w:t>
            </w:r>
          </w:p>
          <w:p>
            <w:pPr>
              <w:pStyle w:val="79"/>
              <w:spacing w:line="360" w:lineRule="auto"/>
              <w:jc w:val="center"/>
              <w:rPr>
                <w:rFonts w:ascii="宋体" w:hAnsi="宋体"/>
                <w:sz w:val="24"/>
              </w:rPr>
            </w:pPr>
            <w:r>
              <w:rPr>
                <w:rFonts w:hint="eastAsia" w:ascii="宋体" w:hAnsi="宋体"/>
                <w:sz w:val="24"/>
              </w:rPr>
              <w:t>说明</w:t>
            </w:r>
          </w:p>
        </w:tc>
        <w:tc>
          <w:tcPr>
            <w:tcW w:w="728" w:type="dxa"/>
            <w:vAlign w:val="center"/>
          </w:tcPr>
          <w:p>
            <w:pPr>
              <w:pStyle w:val="79"/>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79"/>
              <w:spacing w:line="360" w:lineRule="auto"/>
              <w:rPr>
                <w:rFonts w:ascii="宋体" w:hAnsi="宋体"/>
                <w:b/>
                <w:sz w:val="24"/>
              </w:rPr>
            </w:pPr>
          </w:p>
        </w:tc>
        <w:tc>
          <w:tcPr>
            <w:tcW w:w="1586" w:type="dxa"/>
          </w:tcPr>
          <w:p>
            <w:pPr>
              <w:pStyle w:val="79"/>
              <w:spacing w:line="360" w:lineRule="auto"/>
              <w:rPr>
                <w:rFonts w:ascii="宋体" w:hAnsi="宋体"/>
                <w:b/>
                <w:sz w:val="24"/>
              </w:rPr>
            </w:pPr>
          </w:p>
        </w:tc>
        <w:tc>
          <w:tcPr>
            <w:tcW w:w="1700" w:type="dxa"/>
          </w:tcPr>
          <w:p>
            <w:pPr>
              <w:pStyle w:val="79"/>
              <w:spacing w:line="360" w:lineRule="auto"/>
              <w:rPr>
                <w:rFonts w:ascii="宋体" w:hAnsi="宋体"/>
                <w:b/>
                <w:sz w:val="24"/>
              </w:rPr>
            </w:pPr>
          </w:p>
        </w:tc>
        <w:tc>
          <w:tcPr>
            <w:tcW w:w="1559" w:type="dxa"/>
          </w:tcPr>
          <w:p>
            <w:pPr>
              <w:pStyle w:val="79"/>
              <w:spacing w:line="360" w:lineRule="auto"/>
              <w:rPr>
                <w:rFonts w:ascii="宋体" w:hAnsi="宋体"/>
                <w:b/>
                <w:sz w:val="24"/>
              </w:rPr>
            </w:pPr>
          </w:p>
        </w:tc>
        <w:tc>
          <w:tcPr>
            <w:tcW w:w="2161" w:type="dxa"/>
          </w:tcPr>
          <w:p>
            <w:pPr>
              <w:pStyle w:val="79"/>
              <w:spacing w:line="360" w:lineRule="auto"/>
              <w:rPr>
                <w:rFonts w:ascii="宋体" w:hAnsi="宋体"/>
                <w:b/>
                <w:sz w:val="24"/>
              </w:rPr>
            </w:pPr>
          </w:p>
        </w:tc>
        <w:tc>
          <w:tcPr>
            <w:tcW w:w="728" w:type="dxa"/>
          </w:tcPr>
          <w:p>
            <w:pPr>
              <w:pStyle w:val="79"/>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79"/>
              <w:spacing w:line="360" w:lineRule="auto"/>
              <w:rPr>
                <w:rFonts w:ascii="宋体" w:hAnsi="宋体"/>
                <w:b/>
                <w:sz w:val="24"/>
              </w:rPr>
            </w:pPr>
          </w:p>
        </w:tc>
        <w:tc>
          <w:tcPr>
            <w:tcW w:w="1586" w:type="dxa"/>
          </w:tcPr>
          <w:p>
            <w:pPr>
              <w:pStyle w:val="79"/>
              <w:spacing w:line="360" w:lineRule="auto"/>
              <w:rPr>
                <w:rFonts w:ascii="宋体" w:hAnsi="宋体"/>
                <w:b/>
                <w:sz w:val="24"/>
              </w:rPr>
            </w:pPr>
          </w:p>
        </w:tc>
        <w:tc>
          <w:tcPr>
            <w:tcW w:w="1700" w:type="dxa"/>
          </w:tcPr>
          <w:p>
            <w:pPr>
              <w:pStyle w:val="79"/>
              <w:spacing w:line="360" w:lineRule="auto"/>
              <w:rPr>
                <w:rFonts w:ascii="宋体" w:hAnsi="宋体"/>
                <w:b/>
                <w:sz w:val="24"/>
              </w:rPr>
            </w:pPr>
          </w:p>
        </w:tc>
        <w:tc>
          <w:tcPr>
            <w:tcW w:w="1559" w:type="dxa"/>
          </w:tcPr>
          <w:p>
            <w:pPr>
              <w:pStyle w:val="79"/>
              <w:spacing w:line="360" w:lineRule="auto"/>
              <w:rPr>
                <w:rFonts w:ascii="宋体" w:hAnsi="宋体"/>
                <w:b/>
                <w:sz w:val="24"/>
              </w:rPr>
            </w:pPr>
          </w:p>
        </w:tc>
        <w:tc>
          <w:tcPr>
            <w:tcW w:w="2161" w:type="dxa"/>
          </w:tcPr>
          <w:p>
            <w:pPr>
              <w:pStyle w:val="79"/>
              <w:spacing w:line="360" w:lineRule="auto"/>
              <w:rPr>
                <w:rFonts w:ascii="宋体" w:hAnsi="宋体"/>
                <w:b/>
                <w:sz w:val="24"/>
              </w:rPr>
            </w:pPr>
          </w:p>
        </w:tc>
        <w:tc>
          <w:tcPr>
            <w:tcW w:w="728" w:type="dxa"/>
          </w:tcPr>
          <w:p>
            <w:pPr>
              <w:pStyle w:val="79"/>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79"/>
              <w:spacing w:line="360" w:lineRule="auto"/>
              <w:rPr>
                <w:rFonts w:ascii="宋体" w:hAnsi="宋体"/>
                <w:b/>
                <w:sz w:val="24"/>
              </w:rPr>
            </w:pPr>
          </w:p>
        </w:tc>
        <w:tc>
          <w:tcPr>
            <w:tcW w:w="1586" w:type="dxa"/>
          </w:tcPr>
          <w:p>
            <w:pPr>
              <w:pStyle w:val="79"/>
              <w:spacing w:line="360" w:lineRule="auto"/>
              <w:rPr>
                <w:rFonts w:ascii="宋体" w:hAnsi="宋体"/>
                <w:b/>
                <w:sz w:val="24"/>
              </w:rPr>
            </w:pPr>
          </w:p>
        </w:tc>
        <w:tc>
          <w:tcPr>
            <w:tcW w:w="1700" w:type="dxa"/>
          </w:tcPr>
          <w:p>
            <w:pPr>
              <w:pStyle w:val="79"/>
              <w:spacing w:line="360" w:lineRule="auto"/>
              <w:rPr>
                <w:rFonts w:ascii="宋体" w:hAnsi="宋体"/>
                <w:b/>
                <w:sz w:val="24"/>
              </w:rPr>
            </w:pPr>
          </w:p>
        </w:tc>
        <w:tc>
          <w:tcPr>
            <w:tcW w:w="1559" w:type="dxa"/>
          </w:tcPr>
          <w:p>
            <w:pPr>
              <w:pStyle w:val="79"/>
              <w:spacing w:line="360" w:lineRule="auto"/>
              <w:rPr>
                <w:rFonts w:ascii="宋体" w:hAnsi="宋体"/>
                <w:b/>
                <w:sz w:val="24"/>
              </w:rPr>
            </w:pPr>
          </w:p>
        </w:tc>
        <w:tc>
          <w:tcPr>
            <w:tcW w:w="2161" w:type="dxa"/>
          </w:tcPr>
          <w:p>
            <w:pPr>
              <w:pStyle w:val="79"/>
              <w:spacing w:line="360" w:lineRule="auto"/>
              <w:rPr>
                <w:rFonts w:ascii="宋体" w:hAnsi="宋体"/>
                <w:b/>
                <w:sz w:val="24"/>
              </w:rPr>
            </w:pPr>
          </w:p>
        </w:tc>
        <w:tc>
          <w:tcPr>
            <w:tcW w:w="728" w:type="dxa"/>
          </w:tcPr>
          <w:p>
            <w:pPr>
              <w:pStyle w:val="79"/>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79"/>
              <w:spacing w:line="360" w:lineRule="auto"/>
              <w:rPr>
                <w:rFonts w:ascii="宋体" w:hAnsi="宋体"/>
                <w:b/>
                <w:sz w:val="24"/>
              </w:rPr>
            </w:pPr>
          </w:p>
        </w:tc>
        <w:tc>
          <w:tcPr>
            <w:tcW w:w="1586" w:type="dxa"/>
          </w:tcPr>
          <w:p>
            <w:pPr>
              <w:pStyle w:val="79"/>
              <w:spacing w:line="360" w:lineRule="auto"/>
              <w:rPr>
                <w:rFonts w:ascii="宋体" w:hAnsi="宋体"/>
                <w:b/>
                <w:sz w:val="24"/>
              </w:rPr>
            </w:pPr>
          </w:p>
        </w:tc>
        <w:tc>
          <w:tcPr>
            <w:tcW w:w="1700" w:type="dxa"/>
          </w:tcPr>
          <w:p>
            <w:pPr>
              <w:pStyle w:val="79"/>
              <w:spacing w:line="360" w:lineRule="auto"/>
              <w:rPr>
                <w:rFonts w:ascii="宋体" w:hAnsi="宋体"/>
                <w:b/>
                <w:sz w:val="24"/>
              </w:rPr>
            </w:pPr>
          </w:p>
        </w:tc>
        <w:tc>
          <w:tcPr>
            <w:tcW w:w="1559" w:type="dxa"/>
          </w:tcPr>
          <w:p>
            <w:pPr>
              <w:pStyle w:val="79"/>
              <w:spacing w:line="360" w:lineRule="auto"/>
              <w:rPr>
                <w:rFonts w:ascii="宋体" w:hAnsi="宋体"/>
                <w:b/>
                <w:sz w:val="24"/>
              </w:rPr>
            </w:pPr>
          </w:p>
        </w:tc>
        <w:tc>
          <w:tcPr>
            <w:tcW w:w="2161" w:type="dxa"/>
          </w:tcPr>
          <w:p>
            <w:pPr>
              <w:pStyle w:val="79"/>
              <w:spacing w:line="360" w:lineRule="auto"/>
              <w:rPr>
                <w:rFonts w:ascii="宋体" w:hAnsi="宋体"/>
                <w:b/>
                <w:sz w:val="24"/>
              </w:rPr>
            </w:pPr>
          </w:p>
        </w:tc>
        <w:tc>
          <w:tcPr>
            <w:tcW w:w="728" w:type="dxa"/>
          </w:tcPr>
          <w:p>
            <w:pPr>
              <w:pStyle w:val="79"/>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79"/>
              <w:spacing w:line="360" w:lineRule="auto"/>
              <w:rPr>
                <w:rFonts w:ascii="宋体" w:hAnsi="宋体"/>
                <w:b/>
                <w:sz w:val="24"/>
              </w:rPr>
            </w:pPr>
          </w:p>
        </w:tc>
        <w:tc>
          <w:tcPr>
            <w:tcW w:w="1586" w:type="dxa"/>
          </w:tcPr>
          <w:p>
            <w:pPr>
              <w:pStyle w:val="79"/>
              <w:spacing w:line="360" w:lineRule="auto"/>
              <w:rPr>
                <w:rFonts w:ascii="宋体" w:hAnsi="宋体"/>
                <w:b/>
                <w:sz w:val="24"/>
              </w:rPr>
            </w:pPr>
          </w:p>
        </w:tc>
        <w:tc>
          <w:tcPr>
            <w:tcW w:w="1700" w:type="dxa"/>
          </w:tcPr>
          <w:p>
            <w:pPr>
              <w:pStyle w:val="79"/>
              <w:spacing w:line="360" w:lineRule="auto"/>
              <w:rPr>
                <w:rFonts w:ascii="宋体" w:hAnsi="宋体"/>
                <w:b/>
                <w:sz w:val="24"/>
              </w:rPr>
            </w:pPr>
          </w:p>
        </w:tc>
        <w:tc>
          <w:tcPr>
            <w:tcW w:w="1559" w:type="dxa"/>
          </w:tcPr>
          <w:p>
            <w:pPr>
              <w:pStyle w:val="79"/>
              <w:spacing w:line="360" w:lineRule="auto"/>
              <w:rPr>
                <w:rFonts w:ascii="宋体" w:hAnsi="宋体"/>
                <w:b/>
                <w:sz w:val="24"/>
              </w:rPr>
            </w:pPr>
          </w:p>
        </w:tc>
        <w:tc>
          <w:tcPr>
            <w:tcW w:w="2161" w:type="dxa"/>
          </w:tcPr>
          <w:p>
            <w:pPr>
              <w:pStyle w:val="79"/>
              <w:spacing w:line="360" w:lineRule="auto"/>
              <w:rPr>
                <w:rFonts w:ascii="宋体" w:hAnsi="宋体"/>
                <w:b/>
                <w:sz w:val="24"/>
              </w:rPr>
            </w:pPr>
          </w:p>
        </w:tc>
        <w:tc>
          <w:tcPr>
            <w:tcW w:w="728" w:type="dxa"/>
          </w:tcPr>
          <w:p>
            <w:pPr>
              <w:pStyle w:val="79"/>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79"/>
              <w:spacing w:line="360" w:lineRule="auto"/>
              <w:rPr>
                <w:rFonts w:ascii="宋体" w:hAnsi="宋体"/>
                <w:b/>
                <w:sz w:val="24"/>
              </w:rPr>
            </w:pPr>
          </w:p>
        </w:tc>
        <w:tc>
          <w:tcPr>
            <w:tcW w:w="1586" w:type="dxa"/>
          </w:tcPr>
          <w:p>
            <w:pPr>
              <w:pStyle w:val="79"/>
              <w:spacing w:line="360" w:lineRule="auto"/>
              <w:rPr>
                <w:rFonts w:ascii="宋体" w:hAnsi="宋体"/>
                <w:b/>
                <w:sz w:val="24"/>
              </w:rPr>
            </w:pPr>
          </w:p>
        </w:tc>
        <w:tc>
          <w:tcPr>
            <w:tcW w:w="1700" w:type="dxa"/>
          </w:tcPr>
          <w:p>
            <w:pPr>
              <w:pStyle w:val="79"/>
              <w:spacing w:line="360" w:lineRule="auto"/>
              <w:rPr>
                <w:rFonts w:ascii="宋体" w:hAnsi="宋体"/>
                <w:b/>
                <w:sz w:val="24"/>
              </w:rPr>
            </w:pPr>
          </w:p>
        </w:tc>
        <w:tc>
          <w:tcPr>
            <w:tcW w:w="1559" w:type="dxa"/>
          </w:tcPr>
          <w:p>
            <w:pPr>
              <w:pStyle w:val="79"/>
              <w:spacing w:line="360" w:lineRule="auto"/>
              <w:rPr>
                <w:rFonts w:ascii="宋体" w:hAnsi="宋体"/>
                <w:b/>
                <w:sz w:val="24"/>
              </w:rPr>
            </w:pPr>
          </w:p>
        </w:tc>
        <w:tc>
          <w:tcPr>
            <w:tcW w:w="2161" w:type="dxa"/>
          </w:tcPr>
          <w:p>
            <w:pPr>
              <w:pStyle w:val="79"/>
              <w:spacing w:line="360" w:lineRule="auto"/>
              <w:rPr>
                <w:rFonts w:ascii="宋体" w:hAnsi="宋体"/>
                <w:b/>
                <w:sz w:val="24"/>
              </w:rPr>
            </w:pPr>
          </w:p>
        </w:tc>
        <w:tc>
          <w:tcPr>
            <w:tcW w:w="728" w:type="dxa"/>
          </w:tcPr>
          <w:p>
            <w:pPr>
              <w:pStyle w:val="79"/>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79"/>
              <w:spacing w:line="360" w:lineRule="auto"/>
              <w:rPr>
                <w:rFonts w:ascii="宋体" w:hAnsi="宋体"/>
                <w:b/>
                <w:sz w:val="24"/>
              </w:rPr>
            </w:pPr>
          </w:p>
        </w:tc>
        <w:tc>
          <w:tcPr>
            <w:tcW w:w="1586" w:type="dxa"/>
          </w:tcPr>
          <w:p>
            <w:pPr>
              <w:pStyle w:val="79"/>
              <w:spacing w:line="360" w:lineRule="auto"/>
              <w:rPr>
                <w:rFonts w:ascii="宋体" w:hAnsi="宋体"/>
                <w:b/>
                <w:sz w:val="24"/>
              </w:rPr>
            </w:pPr>
          </w:p>
        </w:tc>
        <w:tc>
          <w:tcPr>
            <w:tcW w:w="1700" w:type="dxa"/>
          </w:tcPr>
          <w:p>
            <w:pPr>
              <w:pStyle w:val="79"/>
              <w:spacing w:line="360" w:lineRule="auto"/>
              <w:rPr>
                <w:rFonts w:ascii="宋体" w:hAnsi="宋体"/>
                <w:b/>
                <w:sz w:val="24"/>
              </w:rPr>
            </w:pPr>
          </w:p>
        </w:tc>
        <w:tc>
          <w:tcPr>
            <w:tcW w:w="1559" w:type="dxa"/>
          </w:tcPr>
          <w:p>
            <w:pPr>
              <w:pStyle w:val="79"/>
              <w:spacing w:line="360" w:lineRule="auto"/>
              <w:rPr>
                <w:rFonts w:ascii="宋体" w:hAnsi="宋体"/>
                <w:b/>
                <w:sz w:val="24"/>
              </w:rPr>
            </w:pPr>
          </w:p>
        </w:tc>
        <w:tc>
          <w:tcPr>
            <w:tcW w:w="2161" w:type="dxa"/>
          </w:tcPr>
          <w:p>
            <w:pPr>
              <w:pStyle w:val="79"/>
              <w:spacing w:line="360" w:lineRule="auto"/>
              <w:rPr>
                <w:rFonts w:ascii="宋体" w:hAnsi="宋体"/>
                <w:b/>
                <w:sz w:val="24"/>
              </w:rPr>
            </w:pPr>
          </w:p>
        </w:tc>
        <w:tc>
          <w:tcPr>
            <w:tcW w:w="728" w:type="dxa"/>
          </w:tcPr>
          <w:p>
            <w:pPr>
              <w:pStyle w:val="79"/>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Pr>
          <w:p>
            <w:pPr>
              <w:pStyle w:val="79"/>
              <w:spacing w:line="360" w:lineRule="auto"/>
              <w:rPr>
                <w:rFonts w:ascii="宋体" w:hAnsi="宋体"/>
                <w:b/>
                <w:sz w:val="24"/>
              </w:rPr>
            </w:pPr>
          </w:p>
        </w:tc>
        <w:tc>
          <w:tcPr>
            <w:tcW w:w="1586" w:type="dxa"/>
          </w:tcPr>
          <w:p>
            <w:pPr>
              <w:pStyle w:val="79"/>
              <w:spacing w:line="360" w:lineRule="auto"/>
              <w:rPr>
                <w:rFonts w:ascii="宋体" w:hAnsi="宋体"/>
                <w:b/>
                <w:sz w:val="24"/>
              </w:rPr>
            </w:pPr>
          </w:p>
        </w:tc>
        <w:tc>
          <w:tcPr>
            <w:tcW w:w="1700" w:type="dxa"/>
          </w:tcPr>
          <w:p>
            <w:pPr>
              <w:pStyle w:val="79"/>
              <w:spacing w:line="360" w:lineRule="auto"/>
              <w:rPr>
                <w:rFonts w:ascii="宋体" w:hAnsi="宋体"/>
                <w:b/>
                <w:sz w:val="24"/>
              </w:rPr>
            </w:pPr>
          </w:p>
        </w:tc>
        <w:tc>
          <w:tcPr>
            <w:tcW w:w="1559" w:type="dxa"/>
          </w:tcPr>
          <w:p>
            <w:pPr>
              <w:pStyle w:val="79"/>
              <w:spacing w:line="360" w:lineRule="auto"/>
              <w:rPr>
                <w:rFonts w:ascii="宋体" w:hAnsi="宋体"/>
                <w:b/>
                <w:sz w:val="24"/>
              </w:rPr>
            </w:pPr>
          </w:p>
        </w:tc>
        <w:tc>
          <w:tcPr>
            <w:tcW w:w="2161" w:type="dxa"/>
          </w:tcPr>
          <w:p>
            <w:pPr>
              <w:pStyle w:val="79"/>
              <w:spacing w:line="360" w:lineRule="auto"/>
              <w:rPr>
                <w:rFonts w:ascii="宋体" w:hAnsi="宋体"/>
                <w:b/>
                <w:sz w:val="24"/>
              </w:rPr>
            </w:pPr>
          </w:p>
        </w:tc>
        <w:tc>
          <w:tcPr>
            <w:tcW w:w="728" w:type="dxa"/>
          </w:tcPr>
          <w:p>
            <w:pPr>
              <w:pStyle w:val="79"/>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4" w:type="dxa"/>
            <w:gridSpan w:val="2"/>
            <w:vAlign w:val="center"/>
          </w:tcPr>
          <w:p>
            <w:pPr>
              <w:pStyle w:val="79"/>
              <w:spacing w:line="360" w:lineRule="auto"/>
              <w:rPr>
                <w:rFonts w:ascii="宋体" w:hAnsi="宋体"/>
                <w:sz w:val="24"/>
              </w:rPr>
            </w:pPr>
            <w:r>
              <w:rPr>
                <w:rFonts w:hint="eastAsia" w:ascii="宋体" w:hAnsi="宋体"/>
                <w:sz w:val="24"/>
              </w:rPr>
              <w:t>总计</w:t>
            </w:r>
          </w:p>
        </w:tc>
        <w:tc>
          <w:tcPr>
            <w:tcW w:w="6148" w:type="dxa"/>
            <w:gridSpan w:val="4"/>
          </w:tcPr>
          <w:p>
            <w:pPr>
              <w:pStyle w:val="79"/>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4" w:type="dxa"/>
            <w:gridSpan w:val="2"/>
            <w:vAlign w:val="center"/>
          </w:tcPr>
          <w:p>
            <w:pPr>
              <w:pStyle w:val="79"/>
              <w:spacing w:line="360" w:lineRule="auto"/>
              <w:jc w:val="center"/>
              <w:rPr>
                <w:rFonts w:ascii="宋体" w:hAnsi="宋体"/>
                <w:b/>
                <w:sz w:val="24"/>
              </w:rPr>
            </w:pPr>
            <w:r>
              <w:rPr>
                <w:rFonts w:hint="eastAsia" w:ascii="宋体" w:hAnsi="宋体"/>
                <w:sz w:val="24"/>
              </w:rPr>
              <w:t>投标总价</w:t>
            </w:r>
          </w:p>
        </w:tc>
        <w:tc>
          <w:tcPr>
            <w:tcW w:w="6148" w:type="dxa"/>
            <w:gridSpan w:val="4"/>
            <w:vAlign w:val="center"/>
          </w:tcPr>
          <w:p>
            <w:pPr>
              <w:pStyle w:val="79"/>
              <w:spacing w:line="360" w:lineRule="auto"/>
              <w:rPr>
                <w:rFonts w:ascii="宋体" w:hAnsi="宋体"/>
                <w:sz w:val="24"/>
              </w:rPr>
            </w:pPr>
          </w:p>
          <w:p>
            <w:pPr>
              <w:pStyle w:val="79"/>
              <w:spacing w:line="360" w:lineRule="auto"/>
              <w:rPr>
                <w:rFonts w:ascii="宋体" w:hAnsi="宋体"/>
                <w:sz w:val="24"/>
              </w:rPr>
            </w:pPr>
          </w:p>
          <w:p>
            <w:pPr>
              <w:pStyle w:val="79"/>
              <w:spacing w:line="360" w:lineRule="auto"/>
              <w:rPr>
                <w:rFonts w:ascii="宋体" w:hAnsi="宋体"/>
                <w:sz w:val="24"/>
              </w:rPr>
            </w:pPr>
            <w:r>
              <w:rPr>
                <w:rFonts w:hint="eastAsia" w:ascii="宋体" w:hAnsi="宋体"/>
                <w:sz w:val="24"/>
              </w:rPr>
              <w:t>（大写）</w:t>
            </w:r>
            <w:r>
              <w:rPr>
                <w:rFonts w:hint="eastAsia" w:ascii="宋体" w:hAnsi="宋体"/>
                <w:sz w:val="24"/>
                <w:u w:val="single"/>
              </w:rPr>
              <w:t xml:space="preserve">                    </w:t>
            </w:r>
            <w:r>
              <w:rPr>
                <w:rFonts w:hint="eastAsia" w:ascii="宋体" w:hAnsi="宋体"/>
                <w:sz w:val="24"/>
              </w:rPr>
              <w:t>元。</w:t>
            </w:r>
          </w:p>
          <w:p>
            <w:pPr>
              <w:pStyle w:val="79"/>
              <w:spacing w:line="360" w:lineRule="auto"/>
              <w:rPr>
                <w:rFonts w:ascii="宋体" w:hAnsi="宋体"/>
                <w:sz w:val="24"/>
              </w:rPr>
            </w:pPr>
            <w:r>
              <w:rPr>
                <w:rFonts w:hint="eastAsia" w:ascii="宋体" w:hAnsi="宋体"/>
                <w:sz w:val="24"/>
              </w:rPr>
              <w:t xml:space="preserve">                    </w:t>
            </w:r>
          </w:p>
          <w:p>
            <w:pPr>
              <w:pStyle w:val="79"/>
              <w:spacing w:line="360" w:lineRule="auto"/>
              <w:rPr>
                <w:rFonts w:ascii="宋体" w:hAnsi="宋体"/>
                <w:sz w:val="24"/>
              </w:rPr>
            </w:pPr>
            <w:r>
              <w:rPr>
                <w:rFonts w:hint="eastAsia" w:ascii="宋体" w:hAnsi="宋体"/>
                <w:sz w:val="24"/>
              </w:rPr>
              <w:t>（小写）</w:t>
            </w:r>
            <w:r>
              <w:rPr>
                <w:rFonts w:hint="eastAsia" w:ascii="宋体" w:hAnsi="宋体"/>
                <w:sz w:val="24"/>
                <w:u w:val="single"/>
              </w:rPr>
              <w:t xml:space="preserve">                    </w:t>
            </w:r>
            <w:r>
              <w:rPr>
                <w:rFonts w:hint="eastAsia" w:ascii="宋体" w:hAnsi="宋体"/>
                <w:sz w:val="24"/>
              </w:rPr>
              <w:t>元。</w:t>
            </w:r>
          </w:p>
          <w:p>
            <w:pPr>
              <w:pStyle w:val="79"/>
              <w:spacing w:line="360" w:lineRule="auto"/>
              <w:rPr>
                <w:rFonts w:ascii="宋体" w:hAnsi="宋体"/>
                <w:sz w:val="24"/>
              </w:rPr>
            </w:pPr>
          </w:p>
          <w:p>
            <w:pPr>
              <w:pStyle w:val="79"/>
              <w:spacing w:line="360" w:lineRule="auto"/>
              <w:rPr>
                <w:rFonts w:ascii="宋体" w:hAnsi="宋体"/>
                <w:sz w:val="24"/>
                <w:u w:val="single"/>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4" w:type="dxa"/>
            <w:gridSpan w:val="2"/>
            <w:vAlign w:val="center"/>
          </w:tcPr>
          <w:p>
            <w:pPr>
              <w:pStyle w:val="79"/>
              <w:spacing w:line="360" w:lineRule="auto"/>
              <w:jc w:val="center"/>
              <w:rPr>
                <w:rFonts w:ascii="宋体" w:hAnsi="宋体"/>
                <w:sz w:val="24"/>
              </w:rPr>
            </w:pPr>
            <w:r>
              <w:rPr>
                <w:rFonts w:hint="eastAsia" w:ascii="宋体" w:hAnsi="宋体"/>
                <w:sz w:val="24"/>
              </w:rPr>
              <w:t>备注</w:t>
            </w:r>
          </w:p>
        </w:tc>
        <w:tc>
          <w:tcPr>
            <w:tcW w:w="6148" w:type="dxa"/>
            <w:gridSpan w:val="4"/>
          </w:tcPr>
          <w:p>
            <w:pPr>
              <w:pStyle w:val="79"/>
              <w:spacing w:line="360" w:lineRule="auto"/>
              <w:rPr>
                <w:rFonts w:ascii="宋体" w:hAnsi="宋体"/>
                <w:b/>
                <w:sz w:val="24"/>
              </w:rPr>
            </w:pPr>
          </w:p>
        </w:tc>
      </w:tr>
    </w:tbl>
    <w:p>
      <w:pPr>
        <w:pStyle w:val="79"/>
        <w:spacing w:line="360" w:lineRule="auto"/>
        <w:rPr>
          <w:rFonts w:ascii="宋体" w:hAnsi="宋体"/>
          <w:sz w:val="24"/>
        </w:rPr>
      </w:pPr>
      <w:r>
        <w:rPr>
          <w:rFonts w:hint="eastAsia" w:ascii="宋体" w:hAnsi="宋体"/>
          <w:sz w:val="24"/>
        </w:rPr>
        <w:t>说明：1、</w:t>
      </w:r>
      <w:r>
        <w:rPr>
          <w:rFonts w:hint="eastAsia" w:ascii="宋体" w:hAnsi="宋体"/>
          <w:bCs/>
          <w:sz w:val="24"/>
        </w:rPr>
        <w:t>投标人必须填写</w:t>
      </w:r>
      <w:r>
        <w:rPr>
          <w:rFonts w:hint="eastAsia" w:ascii="宋体" w:hAnsi="宋体"/>
          <w:sz w:val="24"/>
        </w:rPr>
        <w:t>报价明细表</w:t>
      </w:r>
      <w:r>
        <w:rPr>
          <w:rFonts w:hint="eastAsia" w:ascii="宋体" w:hAnsi="宋体"/>
          <w:bCs/>
          <w:sz w:val="24"/>
        </w:rPr>
        <w:t>，否则将导致投标被拒绝。</w:t>
      </w:r>
    </w:p>
    <w:p>
      <w:pPr>
        <w:pStyle w:val="79"/>
        <w:spacing w:line="360" w:lineRule="auto"/>
        <w:ind w:left="720"/>
        <w:rPr>
          <w:rFonts w:ascii="宋体" w:hAnsi="宋体"/>
          <w:sz w:val="24"/>
        </w:rPr>
      </w:pPr>
      <w:r>
        <w:rPr>
          <w:rFonts w:hint="eastAsia" w:ascii="宋体" w:hAnsi="宋体"/>
          <w:sz w:val="24"/>
        </w:rPr>
        <w:t>2、报价分析表中的“投标总价”应等于“开标一览表”中的“投标总价”。</w:t>
      </w:r>
    </w:p>
    <w:p>
      <w:pPr>
        <w:pStyle w:val="79"/>
        <w:spacing w:line="360" w:lineRule="auto"/>
        <w:ind w:left="720"/>
        <w:rPr>
          <w:rFonts w:ascii="宋体" w:hAnsi="宋体"/>
          <w:sz w:val="24"/>
        </w:rPr>
      </w:pPr>
      <w:r>
        <w:rPr>
          <w:rFonts w:hint="eastAsia" w:ascii="宋体" w:hAnsi="宋体"/>
          <w:sz w:val="24"/>
        </w:rPr>
        <w:t>3、报价项目填报不下的，可自行扩展。</w:t>
      </w:r>
    </w:p>
    <w:p>
      <w:pPr>
        <w:pStyle w:val="79"/>
      </w:pPr>
      <w:r>
        <w:rPr>
          <w:rFonts w:hint="eastAsia" w:ascii="宋体" w:hAnsi="宋体"/>
          <w:sz w:val="24"/>
        </w:rPr>
        <w:t>年   月   日</w:t>
      </w:r>
    </w:p>
    <w:p>
      <w:pPr>
        <w:pStyle w:val="80"/>
        <w:outlineLvl w:val="2"/>
      </w:pPr>
      <w:r>
        <w:br w:type="page"/>
      </w:r>
      <w:bookmarkStart w:id="114" w:name="_Toc256000051"/>
      <w:r>
        <w:t>（四）☆服务承诺书</w:t>
      </w:r>
      <w:bookmarkEnd w:id="114"/>
    </w:p>
    <w:p>
      <w:pPr>
        <w:pStyle w:val="81"/>
        <w:spacing w:after="0" w:line="360" w:lineRule="auto"/>
        <w:ind w:firstLine="240" w:firstLineChars="100"/>
        <w:rPr>
          <w:rFonts w:ascii="宋体" w:hAnsi="宋体"/>
          <w:sz w:val="24"/>
        </w:rPr>
      </w:pPr>
      <w:r>
        <w:rPr>
          <w:rFonts w:hint="eastAsia" w:ascii="宋体" w:hAnsi="宋体"/>
          <w:sz w:val="24"/>
        </w:rPr>
        <w:t>说明：此处附服务承诺书；</w:t>
      </w:r>
    </w:p>
    <w:p>
      <w:pPr>
        <w:pStyle w:val="81"/>
        <w:spacing w:after="0" w:line="360" w:lineRule="auto"/>
        <w:ind w:firstLine="240" w:firstLineChars="100"/>
        <w:rPr>
          <w:rFonts w:ascii="宋体" w:hAnsi="宋体"/>
          <w:sz w:val="24"/>
        </w:rPr>
      </w:pPr>
    </w:p>
    <w:p>
      <w:pPr>
        <w:pStyle w:val="83"/>
        <w:outlineLvl w:val="2"/>
      </w:pPr>
      <w:r>
        <w:br w:type="page"/>
      </w:r>
      <w:bookmarkStart w:id="115" w:name="_Toc256000052"/>
      <w:r>
        <w:t>（五）商务条款偏离说明表</w:t>
      </w:r>
      <w:bookmarkEnd w:id="115"/>
    </w:p>
    <w:p>
      <w:pPr>
        <w:pStyle w:val="84"/>
        <w:adjustRightInd w:val="0"/>
        <w:snapToGrid w:val="0"/>
        <w:spacing w:line="500" w:lineRule="exact"/>
        <w:jc w:val="center"/>
        <w:rPr>
          <w:rFonts w:ascii="宋体" w:hAnsi="宋体"/>
          <w:szCs w:val="28"/>
        </w:rPr>
      </w:pPr>
      <w:r>
        <w:rPr>
          <w:rFonts w:hint="eastAsia" w:ascii="宋体" w:hAnsi="宋体"/>
          <w:szCs w:val="28"/>
        </w:rPr>
        <w:t>商务响应、偏离说明表</w:t>
      </w:r>
    </w:p>
    <w:p>
      <w:pPr>
        <w:pStyle w:val="84"/>
        <w:adjustRightInd w:val="0"/>
        <w:snapToGrid w:val="0"/>
        <w:spacing w:line="500" w:lineRule="exact"/>
        <w:rPr>
          <w:rFonts w:ascii="宋体" w:hAnsi="宋体"/>
          <w:szCs w:val="28"/>
        </w:rPr>
      </w:pPr>
      <w:r>
        <w:rPr>
          <w:rFonts w:hint="eastAsia" w:ascii="宋体" w:hAnsi="宋体"/>
          <w:szCs w:val="28"/>
        </w:rPr>
        <w:t>采购项目编号：</w:t>
      </w:r>
      <w:r>
        <w:rPr>
          <w:rFonts w:hint="eastAsia" w:ascii="宋体" w:hAnsi="宋体"/>
          <w:szCs w:val="28"/>
          <w:u w:val="single"/>
        </w:rPr>
        <w:t xml:space="preserve">                              </w:t>
      </w:r>
      <w:r>
        <w:rPr>
          <w:rFonts w:hint="eastAsia" w:ascii="宋体" w:hAnsi="宋体"/>
          <w:szCs w:val="28"/>
        </w:rPr>
        <w:t xml:space="preserve">     </w:t>
      </w:r>
    </w:p>
    <w:p>
      <w:pPr>
        <w:pStyle w:val="84"/>
        <w:adjustRightInd w:val="0"/>
        <w:snapToGrid w:val="0"/>
        <w:spacing w:line="500" w:lineRule="exact"/>
        <w:rPr>
          <w:rFonts w:ascii="宋体" w:hAnsi="宋体"/>
          <w:szCs w:val="28"/>
          <w:u w:val="single"/>
        </w:rPr>
      </w:pPr>
      <w:r>
        <w:rPr>
          <w:rFonts w:hint="eastAsia" w:ascii="宋体" w:hAnsi="宋体"/>
          <w:szCs w:val="28"/>
        </w:rPr>
        <w:t>采购项目名称：</w:t>
      </w:r>
      <w:r>
        <w:rPr>
          <w:rFonts w:hint="eastAsia" w:ascii="宋体" w:hAnsi="宋体"/>
          <w:szCs w:val="28"/>
          <w:u w:val="single"/>
        </w:rPr>
        <w:t xml:space="preserve">                              </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710"/>
        <w:gridCol w:w="2587"/>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r>
              <w:rPr>
                <w:rFonts w:hint="eastAsia" w:ascii="宋体" w:hAnsi="宋体" w:cs="Courier New"/>
                <w:szCs w:val="28"/>
              </w:rPr>
              <w:t>序号</w:t>
            </w:r>
          </w:p>
        </w:tc>
        <w:tc>
          <w:tcPr>
            <w:tcW w:w="2710"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jc w:val="center"/>
              <w:rPr>
                <w:rFonts w:ascii="宋体" w:hAnsi="宋体" w:cs="Courier New"/>
                <w:szCs w:val="28"/>
              </w:rPr>
            </w:pPr>
            <w:r>
              <w:rPr>
                <w:rFonts w:hint="eastAsia" w:ascii="宋体" w:hAnsi="宋体" w:cs="Courier New"/>
                <w:szCs w:val="28"/>
              </w:rPr>
              <w:t>招标文件要求部分</w:t>
            </w:r>
          </w:p>
        </w:tc>
        <w:tc>
          <w:tcPr>
            <w:tcW w:w="2587"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jc w:val="center"/>
              <w:rPr>
                <w:rFonts w:ascii="宋体" w:hAnsi="宋体" w:cs="Courier New"/>
                <w:szCs w:val="28"/>
              </w:rPr>
            </w:pPr>
            <w:r>
              <w:rPr>
                <w:rFonts w:hint="eastAsia" w:ascii="宋体" w:hAnsi="宋体" w:cs="Courier New"/>
                <w:szCs w:val="28"/>
              </w:rPr>
              <w:t>投标服务</w:t>
            </w:r>
          </w:p>
          <w:p>
            <w:pPr>
              <w:pStyle w:val="84"/>
              <w:spacing w:line="500" w:lineRule="exact"/>
              <w:jc w:val="center"/>
              <w:rPr>
                <w:rFonts w:ascii="宋体" w:hAnsi="宋体" w:cs="Courier New"/>
                <w:szCs w:val="28"/>
              </w:rPr>
            </w:pPr>
            <w:r>
              <w:rPr>
                <w:rFonts w:hint="eastAsia" w:ascii="宋体" w:hAnsi="宋体" w:cs="Courier New"/>
                <w:szCs w:val="28"/>
              </w:rPr>
              <w:t>响应部分</w:t>
            </w:r>
          </w:p>
        </w:tc>
        <w:tc>
          <w:tcPr>
            <w:tcW w:w="2700"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jc w:val="center"/>
              <w:rPr>
                <w:rFonts w:ascii="宋体" w:hAnsi="宋体" w:cs="Courier New"/>
                <w:szCs w:val="28"/>
              </w:rPr>
            </w:pPr>
            <w:r>
              <w:rPr>
                <w:rFonts w:hint="eastAsia" w:ascii="宋体" w:hAnsi="宋体" w:cs="Courier New"/>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r>
              <w:rPr>
                <w:rFonts w:hint="eastAsia" w:ascii="宋体" w:hAnsi="宋体" w:cs="Courier New"/>
                <w:szCs w:val="28"/>
              </w:rPr>
              <w:t>1</w:t>
            </w:r>
          </w:p>
        </w:tc>
        <w:tc>
          <w:tcPr>
            <w:tcW w:w="2710"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p>
        </w:tc>
        <w:tc>
          <w:tcPr>
            <w:tcW w:w="2587"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r>
              <w:rPr>
                <w:rFonts w:hint="eastAsia" w:ascii="宋体" w:hAnsi="宋体" w:cs="Courier New"/>
                <w:szCs w:val="28"/>
              </w:rPr>
              <w:t>2</w:t>
            </w:r>
          </w:p>
        </w:tc>
        <w:tc>
          <w:tcPr>
            <w:tcW w:w="2710"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p>
        </w:tc>
        <w:tc>
          <w:tcPr>
            <w:tcW w:w="2587"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r>
              <w:rPr>
                <w:rFonts w:hint="eastAsia" w:ascii="宋体" w:hAnsi="宋体" w:cs="Courier New"/>
                <w:szCs w:val="28"/>
              </w:rPr>
              <w:t>3</w:t>
            </w:r>
          </w:p>
        </w:tc>
        <w:tc>
          <w:tcPr>
            <w:tcW w:w="2710"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p>
        </w:tc>
        <w:tc>
          <w:tcPr>
            <w:tcW w:w="2587"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r>
              <w:rPr>
                <w:rFonts w:hint="eastAsia" w:ascii="宋体" w:hAnsi="宋体" w:cs="Courier New"/>
                <w:szCs w:val="28"/>
              </w:rPr>
              <w:t>4</w:t>
            </w:r>
          </w:p>
        </w:tc>
        <w:tc>
          <w:tcPr>
            <w:tcW w:w="2710"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p>
        </w:tc>
        <w:tc>
          <w:tcPr>
            <w:tcW w:w="2587"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r>
              <w:rPr>
                <w:rFonts w:hint="eastAsia" w:ascii="宋体" w:hAnsi="宋体" w:cs="Courier New"/>
                <w:szCs w:val="28"/>
              </w:rPr>
              <w:t>5</w:t>
            </w:r>
          </w:p>
        </w:tc>
        <w:tc>
          <w:tcPr>
            <w:tcW w:w="2710"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p>
        </w:tc>
        <w:tc>
          <w:tcPr>
            <w:tcW w:w="2587"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r>
              <w:rPr>
                <w:rFonts w:hint="eastAsia" w:ascii="宋体" w:hAnsi="宋体" w:cs="Courier New"/>
                <w:szCs w:val="28"/>
              </w:rPr>
              <w:t>6</w:t>
            </w:r>
          </w:p>
        </w:tc>
        <w:tc>
          <w:tcPr>
            <w:tcW w:w="2710"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p>
        </w:tc>
        <w:tc>
          <w:tcPr>
            <w:tcW w:w="2587"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r>
              <w:rPr>
                <w:rFonts w:hint="eastAsia" w:ascii="宋体" w:hAnsi="宋体" w:cs="Courier New"/>
                <w:szCs w:val="28"/>
              </w:rPr>
              <w:t>7</w:t>
            </w:r>
          </w:p>
        </w:tc>
        <w:tc>
          <w:tcPr>
            <w:tcW w:w="2710"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p>
        </w:tc>
        <w:tc>
          <w:tcPr>
            <w:tcW w:w="2587"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r>
              <w:rPr>
                <w:rFonts w:hint="eastAsia" w:ascii="宋体" w:hAnsi="宋体" w:cs="Courier New"/>
                <w:szCs w:val="28"/>
              </w:rPr>
              <w:t>8</w:t>
            </w:r>
          </w:p>
        </w:tc>
        <w:tc>
          <w:tcPr>
            <w:tcW w:w="2710"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p>
        </w:tc>
        <w:tc>
          <w:tcPr>
            <w:tcW w:w="2587"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r>
              <w:rPr>
                <w:rFonts w:hint="eastAsia" w:ascii="宋体" w:hAnsi="宋体" w:cs="Courier New"/>
                <w:szCs w:val="28"/>
              </w:rPr>
              <w:t>9</w:t>
            </w:r>
          </w:p>
        </w:tc>
        <w:tc>
          <w:tcPr>
            <w:tcW w:w="2710"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p>
        </w:tc>
        <w:tc>
          <w:tcPr>
            <w:tcW w:w="2587"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25"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r>
              <w:rPr>
                <w:rFonts w:hint="eastAsia" w:ascii="宋体" w:hAnsi="宋体" w:cs="Courier New"/>
                <w:szCs w:val="28"/>
              </w:rPr>
              <w:t>…</w:t>
            </w:r>
          </w:p>
        </w:tc>
        <w:tc>
          <w:tcPr>
            <w:tcW w:w="2710"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p>
        </w:tc>
        <w:tc>
          <w:tcPr>
            <w:tcW w:w="2587"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84"/>
              <w:spacing w:line="500" w:lineRule="exact"/>
              <w:rPr>
                <w:rFonts w:ascii="宋体" w:hAnsi="宋体" w:cs="Courier New"/>
                <w:szCs w:val="28"/>
              </w:rPr>
            </w:pPr>
          </w:p>
        </w:tc>
      </w:tr>
    </w:tbl>
    <w:p>
      <w:pPr>
        <w:pStyle w:val="84"/>
        <w:adjustRightInd w:val="0"/>
        <w:snapToGrid w:val="0"/>
        <w:spacing w:line="500" w:lineRule="exact"/>
        <w:rPr>
          <w:rFonts w:ascii="宋体" w:hAnsi="宋体"/>
          <w:szCs w:val="28"/>
        </w:rPr>
      </w:pPr>
      <w:r>
        <w:rPr>
          <w:rFonts w:hint="eastAsia" w:ascii="宋体" w:hAnsi="宋体"/>
          <w:szCs w:val="28"/>
        </w:rPr>
        <w:t>投标人法定代表人（</w:t>
      </w:r>
      <w:r>
        <w:rPr>
          <w:rFonts w:hint="eastAsia" w:ascii="宋体" w:hAnsi="宋体" w:cs="宋体"/>
          <w:szCs w:val="28"/>
        </w:rPr>
        <w:t>电子签名</w:t>
      </w:r>
      <w:r>
        <w:rPr>
          <w:rFonts w:hint="eastAsia" w:ascii="宋体" w:hAnsi="宋体"/>
          <w:szCs w:val="28"/>
        </w:rPr>
        <w:t>）：</w:t>
      </w:r>
      <w:r>
        <w:rPr>
          <w:rFonts w:hint="eastAsia" w:ascii="宋体" w:hAnsi="宋体"/>
          <w:szCs w:val="28"/>
          <w:u w:val="single"/>
        </w:rPr>
        <w:t xml:space="preserve">                  </w:t>
      </w:r>
    </w:p>
    <w:p>
      <w:pPr>
        <w:pStyle w:val="84"/>
        <w:adjustRightInd w:val="0"/>
        <w:snapToGrid w:val="0"/>
        <w:spacing w:line="500" w:lineRule="exact"/>
        <w:rPr>
          <w:rFonts w:ascii="宋体" w:hAnsi="宋体"/>
          <w:szCs w:val="28"/>
          <w:u w:val="single"/>
        </w:rPr>
      </w:pPr>
      <w:r>
        <w:rPr>
          <w:rFonts w:hint="eastAsia" w:ascii="宋体" w:hAnsi="宋体"/>
          <w:szCs w:val="28"/>
        </w:rPr>
        <w:t>投标人名称（</w:t>
      </w:r>
      <w:r>
        <w:rPr>
          <w:rFonts w:hint="eastAsia" w:ascii="宋体" w:hAnsi="宋体" w:cs="宋体"/>
          <w:szCs w:val="28"/>
        </w:rPr>
        <w:t>电子签章</w:t>
      </w:r>
      <w:r>
        <w:rPr>
          <w:rFonts w:hint="eastAsia" w:ascii="宋体" w:hAnsi="宋体"/>
          <w:szCs w:val="28"/>
        </w:rPr>
        <w:t>）：</w:t>
      </w:r>
      <w:r>
        <w:rPr>
          <w:rFonts w:hint="eastAsia" w:ascii="宋体" w:hAnsi="宋体"/>
          <w:szCs w:val="28"/>
          <w:u w:val="single"/>
        </w:rPr>
        <w:t xml:space="preserve">                       </w:t>
      </w:r>
    </w:p>
    <w:p>
      <w:pPr>
        <w:pStyle w:val="84"/>
        <w:spacing w:line="500" w:lineRule="exact"/>
        <w:rPr>
          <w:rFonts w:ascii="宋体" w:hAnsi="宋体"/>
          <w:szCs w:val="28"/>
        </w:rPr>
      </w:pPr>
      <w:r>
        <w:rPr>
          <w:rFonts w:hint="eastAsia" w:ascii="宋体" w:hAnsi="宋体"/>
          <w:szCs w:val="28"/>
        </w:rPr>
        <w:t>日期：</w:t>
      </w: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 xml:space="preserve"> 月</w:t>
      </w:r>
      <w:r>
        <w:rPr>
          <w:rFonts w:hint="eastAsia" w:ascii="宋体" w:hAnsi="宋体"/>
          <w:szCs w:val="28"/>
          <w:u w:val="single"/>
        </w:rPr>
        <w:t xml:space="preserve">    </w:t>
      </w:r>
      <w:r>
        <w:rPr>
          <w:rFonts w:hint="eastAsia" w:ascii="宋体" w:hAnsi="宋体"/>
          <w:szCs w:val="28"/>
        </w:rPr>
        <w:t xml:space="preserve"> 日</w:t>
      </w:r>
    </w:p>
    <w:p>
      <w:pPr>
        <w:pStyle w:val="85"/>
        <w:spacing w:after="0" w:line="360" w:lineRule="auto"/>
        <w:rPr>
          <w:rFonts w:ascii="宋体" w:hAnsi="宋体"/>
          <w:sz w:val="24"/>
        </w:rPr>
      </w:pPr>
    </w:p>
    <w:p>
      <w:pPr>
        <w:pStyle w:val="85"/>
        <w:spacing w:after="0" w:line="360" w:lineRule="auto"/>
        <w:rPr>
          <w:rFonts w:ascii="宋体" w:hAnsi="宋体"/>
          <w:sz w:val="24"/>
        </w:rPr>
      </w:pPr>
    </w:p>
    <w:p>
      <w:pPr>
        <w:pStyle w:val="85"/>
        <w:spacing w:after="0" w:line="360" w:lineRule="auto"/>
        <w:rPr>
          <w:rFonts w:ascii="宋体" w:hAnsi="宋体"/>
          <w:sz w:val="24"/>
        </w:rPr>
      </w:pPr>
    </w:p>
    <w:p>
      <w:pPr>
        <w:pStyle w:val="87"/>
        <w:outlineLvl w:val="1"/>
      </w:pPr>
      <w:r>
        <w:br w:type="page"/>
      </w:r>
      <w:bookmarkStart w:id="116" w:name="_Toc256000053"/>
      <w:r>
        <w:t>四、技术文件</w:t>
      </w:r>
      <w:bookmarkEnd w:id="116"/>
    </w:p>
    <w:p>
      <w:pPr>
        <w:pStyle w:val="88"/>
        <w:outlineLvl w:val="2"/>
      </w:pPr>
      <w:r>
        <w:br w:type="page"/>
      </w:r>
      <w:bookmarkStart w:id="117" w:name="_Toc256000054"/>
      <w:r>
        <w:t>（一）投标人自行编写的技术文件</w:t>
      </w:r>
      <w:bookmarkEnd w:id="117"/>
    </w:p>
    <w:p>
      <w:pPr>
        <w:pStyle w:val="90"/>
        <w:spacing w:line="360" w:lineRule="auto"/>
        <w:ind w:left="0" w:leftChars="0"/>
        <w:rPr>
          <w:rFonts w:hint="eastAsia" w:ascii="宋体" w:hAnsi="宋体"/>
          <w:sz w:val="24"/>
          <w:szCs w:val="24"/>
        </w:rPr>
      </w:pPr>
      <w:r>
        <w:rPr>
          <w:rFonts w:hint="eastAsia" w:ascii="宋体" w:hAnsi="宋体"/>
          <w:sz w:val="24"/>
          <w:szCs w:val="24"/>
        </w:rPr>
        <w:t>①供餐要求；</w:t>
      </w:r>
    </w:p>
    <w:p>
      <w:pPr>
        <w:pStyle w:val="90"/>
        <w:spacing w:line="360" w:lineRule="auto"/>
        <w:ind w:left="0" w:leftChars="0"/>
        <w:rPr>
          <w:rFonts w:hint="eastAsia" w:ascii="宋体" w:hAnsi="宋体"/>
          <w:sz w:val="24"/>
          <w:szCs w:val="24"/>
        </w:rPr>
      </w:pPr>
      <w:r>
        <w:rPr>
          <w:rFonts w:hint="eastAsia" w:ascii="宋体" w:hAnsi="宋体"/>
          <w:sz w:val="24"/>
          <w:szCs w:val="24"/>
        </w:rPr>
        <w:t>②服务方案；</w:t>
      </w:r>
    </w:p>
    <w:p>
      <w:pPr>
        <w:pStyle w:val="90"/>
        <w:spacing w:line="360" w:lineRule="auto"/>
        <w:ind w:left="0" w:leftChars="0"/>
        <w:rPr>
          <w:rFonts w:hint="eastAsia" w:ascii="宋体" w:hAnsi="宋体"/>
          <w:sz w:val="24"/>
          <w:szCs w:val="24"/>
        </w:rPr>
      </w:pPr>
      <w:r>
        <w:rPr>
          <w:rFonts w:hint="eastAsia" w:ascii="宋体" w:hAnsi="宋体"/>
          <w:sz w:val="24"/>
          <w:szCs w:val="24"/>
        </w:rPr>
        <w:t>③人员配备；</w:t>
      </w:r>
    </w:p>
    <w:p>
      <w:pPr>
        <w:pStyle w:val="90"/>
        <w:spacing w:line="360" w:lineRule="auto"/>
        <w:ind w:left="0" w:leftChars="0"/>
        <w:rPr>
          <w:rFonts w:hint="eastAsia" w:ascii="宋体" w:hAnsi="宋体"/>
          <w:sz w:val="24"/>
          <w:szCs w:val="24"/>
        </w:rPr>
      </w:pPr>
      <w:r>
        <w:rPr>
          <w:rFonts w:hint="eastAsia" w:ascii="宋体" w:hAnsi="宋体"/>
          <w:sz w:val="24"/>
          <w:szCs w:val="24"/>
        </w:rPr>
        <w:t>④食堂原材料采购及卫生要求；</w:t>
      </w:r>
    </w:p>
    <w:p>
      <w:pPr>
        <w:pStyle w:val="90"/>
        <w:spacing w:line="360" w:lineRule="auto"/>
        <w:ind w:left="0" w:leftChars="0"/>
        <w:rPr>
          <w:rFonts w:hint="eastAsia" w:ascii="宋体" w:hAnsi="宋体"/>
          <w:sz w:val="24"/>
          <w:szCs w:val="24"/>
        </w:rPr>
      </w:pPr>
      <w:r>
        <w:rPr>
          <w:rFonts w:hint="eastAsia" w:ascii="宋体" w:hAnsi="宋体"/>
          <w:sz w:val="24"/>
          <w:szCs w:val="24"/>
        </w:rPr>
        <w:t>⑤技术规范偏离表；</w:t>
      </w:r>
    </w:p>
    <w:p>
      <w:pPr>
        <w:pStyle w:val="90"/>
        <w:spacing w:line="360" w:lineRule="auto"/>
        <w:ind w:left="0" w:leftChars="0"/>
        <w:rPr>
          <w:rFonts w:ascii="宋体" w:hAnsi="宋体"/>
          <w:sz w:val="24"/>
          <w:szCs w:val="24"/>
        </w:rPr>
      </w:pPr>
      <w:r>
        <w:rPr>
          <w:rFonts w:hint="eastAsia" w:ascii="宋体" w:hAnsi="宋体"/>
          <w:sz w:val="24"/>
          <w:szCs w:val="24"/>
        </w:rPr>
        <w:t>项目编号、包号：</w:t>
      </w:r>
      <w:r>
        <w:rPr>
          <w:rFonts w:hint="eastAsia" w:ascii="宋体" w:hAnsi="宋体"/>
          <w:sz w:val="24"/>
          <w:szCs w:val="24"/>
          <w:u w:val="single"/>
        </w:rPr>
        <w:t xml:space="preserve">                     </w:t>
      </w:r>
    </w:p>
    <w:tbl>
      <w:tblPr>
        <w:tblStyle w:val="16"/>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vAlign w:val="center"/>
          </w:tcPr>
          <w:p>
            <w:pPr>
              <w:pStyle w:val="89"/>
              <w:tabs>
                <w:tab w:val="left" w:pos="1337"/>
              </w:tabs>
              <w:spacing w:line="360" w:lineRule="auto"/>
              <w:jc w:val="center"/>
              <w:rPr>
                <w:rFonts w:ascii="宋体" w:hAnsi="宋体"/>
                <w:bCs/>
                <w:sz w:val="24"/>
              </w:rPr>
            </w:pPr>
            <w:r>
              <w:rPr>
                <w:rFonts w:hint="eastAsia" w:ascii="宋体" w:hAnsi="宋体"/>
                <w:bCs/>
                <w:sz w:val="24"/>
              </w:rPr>
              <w:t>序号</w:t>
            </w:r>
          </w:p>
        </w:tc>
        <w:tc>
          <w:tcPr>
            <w:tcW w:w="2101" w:type="dxa"/>
            <w:tcBorders>
              <w:top w:val="single" w:color="auto" w:sz="12" w:space="0"/>
            </w:tcBorders>
            <w:vAlign w:val="center"/>
          </w:tcPr>
          <w:p>
            <w:pPr>
              <w:pStyle w:val="89"/>
              <w:tabs>
                <w:tab w:val="left" w:pos="1337"/>
              </w:tabs>
              <w:spacing w:line="360" w:lineRule="auto"/>
              <w:jc w:val="center"/>
              <w:rPr>
                <w:rFonts w:ascii="宋体" w:hAnsi="宋体"/>
                <w:bCs/>
                <w:sz w:val="24"/>
              </w:rPr>
            </w:pPr>
            <w:r>
              <w:rPr>
                <w:rFonts w:hint="eastAsia" w:ascii="宋体" w:hAnsi="宋体"/>
                <w:bCs/>
                <w:sz w:val="24"/>
              </w:rPr>
              <w:t>服务名称及编号</w:t>
            </w:r>
          </w:p>
        </w:tc>
        <w:tc>
          <w:tcPr>
            <w:tcW w:w="1021" w:type="dxa"/>
            <w:tcBorders>
              <w:top w:val="single" w:color="auto" w:sz="12" w:space="0"/>
            </w:tcBorders>
            <w:vAlign w:val="center"/>
          </w:tcPr>
          <w:p>
            <w:pPr>
              <w:pStyle w:val="89"/>
              <w:tabs>
                <w:tab w:val="left" w:pos="1337"/>
              </w:tabs>
              <w:spacing w:line="360" w:lineRule="auto"/>
              <w:jc w:val="center"/>
              <w:rPr>
                <w:rFonts w:ascii="宋体" w:hAnsi="宋体"/>
                <w:bCs/>
                <w:sz w:val="24"/>
              </w:rPr>
            </w:pPr>
            <w:r>
              <w:rPr>
                <w:rFonts w:hint="eastAsia" w:ascii="宋体" w:hAnsi="宋体"/>
                <w:bCs/>
                <w:sz w:val="24"/>
              </w:rPr>
              <w:t>数量</w:t>
            </w:r>
          </w:p>
        </w:tc>
        <w:tc>
          <w:tcPr>
            <w:tcW w:w="1707" w:type="dxa"/>
            <w:tcBorders>
              <w:top w:val="single" w:color="auto" w:sz="12" w:space="0"/>
            </w:tcBorders>
            <w:vAlign w:val="center"/>
          </w:tcPr>
          <w:p>
            <w:pPr>
              <w:pStyle w:val="89"/>
              <w:tabs>
                <w:tab w:val="left" w:pos="1337"/>
              </w:tabs>
              <w:spacing w:line="360" w:lineRule="auto"/>
              <w:jc w:val="center"/>
              <w:rPr>
                <w:rFonts w:ascii="宋体" w:hAnsi="宋体"/>
                <w:bCs/>
                <w:sz w:val="24"/>
              </w:rPr>
            </w:pPr>
            <w:r>
              <w:rPr>
                <w:rFonts w:hint="eastAsia" w:ascii="宋体" w:hAnsi="宋体"/>
                <w:bCs/>
                <w:sz w:val="24"/>
              </w:rPr>
              <w:t>招标文件技术规范、要求</w:t>
            </w:r>
          </w:p>
        </w:tc>
        <w:tc>
          <w:tcPr>
            <w:tcW w:w="1337" w:type="dxa"/>
            <w:tcBorders>
              <w:top w:val="single" w:color="auto" w:sz="12" w:space="0"/>
            </w:tcBorders>
            <w:vAlign w:val="center"/>
          </w:tcPr>
          <w:p>
            <w:pPr>
              <w:pStyle w:val="89"/>
              <w:tabs>
                <w:tab w:val="left" w:pos="1337"/>
              </w:tabs>
              <w:spacing w:line="360" w:lineRule="auto"/>
              <w:jc w:val="center"/>
              <w:rPr>
                <w:rFonts w:ascii="宋体" w:hAnsi="宋体"/>
                <w:bCs/>
                <w:sz w:val="24"/>
              </w:rPr>
            </w:pPr>
            <w:r>
              <w:rPr>
                <w:rFonts w:hint="eastAsia" w:ascii="宋体" w:hAnsi="宋体"/>
                <w:bCs/>
                <w:sz w:val="24"/>
              </w:rPr>
              <w:t>投标文件对应规范</w:t>
            </w:r>
          </w:p>
        </w:tc>
        <w:tc>
          <w:tcPr>
            <w:tcW w:w="1337" w:type="dxa"/>
            <w:tcBorders>
              <w:top w:val="single" w:color="auto" w:sz="12" w:space="0"/>
            </w:tcBorders>
            <w:vAlign w:val="center"/>
          </w:tcPr>
          <w:p>
            <w:pPr>
              <w:pStyle w:val="89"/>
              <w:tabs>
                <w:tab w:val="left" w:pos="1337"/>
              </w:tabs>
              <w:spacing w:line="360" w:lineRule="auto"/>
              <w:jc w:val="center"/>
              <w:rPr>
                <w:rFonts w:ascii="宋体" w:hAnsi="宋体"/>
                <w:bCs/>
                <w:sz w:val="24"/>
              </w:rPr>
            </w:pPr>
            <w:r>
              <w:rPr>
                <w:rFonts w:hint="eastAsia" w:ascii="宋体" w:hAnsi="宋体"/>
                <w:bCs/>
                <w:sz w:val="24"/>
              </w:rPr>
              <w:t>偏差</w:t>
            </w:r>
          </w:p>
        </w:tc>
        <w:tc>
          <w:tcPr>
            <w:tcW w:w="977" w:type="dxa"/>
            <w:tcBorders>
              <w:top w:val="single" w:color="auto" w:sz="12" w:space="0"/>
              <w:right w:val="single" w:color="auto" w:sz="12" w:space="0"/>
            </w:tcBorders>
            <w:vAlign w:val="center"/>
          </w:tcPr>
          <w:p>
            <w:pPr>
              <w:pStyle w:val="89"/>
              <w:tabs>
                <w:tab w:val="left" w:pos="1337"/>
              </w:tabs>
              <w:spacing w:line="360" w:lineRule="auto"/>
              <w:jc w:val="center"/>
              <w:rPr>
                <w:rFonts w:ascii="宋体" w:hAnsi="宋体"/>
                <w:bCs/>
                <w:sz w:val="24"/>
              </w:rPr>
            </w:pPr>
            <w:r>
              <w:rPr>
                <w:rFonts w:hint="eastAsia" w:ascii="宋体" w:hAnsi="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vAlign w:val="center"/>
          </w:tcPr>
          <w:p>
            <w:pPr>
              <w:pStyle w:val="89"/>
              <w:tabs>
                <w:tab w:val="left" w:pos="1337"/>
              </w:tabs>
              <w:spacing w:line="360" w:lineRule="auto"/>
              <w:jc w:val="center"/>
              <w:rPr>
                <w:rFonts w:ascii="宋体" w:hAnsi="宋体"/>
                <w:sz w:val="24"/>
              </w:rPr>
            </w:pPr>
          </w:p>
        </w:tc>
        <w:tc>
          <w:tcPr>
            <w:tcW w:w="2101" w:type="dxa"/>
            <w:vAlign w:val="center"/>
          </w:tcPr>
          <w:p>
            <w:pPr>
              <w:pStyle w:val="89"/>
              <w:tabs>
                <w:tab w:val="left" w:pos="1337"/>
              </w:tabs>
              <w:spacing w:line="360" w:lineRule="auto"/>
              <w:jc w:val="center"/>
              <w:rPr>
                <w:rFonts w:ascii="宋体" w:hAnsi="宋体"/>
                <w:sz w:val="24"/>
              </w:rPr>
            </w:pPr>
          </w:p>
        </w:tc>
        <w:tc>
          <w:tcPr>
            <w:tcW w:w="1021" w:type="dxa"/>
            <w:vAlign w:val="center"/>
          </w:tcPr>
          <w:p>
            <w:pPr>
              <w:pStyle w:val="89"/>
              <w:tabs>
                <w:tab w:val="left" w:pos="1337"/>
              </w:tabs>
              <w:spacing w:line="360" w:lineRule="auto"/>
              <w:jc w:val="center"/>
              <w:rPr>
                <w:rFonts w:ascii="宋体" w:hAnsi="宋体"/>
                <w:sz w:val="24"/>
              </w:rPr>
            </w:pPr>
          </w:p>
        </w:tc>
        <w:tc>
          <w:tcPr>
            <w:tcW w:w="1707" w:type="dxa"/>
            <w:vAlign w:val="center"/>
          </w:tcPr>
          <w:p>
            <w:pPr>
              <w:pStyle w:val="89"/>
              <w:tabs>
                <w:tab w:val="left" w:pos="1337"/>
              </w:tabs>
              <w:spacing w:line="360" w:lineRule="auto"/>
              <w:jc w:val="center"/>
              <w:rPr>
                <w:rFonts w:ascii="宋体" w:hAnsi="宋体"/>
                <w:sz w:val="24"/>
              </w:rPr>
            </w:pPr>
          </w:p>
        </w:tc>
        <w:tc>
          <w:tcPr>
            <w:tcW w:w="1337" w:type="dxa"/>
            <w:vAlign w:val="center"/>
          </w:tcPr>
          <w:p>
            <w:pPr>
              <w:pStyle w:val="89"/>
              <w:tabs>
                <w:tab w:val="left" w:pos="1337"/>
              </w:tabs>
              <w:spacing w:line="360" w:lineRule="auto"/>
              <w:jc w:val="center"/>
              <w:rPr>
                <w:rFonts w:ascii="宋体" w:hAnsi="宋体"/>
                <w:sz w:val="24"/>
              </w:rPr>
            </w:pPr>
          </w:p>
        </w:tc>
        <w:tc>
          <w:tcPr>
            <w:tcW w:w="1337" w:type="dxa"/>
            <w:vAlign w:val="center"/>
          </w:tcPr>
          <w:p>
            <w:pPr>
              <w:pStyle w:val="89"/>
              <w:tabs>
                <w:tab w:val="left" w:pos="1337"/>
              </w:tabs>
              <w:spacing w:line="360" w:lineRule="auto"/>
              <w:jc w:val="center"/>
              <w:rPr>
                <w:rFonts w:ascii="宋体" w:hAnsi="宋体"/>
                <w:sz w:val="24"/>
              </w:rPr>
            </w:pPr>
          </w:p>
        </w:tc>
        <w:tc>
          <w:tcPr>
            <w:tcW w:w="977" w:type="dxa"/>
            <w:tcBorders>
              <w:right w:val="single" w:color="auto" w:sz="12" w:space="0"/>
            </w:tcBorders>
            <w:vAlign w:val="center"/>
          </w:tcPr>
          <w:p>
            <w:pPr>
              <w:pStyle w:val="89"/>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vAlign w:val="center"/>
          </w:tcPr>
          <w:p>
            <w:pPr>
              <w:pStyle w:val="89"/>
              <w:tabs>
                <w:tab w:val="left" w:pos="1337"/>
              </w:tabs>
              <w:spacing w:line="360" w:lineRule="auto"/>
              <w:jc w:val="center"/>
              <w:rPr>
                <w:rFonts w:ascii="宋体" w:hAnsi="宋体"/>
                <w:sz w:val="24"/>
              </w:rPr>
            </w:pPr>
          </w:p>
        </w:tc>
        <w:tc>
          <w:tcPr>
            <w:tcW w:w="2101" w:type="dxa"/>
            <w:vAlign w:val="center"/>
          </w:tcPr>
          <w:p>
            <w:pPr>
              <w:pStyle w:val="89"/>
              <w:tabs>
                <w:tab w:val="left" w:pos="1337"/>
              </w:tabs>
              <w:spacing w:line="360" w:lineRule="auto"/>
              <w:jc w:val="center"/>
              <w:rPr>
                <w:rFonts w:ascii="宋体" w:hAnsi="宋体"/>
                <w:sz w:val="24"/>
              </w:rPr>
            </w:pPr>
          </w:p>
        </w:tc>
        <w:tc>
          <w:tcPr>
            <w:tcW w:w="1021" w:type="dxa"/>
            <w:vAlign w:val="center"/>
          </w:tcPr>
          <w:p>
            <w:pPr>
              <w:pStyle w:val="89"/>
              <w:tabs>
                <w:tab w:val="left" w:pos="1337"/>
              </w:tabs>
              <w:spacing w:line="360" w:lineRule="auto"/>
              <w:jc w:val="center"/>
              <w:rPr>
                <w:rFonts w:ascii="宋体" w:hAnsi="宋体"/>
                <w:sz w:val="24"/>
              </w:rPr>
            </w:pPr>
          </w:p>
        </w:tc>
        <w:tc>
          <w:tcPr>
            <w:tcW w:w="1707" w:type="dxa"/>
            <w:vAlign w:val="center"/>
          </w:tcPr>
          <w:p>
            <w:pPr>
              <w:pStyle w:val="89"/>
              <w:tabs>
                <w:tab w:val="left" w:pos="1337"/>
              </w:tabs>
              <w:spacing w:line="360" w:lineRule="auto"/>
              <w:jc w:val="center"/>
              <w:rPr>
                <w:rFonts w:ascii="宋体" w:hAnsi="宋体"/>
                <w:sz w:val="24"/>
              </w:rPr>
            </w:pPr>
          </w:p>
        </w:tc>
        <w:tc>
          <w:tcPr>
            <w:tcW w:w="1337" w:type="dxa"/>
            <w:vAlign w:val="center"/>
          </w:tcPr>
          <w:p>
            <w:pPr>
              <w:pStyle w:val="89"/>
              <w:tabs>
                <w:tab w:val="left" w:pos="1337"/>
              </w:tabs>
              <w:spacing w:line="360" w:lineRule="auto"/>
              <w:jc w:val="center"/>
              <w:rPr>
                <w:rFonts w:ascii="宋体" w:hAnsi="宋体"/>
                <w:sz w:val="24"/>
              </w:rPr>
            </w:pPr>
          </w:p>
        </w:tc>
        <w:tc>
          <w:tcPr>
            <w:tcW w:w="1337" w:type="dxa"/>
            <w:vAlign w:val="center"/>
          </w:tcPr>
          <w:p>
            <w:pPr>
              <w:pStyle w:val="89"/>
              <w:tabs>
                <w:tab w:val="left" w:pos="1337"/>
              </w:tabs>
              <w:spacing w:line="360" w:lineRule="auto"/>
              <w:jc w:val="center"/>
              <w:rPr>
                <w:rFonts w:ascii="宋体" w:hAnsi="宋体"/>
                <w:sz w:val="24"/>
              </w:rPr>
            </w:pPr>
          </w:p>
        </w:tc>
        <w:tc>
          <w:tcPr>
            <w:tcW w:w="977" w:type="dxa"/>
            <w:tcBorders>
              <w:right w:val="single" w:color="auto" w:sz="12" w:space="0"/>
            </w:tcBorders>
            <w:vAlign w:val="center"/>
          </w:tcPr>
          <w:p>
            <w:pPr>
              <w:pStyle w:val="89"/>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bottom w:val="single" w:color="auto" w:sz="12" w:space="0"/>
            </w:tcBorders>
            <w:vAlign w:val="center"/>
          </w:tcPr>
          <w:p>
            <w:pPr>
              <w:pStyle w:val="89"/>
              <w:tabs>
                <w:tab w:val="left" w:pos="1337"/>
              </w:tabs>
              <w:spacing w:line="360" w:lineRule="auto"/>
              <w:jc w:val="center"/>
              <w:rPr>
                <w:rFonts w:ascii="宋体" w:hAnsi="宋体"/>
                <w:sz w:val="24"/>
              </w:rPr>
            </w:pPr>
          </w:p>
        </w:tc>
        <w:tc>
          <w:tcPr>
            <w:tcW w:w="2101" w:type="dxa"/>
            <w:tcBorders>
              <w:bottom w:val="single" w:color="auto" w:sz="12" w:space="0"/>
            </w:tcBorders>
            <w:vAlign w:val="center"/>
          </w:tcPr>
          <w:p>
            <w:pPr>
              <w:pStyle w:val="89"/>
              <w:tabs>
                <w:tab w:val="left" w:pos="1337"/>
              </w:tabs>
              <w:spacing w:line="360" w:lineRule="auto"/>
              <w:jc w:val="center"/>
              <w:rPr>
                <w:rFonts w:ascii="宋体" w:hAnsi="宋体"/>
                <w:sz w:val="24"/>
              </w:rPr>
            </w:pPr>
          </w:p>
        </w:tc>
        <w:tc>
          <w:tcPr>
            <w:tcW w:w="1021" w:type="dxa"/>
            <w:tcBorders>
              <w:bottom w:val="single" w:color="auto" w:sz="12" w:space="0"/>
            </w:tcBorders>
            <w:vAlign w:val="center"/>
          </w:tcPr>
          <w:p>
            <w:pPr>
              <w:pStyle w:val="89"/>
              <w:tabs>
                <w:tab w:val="left" w:pos="1337"/>
              </w:tabs>
              <w:spacing w:line="360" w:lineRule="auto"/>
              <w:jc w:val="center"/>
              <w:rPr>
                <w:rFonts w:ascii="宋体" w:hAnsi="宋体"/>
                <w:sz w:val="24"/>
              </w:rPr>
            </w:pPr>
          </w:p>
        </w:tc>
        <w:tc>
          <w:tcPr>
            <w:tcW w:w="1707" w:type="dxa"/>
            <w:tcBorders>
              <w:bottom w:val="single" w:color="auto" w:sz="12" w:space="0"/>
            </w:tcBorders>
            <w:vAlign w:val="center"/>
          </w:tcPr>
          <w:p>
            <w:pPr>
              <w:pStyle w:val="89"/>
              <w:tabs>
                <w:tab w:val="left" w:pos="1337"/>
              </w:tabs>
              <w:spacing w:line="360" w:lineRule="auto"/>
              <w:jc w:val="center"/>
              <w:rPr>
                <w:rFonts w:ascii="宋体" w:hAnsi="宋体"/>
                <w:sz w:val="24"/>
              </w:rPr>
            </w:pPr>
          </w:p>
        </w:tc>
        <w:tc>
          <w:tcPr>
            <w:tcW w:w="1337" w:type="dxa"/>
            <w:tcBorders>
              <w:bottom w:val="single" w:color="auto" w:sz="12" w:space="0"/>
            </w:tcBorders>
            <w:vAlign w:val="center"/>
          </w:tcPr>
          <w:p>
            <w:pPr>
              <w:pStyle w:val="89"/>
              <w:tabs>
                <w:tab w:val="left" w:pos="1337"/>
              </w:tabs>
              <w:spacing w:line="360" w:lineRule="auto"/>
              <w:jc w:val="center"/>
              <w:rPr>
                <w:rFonts w:ascii="宋体" w:hAnsi="宋体"/>
                <w:sz w:val="24"/>
              </w:rPr>
            </w:pPr>
          </w:p>
        </w:tc>
        <w:tc>
          <w:tcPr>
            <w:tcW w:w="1337" w:type="dxa"/>
            <w:tcBorders>
              <w:bottom w:val="single" w:color="auto" w:sz="12" w:space="0"/>
            </w:tcBorders>
            <w:vAlign w:val="center"/>
          </w:tcPr>
          <w:p>
            <w:pPr>
              <w:pStyle w:val="89"/>
              <w:tabs>
                <w:tab w:val="left" w:pos="1337"/>
              </w:tabs>
              <w:spacing w:line="360" w:lineRule="auto"/>
              <w:jc w:val="center"/>
              <w:rPr>
                <w:rFonts w:ascii="宋体" w:hAnsi="宋体"/>
                <w:sz w:val="24"/>
              </w:rPr>
            </w:pPr>
          </w:p>
        </w:tc>
        <w:tc>
          <w:tcPr>
            <w:tcW w:w="977" w:type="dxa"/>
            <w:tcBorders>
              <w:bottom w:val="single" w:color="auto" w:sz="12" w:space="0"/>
              <w:right w:val="single" w:color="auto" w:sz="12" w:space="0"/>
            </w:tcBorders>
            <w:vAlign w:val="center"/>
          </w:tcPr>
          <w:p>
            <w:pPr>
              <w:pStyle w:val="89"/>
              <w:tabs>
                <w:tab w:val="left" w:pos="1337"/>
              </w:tabs>
              <w:spacing w:line="360" w:lineRule="auto"/>
              <w:jc w:val="center"/>
              <w:rPr>
                <w:rFonts w:ascii="宋体" w:hAnsi="宋体"/>
                <w:sz w:val="24"/>
              </w:rPr>
            </w:pPr>
          </w:p>
        </w:tc>
      </w:tr>
    </w:tbl>
    <w:p>
      <w:pPr>
        <w:pStyle w:val="89"/>
        <w:spacing w:line="360" w:lineRule="auto"/>
        <w:ind w:left="2"/>
        <w:rPr>
          <w:rFonts w:ascii="宋体" w:hAnsi="宋体"/>
          <w:sz w:val="24"/>
        </w:rPr>
      </w:pPr>
      <w:r>
        <w:rPr>
          <w:rFonts w:hint="eastAsia" w:ascii="宋体" w:hAnsi="宋体"/>
          <w:sz w:val="24"/>
        </w:rPr>
        <w:t>说明：如投标人提交的服务技术规范与招标文件的要求存在偏离，需逐项填写《技术规范偏离表》。</w:t>
      </w:r>
    </w:p>
    <w:p>
      <w:pPr>
        <w:pStyle w:val="91"/>
        <w:spacing w:before="0" w:after="0" w:line="360" w:lineRule="auto"/>
        <w:ind w:right="960"/>
        <w:rPr>
          <w:rFonts w:ascii="宋体" w:hAnsi="宋体" w:eastAsia="宋体"/>
          <w:sz w:val="24"/>
          <w:szCs w:val="24"/>
        </w:rPr>
      </w:pPr>
    </w:p>
    <w:p>
      <w:pPr>
        <w:pStyle w:val="91"/>
        <w:spacing w:before="0" w:after="0" w:line="360" w:lineRule="auto"/>
        <w:ind w:right="17"/>
        <w:jc w:val="right"/>
        <w:rPr>
          <w:rFonts w:ascii="宋体" w:hAnsi="宋体" w:eastAsia="宋体"/>
          <w:sz w:val="24"/>
          <w:szCs w:val="24"/>
        </w:rPr>
      </w:pPr>
      <w:r>
        <w:rPr>
          <w:rFonts w:hint="eastAsia" w:ascii="宋体" w:hAnsi="宋体" w:eastAsia="宋体"/>
          <w:sz w:val="24"/>
          <w:szCs w:val="24"/>
        </w:rPr>
        <w:t>年  月  日</w:t>
      </w:r>
    </w:p>
    <w:p>
      <w:pPr>
        <w:pStyle w:val="92"/>
        <w:outlineLvl w:val="1"/>
      </w:pPr>
      <w:r>
        <w:br w:type="page"/>
      </w:r>
      <w:bookmarkStart w:id="118" w:name="_Toc256000055"/>
      <w:r>
        <w:t>五、服务文件</w:t>
      </w:r>
      <w:bookmarkEnd w:id="118"/>
    </w:p>
    <w:p>
      <w:pPr>
        <w:pStyle w:val="93"/>
        <w:outlineLvl w:val="2"/>
      </w:pPr>
      <w:r>
        <w:br w:type="page"/>
      </w:r>
      <w:bookmarkStart w:id="119" w:name="_Toc256000056"/>
      <w:r>
        <w:t>（一）投标人自行编写的服务文件</w:t>
      </w:r>
      <w:bookmarkEnd w:id="119"/>
    </w:p>
    <w:p>
      <w:pPr>
        <w:pStyle w:val="94"/>
        <w:spacing w:line="360" w:lineRule="auto"/>
        <w:rPr>
          <w:rFonts w:ascii="宋体" w:hAnsi="宋体"/>
          <w:sz w:val="24"/>
        </w:rPr>
      </w:pPr>
      <w:r>
        <w:rPr>
          <w:rFonts w:hint="eastAsia" w:ascii="宋体" w:hAnsi="宋体"/>
          <w:sz w:val="24"/>
        </w:rPr>
        <w:t>①后续服务:</w:t>
      </w:r>
    </w:p>
    <w:p>
      <w:pPr>
        <w:pStyle w:val="94"/>
        <w:spacing w:line="360" w:lineRule="auto"/>
        <w:rPr>
          <w:rFonts w:ascii="宋体" w:hAnsi="宋体"/>
          <w:sz w:val="24"/>
        </w:rPr>
      </w:pPr>
      <w:r>
        <w:rPr>
          <w:rFonts w:hint="eastAsia" w:ascii="宋体" w:hAnsi="宋体"/>
          <w:sz w:val="24"/>
        </w:rPr>
        <w:t>&lt;1&gt;后续服务的程序、内容、措施、合理化建议及优惠条款；</w:t>
      </w:r>
    </w:p>
    <w:p>
      <w:pPr>
        <w:pStyle w:val="94"/>
        <w:spacing w:line="360" w:lineRule="auto"/>
        <w:rPr>
          <w:rFonts w:ascii="宋体" w:hAnsi="宋体"/>
          <w:sz w:val="24"/>
        </w:rPr>
      </w:pPr>
      <w:r>
        <w:rPr>
          <w:rFonts w:hint="eastAsia" w:ascii="宋体" w:hAnsi="宋体"/>
          <w:sz w:val="24"/>
        </w:rPr>
        <w:t>&lt;2&gt;响应时间和技术支持情况；</w:t>
      </w:r>
    </w:p>
    <w:p>
      <w:pPr>
        <w:pStyle w:val="94"/>
        <w:tabs>
          <w:tab w:val="left" w:pos="6420"/>
        </w:tabs>
        <w:spacing w:line="360" w:lineRule="auto"/>
        <w:rPr>
          <w:rFonts w:ascii="宋体" w:hAnsi="宋体"/>
          <w:b/>
          <w:sz w:val="24"/>
        </w:rPr>
      </w:pPr>
      <w:r>
        <w:rPr>
          <w:rFonts w:ascii="宋体" w:hAnsi="宋体"/>
          <w:kern w:val="0"/>
          <w:sz w:val="24"/>
        </w:rPr>
        <w:br w:type="page"/>
      </w:r>
      <w:r>
        <w:rPr>
          <w:rFonts w:hint="eastAsia" w:ascii="宋体" w:hAnsi="宋体"/>
          <w:sz w:val="24"/>
        </w:rPr>
        <w:t>②</w:t>
      </w:r>
      <w:r>
        <w:rPr>
          <w:rFonts w:hint="eastAsia" w:ascii="宋体" w:hAnsi="宋体"/>
          <w:b/>
          <w:sz w:val="24"/>
        </w:rPr>
        <w:t>服务项目偏离表</w:t>
      </w:r>
    </w:p>
    <w:p>
      <w:pPr>
        <w:pStyle w:val="95"/>
        <w:spacing w:line="360" w:lineRule="auto"/>
        <w:ind w:left="0" w:leftChars="0"/>
        <w:rPr>
          <w:rFonts w:ascii="宋体" w:hAnsi="宋体"/>
        </w:rPr>
      </w:pPr>
      <w:r>
        <w:rPr>
          <w:rFonts w:hint="eastAsia" w:ascii="宋体" w:hAnsi="宋体"/>
        </w:rPr>
        <w:t>项目编号、包号：</w:t>
      </w:r>
      <w:r>
        <w:rPr>
          <w:rFonts w:hint="eastAsia" w:ascii="宋体" w:hAnsi="宋体"/>
          <w:u w:val="single"/>
        </w:rPr>
        <w:t xml:space="preserve">                     </w:t>
      </w:r>
    </w:p>
    <w:tbl>
      <w:tblPr>
        <w:tblStyle w:val="16"/>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528"/>
        <w:gridCol w:w="2674"/>
        <w:gridCol w:w="2483"/>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46" w:type="dxa"/>
            <w:tcBorders>
              <w:top w:val="single" w:color="auto" w:sz="12" w:space="0"/>
              <w:left w:val="single" w:color="auto" w:sz="12" w:space="0"/>
            </w:tcBorders>
            <w:vAlign w:val="center"/>
          </w:tcPr>
          <w:p>
            <w:pPr>
              <w:pStyle w:val="94"/>
              <w:tabs>
                <w:tab w:val="left" w:pos="1337"/>
              </w:tabs>
              <w:spacing w:line="360" w:lineRule="auto"/>
              <w:jc w:val="center"/>
              <w:rPr>
                <w:rFonts w:ascii="宋体" w:hAnsi="宋体"/>
                <w:bCs/>
                <w:sz w:val="24"/>
              </w:rPr>
            </w:pPr>
            <w:r>
              <w:rPr>
                <w:rFonts w:hint="eastAsia" w:ascii="宋体" w:hAnsi="宋体"/>
                <w:bCs/>
                <w:sz w:val="24"/>
              </w:rPr>
              <w:t>序号</w:t>
            </w:r>
          </w:p>
        </w:tc>
        <w:tc>
          <w:tcPr>
            <w:tcW w:w="1528" w:type="dxa"/>
            <w:tcBorders>
              <w:top w:val="single" w:color="auto" w:sz="12" w:space="0"/>
            </w:tcBorders>
            <w:vAlign w:val="center"/>
          </w:tcPr>
          <w:p>
            <w:pPr>
              <w:pStyle w:val="94"/>
              <w:tabs>
                <w:tab w:val="left" w:pos="1337"/>
              </w:tabs>
              <w:spacing w:line="360" w:lineRule="auto"/>
              <w:jc w:val="center"/>
              <w:rPr>
                <w:rFonts w:ascii="宋体" w:hAnsi="宋体"/>
                <w:bCs/>
                <w:sz w:val="24"/>
              </w:rPr>
            </w:pPr>
            <w:r>
              <w:rPr>
                <w:rFonts w:hint="eastAsia" w:ascii="宋体" w:hAnsi="宋体"/>
                <w:bCs/>
                <w:sz w:val="24"/>
              </w:rPr>
              <w:t>招标文件</w:t>
            </w:r>
          </w:p>
          <w:p>
            <w:pPr>
              <w:pStyle w:val="94"/>
              <w:tabs>
                <w:tab w:val="left" w:pos="1337"/>
              </w:tabs>
              <w:spacing w:line="360" w:lineRule="auto"/>
              <w:jc w:val="center"/>
              <w:rPr>
                <w:rFonts w:ascii="宋体" w:hAnsi="宋体"/>
                <w:bCs/>
                <w:sz w:val="24"/>
              </w:rPr>
            </w:pPr>
            <w:r>
              <w:rPr>
                <w:rFonts w:hint="eastAsia" w:ascii="宋体" w:hAnsi="宋体"/>
                <w:bCs/>
                <w:sz w:val="24"/>
              </w:rPr>
              <w:t>条款号</w:t>
            </w:r>
          </w:p>
        </w:tc>
        <w:tc>
          <w:tcPr>
            <w:tcW w:w="2674" w:type="dxa"/>
            <w:tcBorders>
              <w:top w:val="single" w:color="auto" w:sz="12" w:space="0"/>
            </w:tcBorders>
            <w:vAlign w:val="center"/>
          </w:tcPr>
          <w:p>
            <w:pPr>
              <w:pStyle w:val="94"/>
              <w:tabs>
                <w:tab w:val="left" w:pos="1337"/>
              </w:tabs>
              <w:spacing w:line="360" w:lineRule="auto"/>
              <w:jc w:val="center"/>
              <w:rPr>
                <w:rFonts w:ascii="宋体" w:hAnsi="宋体"/>
                <w:bCs/>
                <w:sz w:val="24"/>
              </w:rPr>
            </w:pPr>
            <w:r>
              <w:rPr>
                <w:rFonts w:hint="eastAsia" w:ascii="宋体" w:hAnsi="宋体"/>
                <w:bCs/>
                <w:sz w:val="24"/>
              </w:rPr>
              <w:t>招标文件的服务条款</w:t>
            </w:r>
          </w:p>
        </w:tc>
        <w:tc>
          <w:tcPr>
            <w:tcW w:w="2483" w:type="dxa"/>
            <w:tcBorders>
              <w:top w:val="single" w:color="auto" w:sz="12" w:space="0"/>
            </w:tcBorders>
            <w:vAlign w:val="center"/>
          </w:tcPr>
          <w:p>
            <w:pPr>
              <w:pStyle w:val="94"/>
              <w:tabs>
                <w:tab w:val="left" w:pos="1337"/>
              </w:tabs>
              <w:spacing w:line="360" w:lineRule="auto"/>
              <w:jc w:val="center"/>
              <w:rPr>
                <w:rFonts w:ascii="宋体" w:hAnsi="宋体"/>
                <w:bCs/>
                <w:sz w:val="24"/>
              </w:rPr>
            </w:pPr>
            <w:r>
              <w:rPr>
                <w:rFonts w:hint="eastAsia" w:ascii="宋体" w:hAnsi="宋体"/>
                <w:bCs/>
                <w:sz w:val="24"/>
              </w:rPr>
              <w:t>投标文件的服务条款</w:t>
            </w:r>
          </w:p>
        </w:tc>
        <w:tc>
          <w:tcPr>
            <w:tcW w:w="1146" w:type="dxa"/>
            <w:tcBorders>
              <w:top w:val="single" w:color="auto" w:sz="12" w:space="0"/>
              <w:right w:val="single" w:color="auto" w:sz="12" w:space="0"/>
            </w:tcBorders>
            <w:vAlign w:val="center"/>
          </w:tcPr>
          <w:p>
            <w:pPr>
              <w:pStyle w:val="94"/>
              <w:tabs>
                <w:tab w:val="left" w:pos="1337"/>
              </w:tabs>
              <w:spacing w:line="360" w:lineRule="auto"/>
              <w:jc w:val="center"/>
              <w:rPr>
                <w:rFonts w:ascii="宋体" w:hAnsi="宋体"/>
                <w:bCs/>
                <w:sz w:val="24"/>
              </w:rPr>
            </w:pPr>
            <w:r>
              <w:rPr>
                <w:rFonts w:hint="eastAsia" w:ascii="宋体" w:hAnsi="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pPr>
              <w:pStyle w:val="94"/>
              <w:tabs>
                <w:tab w:val="left" w:pos="1337"/>
              </w:tabs>
              <w:spacing w:line="360" w:lineRule="auto"/>
              <w:jc w:val="center"/>
              <w:rPr>
                <w:rFonts w:ascii="宋体" w:hAnsi="宋体"/>
                <w:sz w:val="24"/>
              </w:rPr>
            </w:pPr>
          </w:p>
        </w:tc>
        <w:tc>
          <w:tcPr>
            <w:tcW w:w="1528" w:type="dxa"/>
            <w:vAlign w:val="center"/>
          </w:tcPr>
          <w:p>
            <w:pPr>
              <w:pStyle w:val="94"/>
              <w:tabs>
                <w:tab w:val="left" w:pos="1337"/>
              </w:tabs>
              <w:spacing w:line="360" w:lineRule="auto"/>
              <w:jc w:val="center"/>
              <w:rPr>
                <w:rFonts w:ascii="宋体" w:hAnsi="宋体"/>
                <w:sz w:val="24"/>
              </w:rPr>
            </w:pPr>
          </w:p>
        </w:tc>
        <w:tc>
          <w:tcPr>
            <w:tcW w:w="2674" w:type="dxa"/>
            <w:vAlign w:val="center"/>
          </w:tcPr>
          <w:p>
            <w:pPr>
              <w:pStyle w:val="94"/>
              <w:tabs>
                <w:tab w:val="left" w:pos="1337"/>
              </w:tabs>
              <w:spacing w:line="360" w:lineRule="auto"/>
              <w:jc w:val="center"/>
              <w:rPr>
                <w:rFonts w:ascii="宋体" w:hAnsi="宋体"/>
                <w:sz w:val="24"/>
              </w:rPr>
            </w:pPr>
          </w:p>
        </w:tc>
        <w:tc>
          <w:tcPr>
            <w:tcW w:w="2483" w:type="dxa"/>
            <w:vAlign w:val="center"/>
          </w:tcPr>
          <w:p>
            <w:pPr>
              <w:pStyle w:val="94"/>
              <w:tabs>
                <w:tab w:val="left" w:pos="1337"/>
              </w:tabs>
              <w:spacing w:line="360" w:lineRule="auto"/>
              <w:jc w:val="center"/>
              <w:rPr>
                <w:rFonts w:ascii="宋体" w:hAnsi="宋体"/>
                <w:sz w:val="24"/>
              </w:rPr>
            </w:pPr>
          </w:p>
        </w:tc>
        <w:tc>
          <w:tcPr>
            <w:tcW w:w="1146" w:type="dxa"/>
            <w:tcBorders>
              <w:right w:val="single" w:color="auto" w:sz="12" w:space="0"/>
            </w:tcBorders>
            <w:vAlign w:val="center"/>
          </w:tcPr>
          <w:p>
            <w:pPr>
              <w:pStyle w:val="94"/>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pPr>
              <w:pStyle w:val="94"/>
              <w:tabs>
                <w:tab w:val="left" w:pos="1337"/>
              </w:tabs>
              <w:spacing w:line="360" w:lineRule="auto"/>
              <w:jc w:val="center"/>
              <w:rPr>
                <w:rFonts w:ascii="宋体" w:hAnsi="宋体"/>
                <w:sz w:val="24"/>
              </w:rPr>
            </w:pPr>
          </w:p>
        </w:tc>
        <w:tc>
          <w:tcPr>
            <w:tcW w:w="1528" w:type="dxa"/>
            <w:vAlign w:val="center"/>
          </w:tcPr>
          <w:p>
            <w:pPr>
              <w:pStyle w:val="94"/>
              <w:tabs>
                <w:tab w:val="left" w:pos="1337"/>
              </w:tabs>
              <w:spacing w:line="360" w:lineRule="auto"/>
              <w:jc w:val="center"/>
              <w:rPr>
                <w:rFonts w:ascii="宋体" w:hAnsi="宋体"/>
                <w:sz w:val="24"/>
              </w:rPr>
            </w:pPr>
          </w:p>
        </w:tc>
        <w:tc>
          <w:tcPr>
            <w:tcW w:w="2674" w:type="dxa"/>
            <w:vAlign w:val="center"/>
          </w:tcPr>
          <w:p>
            <w:pPr>
              <w:pStyle w:val="94"/>
              <w:tabs>
                <w:tab w:val="left" w:pos="1337"/>
              </w:tabs>
              <w:spacing w:line="360" w:lineRule="auto"/>
              <w:jc w:val="center"/>
              <w:rPr>
                <w:rFonts w:ascii="宋体" w:hAnsi="宋体"/>
                <w:sz w:val="24"/>
              </w:rPr>
            </w:pPr>
          </w:p>
        </w:tc>
        <w:tc>
          <w:tcPr>
            <w:tcW w:w="2483" w:type="dxa"/>
            <w:vAlign w:val="center"/>
          </w:tcPr>
          <w:p>
            <w:pPr>
              <w:pStyle w:val="94"/>
              <w:tabs>
                <w:tab w:val="left" w:pos="1337"/>
              </w:tabs>
              <w:spacing w:line="360" w:lineRule="auto"/>
              <w:jc w:val="center"/>
              <w:rPr>
                <w:rFonts w:ascii="宋体" w:hAnsi="宋体"/>
                <w:sz w:val="24"/>
              </w:rPr>
            </w:pPr>
          </w:p>
        </w:tc>
        <w:tc>
          <w:tcPr>
            <w:tcW w:w="1146" w:type="dxa"/>
            <w:tcBorders>
              <w:right w:val="single" w:color="auto" w:sz="12" w:space="0"/>
            </w:tcBorders>
            <w:vAlign w:val="center"/>
          </w:tcPr>
          <w:p>
            <w:pPr>
              <w:pStyle w:val="94"/>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vAlign w:val="center"/>
          </w:tcPr>
          <w:p>
            <w:pPr>
              <w:pStyle w:val="94"/>
              <w:tabs>
                <w:tab w:val="left" w:pos="1337"/>
              </w:tabs>
              <w:spacing w:line="360" w:lineRule="auto"/>
              <w:jc w:val="center"/>
              <w:rPr>
                <w:rFonts w:ascii="宋体" w:hAnsi="宋体"/>
                <w:sz w:val="24"/>
              </w:rPr>
            </w:pPr>
          </w:p>
        </w:tc>
        <w:tc>
          <w:tcPr>
            <w:tcW w:w="1528" w:type="dxa"/>
            <w:vAlign w:val="center"/>
          </w:tcPr>
          <w:p>
            <w:pPr>
              <w:pStyle w:val="94"/>
              <w:tabs>
                <w:tab w:val="left" w:pos="1337"/>
              </w:tabs>
              <w:spacing w:line="360" w:lineRule="auto"/>
              <w:jc w:val="center"/>
              <w:rPr>
                <w:rFonts w:ascii="宋体" w:hAnsi="宋体"/>
                <w:sz w:val="24"/>
              </w:rPr>
            </w:pPr>
          </w:p>
        </w:tc>
        <w:tc>
          <w:tcPr>
            <w:tcW w:w="2674" w:type="dxa"/>
            <w:vAlign w:val="center"/>
          </w:tcPr>
          <w:p>
            <w:pPr>
              <w:pStyle w:val="94"/>
              <w:tabs>
                <w:tab w:val="left" w:pos="1337"/>
              </w:tabs>
              <w:spacing w:line="360" w:lineRule="auto"/>
              <w:jc w:val="center"/>
              <w:rPr>
                <w:rFonts w:ascii="宋体" w:hAnsi="宋体"/>
                <w:sz w:val="24"/>
              </w:rPr>
            </w:pPr>
          </w:p>
        </w:tc>
        <w:tc>
          <w:tcPr>
            <w:tcW w:w="2483" w:type="dxa"/>
            <w:vAlign w:val="center"/>
          </w:tcPr>
          <w:p>
            <w:pPr>
              <w:pStyle w:val="94"/>
              <w:tabs>
                <w:tab w:val="left" w:pos="1337"/>
              </w:tabs>
              <w:spacing w:line="360" w:lineRule="auto"/>
              <w:jc w:val="center"/>
              <w:rPr>
                <w:rFonts w:ascii="宋体" w:hAnsi="宋体"/>
                <w:sz w:val="24"/>
              </w:rPr>
            </w:pPr>
          </w:p>
        </w:tc>
        <w:tc>
          <w:tcPr>
            <w:tcW w:w="1146" w:type="dxa"/>
            <w:tcBorders>
              <w:right w:val="single" w:color="auto" w:sz="12" w:space="0"/>
            </w:tcBorders>
            <w:vAlign w:val="center"/>
          </w:tcPr>
          <w:p>
            <w:pPr>
              <w:pStyle w:val="94"/>
              <w:tabs>
                <w:tab w:val="left" w:pos="1337"/>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46" w:type="dxa"/>
            <w:tcBorders>
              <w:left w:val="single" w:color="auto" w:sz="12" w:space="0"/>
              <w:bottom w:val="single" w:color="auto" w:sz="12" w:space="0"/>
            </w:tcBorders>
            <w:vAlign w:val="center"/>
          </w:tcPr>
          <w:p>
            <w:pPr>
              <w:pStyle w:val="94"/>
              <w:tabs>
                <w:tab w:val="left" w:pos="1337"/>
              </w:tabs>
              <w:spacing w:line="360" w:lineRule="auto"/>
              <w:jc w:val="center"/>
              <w:rPr>
                <w:rFonts w:ascii="宋体" w:hAnsi="宋体"/>
                <w:sz w:val="24"/>
              </w:rPr>
            </w:pPr>
          </w:p>
        </w:tc>
        <w:tc>
          <w:tcPr>
            <w:tcW w:w="1528" w:type="dxa"/>
            <w:tcBorders>
              <w:bottom w:val="single" w:color="auto" w:sz="12" w:space="0"/>
            </w:tcBorders>
            <w:vAlign w:val="center"/>
          </w:tcPr>
          <w:p>
            <w:pPr>
              <w:pStyle w:val="94"/>
              <w:tabs>
                <w:tab w:val="left" w:pos="1337"/>
              </w:tabs>
              <w:spacing w:line="360" w:lineRule="auto"/>
              <w:jc w:val="center"/>
              <w:rPr>
                <w:rFonts w:ascii="宋体" w:hAnsi="宋体"/>
                <w:sz w:val="24"/>
              </w:rPr>
            </w:pPr>
          </w:p>
        </w:tc>
        <w:tc>
          <w:tcPr>
            <w:tcW w:w="2674" w:type="dxa"/>
            <w:tcBorders>
              <w:bottom w:val="single" w:color="auto" w:sz="12" w:space="0"/>
            </w:tcBorders>
            <w:vAlign w:val="center"/>
          </w:tcPr>
          <w:p>
            <w:pPr>
              <w:pStyle w:val="94"/>
              <w:tabs>
                <w:tab w:val="left" w:pos="1337"/>
              </w:tabs>
              <w:spacing w:line="360" w:lineRule="auto"/>
              <w:jc w:val="center"/>
              <w:rPr>
                <w:rFonts w:ascii="宋体" w:hAnsi="宋体"/>
                <w:sz w:val="24"/>
              </w:rPr>
            </w:pPr>
          </w:p>
        </w:tc>
        <w:tc>
          <w:tcPr>
            <w:tcW w:w="2483" w:type="dxa"/>
            <w:tcBorders>
              <w:bottom w:val="single" w:color="auto" w:sz="12" w:space="0"/>
            </w:tcBorders>
            <w:vAlign w:val="center"/>
          </w:tcPr>
          <w:p>
            <w:pPr>
              <w:pStyle w:val="94"/>
              <w:tabs>
                <w:tab w:val="left" w:pos="1337"/>
              </w:tabs>
              <w:spacing w:line="360" w:lineRule="auto"/>
              <w:jc w:val="center"/>
              <w:rPr>
                <w:rFonts w:ascii="宋体" w:hAnsi="宋体"/>
                <w:sz w:val="24"/>
              </w:rPr>
            </w:pPr>
          </w:p>
        </w:tc>
        <w:tc>
          <w:tcPr>
            <w:tcW w:w="1146" w:type="dxa"/>
            <w:tcBorders>
              <w:bottom w:val="single" w:color="auto" w:sz="12" w:space="0"/>
              <w:right w:val="single" w:color="auto" w:sz="12" w:space="0"/>
            </w:tcBorders>
            <w:vAlign w:val="center"/>
          </w:tcPr>
          <w:p>
            <w:pPr>
              <w:pStyle w:val="94"/>
              <w:tabs>
                <w:tab w:val="left" w:pos="1337"/>
              </w:tabs>
              <w:spacing w:line="360" w:lineRule="auto"/>
              <w:jc w:val="center"/>
              <w:rPr>
                <w:rFonts w:ascii="宋体" w:hAnsi="宋体"/>
                <w:sz w:val="24"/>
              </w:rPr>
            </w:pPr>
          </w:p>
        </w:tc>
      </w:tr>
    </w:tbl>
    <w:p>
      <w:pPr>
        <w:pStyle w:val="94"/>
        <w:spacing w:line="360" w:lineRule="auto"/>
        <w:ind w:left="2"/>
        <w:rPr>
          <w:rFonts w:ascii="宋体" w:hAnsi="宋体"/>
          <w:sz w:val="24"/>
        </w:rPr>
      </w:pPr>
      <w:r>
        <w:rPr>
          <w:rFonts w:hint="eastAsia" w:ascii="宋体" w:hAnsi="宋体"/>
          <w:sz w:val="24"/>
        </w:rPr>
        <w:t>说明：如投标人提交的服务条款与招标文件的要求存在偏离，需逐项填写《服务项目偏离表》。</w:t>
      </w:r>
    </w:p>
    <w:p>
      <w:pPr>
        <w:pStyle w:val="94"/>
        <w:spacing w:line="360" w:lineRule="auto"/>
        <w:ind w:left="2"/>
        <w:rPr>
          <w:rFonts w:ascii="宋体" w:hAnsi="宋体"/>
          <w:sz w:val="24"/>
        </w:rPr>
      </w:pPr>
    </w:p>
    <w:p>
      <w:pPr>
        <w:pStyle w:val="96"/>
        <w:spacing w:before="0" w:after="0" w:line="360" w:lineRule="auto"/>
        <w:ind w:right="17"/>
        <w:jc w:val="right"/>
        <w:rPr>
          <w:rFonts w:ascii="宋体" w:hAnsi="宋体" w:eastAsia="宋体"/>
          <w:sz w:val="24"/>
          <w:szCs w:val="24"/>
        </w:rPr>
      </w:pPr>
      <w:r>
        <w:rPr>
          <w:rFonts w:hint="eastAsia" w:ascii="宋体" w:hAnsi="宋体" w:eastAsia="宋体"/>
          <w:sz w:val="24"/>
          <w:szCs w:val="24"/>
        </w:rPr>
        <w:t xml:space="preserve">                                       年  月  日</w:t>
      </w:r>
    </w:p>
    <w:p>
      <w:pPr>
        <w:pStyle w:val="94"/>
        <w:rPr>
          <w:rFonts w:ascii="宋体" w:hAnsi="宋体"/>
        </w:rPr>
      </w:pPr>
    </w:p>
    <w:p>
      <w:pPr>
        <w:pStyle w:val="5"/>
      </w:pPr>
    </w:p>
    <w:p>
      <w:pPr>
        <w:pStyle w:val="5"/>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0A04C"/>
    <w:multiLevelType w:val="singleLevel"/>
    <w:tmpl w:val="BA60A04C"/>
    <w:lvl w:ilvl="0" w:tentative="0">
      <w:start w:val="1"/>
      <w:numFmt w:val="decimal"/>
      <w:suff w:val="nothing"/>
      <w:lvlText w:val="%1、"/>
      <w:lvlJc w:val="left"/>
    </w:lvl>
  </w:abstractNum>
  <w:abstractNum w:abstractNumId="1">
    <w:nsid w:val="D1FF5B4F"/>
    <w:multiLevelType w:val="singleLevel"/>
    <w:tmpl w:val="D1FF5B4F"/>
    <w:lvl w:ilvl="0" w:tentative="0">
      <w:start w:val="10"/>
      <w:numFmt w:val="chineseCounting"/>
      <w:suff w:val="nothing"/>
      <w:lvlText w:val="%1、"/>
      <w:lvlJc w:val="left"/>
      <w:rPr>
        <w:rFonts w:hint="eastAsia"/>
      </w:rPr>
    </w:lvl>
  </w:abstractNum>
  <w:abstractNum w:abstractNumId="2">
    <w:nsid w:val="E360C4F2"/>
    <w:multiLevelType w:val="singleLevel"/>
    <w:tmpl w:val="E360C4F2"/>
    <w:lvl w:ilvl="0" w:tentative="0">
      <w:start w:val="1"/>
      <w:numFmt w:val="decimal"/>
      <w:suff w:val="nothing"/>
      <w:lvlText w:val="%1、"/>
      <w:lvlJc w:val="left"/>
    </w:lvl>
  </w:abstractNum>
  <w:abstractNum w:abstractNumId="3">
    <w:nsid w:val="E491B769"/>
    <w:multiLevelType w:val="singleLevel"/>
    <w:tmpl w:val="E491B769"/>
    <w:lvl w:ilvl="0" w:tentative="0">
      <w:start w:val="1"/>
      <w:numFmt w:val="decimal"/>
      <w:suff w:val="nothing"/>
      <w:lvlText w:val="%1、"/>
      <w:lvlJc w:val="left"/>
    </w:lvl>
  </w:abstractNum>
  <w:abstractNum w:abstractNumId="4">
    <w:nsid w:val="E6393B5E"/>
    <w:multiLevelType w:val="singleLevel"/>
    <w:tmpl w:val="E6393B5E"/>
    <w:lvl w:ilvl="0" w:tentative="0">
      <w:start w:val="1"/>
      <w:numFmt w:val="decimal"/>
      <w:lvlText w:val="%1."/>
      <w:lvlJc w:val="left"/>
      <w:pPr>
        <w:tabs>
          <w:tab w:val="left" w:pos="312"/>
        </w:tabs>
      </w:pPr>
    </w:lvl>
  </w:abstractNum>
  <w:abstractNum w:abstractNumId="5">
    <w:nsid w:val="2C83B834"/>
    <w:multiLevelType w:val="singleLevel"/>
    <w:tmpl w:val="2C83B834"/>
    <w:lvl w:ilvl="0" w:tentative="0">
      <w:start w:val="1"/>
      <w:numFmt w:val="decimal"/>
      <w:suff w:val="nothing"/>
      <w:lvlText w:val="%1、"/>
      <w:lvlJc w:val="left"/>
    </w:lvl>
  </w:abstractNum>
  <w:abstractNum w:abstractNumId="6">
    <w:nsid w:val="418054E2"/>
    <w:multiLevelType w:val="singleLevel"/>
    <w:tmpl w:val="418054E2"/>
    <w:lvl w:ilvl="0" w:tentative="0">
      <w:start w:val="3"/>
      <w:numFmt w:val="chineseCounting"/>
      <w:suff w:val="space"/>
      <w:lvlText w:val="第%1部分"/>
      <w:lvlJc w:val="left"/>
      <w:rPr>
        <w:rFonts w:hint="eastAsia"/>
      </w:rPr>
    </w:lvl>
  </w:abstractNum>
  <w:abstractNum w:abstractNumId="7">
    <w:nsid w:val="5F45869F"/>
    <w:multiLevelType w:val="singleLevel"/>
    <w:tmpl w:val="5F45869F"/>
    <w:lvl w:ilvl="0" w:tentative="0">
      <w:start w:val="4"/>
      <w:numFmt w:val="chineseCounting"/>
      <w:suff w:val="nothing"/>
      <w:lvlText w:val="%1、"/>
      <w:lvlJc w:val="left"/>
      <w:rPr>
        <w:rFonts w:hint="eastAsia"/>
      </w:rPr>
    </w:lvl>
  </w:abstractNum>
  <w:abstractNum w:abstractNumId="8">
    <w:nsid w:val="71FE48D7"/>
    <w:multiLevelType w:val="singleLevel"/>
    <w:tmpl w:val="71FE48D7"/>
    <w:lvl w:ilvl="0" w:tentative="0">
      <w:start w:val="1"/>
      <w:numFmt w:val="decimal"/>
      <w:suff w:val="space"/>
      <w:lvlText w:val="%1、"/>
      <w:lvlJc w:val="left"/>
    </w:lvl>
  </w:abstractNum>
  <w:abstractNum w:abstractNumId="9">
    <w:nsid w:val="7D992028"/>
    <w:multiLevelType w:val="multilevel"/>
    <w:tmpl w:val="7D992028"/>
    <w:lvl w:ilvl="0" w:tentative="0">
      <w:start w:val="1"/>
      <w:numFmt w:val="chineseCounting"/>
      <w:suff w:val="nothing"/>
      <w:lvlText w:val="%1、"/>
      <w:lvlJc w:val="left"/>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D992029"/>
    <w:multiLevelType w:val="multilevel"/>
    <w:tmpl w:val="7D992029"/>
    <w:lvl w:ilvl="0" w:tentative="0">
      <w:start w:val="3"/>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2"/>
  </w:num>
  <w:num w:numId="3">
    <w:abstractNumId w:val="5"/>
  </w:num>
  <w:num w:numId="4">
    <w:abstractNumId w:val="4"/>
  </w:num>
  <w:num w:numId="5">
    <w:abstractNumId w:val="6"/>
  </w:num>
  <w:num w:numId="6">
    <w:abstractNumId w:val="1"/>
  </w:num>
  <w:num w:numId="7">
    <w:abstractNumId w:val="0"/>
  </w:num>
  <w:num w:numId="8">
    <w:abstractNumId w:val="3"/>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4D0673"/>
    <w:rsid w:val="001A5CE1"/>
    <w:rsid w:val="001B365E"/>
    <w:rsid w:val="002446E5"/>
    <w:rsid w:val="005A7E7C"/>
    <w:rsid w:val="009A5F1A"/>
    <w:rsid w:val="00B838AA"/>
    <w:rsid w:val="013F5B49"/>
    <w:rsid w:val="014337F8"/>
    <w:rsid w:val="01936DAB"/>
    <w:rsid w:val="021650E9"/>
    <w:rsid w:val="03482C96"/>
    <w:rsid w:val="035C1686"/>
    <w:rsid w:val="037D2FF5"/>
    <w:rsid w:val="038B1487"/>
    <w:rsid w:val="03F16363"/>
    <w:rsid w:val="03FB7B0A"/>
    <w:rsid w:val="04026688"/>
    <w:rsid w:val="04041304"/>
    <w:rsid w:val="043D2F7A"/>
    <w:rsid w:val="04461F7D"/>
    <w:rsid w:val="04675A50"/>
    <w:rsid w:val="046A4C6D"/>
    <w:rsid w:val="04812FB5"/>
    <w:rsid w:val="048A2011"/>
    <w:rsid w:val="04C410F4"/>
    <w:rsid w:val="04D02F73"/>
    <w:rsid w:val="04D609AD"/>
    <w:rsid w:val="04F45918"/>
    <w:rsid w:val="05221E49"/>
    <w:rsid w:val="05695C48"/>
    <w:rsid w:val="05AB14FE"/>
    <w:rsid w:val="05D21613"/>
    <w:rsid w:val="06001456"/>
    <w:rsid w:val="06026DB0"/>
    <w:rsid w:val="060A2814"/>
    <w:rsid w:val="061E1BDD"/>
    <w:rsid w:val="06927EB9"/>
    <w:rsid w:val="06B50CF4"/>
    <w:rsid w:val="06C851FE"/>
    <w:rsid w:val="06DF0467"/>
    <w:rsid w:val="06FB61E8"/>
    <w:rsid w:val="06FC3AC6"/>
    <w:rsid w:val="07044CC1"/>
    <w:rsid w:val="070760E7"/>
    <w:rsid w:val="075C1AB8"/>
    <w:rsid w:val="07A82BDB"/>
    <w:rsid w:val="07BB0B2B"/>
    <w:rsid w:val="07CA07CF"/>
    <w:rsid w:val="08203EC8"/>
    <w:rsid w:val="08316AA1"/>
    <w:rsid w:val="084F4104"/>
    <w:rsid w:val="08784D87"/>
    <w:rsid w:val="088D1DA7"/>
    <w:rsid w:val="089B0238"/>
    <w:rsid w:val="08A62997"/>
    <w:rsid w:val="08BC0A60"/>
    <w:rsid w:val="091F2D9D"/>
    <w:rsid w:val="093C725C"/>
    <w:rsid w:val="09442803"/>
    <w:rsid w:val="095443E8"/>
    <w:rsid w:val="095D1F3E"/>
    <w:rsid w:val="09B3514D"/>
    <w:rsid w:val="09BA2AC6"/>
    <w:rsid w:val="0A502D56"/>
    <w:rsid w:val="0A704B1F"/>
    <w:rsid w:val="0A7315F2"/>
    <w:rsid w:val="0A7F1AC8"/>
    <w:rsid w:val="0AA108EA"/>
    <w:rsid w:val="0AB20CC8"/>
    <w:rsid w:val="0AB877BD"/>
    <w:rsid w:val="0AE1796E"/>
    <w:rsid w:val="0AE53B72"/>
    <w:rsid w:val="0AF41608"/>
    <w:rsid w:val="0B0E180E"/>
    <w:rsid w:val="0B3820B5"/>
    <w:rsid w:val="0B64718D"/>
    <w:rsid w:val="0B6F0B70"/>
    <w:rsid w:val="0BA16946"/>
    <w:rsid w:val="0BB16A19"/>
    <w:rsid w:val="0BD45FA9"/>
    <w:rsid w:val="0BF60DC8"/>
    <w:rsid w:val="0C0603B1"/>
    <w:rsid w:val="0C1D1389"/>
    <w:rsid w:val="0C3F2E73"/>
    <w:rsid w:val="0CDB46D4"/>
    <w:rsid w:val="0CE02843"/>
    <w:rsid w:val="0CE379B0"/>
    <w:rsid w:val="0CF124AA"/>
    <w:rsid w:val="0D22436C"/>
    <w:rsid w:val="0D576A2E"/>
    <w:rsid w:val="0D904269"/>
    <w:rsid w:val="0DEB44BE"/>
    <w:rsid w:val="0E1B7FD7"/>
    <w:rsid w:val="0E77005E"/>
    <w:rsid w:val="0E933CDD"/>
    <w:rsid w:val="0EAB7586"/>
    <w:rsid w:val="0EE731A7"/>
    <w:rsid w:val="0FA13A81"/>
    <w:rsid w:val="0FCF56B6"/>
    <w:rsid w:val="0FEC2E40"/>
    <w:rsid w:val="1002158A"/>
    <w:rsid w:val="100D4AC2"/>
    <w:rsid w:val="1053332C"/>
    <w:rsid w:val="10537ADE"/>
    <w:rsid w:val="10550C56"/>
    <w:rsid w:val="106719BB"/>
    <w:rsid w:val="10B91AF2"/>
    <w:rsid w:val="10BA2304"/>
    <w:rsid w:val="10F82D6A"/>
    <w:rsid w:val="111034C9"/>
    <w:rsid w:val="11513D10"/>
    <w:rsid w:val="117C4F2C"/>
    <w:rsid w:val="11AE24DD"/>
    <w:rsid w:val="11E3067E"/>
    <w:rsid w:val="120F4350"/>
    <w:rsid w:val="1220629F"/>
    <w:rsid w:val="123C6DD7"/>
    <w:rsid w:val="123C7B27"/>
    <w:rsid w:val="125A7B42"/>
    <w:rsid w:val="12762223"/>
    <w:rsid w:val="127C4BD4"/>
    <w:rsid w:val="13260354"/>
    <w:rsid w:val="13525B1D"/>
    <w:rsid w:val="136D6542"/>
    <w:rsid w:val="13B46542"/>
    <w:rsid w:val="13BE558F"/>
    <w:rsid w:val="13CB7DA9"/>
    <w:rsid w:val="13DA623E"/>
    <w:rsid w:val="141B18A1"/>
    <w:rsid w:val="144B713C"/>
    <w:rsid w:val="146A53C6"/>
    <w:rsid w:val="14FB2910"/>
    <w:rsid w:val="15127C5A"/>
    <w:rsid w:val="15257FB5"/>
    <w:rsid w:val="15313204"/>
    <w:rsid w:val="15510782"/>
    <w:rsid w:val="155B33AF"/>
    <w:rsid w:val="15830932"/>
    <w:rsid w:val="15F5735F"/>
    <w:rsid w:val="15F874DA"/>
    <w:rsid w:val="15FF5BC8"/>
    <w:rsid w:val="160A5BEF"/>
    <w:rsid w:val="1620203D"/>
    <w:rsid w:val="16556050"/>
    <w:rsid w:val="16712AAC"/>
    <w:rsid w:val="167F61F8"/>
    <w:rsid w:val="16844C58"/>
    <w:rsid w:val="17237EFC"/>
    <w:rsid w:val="17241110"/>
    <w:rsid w:val="17C74D2B"/>
    <w:rsid w:val="17E26032"/>
    <w:rsid w:val="17EC2C86"/>
    <w:rsid w:val="17F7207D"/>
    <w:rsid w:val="184358A0"/>
    <w:rsid w:val="18A37FF3"/>
    <w:rsid w:val="18FE5928"/>
    <w:rsid w:val="192971D2"/>
    <w:rsid w:val="197A1611"/>
    <w:rsid w:val="198256D8"/>
    <w:rsid w:val="19832ED4"/>
    <w:rsid w:val="19F205AA"/>
    <w:rsid w:val="1A0217E7"/>
    <w:rsid w:val="1A0A7151"/>
    <w:rsid w:val="1A377509"/>
    <w:rsid w:val="1A4C0044"/>
    <w:rsid w:val="1A4F3252"/>
    <w:rsid w:val="1A7B6F57"/>
    <w:rsid w:val="1AF31C5C"/>
    <w:rsid w:val="1B1A1616"/>
    <w:rsid w:val="1B1C0B3B"/>
    <w:rsid w:val="1B34092A"/>
    <w:rsid w:val="1B5B5EB7"/>
    <w:rsid w:val="1B79633D"/>
    <w:rsid w:val="1BA0467E"/>
    <w:rsid w:val="1BA3271E"/>
    <w:rsid w:val="1BAA299A"/>
    <w:rsid w:val="1BF01557"/>
    <w:rsid w:val="1C2B5AF0"/>
    <w:rsid w:val="1C6B74C1"/>
    <w:rsid w:val="1C6D5526"/>
    <w:rsid w:val="1C776FFB"/>
    <w:rsid w:val="1C7941DD"/>
    <w:rsid w:val="1CC23787"/>
    <w:rsid w:val="1CF80D27"/>
    <w:rsid w:val="1D217854"/>
    <w:rsid w:val="1D232265"/>
    <w:rsid w:val="1D265F3C"/>
    <w:rsid w:val="1D4F0509"/>
    <w:rsid w:val="1D807E56"/>
    <w:rsid w:val="1D9B6DA5"/>
    <w:rsid w:val="1DDD13CE"/>
    <w:rsid w:val="1E0F602F"/>
    <w:rsid w:val="1E4C7D38"/>
    <w:rsid w:val="1E5135A1"/>
    <w:rsid w:val="1E553F4E"/>
    <w:rsid w:val="1E682063"/>
    <w:rsid w:val="1EAF499F"/>
    <w:rsid w:val="1EDA395C"/>
    <w:rsid w:val="1F5A6485"/>
    <w:rsid w:val="1F6F6488"/>
    <w:rsid w:val="1FAD2A59"/>
    <w:rsid w:val="1FB616D4"/>
    <w:rsid w:val="1FFB7C68"/>
    <w:rsid w:val="202C03ED"/>
    <w:rsid w:val="206F38E3"/>
    <w:rsid w:val="20725AAD"/>
    <w:rsid w:val="207F044A"/>
    <w:rsid w:val="209C536D"/>
    <w:rsid w:val="20BF2466"/>
    <w:rsid w:val="211B22B0"/>
    <w:rsid w:val="21370088"/>
    <w:rsid w:val="21401686"/>
    <w:rsid w:val="214A5531"/>
    <w:rsid w:val="219811F6"/>
    <w:rsid w:val="21A21E4D"/>
    <w:rsid w:val="21A67DC7"/>
    <w:rsid w:val="21CD1190"/>
    <w:rsid w:val="225847AE"/>
    <w:rsid w:val="227F5279"/>
    <w:rsid w:val="22A412DA"/>
    <w:rsid w:val="23057B77"/>
    <w:rsid w:val="23220AEE"/>
    <w:rsid w:val="23326059"/>
    <w:rsid w:val="237A70F6"/>
    <w:rsid w:val="23C956A9"/>
    <w:rsid w:val="23D06D16"/>
    <w:rsid w:val="23F14228"/>
    <w:rsid w:val="23FF1BCB"/>
    <w:rsid w:val="240D5367"/>
    <w:rsid w:val="24135715"/>
    <w:rsid w:val="24217DB0"/>
    <w:rsid w:val="242609AC"/>
    <w:rsid w:val="24636813"/>
    <w:rsid w:val="247B1377"/>
    <w:rsid w:val="248875F1"/>
    <w:rsid w:val="24FB7C7C"/>
    <w:rsid w:val="25065B1F"/>
    <w:rsid w:val="25692A69"/>
    <w:rsid w:val="25893620"/>
    <w:rsid w:val="25BE7CFE"/>
    <w:rsid w:val="25BF6E0D"/>
    <w:rsid w:val="25C83C90"/>
    <w:rsid w:val="261C6D98"/>
    <w:rsid w:val="2663162B"/>
    <w:rsid w:val="268E0AF7"/>
    <w:rsid w:val="26D834F1"/>
    <w:rsid w:val="26EC68B6"/>
    <w:rsid w:val="271B474C"/>
    <w:rsid w:val="27244FC7"/>
    <w:rsid w:val="274101E5"/>
    <w:rsid w:val="274F5687"/>
    <w:rsid w:val="275814FC"/>
    <w:rsid w:val="275F2575"/>
    <w:rsid w:val="27640B87"/>
    <w:rsid w:val="276D3828"/>
    <w:rsid w:val="277F4CDB"/>
    <w:rsid w:val="27933511"/>
    <w:rsid w:val="27B5694E"/>
    <w:rsid w:val="27F427FC"/>
    <w:rsid w:val="283C7070"/>
    <w:rsid w:val="285F2D5E"/>
    <w:rsid w:val="288856CD"/>
    <w:rsid w:val="28A80261"/>
    <w:rsid w:val="28BF3CFC"/>
    <w:rsid w:val="28C24626"/>
    <w:rsid w:val="28D819C0"/>
    <w:rsid w:val="28F7057F"/>
    <w:rsid w:val="28FF37CB"/>
    <w:rsid w:val="292C2856"/>
    <w:rsid w:val="29B51ACE"/>
    <w:rsid w:val="29E9150B"/>
    <w:rsid w:val="2A593D63"/>
    <w:rsid w:val="2A601B19"/>
    <w:rsid w:val="2A650C71"/>
    <w:rsid w:val="2AB00951"/>
    <w:rsid w:val="2ABA0D43"/>
    <w:rsid w:val="2AF249FF"/>
    <w:rsid w:val="2B2D3C01"/>
    <w:rsid w:val="2B3E0B48"/>
    <w:rsid w:val="2B432201"/>
    <w:rsid w:val="2B8E22B2"/>
    <w:rsid w:val="2BB86A0D"/>
    <w:rsid w:val="2BD321A6"/>
    <w:rsid w:val="2BE42581"/>
    <w:rsid w:val="2C00739A"/>
    <w:rsid w:val="2CAE78E2"/>
    <w:rsid w:val="2CC82C80"/>
    <w:rsid w:val="2D0308D9"/>
    <w:rsid w:val="2D1D1C67"/>
    <w:rsid w:val="2D477B92"/>
    <w:rsid w:val="2DA7405F"/>
    <w:rsid w:val="2DC04E22"/>
    <w:rsid w:val="2DC23B73"/>
    <w:rsid w:val="2DF0021E"/>
    <w:rsid w:val="2E0423DE"/>
    <w:rsid w:val="2E470B16"/>
    <w:rsid w:val="2EAA6ECE"/>
    <w:rsid w:val="2ECC3A82"/>
    <w:rsid w:val="2ED20B55"/>
    <w:rsid w:val="2F0E368A"/>
    <w:rsid w:val="2F397DB8"/>
    <w:rsid w:val="2F720593"/>
    <w:rsid w:val="2F740E9D"/>
    <w:rsid w:val="2F8E3437"/>
    <w:rsid w:val="2F9A4C9D"/>
    <w:rsid w:val="2FCA605E"/>
    <w:rsid w:val="2FD70277"/>
    <w:rsid w:val="2FEF0C65"/>
    <w:rsid w:val="30013C3E"/>
    <w:rsid w:val="308821AC"/>
    <w:rsid w:val="30A37DB1"/>
    <w:rsid w:val="30FD57BE"/>
    <w:rsid w:val="312047C5"/>
    <w:rsid w:val="31300644"/>
    <w:rsid w:val="31A125E6"/>
    <w:rsid w:val="32464669"/>
    <w:rsid w:val="326C0CA6"/>
    <w:rsid w:val="32797141"/>
    <w:rsid w:val="327D62BB"/>
    <w:rsid w:val="328738CA"/>
    <w:rsid w:val="33101D67"/>
    <w:rsid w:val="334D4288"/>
    <w:rsid w:val="337B0604"/>
    <w:rsid w:val="33B524C5"/>
    <w:rsid w:val="33CF0934"/>
    <w:rsid w:val="3468034B"/>
    <w:rsid w:val="346C4839"/>
    <w:rsid w:val="348D3786"/>
    <w:rsid w:val="352675FE"/>
    <w:rsid w:val="35386E11"/>
    <w:rsid w:val="35472BB0"/>
    <w:rsid w:val="35577297"/>
    <w:rsid w:val="355E0625"/>
    <w:rsid w:val="35957DBF"/>
    <w:rsid w:val="35BC70FA"/>
    <w:rsid w:val="35F04152"/>
    <w:rsid w:val="362E11A6"/>
    <w:rsid w:val="36F3726F"/>
    <w:rsid w:val="376764DA"/>
    <w:rsid w:val="37A316B3"/>
    <w:rsid w:val="38414541"/>
    <w:rsid w:val="38797524"/>
    <w:rsid w:val="389918B8"/>
    <w:rsid w:val="38BF0938"/>
    <w:rsid w:val="38F8463E"/>
    <w:rsid w:val="38FB0FC5"/>
    <w:rsid w:val="390178DF"/>
    <w:rsid w:val="39404121"/>
    <w:rsid w:val="394B7113"/>
    <w:rsid w:val="395E467F"/>
    <w:rsid w:val="397B777C"/>
    <w:rsid w:val="398B236F"/>
    <w:rsid w:val="39AD4D30"/>
    <w:rsid w:val="3A162ECF"/>
    <w:rsid w:val="3A2D60C1"/>
    <w:rsid w:val="3A3556CD"/>
    <w:rsid w:val="3A5913BB"/>
    <w:rsid w:val="3A66142C"/>
    <w:rsid w:val="3A717CCF"/>
    <w:rsid w:val="3AA55BA1"/>
    <w:rsid w:val="3AC57801"/>
    <w:rsid w:val="3AC6749A"/>
    <w:rsid w:val="3ACD594D"/>
    <w:rsid w:val="3AEA3EBF"/>
    <w:rsid w:val="3B5F57C7"/>
    <w:rsid w:val="3B800BCA"/>
    <w:rsid w:val="3B9D5C20"/>
    <w:rsid w:val="3C1268B7"/>
    <w:rsid w:val="3C456A27"/>
    <w:rsid w:val="3CB11244"/>
    <w:rsid w:val="3CC25068"/>
    <w:rsid w:val="3D033860"/>
    <w:rsid w:val="3D2B2696"/>
    <w:rsid w:val="3D314EDB"/>
    <w:rsid w:val="3D8B76B6"/>
    <w:rsid w:val="3DC20E5F"/>
    <w:rsid w:val="3DDE348C"/>
    <w:rsid w:val="3DEA5A90"/>
    <w:rsid w:val="3E495BEB"/>
    <w:rsid w:val="3E67466C"/>
    <w:rsid w:val="3E6B6AF8"/>
    <w:rsid w:val="3E7F3E91"/>
    <w:rsid w:val="3EBA43F3"/>
    <w:rsid w:val="3ED61AEF"/>
    <w:rsid w:val="3ED96F6F"/>
    <w:rsid w:val="3F073ADC"/>
    <w:rsid w:val="3F393C6D"/>
    <w:rsid w:val="3F402B4A"/>
    <w:rsid w:val="3F50359F"/>
    <w:rsid w:val="3F5D352F"/>
    <w:rsid w:val="3F9573F0"/>
    <w:rsid w:val="3F966FB0"/>
    <w:rsid w:val="3FBF6165"/>
    <w:rsid w:val="3FD34D8D"/>
    <w:rsid w:val="3FF34AD8"/>
    <w:rsid w:val="3FFB746E"/>
    <w:rsid w:val="3FFD092A"/>
    <w:rsid w:val="402B7E73"/>
    <w:rsid w:val="4031551F"/>
    <w:rsid w:val="40413215"/>
    <w:rsid w:val="4058466F"/>
    <w:rsid w:val="407F7D1D"/>
    <w:rsid w:val="40994F58"/>
    <w:rsid w:val="40A31F31"/>
    <w:rsid w:val="40A9778F"/>
    <w:rsid w:val="40E20CEC"/>
    <w:rsid w:val="40E96624"/>
    <w:rsid w:val="410A1661"/>
    <w:rsid w:val="413B7A3B"/>
    <w:rsid w:val="41596D7A"/>
    <w:rsid w:val="41961147"/>
    <w:rsid w:val="419D4D10"/>
    <w:rsid w:val="41B36F49"/>
    <w:rsid w:val="41E10A27"/>
    <w:rsid w:val="41F16567"/>
    <w:rsid w:val="41F84884"/>
    <w:rsid w:val="42024A2E"/>
    <w:rsid w:val="421F747B"/>
    <w:rsid w:val="42670045"/>
    <w:rsid w:val="427478D1"/>
    <w:rsid w:val="42D460D6"/>
    <w:rsid w:val="42E7225A"/>
    <w:rsid w:val="43191520"/>
    <w:rsid w:val="43BB4E95"/>
    <w:rsid w:val="43C52FFD"/>
    <w:rsid w:val="44251DBE"/>
    <w:rsid w:val="44B6565C"/>
    <w:rsid w:val="44E91621"/>
    <w:rsid w:val="44FD0BD5"/>
    <w:rsid w:val="44FE4D2E"/>
    <w:rsid w:val="450463F1"/>
    <w:rsid w:val="453C282B"/>
    <w:rsid w:val="45907773"/>
    <w:rsid w:val="45A007E6"/>
    <w:rsid w:val="461A0599"/>
    <w:rsid w:val="461B22C5"/>
    <w:rsid w:val="46455266"/>
    <w:rsid w:val="466260C0"/>
    <w:rsid w:val="468B4468"/>
    <w:rsid w:val="46E10C14"/>
    <w:rsid w:val="46FC3567"/>
    <w:rsid w:val="471B61BE"/>
    <w:rsid w:val="473665EA"/>
    <w:rsid w:val="47411C38"/>
    <w:rsid w:val="47573D26"/>
    <w:rsid w:val="481D53D0"/>
    <w:rsid w:val="48223807"/>
    <w:rsid w:val="485E57E5"/>
    <w:rsid w:val="48890BA2"/>
    <w:rsid w:val="48E82B9D"/>
    <w:rsid w:val="49507666"/>
    <w:rsid w:val="4958278A"/>
    <w:rsid w:val="49923B99"/>
    <w:rsid w:val="49A168DB"/>
    <w:rsid w:val="49BD5B34"/>
    <w:rsid w:val="4A6C74D7"/>
    <w:rsid w:val="4A9B5A20"/>
    <w:rsid w:val="4AC326D3"/>
    <w:rsid w:val="4ADD2C1E"/>
    <w:rsid w:val="4B35348C"/>
    <w:rsid w:val="4B3B7582"/>
    <w:rsid w:val="4B3F0F09"/>
    <w:rsid w:val="4B475260"/>
    <w:rsid w:val="4B4F688F"/>
    <w:rsid w:val="4B7F2C4C"/>
    <w:rsid w:val="4B8C1583"/>
    <w:rsid w:val="4B902027"/>
    <w:rsid w:val="4BC6150D"/>
    <w:rsid w:val="4BE64DDA"/>
    <w:rsid w:val="4BFA0485"/>
    <w:rsid w:val="4C054B8A"/>
    <w:rsid w:val="4C093B2B"/>
    <w:rsid w:val="4C0B545D"/>
    <w:rsid w:val="4C2A7064"/>
    <w:rsid w:val="4C453E95"/>
    <w:rsid w:val="4C4717CF"/>
    <w:rsid w:val="4C4C6FD2"/>
    <w:rsid w:val="4C7C510F"/>
    <w:rsid w:val="4CD44FC3"/>
    <w:rsid w:val="4CFC06AD"/>
    <w:rsid w:val="4D482895"/>
    <w:rsid w:val="4D5241E9"/>
    <w:rsid w:val="4DFC4A28"/>
    <w:rsid w:val="4E713413"/>
    <w:rsid w:val="4E741ED0"/>
    <w:rsid w:val="4E827640"/>
    <w:rsid w:val="4E871933"/>
    <w:rsid w:val="4F04019C"/>
    <w:rsid w:val="4F3A5B55"/>
    <w:rsid w:val="4F745967"/>
    <w:rsid w:val="4F90367A"/>
    <w:rsid w:val="4F9C516A"/>
    <w:rsid w:val="4FC36AE8"/>
    <w:rsid w:val="4FFE4A87"/>
    <w:rsid w:val="50023B89"/>
    <w:rsid w:val="501B24A7"/>
    <w:rsid w:val="50630D8E"/>
    <w:rsid w:val="50AC44E3"/>
    <w:rsid w:val="50BB0061"/>
    <w:rsid w:val="50C7131D"/>
    <w:rsid w:val="50D07B2C"/>
    <w:rsid w:val="50DB5126"/>
    <w:rsid w:val="50F7578C"/>
    <w:rsid w:val="50FD37A5"/>
    <w:rsid w:val="512460EA"/>
    <w:rsid w:val="513D17CC"/>
    <w:rsid w:val="51D00ACA"/>
    <w:rsid w:val="51F7178E"/>
    <w:rsid w:val="51FD59E5"/>
    <w:rsid w:val="52031323"/>
    <w:rsid w:val="52173BDE"/>
    <w:rsid w:val="525029AA"/>
    <w:rsid w:val="5272350A"/>
    <w:rsid w:val="5279429B"/>
    <w:rsid w:val="52925485"/>
    <w:rsid w:val="52B731E9"/>
    <w:rsid w:val="52D10231"/>
    <w:rsid w:val="53190865"/>
    <w:rsid w:val="53897588"/>
    <w:rsid w:val="53BA5C21"/>
    <w:rsid w:val="54232F1E"/>
    <w:rsid w:val="546B6A62"/>
    <w:rsid w:val="54A42C65"/>
    <w:rsid w:val="54A45BFD"/>
    <w:rsid w:val="54C0595C"/>
    <w:rsid w:val="553C5CF4"/>
    <w:rsid w:val="554A42CB"/>
    <w:rsid w:val="561C183E"/>
    <w:rsid w:val="563D5BDD"/>
    <w:rsid w:val="56E1178D"/>
    <w:rsid w:val="56E3418D"/>
    <w:rsid w:val="57113547"/>
    <w:rsid w:val="573C6910"/>
    <w:rsid w:val="575E1D7C"/>
    <w:rsid w:val="57A75D63"/>
    <w:rsid w:val="57CA1E8B"/>
    <w:rsid w:val="57E606A4"/>
    <w:rsid w:val="582D7388"/>
    <w:rsid w:val="584D0673"/>
    <w:rsid w:val="58511810"/>
    <w:rsid w:val="586D5100"/>
    <w:rsid w:val="587131E3"/>
    <w:rsid w:val="58965EAB"/>
    <w:rsid w:val="589A2E73"/>
    <w:rsid w:val="58CB5F74"/>
    <w:rsid w:val="59275F76"/>
    <w:rsid w:val="5963595B"/>
    <w:rsid w:val="5A12427C"/>
    <w:rsid w:val="5A19426B"/>
    <w:rsid w:val="5A413125"/>
    <w:rsid w:val="5A5B1403"/>
    <w:rsid w:val="5A5C364E"/>
    <w:rsid w:val="5AF95982"/>
    <w:rsid w:val="5B0D6F82"/>
    <w:rsid w:val="5B81656C"/>
    <w:rsid w:val="5BCC36F1"/>
    <w:rsid w:val="5BD931B1"/>
    <w:rsid w:val="5C237E0E"/>
    <w:rsid w:val="5C690B76"/>
    <w:rsid w:val="5C8C5941"/>
    <w:rsid w:val="5D1602EF"/>
    <w:rsid w:val="5D600B2F"/>
    <w:rsid w:val="5D610403"/>
    <w:rsid w:val="5DAF42D0"/>
    <w:rsid w:val="5DC07B0B"/>
    <w:rsid w:val="5DE1237C"/>
    <w:rsid w:val="5E224037"/>
    <w:rsid w:val="5E417B31"/>
    <w:rsid w:val="5E5963A7"/>
    <w:rsid w:val="5E75313F"/>
    <w:rsid w:val="5EA91781"/>
    <w:rsid w:val="5EB153BA"/>
    <w:rsid w:val="5F0A082A"/>
    <w:rsid w:val="5F2C332F"/>
    <w:rsid w:val="5F3820BC"/>
    <w:rsid w:val="5F677827"/>
    <w:rsid w:val="600B6DA2"/>
    <w:rsid w:val="60220A69"/>
    <w:rsid w:val="60AF1486"/>
    <w:rsid w:val="60B94C51"/>
    <w:rsid w:val="60C07B37"/>
    <w:rsid w:val="610275F4"/>
    <w:rsid w:val="61251748"/>
    <w:rsid w:val="61C8409B"/>
    <w:rsid w:val="61C95D6E"/>
    <w:rsid w:val="61F60585"/>
    <w:rsid w:val="6211064A"/>
    <w:rsid w:val="623771D7"/>
    <w:rsid w:val="623B56C7"/>
    <w:rsid w:val="62AF069E"/>
    <w:rsid w:val="63242E26"/>
    <w:rsid w:val="632541F8"/>
    <w:rsid w:val="632E47EC"/>
    <w:rsid w:val="6333639E"/>
    <w:rsid w:val="63807EC7"/>
    <w:rsid w:val="63AE1B63"/>
    <w:rsid w:val="63D33F66"/>
    <w:rsid w:val="63E4531E"/>
    <w:rsid w:val="63F349AE"/>
    <w:rsid w:val="644E387E"/>
    <w:rsid w:val="647A43A8"/>
    <w:rsid w:val="647C5327"/>
    <w:rsid w:val="648D1EEC"/>
    <w:rsid w:val="649F0923"/>
    <w:rsid w:val="64C37BF6"/>
    <w:rsid w:val="64C71494"/>
    <w:rsid w:val="64E81DBB"/>
    <w:rsid w:val="64F953C5"/>
    <w:rsid w:val="6524432D"/>
    <w:rsid w:val="653E08FB"/>
    <w:rsid w:val="65486D37"/>
    <w:rsid w:val="65953340"/>
    <w:rsid w:val="65AC068A"/>
    <w:rsid w:val="65AC2438"/>
    <w:rsid w:val="65D95EE1"/>
    <w:rsid w:val="65F76EC6"/>
    <w:rsid w:val="6643024D"/>
    <w:rsid w:val="66667294"/>
    <w:rsid w:val="66813688"/>
    <w:rsid w:val="668F4233"/>
    <w:rsid w:val="66A33F05"/>
    <w:rsid w:val="66C76544"/>
    <w:rsid w:val="66D363C1"/>
    <w:rsid w:val="66E3632D"/>
    <w:rsid w:val="66ED0A8A"/>
    <w:rsid w:val="67550FD9"/>
    <w:rsid w:val="6765229D"/>
    <w:rsid w:val="67955AC1"/>
    <w:rsid w:val="67F1461E"/>
    <w:rsid w:val="68362526"/>
    <w:rsid w:val="68795D28"/>
    <w:rsid w:val="689474E8"/>
    <w:rsid w:val="68F46E07"/>
    <w:rsid w:val="68F5309B"/>
    <w:rsid w:val="68F82FD0"/>
    <w:rsid w:val="690477ED"/>
    <w:rsid w:val="69360996"/>
    <w:rsid w:val="694765F0"/>
    <w:rsid w:val="69C41689"/>
    <w:rsid w:val="69E10A7A"/>
    <w:rsid w:val="6A263DB1"/>
    <w:rsid w:val="6A4D1043"/>
    <w:rsid w:val="6A7C062B"/>
    <w:rsid w:val="6A821FF4"/>
    <w:rsid w:val="6A9F06F1"/>
    <w:rsid w:val="6AB65527"/>
    <w:rsid w:val="6AC05F8A"/>
    <w:rsid w:val="6AF638F2"/>
    <w:rsid w:val="6B1160C9"/>
    <w:rsid w:val="6B146AB5"/>
    <w:rsid w:val="6B583569"/>
    <w:rsid w:val="6B9D4020"/>
    <w:rsid w:val="6BE22BAA"/>
    <w:rsid w:val="6BF84629"/>
    <w:rsid w:val="6C034CC5"/>
    <w:rsid w:val="6C311952"/>
    <w:rsid w:val="6C372680"/>
    <w:rsid w:val="6C3E4978"/>
    <w:rsid w:val="6C710589"/>
    <w:rsid w:val="6CA50B78"/>
    <w:rsid w:val="6CCA7878"/>
    <w:rsid w:val="6CF21078"/>
    <w:rsid w:val="6D192AA9"/>
    <w:rsid w:val="6D1C54AF"/>
    <w:rsid w:val="6D6923C8"/>
    <w:rsid w:val="6D6C5B16"/>
    <w:rsid w:val="6D6F71E2"/>
    <w:rsid w:val="6D9640F9"/>
    <w:rsid w:val="6DE254E0"/>
    <w:rsid w:val="6DEA61F3"/>
    <w:rsid w:val="6F3837C6"/>
    <w:rsid w:val="6F5225AC"/>
    <w:rsid w:val="6F5E4669"/>
    <w:rsid w:val="6F6048D1"/>
    <w:rsid w:val="6FD74837"/>
    <w:rsid w:val="70A75CCE"/>
    <w:rsid w:val="70AC7790"/>
    <w:rsid w:val="70B4359C"/>
    <w:rsid w:val="70D82B76"/>
    <w:rsid w:val="710D7627"/>
    <w:rsid w:val="712A4CA4"/>
    <w:rsid w:val="7130216F"/>
    <w:rsid w:val="71AC1ECE"/>
    <w:rsid w:val="71C45FEC"/>
    <w:rsid w:val="720641A8"/>
    <w:rsid w:val="720F7FD6"/>
    <w:rsid w:val="72377F2E"/>
    <w:rsid w:val="725243D7"/>
    <w:rsid w:val="725D4794"/>
    <w:rsid w:val="727F33AE"/>
    <w:rsid w:val="728A5DA3"/>
    <w:rsid w:val="729A380F"/>
    <w:rsid w:val="72A50423"/>
    <w:rsid w:val="72FD73E7"/>
    <w:rsid w:val="7309711B"/>
    <w:rsid w:val="732D564A"/>
    <w:rsid w:val="7348539C"/>
    <w:rsid w:val="73780C18"/>
    <w:rsid w:val="73B96A71"/>
    <w:rsid w:val="741F70DD"/>
    <w:rsid w:val="74612177"/>
    <w:rsid w:val="7479207F"/>
    <w:rsid w:val="749B0247"/>
    <w:rsid w:val="74B1643C"/>
    <w:rsid w:val="74B27092"/>
    <w:rsid w:val="751D7EE7"/>
    <w:rsid w:val="7523225C"/>
    <w:rsid w:val="753C330D"/>
    <w:rsid w:val="754F00CF"/>
    <w:rsid w:val="758F5EBE"/>
    <w:rsid w:val="75EF4BEE"/>
    <w:rsid w:val="765406AD"/>
    <w:rsid w:val="76571F4C"/>
    <w:rsid w:val="76786882"/>
    <w:rsid w:val="771C566F"/>
    <w:rsid w:val="77344EDE"/>
    <w:rsid w:val="77356A5B"/>
    <w:rsid w:val="77B0346A"/>
    <w:rsid w:val="77BD4EE9"/>
    <w:rsid w:val="77E67A2B"/>
    <w:rsid w:val="77FA70C9"/>
    <w:rsid w:val="78006D3F"/>
    <w:rsid w:val="78212D05"/>
    <w:rsid w:val="782319A5"/>
    <w:rsid w:val="782B18E2"/>
    <w:rsid w:val="78673F63"/>
    <w:rsid w:val="78801297"/>
    <w:rsid w:val="78856FEB"/>
    <w:rsid w:val="789A60D4"/>
    <w:rsid w:val="78A80E57"/>
    <w:rsid w:val="78BA3F5F"/>
    <w:rsid w:val="79075EAB"/>
    <w:rsid w:val="790E078F"/>
    <w:rsid w:val="794B223C"/>
    <w:rsid w:val="798551EE"/>
    <w:rsid w:val="79D75D4A"/>
    <w:rsid w:val="79E32063"/>
    <w:rsid w:val="7A321735"/>
    <w:rsid w:val="7AE67656"/>
    <w:rsid w:val="7B580C40"/>
    <w:rsid w:val="7B941550"/>
    <w:rsid w:val="7BB67C8A"/>
    <w:rsid w:val="7C166075"/>
    <w:rsid w:val="7C6F17EF"/>
    <w:rsid w:val="7C8D31FE"/>
    <w:rsid w:val="7CCD740C"/>
    <w:rsid w:val="7CE468DD"/>
    <w:rsid w:val="7CEE2381"/>
    <w:rsid w:val="7D0C5A4B"/>
    <w:rsid w:val="7D226E2B"/>
    <w:rsid w:val="7D53645E"/>
    <w:rsid w:val="7D7C77B3"/>
    <w:rsid w:val="7D851A94"/>
    <w:rsid w:val="7DD52740"/>
    <w:rsid w:val="7DDD44C8"/>
    <w:rsid w:val="7E0325BD"/>
    <w:rsid w:val="7E301A00"/>
    <w:rsid w:val="7E410650"/>
    <w:rsid w:val="7E767508"/>
    <w:rsid w:val="7ED56104"/>
    <w:rsid w:val="7ED716D9"/>
    <w:rsid w:val="7EE67BF7"/>
    <w:rsid w:val="7F2C5CEF"/>
    <w:rsid w:val="7F453289"/>
    <w:rsid w:val="7F812738"/>
    <w:rsid w:val="7F857B2A"/>
    <w:rsid w:val="7F961299"/>
    <w:rsid w:val="7FFF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toa heading"/>
    <w:basedOn w:val="1"/>
    <w:next w:val="1"/>
    <w:qFormat/>
    <w:uiPriority w:val="0"/>
    <w:pPr>
      <w:widowControl w:val="0"/>
      <w:adjustRightInd/>
      <w:snapToGrid/>
      <w:spacing w:before="120" w:after="0"/>
      <w:jc w:val="both"/>
    </w:pPr>
    <w:rPr>
      <w:rFonts w:ascii="Cambria" w:hAnsi="Cambria"/>
      <w:sz w:val="28"/>
    </w:rPr>
  </w:style>
  <w:style w:type="paragraph" w:styleId="4">
    <w:name w:val="annotation text"/>
    <w:basedOn w:val="1"/>
    <w:qFormat/>
    <w:uiPriority w:val="0"/>
    <w:pPr>
      <w:jc w:val="left"/>
    </w:pPr>
  </w:style>
  <w:style w:type="paragraph" w:styleId="5">
    <w:name w:val="Body Text"/>
    <w:basedOn w:val="1"/>
    <w:next w:val="1"/>
    <w:qFormat/>
    <w:uiPriority w:val="0"/>
    <w:pPr>
      <w:spacing w:after="120"/>
    </w:pPr>
  </w:style>
  <w:style w:type="paragraph" w:styleId="6">
    <w:name w:val="Body Text Indent"/>
    <w:basedOn w:val="1"/>
    <w:qFormat/>
    <w:uiPriority w:val="0"/>
    <w:pPr>
      <w:spacing w:line="500" w:lineRule="exact"/>
      <w:ind w:left="1588" w:leftChars="832" w:firstLine="433" w:firstLineChars="196"/>
    </w:pPr>
    <w:rPr>
      <w:sz w:val="24"/>
    </w:rPr>
  </w:style>
  <w:style w:type="paragraph" w:styleId="7">
    <w:name w:val="toc 3"/>
    <w:basedOn w:val="1"/>
    <w:next w:val="1"/>
    <w:qFormat/>
    <w:uiPriority w:val="39"/>
    <w:pPr>
      <w:ind w:left="840" w:leftChars="400"/>
    </w:p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link w:val="10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14"/>
    <w:qFormat/>
    <w:uiPriority w:val="0"/>
    <w:pPr>
      <w:spacing w:line="360" w:lineRule="auto"/>
      <w:ind w:firstLine="420" w:firstLineChars="100"/>
    </w:pPr>
    <w:rPr>
      <w:rFonts w:ascii="Times New Roman" w:hAnsi="Times New Roman"/>
      <w:szCs w:val="21"/>
    </w:rPr>
  </w:style>
  <w:style w:type="paragraph" w:customStyle="1" w:styleId="14">
    <w:name w:val="正文文本_0"/>
    <w:basedOn w:val="15"/>
    <w:qFormat/>
    <w:uiPriority w:val="0"/>
    <w:pPr>
      <w:spacing w:after="120"/>
    </w:pPr>
    <w:rPr>
      <w:rFonts w:ascii="Times New Roman" w:hAnsi="Times New Roman"/>
      <w:szCs w:val="24"/>
    </w:rPr>
  </w:style>
  <w:style w:type="paragraph" w:customStyle="1" w:styleId="15">
    <w:name w:val="正文_1_2"/>
    <w:qFormat/>
    <w:uiPriority w:val="0"/>
    <w:pPr>
      <w:widowControl w:val="0"/>
      <w:jc w:val="both"/>
    </w:pPr>
    <w:rPr>
      <w:rFonts w:ascii="Calibri" w:hAnsi="Calibri" w:eastAsia="宋体" w:cs="Times New Roman"/>
      <w:kern w:val="2"/>
      <w:sz w:val="21"/>
      <w:szCs w:val="22"/>
      <w:lang w:val="en-US" w:eastAsia="zh-CN" w:bidi="ar-SA"/>
    </w:rPr>
  </w:style>
  <w:style w:type="character" w:styleId="18">
    <w:name w:val="page number"/>
    <w:qFormat/>
    <w:uiPriority w:val="0"/>
  </w:style>
  <w:style w:type="character" w:styleId="19">
    <w:name w:val="Hyperlink"/>
    <w:qFormat/>
    <w:uiPriority w:val="99"/>
    <w:rPr>
      <w:color w:val="0000FF"/>
      <w:u w:val="single"/>
    </w:rPr>
  </w:style>
  <w:style w:type="paragraph" w:customStyle="1" w:styleId="20">
    <w:name w:val="正文_0_1"/>
    <w:basedOn w:val="21"/>
    <w:next w:val="23"/>
    <w:qFormat/>
    <w:uiPriority w:val="0"/>
    <w:rPr>
      <w:rFonts w:ascii="Times New Roman" w:hAnsi="Times New Roman"/>
      <w:szCs w:val="24"/>
    </w:rPr>
  </w:style>
  <w:style w:type="paragraph" w:customStyle="1" w:styleId="21">
    <w:name w:val="正文_1"/>
    <w:next w:val="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列表_0"/>
    <w:basedOn w:val="21"/>
    <w:semiHidden/>
    <w:qFormat/>
    <w:locked/>
    <w:uiPriority w:val="0"/>
    <w:pPr>
      <w:ind w:left="200" w:hanging="200" w:hangingChars="200"/>
    </w:pPr>
  </w:style>
  <w:style w:type="paragraph" w:customStyle="1" w:styleId="23">
    <w:name w:val="页脚_0"/>
    <w:basedOn w:val="20"/>
    <w:unhideWhenUsed/>
    <w:qFormat/>
    <w:uiPriority w:val="99"/>
    <w:pPr>
      <w:tabs>
        <w:tab w:val="center" w:pos="4153"/>
        <w:tab w:val="right" w:pos="8306"/>
      </w:tabs>
      <w:snapToGrid w:val="0"/>
      <w:jc w:val="left"/>
    </w:pPr>
    <w:rPr>
      <w:sz w:val="18"/>
      <w:szCs w:val="18"/>
    </w:rPr>
  </w:style>
  <w:style w:type="paragraph" w:customStyle="1" w:styleId="24">
    <w:name w:val="正文_2"/>
    <w:basedOn w:val="25"/>
    <w:next w:val="27"/>
    <w:qFormat/>
    <w:uiPriority w:val="0"/>
    <w:rPr>
      <w:rFonts w:ascii="等线" w:hAnsi="等线" w:eastAsia="等线"/>
    </w:rPr>
  </w:style>
  <w:style w:type="paragraph" w:customStyle="1" w:styleId="25">
    <w:name w:val="正文_3"/>
    <w:basedOn w:val="26"/>
    <w:next w:val="3"/>
    <w:qFormat/>
    <w:uiPriority w:val="0"/>
    <w:rPr>
      <w:rFonts w:eastAsia="宋体"/>
    </w:rPr>
  </w:style>
  <w:style w:type="paragraph" w:customStyle="1" w:styleId="26">
    <w:name w:val="正文_4"/>
    <w:qFormat/>
    <w:uiPriority w:val="0"/>
    <w:pPr>
      <w:widowControl w:val="0"/>
      <w:jc w:val="both"/>
    </w:pPr>
    <w:rPr>
      <w:rFonts w:ascii="Calibri" w:hAnsi="Calibri" w:eastAsia="Calibri" w:cs="Times New Roman"/>
      <w:kern w:val="2"/>
      <w:sz w:val="21"/>
      <w:szCs w:val="22"/>
      <w:lang w:val="en-US" w:eastAsia="zh-CN" w:bidi="ar-SA"/>
    </w:rPr>
  </w:style>
  <w:style w:type="paragraph" w:customStyle="1" w:styleId="27">
    <w:name w:val="Default_0"/>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8">
    <w:name w:val="正文_1_0_0_0"/>
    <w:basedOn w:val="29"/>
    <w:qFormat/>
    <w:uiPriority w:val="0"/>
    <w:rPr>
      <w:rFonts w:cs="宋体"/>
      <w:szCs w:val="21"/>
    </w:rPr>
  </w:style>
  <w:style w:type="paragraph" w:customStyle="1" w:styleId="29">
    <w:name w:val="正文_2_0_0_0"/>
    <w:basedOn w:val="30"/>
    <w:next w:val="32"/>
    <w:qFormat/>
    <w:uiPriority w:val="0"/>
    <w:rPr>
      <w:rFonts w:ascii="Calibri" w:hAnsi="Calibri" w:cs="宋体"/>
    </w:rPr>
  </w:style>
  <w:style w:type="paragraph" w:customStyle="1" w:styleId="30">
    <w:name w:val="正文_2_0_0"/>
    <w:basedOn w:val="31"/>
    <w:next w:val="27"/>
    <w:qFormat/>
    <w:uiPriority w:val="0"/>
    <w:pPr>
      <w:widowControl w:val="0"/>
      <w:jc w:val="both"/>
    </w:pPr>
    <w:rPr>
      <w:kern w:val="2"/>
      <w:sz w:val="21"/>
      <w:szCs w:val="22"/>
      <w:lang w:val="en-US" w:eastAsia="zh-CN" w:bidi="ar-SA"/>
    </w:rPr>
  </w:style>
  <w:style w:type="paragraph" w:customStyle="1" w:styleId="31">
    <w:name w:val="正文_2_0"/>
    <w:basedOn w:val="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引文目录标题_0_0_0"/>
    <w:basedOn w:val="33"/>
    <w:next w:val="33"/>
    <w:qFormat/>
    <w:uiPriority w:val="0"/>
    <w:pPr>
      <w:widowControl w:val="0"/>
      <w:adjustRightInd/>
      <w:snapToGrid/>
      <w:spacing w:before="120" w:after="0"/>
      <w:jc w:val="both"/>
    </w:pPr>
    <w:rPr>
      <w:rFonts w:ascii="Cambria" w:hAnsi="Cambria"/>
      <w:sz w:val="28"/>
    </w:rPr>
  </w:style>
  <w:style w:type="paragraph" w:customStyle="1" w:styleId="33">
    <w:name w:val="正文_4_0"/>
    <w:next w:val="34"/>
    <w:qFormat/>
    <w:uiPriority w:val="0"/>
    <w:pPr>
      <w:widowControl w:val="0"/>
      <w:jc w:val="both"/>
    </w:pPr>
    <w:rPr>
      <w:rFonts w:ascii="Calibri" w:hAnsi="Calibri" w:eastAsia="Calibri" w:cs="Times New Roman"/>
      <w:kern w:val="2"/>
      <w:sz w:val="21"/>
      <w:szCs w:val="22"/>
      <w:lang w:val="en-US" w:eastAsia="zh-CN" w:bidi="ar-SA"/>
    </w:rPr>
  </w:style>
  <w:style w:type="paragraph" w:customStyle="1" w:styleId="34">
    <w:name w:val="正文文本_2_0"/>
    <w:basedOn w:val="33"/>
    <w:unhideWhenUsed/>
    <w:qFormat/>
    <w:uiPriority w:val="0"/>
    <w:pPr>
      <w:spacing w:after="120"/>
    </w:pPr>
  </w:style>
  <w:style w:type="paragraph" w:customStyle="1" w:styleId="35">
    <w:name w:val="正文_0"/>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36">
    <w:name w:val="正文_0_2"/>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37">
    <w:name w:val="正文_1_0"/>
    <w:basedOn w:val="24"/>
    <w:next w:val="38"/>
    <w:qFormat/>
    <w:uiPriority w:val="0"/>
    <w:rPr>
      <w:rFonts w:ascii="Times New Roman" w:hAnsi="Times New Roman" w:eastAsia="宋体"/>
    </w:rPr>
  </w:style>
  <w:style w:type="paragraph" w:customStyle="1" w:styleId="38">
    <w:name w:val="正文首行缩进1"/>
    <w:basedOn w:val="39"/>
    <w:unhideWhenUsed/>
    <w:qFormat/>
    <w:uiPriority w:val="99"/>
    <w:pPr>
      <w:ind w:firstLine="420" w:firstLineChars="100"/>
    </w:pPr>
    <w:rPr>
      <w:szCs w:val="22"/>
    </w:rPr>
  </w:style>
  <w:style w:type="paragraph" w:customStyle="1" w:styleId="39">
    <w:name w:val="正文文本_0_0"/>
    <w:basedOn w:val="40"/>
    <w:qFormat/>
    <w:uiPriority w:val="99"/>
    <w:rPr>
      <w:rFonts w:ascii="Calibri" w:hAnsi="Calibri" w:eastAsia="黑体"/>
      <w:kern w:val="0"/>
      <w:sz w:val="36"/>
      <w:szCs w:val="24"/>
    </w:rPr>
  </w:style>
  <w:style w:type="paragraph" w:customStyle="1" w:styleId="40">
    <w:name w:val="正文_1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_2_1"/>
    <w:basedOn w:val="42"/>
    <w:next w:val="45"/>
    <w:qFormat/>
    <w:uiPriority w:val="0"/>
    <w:rPr>
      <w:rFonts w:eastAsia="Calibri"/>
      <w:sz w:val="21"/>
      <w:szCs w:val="22"/>
    </w:rPr>
  </w:style>
  <w:style w:type="paragraph" w:customStyle="1" w:styleId="42">
    <w:name w:val="正文_3_0"/>
    <w:basedOn w:val="26"/>
    <w:next w:val="43"/>
    <w:qFormat/>
    <w:uiPriority w:val="0"/>
    <w:rPr>
      <w:rFonts w:eastAsia="仿宋_GB2312"/>
      <w:sz w:val="28"/>
      <w:szCs w:val="24"/>
    </w:rPr>
  </w:style>
  <w:style w:type="paragraph" w:customStyle="1" w:styleId="43">
    <w:name w:val="TOA Heading"/>
    <w:basedOn w:val="44"/>
    <w:next w:val="44"/>
    <w:qFormat/>
    <w:uiPriority w:val="0"/>
    <w:pPr>
      <w:widowControl w:val="0"/>
      <w:adjustRightInd/>
      <w:snapToGrid/>
      <w:spacing w:before="120" w:after="0"/>
      <w:jc w:val="both"/>
    </w:pPr>
    <w:rPr>
      <w:rFonts w:ascii="Cambria" w:hAnsi="Cambria"/>
      <w:sz w:val="28"/>
    </w:rPr>
  </w:style>
  <w:style w:type="paragraph" w:customStyle="1" w:styleId="44">
    <w:name w:val="Normal_0"/>
    <w:next w:val="43"/>
    <w:qFormat/>
    <w:uiPriority w:val="0"/>
    <w:rPr>
      <w:rFonts w:ascii="Times New Roman" w:hAnsi="Times New Roman" w:eastAsia="Times New Roman" w:cs="Times New Roman"/>
      <w:sz w:val="24"/>
      <w:szCs w:val="24"/>
      <w:lang w:val="en-US" w:eastAsia="zh-CN" w:bidi="ar-SA"/>
    </w:rPr>
  </w:style>
  <w:style w:type="paragraph" w:customStyle="1" w:styleId="45">
    <w:name w:val="正文文本_2_1"/>
    <w:basedOn w:val="41"/>
    <w:qFormat/>
    <w:uiPriority w:val="99"/>
    <w:pPr>
      <w:spacing w:after="120"/>
    </w:pPr>
  </w:style>
  <w:style w:type="paragraph" w:customStyle="1" w:styleId="46">
    <w:name w:val="正文_2_1_0"/>
    <w:qFormat/>
    <w:uiPriority w:val="0"/>
    <w:pPr>
      <w:widowControl w:val="0"/>
      <w:jc w:val="both"/>
    </w:pPr>
    <w:rPr>
      <w:rFonts w:ascii="Calibri" w:hAnsi="Calibri" w:eastAsia="Calibri" w:cs="Times New Roman"/>
      <w:kern w:val="2"/>
      <w:sz w:val="21"/>
      <w:szCs w:val="22"/>
      <w:lang w:val="en-US" w:eastAsia="zh-CN" w:bidi="ar-SA"/>
    </w:rPr>
  </w:style>
  <w:style w:type="paragraph" w:customStyle="1" w:styleId="47">
    <w:name w:val="正文1"/>
    <w:next w:val="4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文本1"/>
    <w:basedOn w:val="47"/>
    <w:unhideWhenUsed/>
    <w:qFormat/>
    <w:uiPriority w:val="0"/>
    <w:pPr>
      <w:spacing w:after="120"/>
    </w:pPr>
  </w:style>
  <w:style w:type="paragraph" w:customStyle="1" w:styleId="49">
    <w:name w:val="正文_3_0_0"/>
    <w:basedOn w:val="33"/>
    <w:qFormat/>
    <w:uiPriority w:val="0"/>
    <w:rPr>
      <w:rFonts w:ascii="Times New Roman" w:hAnsi="Times New Roman"/>
      <w:szCs w:val="21"/>
    </w:rPr>
  </w:style>
  <w:style w:type="paragraph" w:customStyle="1" w:styleId="50">
    <w:name w:val="正文_2_2"/>
    <w:qFormat/>
    <w:uiPriority w:val="0"/>
    <w:pPr>
      <w:widowControl w:val="0"/>
      <w:jc w:val="both"/>
    </w:pPr>
    <w:rPr>
      <w:rFonts w:ascii="等线" w:hAnsi="等线" w:eastAsia="等线" w:cs="Times New Roman"/>
      <w:kern w:val="2"/>
      <w:sz w:val="21"/>
      <w:szCs w:val="22"/>
      <w:lang w:val="en-US" w:eastAsia="zh-CN" w:bidi="ar-SA"/>
    </w:rPr>
  </w:style>
  <w:style w:type="paragraph" w:customStyle="1" w:styleId="51">
    <w:name w:val="Normal_20"/>
    <w:qFormat/>
    <w:uiPriority w:val="0"/>
    <w:rPr>
      <w:rFonts w:ascii="Times New Roman" w:hAnsi="Times New Roman" w:eastAsia="Times New Roman" w:cs="Times New Roman"/>
      <w:sz w:val="24"/>
      <w:szCs w:val="24"/>
      <w:lang w:val="en-US" w:eastAsia="zh-CN" w:bidi="ar-SA"/>
    </w:rPr>
  </w:style>
  <w:style w:type="paragraph" w:customStyle="1" w:styleId="52">
    <w:name w:val="Normal_0_0"/>
    <w:qFormat/>
    <w:uiPriority w:val="0"/>
    <w:rPr>
      <w:rFonts w:ascii="黑体" w:hAnsi="黑体" w:eastAsia="黑体" w:cs="Times New Roman"/>
      <w:b/>
      <w:sz w:val="32"/>
      <w:szCs w:val="24"/>
      <w:lang w:val="en-US" w:eastAsia="zh-CN" w:bidi="ar-SA"/>
    </w:rPr>
  </w:style>
  <w:style w:type="paragraph" w:customStyle="1" w:styleId="53">
    <w:name w:val="Normal_1"/>
    <w:qFormat/>
    <w:uiPriority w:val="0"/>
    <w:rPr>
      <w:rFonts w:ascii="黑体" w:hAnsi="黑体" w:eastAsia="黑体" w:cs="Times New Roman"/>
      <w:b/>
      <w:sz w:val="32"/>
      <w:szCs w:val="24"/>
      <w:lang w:val="en-US" w:eastAsia="zh-CN" w:bidi="ar-SA"/>
    </w:rPr>
  </w:style>
  <w:style w:type="paragraph" w:customStyle="1" w:styleId="54">
    <w:name w:val="正文_5"/>
    <w:next w:val="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段_0"/>
    <w:next w:val="54"/>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56">
    <w:name w:val="Normal_2"/>
    <w:qFormat/>
    <w:uiPriority w:val="0"/>
    <w:rPr>
      <w:rFonts w:ascii="黑体" w:hAnsi="黑体" w:eastAsia="黑体" w:cs="Times New Roman"/>
      <w:b/>
      <w:sz w:val="32"/>
      <w:szCs w:val="24"/>
      <w:lang w:val="en-US" w:eastAsia="zh-CN" w:bidi="ar-SA"/>
    </w:rPr>
  </w:style>
  <w:style w:type="paragraph" w:customStyle="1" w:styleId="57">
    <w:name w:val="Normal_3"/>
    <w:qFormat/>
    <w:uiPriority w:val="0"/>
    <w:rPr>
      <w:rFonts w:ascii="黑体" w:hAnsi="黑体" w:eastAsia="黑体" w:cs="Times New Roman"/>
      <w:b/>
      <w:sz w:val="32"/>
      <w:szCs w:val="24"/>
      <w:lang w:val="en-US" w:eastAsia="zh-CN" w:bidi="ar-SA"/>
    </w:rPr>
  </w:style>
  <w:style w:type="paragraph" w:customStyle="1" w:styleId="58">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59">
    <w:name w:val="Normal_4"/>
    <w:qFormat/>
    <w:uiPriority w:val="0"/>
    <w:rPr>
      <w:rFonts w:ascii="黑体" w:hAnsi="黑体" w:eastAsia="黑体" w:cs="Times New Roman"/>
      <w:b/>
      <w:sz w:val="32"/>
      <w:szCs w:val="24"/>
      <w:lang w:val="en-US" w:eastAsia="zh-CN" w:bidi="ar-SA"/>
    </w:rPr>
  </w:style>
  <w:style w:type="paragraph" w:customStyle="1" w:styleId="60">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61">
    <w:name w:val="标题 3_0_0"/>
    <w:basedOn w:val="60"/>
    <w:next w:val="60"/>
    <w:qFormat/>
    <w:uiPriority w:val="0"/>
    <w:pPr>
      <w:autoSpaceDE w:val="0"/>
      <w:autoSpaceDN w:val="0"/>
      <w:adjustRightInd w:val="0"/>
      <w:spacing w:line="500" w:lineRule="exact"/>
      <w:jc w:val="center"/>
      <w:outlineLvl w:val="2"/>
    </w:pPr>
    <w:rPr>
      <w:rFonts w:ascii="宋体" w:hAnsi="宋体"/>
      <w:b/>
      <w:szCs w:val="28"/>
    </w:rPr>
  </w:style>
  <w:style w:type="paragraph" w:customStyle="1" w:styleId="62">
    <w:name w:val="Normal_5"/>
    <w:qFormat/>
    <w:uiPriority w:val="0"/>
    <w:rPr>
      <w:rFonts w:ascii="黑体" w:hAnsi="黑体" w:eastAsia="黑体" w:cs="Times New Roman"/>
      <w:b/>
      <w:sz w:val="32"/>
      <w:szCs w:val="24"/>
      <w:lang w:val="en-US" w:eastAsia="zh-CN" w:bidi="ar-SA"/>
    </w:rPr>
  </w:style>
  <w:style w:type="paragraph" w:customStyle="1" w:styleId="63">
    <w:name w:val="Normal_6"/>
    <w:qFormat/>
    <w:uiPriority w:val="0"/>
    <w:rPr>
      <w:rFonts w:ascii="黑体" w:hAnsi="黑体" w:eastAsia="黑体" w:cs="Times New Roman"/>
      <w:b/>
      <w:sz w:val="32"/>
      <w:szCs w:val="24"/>
      <w:lang w:val="en-US" w:eastAsia="zh-CN" w:bidi="ar-SA"/>
    </w:rPr>
  </w:style>
  <w:style w:type="paragraph" w:customStyle="1" w:styleId="64">
    <w:name w:val="Normal_7"/>
    <w:qFormat/>
    <w:uiPriority w:val="0"/>
    <w:rPr>
      <w:rFonts w:ascii="黑体" w:hAnsi="黑体" w:eastAsia="黑体" w:cs="Times New Roman"/>
      <w:b/>
      <w:sz w:val="32"/>
      <w:szCs w:val="24"/>
      <w:lang w:val="en-US" w:eastAsia="zh-CN" w:bidi="ar-SA"/>
    </w:rPr>
  </w:style>
  <w:style w:type="paragraph" w:customStyle="1" w:styleId="65">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66">
    <w:name w:val="Normal_8"/>
    <w:qFormat/>
    <w:uiPriority w:val="0"/>
    <w:rPr>
      <w:rFonts w:ascii="黑体" w:hAnsi="黑体" w:eastAsia="黑体" w:cs="Times New Roman"/>
      <w:b/>
      <w:sz w:val="32"/>
      <w:szCs w:val="24"/>
      <w:lang w:val="en-US" w:eastAsia="zh-CN" w:bidi="ar-SA"/>
    </w:rPr>
  </w:style>
  <w:style w:type="paragraph" w:customStyle="1" w:styleId="67">
    <w:name w:val="Normal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Normal_10"/>
    <w:qFormat/>
    <w:uiPriority w:val="0"/>
    <w:rPr>
      <w:rFonts w:ascii="黑体" w:hAnsi="黑体" w:eastAsia="黑体" w:cs="Times New Roman"/>
      <w:b/>
      <w:sz w:val="32"/>
      <w:szCs w:val="24"/>
      <w:lang w:val="en-US" w:eastAsia="zh-CN" w:bidi="ar-SA"/>
    </w:rPr>
  </w:style>
  <w:style w:type="paragraph" w:customStyle="1" w:styleId="69">
    <w:name w:val="Normal_11"/>
    <w:qFormat/>
    <w:uiPriority w:val="0"/>
    <w:rPr>
      <w:rFonts w:ascii="黑体" w:hAnsi="黑体" w:eastAsia="黑体" w:cs="Times New Roman"/>
      <w:b/>
      <w:sz w:val="32"/>
      <w:szCs w:val="24"/>
      <w:lang w:val="en-US" w:eastAsia="zh-CN" w:bidi="ar-SA"/>
    </w:rPr>
  </w:style>
  <w:style w:type="paragraph" w:customStyle="1" w:styleId="70">
    <w:name w:val="日期_1"/>
    <w:basedOn w:val="71"/>
    <w:next w:val="71"/>
    <w:qFormat/>
    <w:uiPriority w:val="0"/>
    <w:pPr>
      <w:ind w:left="100" w:leftChars="2500"/>
    </w:pPr>
    <w:rPr>
      <w:rFonts w:ascii="Times New Roman" w:hAnsi="Times New Roman"/>
      <w:szCs w:val="24"/>
    </w:rPr>
  </w:style>
  <w:style w:type="paragraph" w:customStyle="1" w:styleId="71">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文本_1"/>
    <w:basedOn w:val="37"/>
    <w:qFormat/>
    <w:uiPriority w:val="0"/>
    <w:pPr>
      <w:spacing w:after="120"/>
    </w:pPr>
    <w:rPr>
      <w:rFonts w:ascii="Times New Roman" w:hAnsi="Times New Roman"/>
      <w:szCs w:val="24"/>
    </w:rPr>
  </w:style>
  <w:style w:type="paragraph" w:customStyle="1" w:styleId="73">
    <w:name w:val="Normal_12"/>
    <w:qFormat/>
    <w:uiPriority w:val="0"/>
    <w:rPr>
      <w:rFonts w:ascii="黑体" w:hAnsi="黑体" w:eastAsia="黑体" w:cs="Times New Roman"/>
      <w:b/>
      <w:sz w:val="32"/>
      <w:szCs w:val="24"/>
      <w:lang w:val="en-US" w:eastAsia="zh-CN" w:bidi="ar-SA"/>
    </w:rPr>
  </w:style>
  <w:style w:type="paragraph" w:customStyle="1" w:styleId="74">
    <w:name w:val="正文文本_2"/>
    <w:basedOn w:val="75"/>
    <w:unhideWhenUsed/>
    <w:qFormat/>
    <w:uiPriority w:val="0"/>
    <w:rPr>
      <w:rFonts w:eastAsia="黑体"/>
      <w:sz w:val="36"/>
    </w:rPr>
  </w:style>
  <w:style w:type="paragraph" w:customStyle="1" w:styleId="7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
    <w:name w:val="正文文本缩进_0"/>
    <w:basedOn w:val="75"/>
    <w:semiHidden/>
    <w:unhideWhenUsed/>
    <w:qFormat/>
    <w:uiPriority w:val="0"/>
    <w:pPr>
      <w:spacing w:line="360" w:lineRule="auto"/>
      <w:ind w:firstLine="570"/>
    </w:pPr>
    <w:rPr>
      <w:rFonts w:ascii="宋体" w:hAnsi="宋体"/>
      <w:i/>
      <w:iCs/>
      <w:sz w:val="28"/>
      <w:szCs w:val="20"/>
    </w:rPr>
  </w:style>
  <w:style w:type="paragraph" w:customStyle="1" w:styleId="77">
    <w:name w:val="Normal_13"/>
    <w:qFormat/>
    <w:uiPriority w:val="0"/>
    <w:rPr>
      <w:rFonts w:ascii="黑体" w:hAnsi="黑体" w:eastAsia="黑体" w:cs="Times New Roman"/>
      <w:b/>
      <w:sz w:val="32"/>
      <w:szCs w:val="24"/>
      <w:lang w:val="en-US" w:eastAsia="zh-CN" w:bidi="ar-SA"/>
    </w:rPr>
  </w:style>
  <w:style w:type="paragraph" w:customStyle="1" w:styleId="78">
    <w:name w:val="正文文本缩进_0_0"/>
    <w:basedOn w:val="79"/>
    <w:semiHidden/>
    <w:unhideWhenUsed/>
    <w:qFormat/>
    <w:uiPriority w:val="99"/>
    <w:pPr>
      <w:spacing w:after="120"/>
      <w:ind w:left="420" w:leftChars="200"/>
    </w:pPr>
  </w:style>
  <w:style w:type="paragraph" w:customStyle="1" w:styleId="79">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Normal_14"/>
    <w:qFormat/>
    <w:uiPriority w:val="0"/>
    <w:rPr>
      <w:rFonts w:ascii="黑体" w:hAnsi="黑体" w:eastAsia="黑体" w:cs="Times New Roman"/>
      <w:b/>
      <w:sz w:val="32"/>
      <w:szCs w:val="24"/>
      <w:lang w:val="en-US" w:eastAsia="zh-CN" w:bidi="ar-SA"/>
    </w:rPr>
  </w:style>
  <w:style w:type="paragraph" w:customStyle="1" w:styleId="81">
    <w:name w:val="正文文本_3"/>
    <w:basedOn w:val="82"/>
    <w:qFormat/>
    <w:uiPriority w:val="0"/>
    <w:pPr>
      <w:spacing w:after="120"/>
    </w:pPr>
    <w:rPr>
      <w:rFonts w:ascii="Times New Roman" w:hAnsi="Times New Roman"/>
      <w:szCs w:val="24"/>
    </w:rPr>
  </w:style>
  <w:style w:type="paragraph" w:customStyle="1" w:styleId="82">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Normal_15"/>
    <w:qFormat/>
    <w:uiPriority w:val="0"/>
    <w:rPr>
      <w:rFonts w:ascii="黑体" w:hAnsi="黑体" w:eastAsia="黑体" w:cs="Times New Roman"/>
      <w:b/>
      <w:sz w:val="32"/>
      <w:szCs w:val="24"/>
      <w:lang w:val="en-US" w:eastAsia="zh-CN" w:bidi="ar-SA"/>
    </w:rPr>
  </w:style>
  <w:style w:type="paragraph" w:customStyle="1" w:styleId="84">
    <w:name w:val="正文_0_0_2"/>
    <w:qFormat/>
    <w:uiPriority w:val="0"/>
    <w:pPr>
      <w:widowControl w:val="0"/>
      <w:jc w:val="both"/>
    </w:pPr>
    <w:rPr>
      <w:rFonts w:ascii="Calibri" w:hAnsi="Calibri" w:eastAsia="宋体" w:cs="Times New Roman"/>
      <w:kern w:val="2"/>
      <w:sz w:val="28"/>
      <w:szCs w:val="22"/>
      <w:lang w:val="en-US" w:eastAsia="zh-CN" w:bidi="ar-SA"/>
    </w:rPr>
  </w:style>
  <w:style w:type="paragraph" w:customStyle="1" w:styleId="85">
    <w:name w:val="正文文本_4"/>
    <w:basedOn w:val="86"/>
    <w:qFormat/>
    <w:uiPriority w:val="0"/>
    <w:pPr>
      <w:spacing w:after="120"/>
    </w:pPr>
    <w:rPr>
      <w:rFonts w:ascii="Times New Roman" w:hAnsi="Times New Roman"/>
      <w:szCs w:val="24"/>
    </w:rPr>
  </w:style>
  <w:style w:type="paragraph" w:customStyle="1" w:styleId="86">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Normal_16"/>
    <w:qFormat/>
    <w:uiPriority w:val="0"/>
    <w:rPr>
      <w:rFonts w:ascii="黑体" w:hAnsi="黑体" w:eastAsia="黑体" w:cs="Times New Roman"/>
      <w:b/>
      <w:sz w:val="32"/>
      <w:szCs w:val="24"/>
      <w:lang w:val="en-US" w:eastAsia="zh-CN" w:bidi="ar-SA"/>
    </w:rPr>
  </w:style>
  <w:style w:type="paragraph" w:customStyle="1" w:styleId="88">
    <w:name w:val="Normal_17"/>
    <w:qFormat/>
    <w:uiPriority w:val="0"/>
    <w:rPr>
      <w:rFonts w:ascii="黑体" w:hAnsi="黑体" w:eastAsia="黑体" w:cs="Times New Roman"/>
      <w:b/>
      <w:sz w:val="32"/>
      <w:szCs w:val="24"/>
      <w:lang w:val="en-US" w:eastAsia="zh-CN" w:bidi="ar-SA"/>
    </w:rPr>
  </w:style>
  <w:style w:type="paragraph" w:customStyle="1" w:styleId="89">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正文文本缩进_1"/>
    <w:basedOn w:val="89"/>
    <w:semiHidden/>
    <w:unhideWhenUsed/>
    <w:qFormat/>
    <w:uiPriority w:val="99"/>
    <w:pPr>
      <w:spacing w:after="120"/>
      <w:ind w:left="420" w:leftChars="200"/>
    </w:pPr>
  </w:style>
  <w:style w:type="paragraph" w:customStyle="1" w:styleId="91">
    <w:name w:val="题注_0"/>
    <w:basedOn w:val="89"/>
    <w:next w:val="89"/>
    <w:qFormat/>
    <w:uiPriority w:val="0"/>
    <w:pPr>
      <w:spacing w:before="152" w:after="160"/>
    </w:pPr>
    <w:rPr>
      <w:rFonts w:ascii="Arial" w:hAnsi="Arial" w:eastAsia="黑体" w:cs="Arial"/>
      <w:sz w:val="20"/>
      <w:szCs w:val="20"/>
    </w:rPr>
  </w:style>
  <w:style w:type="paragraph" w:customStyle="1" w:styleId="92">
    <w:name w:val="Normal_18"/>
    <w:qFormat/>
    <w:uiPriority w:val="0"/>
    <w:rPr>
      <w:rFonts w:ascii="黑体" w:hAnsi="黑体" w:eastAsia="黑体" w:cs="Times New Roman"/>
      <w:b/>
      <w:sz w:val="32"/>
      <w:szCs w:val="24"/>
      <w:lang w:val="en-US" w:eastAsia="zh-CN" w:bidi="ar-SA"/>
    </w:rPr>
  </w:style>
  <w:style w:type="paragraph" w:customStyle="1" w:styleId="93">
    <w:name w:val="Normal_19"/>
    <w:qFormat/>
    <w:uiPriority w:val="0"/>
    <w:rPr>
      <w:rFonts w:ascii="黑体" w:hAnsi="黑体" w:eastAsia="黑体" w:cs="Times New Roman"/>
      <w:b/>
      <w:sz w:val="32"/>
      <w:szCs w:val="24"/>
      <w:lang w:val="en-US" w:eastAsia="zh-CN" w:bidi="ar-SA"/>
    </w:rPr>
  </w:style>
  <w:style w:type="paragraph" w:customStyle="1" w:styleId="94">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文本缩进_2"/>
    <w:basedOn w:val="94"/>
    <w:semiHidden/>
    <w:unhideWhenUsed/>
    <w:qFormat/>
    <w:uiPriority w:val="99"/>
    <w:pPr>
      <w:spacing w:after="120"/>
      <w:ind w:left="420" w:leftChars="200"/>
    </w:pPr>
  </w:style>
  <w:style w:type="paragraph" w:customStyle="1" w:styleId="96">
    <w:name w:val="题注_0_0"/>
    <w:basedOn w:val="94"/>
    <w:next w:val="94"/>
    <w:qFormat/>
    <w:uiPriority w:val="0"/>
    <w:pPr>
      <w:spacing w:before="152" w:after="160"/>
    </w:pPr>
    <w:rPr>
      <w:rFonts w:ascii="Arial" w:hAnsi="Arial" w:eastAsia="黑体" w:cs="Arial"/>
      <w:sz w:val="20"/>
      <w:szCs w:val="20"/>
    </w:rPr>
  </w:style>
  <w:style w:type="paragraph" w:customStyle="1" w:styleId="97">
    <w:name w:val="Normal_22"/>
    <w:qFormat/>
    <w:uiPriority w:val="0"/>
    <w:rPr>
      <w:rFonts w:ascii="Times New Roman" w:hAnsi="Times New Roman" w:eastAsia="Times New Roman" w:cs="Times New Roman"/>
      <w:sz w:val="24"/>
      <w:szCs w:val="24"/>
      <w:lang w:val="en-US" w:eastAsia="zh-CN" w:bidi="ar-SA"/>
    </w:rPr>
  </w:style>
  <w:style w:type="paragraph" w:styleId="98">
    <w:name w:val="List Paragraph"/>
    <w:basedOn w:val="1"/>
    <w:qFormat/>
    <w:uiPriority w:val="34"/>
    <w:pPr>
      <w:ind w:firstLine="420" w:firstLineChars="200"/>
    </w:pPr>
  </w:style>
  <w:style w:type="paragraph" w:customStyle="1" w:styleId="99">
    <w:name w:val="列出段落_0"/>
    <w:basedOn w:val="54"/>
    <w:qFormat/>
    <w:uiPriority w:val="34"/>
    <w:pPr>
      <w:ind w:firstLine="420" w:firstLineChars="200"/>
    </w:pPr>
  </w:style>
  <w:style w:type="paragraph" w:customStyle="1" w:styleId="100">
    <w:name w:val="正文_0_1_0"/>
    <w:basedOn w:val="36"/>
    <w:qFormat/>
    <w:uiPriority w:val="0"/>
    <w:rPr>
      <w:rFonts w:eastAsia="Calibri"/>
      <w:szCs w:val="21"/>
    </w:rPr>
  </w:style>
  <w:style w:type="character" w:customStyle="1" w:styleId="101">
    <w:name w:val="页眉 Char"/>
    <w:basedOn w:val="17"/>
    <w:link w:val="9"/>
    <w:qFormat/>
    <w:uiPriority w:val="0"/>
    <w:rPr>
      <w:rFonts w:ascii="Calibri" w:hAnsi="Calibri"/>
      <w:kern w:val="2"/>
      <w:sz w:val="18"/>
      <w:szCs w:val="18"/>
    </w:rPr>
  </w:style>
  <w:style w:type="paragraph" w:customStyle="1" w:styleId="102">
    <w:name w:val="FootnoteText"/>
    <w:basedOn w:val="1"/>
    <w:qFormat/>
    <w:uiPriority w:val="0"/>
    <w:pPr>
      <w:snapToGrid w:val="0"/>
      <w:jc w:val="left"/>
    </w:pPr>
    <w:rPr>
      <w:sz w:val="18"/>
    </w:rPr>
  </w:style>
  <w:style w:type="paragraph" w:customStyle="1" w:styleId="103">
    <w:name w:val="正文缩进_0"/>
    <w:basedOn w:val="24"/>
    <w:unhideWhenUsed/>
    <w:qFormat/>
    <w:uiPriority w:val="0"/>
    <w:pPr>
      <w:ind w:firstLine="420" w:firstLineChars="200"/>
    </w:pPr>
  </w:style>
  <w:style w:type="paragraph" w:customStyle="1" w:styleId="104">
    <w:name w:val="缺省文本_0"/>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05">
    <w:name w:val="日期_0"/>
    <w:basedOn w:val="41"/>
    <w:next w:val="106"/>
    <w:qFormat/>
    <w:uiPriority w:val="0"/>
    <w:pPr>
      <w:ind w:left="100" w:leftChars="2500"/>
    </w:pPr>
    <w:rPr>
      <w:rFonts w:ascii="宋体" w:hAnsi="Courier New" w:eastAsia="宋体" w:cs="Courier New"/>
      <w:szCs w:val="21"/>
    </w:rPr>
  </w:style>
  <w:style w:type="paragraph" w:customStyle="1" w:styleId="106">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Default Text_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8">
    <w:name w:val="正文_1_1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9">
    <w:name w:val="Style1"/>
    <w:basedOn w:val="1"/>
    <w:qFormat/>
    <w:uiPriority w:val="0"/>
    <w:pPr>
      <w:widowControl/>
      <w:tabs>
        <w:tab w:val="left" w:pos="-720"/>
      </w:tabs>
      <w:spacing w:after="120"/>
    </w:pPr>
    <w:rPr>
      <w:spacing w:val="-3"/>
      <w:kern w:val="0"/>
      <w:sz w:val="24"/>
      <w:szCs w:val="20"/>
      <w:lang w:val="en-AU"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82</Pages>
  <Words>6422</Words>
  <Characters>36612</Characters>
  <Lines>305</Lines>
  <Paragraphs>85</Paragraphs>
  <TotalTime>62</TotalTime>
  <ScaleCrop>false</ScaleCrop>
  <LinksUpToDate>false</LinksUpToDate>
  <CharactersWithSpaces>42949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2021-04-14T13:34:00Z</dcterms:created>
  <dc:creator>*．sYx ．*</dc:creator>
  <cp:lastModifiedBy>*．sYx ．*</cp:lastModifiedBy>
  <cp:lastPrinted>2021-12-22T08:06:00Z</cp:lastPrinted>
  <dcterms:modified xsi:type="dcterms:W3CDTF">2022-01-21T11:08:57Z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000FA0DF926C4BDE80C984B634F4A2CB</vt:lpwstr>
  </property>
</Properties>
</file>